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E0AB9" w14:textId="41A3BF38" w:rsidR="003F7412" w:rsidRDefault="003E3117" w:rsidP="003F7412">
      <w:pPr>
        <w:jc w:val="center"/>
        <w:rPr>
          <w:rFonts w:ascii="Candara" w:hAnsi="Candara"/>
          <w:color w:val="FFC000"/>
          <w:sz w:val="48"/>
          <w:szCs w:val="48"/>
        </w:rPr>
      </w:pPr>
      <w:r>
        <w:rPr>
          <w:rFonts w:ascii="Candara" w:hAnsi="Candara"/>
          <w:noProof/>
          <w:color w:val="FFC000"/>
          <w:sz w:val="48"/>
          <w:szCs w:val="48"/>
          <w:lang w:val="en-US"/>
        </w:rPr>
        <w:drawing>
          <wp:anchor distT="0" distB="0" distL="114300" distR="114300" simplePos="0" relativeHeight="251661312" behindDoc="1" locked="0" layoutInCell="1" allowOverlap="1" wp14:anchorId="472EC464" wp14:editId="67DE2F82">
            <wp:simplePos x="0" y="0"/>
            <wp:positionH relativeFrom="page">
              <wp:align>right</wp:align>
            </wp:positionH>
            <wp:positionV relativeFrom="paragraph">
              <wp:posOffset>-1226820</wp:posOffset>
            </wp:positionV>
            <wp:extent cx="7566660" cy="10988040"/>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6660" cy="10988040"/>
                    </a:xfrm>
                    <a:prstGeom prst="rect">
                      <a:avLst/>
                    </a:prstGeom>
                  </pic:spPr>
                </pic:pic>
              </a:graphicData>
            </a:graphic>
            <wp14:sizeRelH relativeFrom="page">
              <wp14:pctWidth>0</wp14:pctWidth>
            </wp14:sizeRelH>
            <wp14:sizeRelV relativeFrom="page">
              <wp14:pctHeight>0</wp14:pctHeight>
            </wp14:sizeRelV>
          </wp:anchor>
        </w:drawing>
      </w:r>
    </w:p>
    <w:p w14:paraId="4C4CF5DF" w14:textId="3F81513D" w:rsidR="003E3117" w:rsidRDefault="003E3117" w:rsidP="003F7412">
      <w:pPr>
        <w:jc w:val="center"/>
        <w:rPr>
          <w:rFonts w:ascii="Candara" w:hAnsi="Candara"/>
          <w:color w:val="FFC000"/>
          <w:sz w:val="48"/>
          <w:szCs w:val="48"/>
        </w:rPr>
      </w:pPr>
    </w:p>
    <w:p w14:paraId="5F167A35" w14:textId="77BA5033" w:rsidR="003E3117" w:rsidRDefault="003E3117" w:rsidP="003F7412">
      <w:pPr>
        <w:jc w:val="center"/>
        <w:rPr>
          <w:rFonts w:ascii="Candara" w:hAnsi="Candara"/>
          <w:color w:val="FFC000"/>
          <w:sz w:val="48"/>
          <w:szCs w:val="48"/>
        </w:rPr>
      </w:pPr>
    </w:p>
    <w:p w14:paraId="524387AD" w14:textId="03B8EBC4" w:rsidR="003E3117" w:rsidRDefault="003E3117" w:rsidP="003F7412">
      <w:pPr>
        <w:jc w:val="center"/>
        <w:rPr>
          <w:rFonts w:ascii="Candara" w:hAnsi="Candara"/>
          <w:color w:val="FFC000"/>
          <w:sz w:val="48"/>
          <w:szCs w:val="48"/>
        </w:rPr>
      </w:pPr>
    </w:p>
    <w:p w14:paraId="6839719A" w14:textId="7EC81202" w:rsidR="003E3117" w:rsidRDefault="003E3117" w:rsidP="003F7412">
      <w:pPr>
        <w:jc w:val="center"/>
        <w:rPr>
          <w:rFonts w:ascii="Candara" w:hAnsi="Candara"/>
          <w:color w:val="FFC000"/>
          <w:sz w:val="48"/>
          <w:szCs w:val="48"/>
        </w:rPr>
      </w:pPr>
    </w:p>
    <w:p w14:paraId="5C67DA99" w14:textId="173A13CC" w:rsidR="003E3117" w:rsidRDefault="003E3117" w:rsidP="003F7412">
      <w:pPr>
        <w:jc w:val="center"/>
        <w:rPr>
          <w:rFonts w:ascii="Candara" w:hAnsi="Candara"/>
          <w:color w:val="FFC000"/>
          <w:sz w:val="48"/>
          <w:szCs w:val="48"/>
        </w:rPr>
      </w:pPr>
    </w:p>
    <w:p w14:paraId="2A164863" w14:textId="33E3B82F" w:rsidR="003E3117" w:rsidRDefault="003E3117" w:rsidP="003F7412">
      <w:pPr>
        <w:jc w:val="center"/>
        <w:rPr>
          <w:rFonts w:ascii="Candara" w:hAnsi="Candara"/>
          <w:color w:val="FFC000"/>
          <w:sz w:val="48"/>
          <w:szCs w:val="48"/>
        </w:rPr>
      </w:pPr>
    </w:p>
    <w:p w14:paraId="421DC215" w14:textId="0AAB85C2" w:rsidR="003E3117" w:rsidRDefault="003E3117" w:rsidP="003F7412">
      <w:pPr>
        <w:jc w:val="center"/>
        <w:rPr>
          <w:rFonts w:ascii="Candara" w:hAnsi="Candara"/>
          <w:color w:val="FFC000"/>
          <w:sz w:val="48"/>
          <w:szCs w:val="48"/>
        </w:rPr>
      </w:pPr>
    </w:p>
    <w:p w14:paraId="71372D0E" w14:textId="6CC85A29" w:rsidR="003E3117" w:rsidRDefault="003E3117" w:rsidP="003F7412">
      <w:pPr>
        <w:jc w:val="center"/>
        <w:rPr>
          <w:rFonts w:ascii="Candara" w:hAnsi="Candara"/>
          <w:color w:val="FFC000"/>
          <w:sz w:val="48"/>
          <w:szCs w:val="48"/>
        </w:rPr>
      </w:pPr>
    </w:p>
    <w:p w14:paraId="5D37BC45" w14:textId="3E3E9A21" w:rsidR="003E3117" w:rsidRDefault="003E3117" w:rsidP="003F7412">
      <w:pPr>
        <w:jc w:val="center"/>
        <w:rPr>
          <w:rFonts w:ascii="Candara" w:hAnsi="Candara"/>
          <w:color w:val="FFC000"/>
          <w:sz w:val="48"/>
          <w:szCs w:val="48"/>
        </w:rPr>
      </w:pPr>
    </w:p>
    <w:p w14:paraId="02ABAF85" w14:textId="0F793864" w:rsidR="003E3117" w:rsidRDefault="003E3117" w:rsidP="003F7412">
      <w:pPr>
        <w:jc w:val="center"/>
        <w:rPr>
          <w:rFonts w:ascii="Candara" w:hAnsi="Candara"/>
          <w:color w:val="FFC000"/>
          <w:sz w:val="48"/>
          <w:szCs w:val="48"/>
        </w:rPr>
      </w:pPr>
    </w:p>
    <w:p w14:paraId="38751B37" w14:textId="7FA1D103" w:rsidR="003E3117" w:rsidRDefault="003E3117" w:rsidP="003F7412">
      <w:pPr>
        <w:jc w:val="center"/>
        <w:rPr>
          <w:rFonts w:ascii="Candara" w:hAnsi="Candara"/>
          <w:color w:val="FFC000"/>
          <w:sz w:val="48"/>
          <w:szCs w:val="48"/>
        </w:rPr>
      </w:pPr>
    </w:p>
    <w:p w14:paraId="7DDC5D97" w14:textId="09FF73A7" w:rsidR="003E3117" w:rsidRDefault="003E3117" w:rsidP="003F7412">
      <w:pPr>
        <w:jc w:val="center"/>
        <w:rPr>
          <w:rFonts w:ascii="Candara" w:hAnsi="Candara"/>
          <w:color w:val="FFC000"/>
          <w:sz w:val="48"/>
          <w:szCs w:val="48"/>
        </w:rPr>
      </w:pPr>
    </w:p>
    <w:p w14:paraId="280482A5" w14:textId="5014B787" w:rsidR="003E3117" w:rsidRDefault="003E3117" w:rsidP="003F7412">
      <w:pPr>
        <w:jc w:val="center"/>
        <w:rPr>
          <w:rFonts w:ascii="Candara" w:hAnsi="Candara"/>
          <w:color w:val="FFC000"/>
          <w:sz w:val="48"/>
          <w:szCs w:val="48"/>
        </w:rPr>
      </w:pPr>
    </w:p>
    <w:p w14:paraId="45D189BD" w14:textId="129DED62" w:rsidR="003E3117" w:rsidRDefault="003E3117" w:rsidP="003F7412">
      <w:pPr>
        <w:jc w:val="center"/>
        <w:rPr>
          <w:rFonts w:ascii="Candara" w:hAnsi="Candara"/>
          <w:color w:val="FFC000"/>
          <w:sz w:val="48"/>
          <w:szCs w:val="48"/>
        </w:rPr>
      </w:pPr>
    </w:p>
    <w:p w14:paraId="4FA87449" w14:textId="0C81EA64" w:rsidR="003E3117" w:rsidRDefault="003E3117" w:rsidP="003F7412">
      <w:pPr>
        <w:jc w:val="center"/>
        <w:rPr>
          <w:rFonts w:ascii="Candara" w:hAnsi="Candara"/>
          <w:color w:val="FFC000"/>
          <w:sz w:val="48"/>
          <w:szCs w:val="48"/>
        </w:rPr>
      </w:pPr>
    </w:p>
    <w:p w14:paraId="6F09B7F2" w14:textId="62E2B2E7" w:rsidR="003E3117" w:rsidRDefault="003E3117" w:rsidP="003F7412">
      <w:pPr>
        <w:jc w:val="center"/>
        <w:rPr>
          <w:rFonts w:ascii="Candara" w:hAnsi="Candara"/>
          <w:color w:val="FFC000"/>
          <w:sz w:val="48"/>
          <w:szCs w:val="48"/>
        </w:rPr>
      </w:pPr>
    </w:p>
    <w:p w14:paraId="71CE3784" w14:textId="639FB8FF" w:rsidR="003F7412" w:rsidRDefault="003F7412" w:rsidP="003E3117">
      <w:pPr>
        <w:rPr>
          <w:rFonts w:ascii="Candara" w:hAnsi="Candara"/>
          <w:color w:val="FFC000"/>
          <w:sz w:val="48"/>
          <w:szCs w:val="48"/>
        </w:rPr>
      </w:pPr>
    </w:p>
    <w:p w14:paraId="01890268" w14:textId="002DF540" w:rsidR="003E3117" w:rsidRDefault="003E3117" w:rsidP="003E3117">
      <w:pPr>
        <w:rPr>
          <w:rFonts w:ascii="Candara" w:hAnsi="Candara"/>
          <w:color w:val="FFC000"/>
          <w:sz w:val="48"/>
          <w:szCs w:val="48"/>
        </w:rPr>
      </w:pPr>
    </w:p>
    <w:p w14:paraId="7E2644D4" w14:textId="77777777" w:rsidR="003E3117" w:rsidRDefault="003E3117" w:rsidP="003F7412">
      <w:pPr>
        <w:jc w:val="center"/>
        <w:rPr>
          <w:rFonts w:ascii="Candara" w:hAnsi="Candara"/>
          <w:color w:val="FFC000"/>
          <w:sz w:val="48"/>
          <w:szCs w:val="48"/>
        </w:rPr>
      </w:pPr>
    </w:p>
    <w:p w14:paraId="74EDB5C2" w14:textId="77777777" w:rsidR="003F7412" w:rsidRDefault="003F7412" w:rsidP="00814CF8">
      <w:pPr>
        <w:rPr>
          <w:rFonts w:ascii="Candara" w:hAnsi="Candara"/>
          <w:color w:val="FFC000"/>
          <w:sz w:val="48"/>
          <w:szCs w:val="48"/>
        </w:rPr>
      </w:pPr>
    </w:p>
    <w:p w14:paraId="6702E9F5" w14:textId="3988D82A" w:rsidR="003F7412" w:rsidRPr="00814CF8" w:rsidRDefault="003F7412" w:rsidP="00814CF8">
      <w:pPr>
        <w:jc w:val="center"/>
        <w:rPr>
          <w:rFonts w:ascii="Candara" w:hAnsi="Candara"/>
          <w:color w:val="4472C4"/>
          <w:sz w:val="48"/>
          <w:szCs w:val="48"/>
        </w:rPr>
      </w:pPr>
      <w:r w:rsidRPr="00814CF8">
        <w:rPr>
          <w:rFonts w:ascii="Candara" w:hAnsi="Candara"/>
          <w:color w:val="4472C4"/>
          <w:sz w:val="48"/>
          <w:szCs w:val="48"/>
        </w:rPr>
        <w:t>Analiza ekonomskih benefita ozelenjavanja javne uprave Crne Gor</w:t>
      </w:r>
      <w:r w:rsidR="00814CF8" w:rsidRPr="00814CF8">
        <w:rPr>
          <w:rFonts w:ascii="Candara" w:hAnsi="Candara"/>
          <w:color w:val="4472C4"/>
          <w:sz w:val="48"/>
          <w:szCs w:val="48"/>
        </w:rPr>
        <w:t>e</w:t>
      </w:r>
    </w:p>
    <w:p w14:paraId="51D98FD5" w14:textId="226FD0A6" w:rsidR="00814CF8" w:rsidRDefault="00814CF8" w:rsidP="00814CF8">
      <w:pPr>
        <w:jc w:val="center"/>
        <w:rPr>
          <w:rFonts w:ascii="Candara" w:hAnsi="Candara"/>
          <w:color w:val="4472C4"/>
          <w:sz w:val="72"/>
          <w:szCs w:val="72"/>
        </w:rPr>
      </w:pPr>
    </w:p>
    <w:p w14:paraId="36A423DB" w14:textId="10FBC260" w:rsidR="00814CF8" w:rsidRDefault="00814CF8" w:rsidP="00814CF8">
      <w:pPr>
        <w:jc w:val="center"/>
        <w:rPr>
          <w:rFonts w:ascii="Candara" w:hAnsi="Candara"/>
          <w:color w:val="4472C4"/>
          <w:sz w:val="72"/>
          <w:szCs w:val="72"/>
        </w:rPr>
      </w:pPr>
    </w:p>
    <w:p w14:paraId="255C9CB7" w14:textId="77777777" w:rsidR="00814CF8" w:rsidRPr="00814CF8" w:rsidRDefault="00814CF8" w:rsidP="00814CF8">
      <w:pPr>
        <w:jc w:val="center"/>
        <w:rPr>
          <w:rFonts w:ascii="Candara" w:hAnsi="Candara"/>
          <w:color w:val="4472C4"/>
          <w:sz w:val="72"/>
          <w:szCs w:val="72"/>
        </w:rPr>
      </w:pPr>
    </w:p>
    <w:p w14:paraId="75D65011" w14:textId="77777777" w:rsidR="003F7412" w:rsidRDefault="003F7412" w:rsidP="003F7412">
      <w:pPr>
        <w:jc w:val="center"/>
        <w:rPr>
          <w:rFonts w:ascii="Candara" w:hAnsi="Candara"/>
          <w:color w:val="FFC000"/>
          <w:sz w:val="48"/>
          <w:szCs w:val="48"/>
        </w:rPr>
      </w:pPr>
    </w:p>
    <w:p w14:paraId="679D76CD" w14:textId="3350A8D4" w:rsidR="00814CF8" w:rsidRDefault="00814CF8" w:rsidP="00814CF8">
      <w:pPr>
        <w:jc w:val="center"/>
        <w:rPr>
          <w:rFonts w:ascii="Cambria" w:eastAsiaTheme="minorHAnsi" w:hAnsi="Cambria"/>
          <w:b/>
          <w:color w:val="5B9BD5" w:themeColor="accent1"/>
        </w:rPr>
      </w:pPr>
      <w:r>
        <w:rPr>
          <w:rFonts w:ascii="Cambria" w:hAnsi="Cambria" w:cs="Arial"/>
          <w:color w:val="222222"/>
          <w:shd w:val="clear" w:color="auto" w:fill="FFFFFF"/>
        </w:rPr>
        <w:t>The policy package was developed with the support of the United Nations Development Account Project “Evidence-based environmental governance and sustainable environmental policies in support of the 2030 Agenda in South-East Europe” 01/2018-12/2021</w:t>
      </w:r>
    </w:p>
    <w:p w14:paraId="34200EF7" w14:textId="77777777" w:rsidR="00814CF8" w:rsidRPr="005A4D18" w:rsidRDefault="00814CF8" w:rsidP="00814CF8">
      <w:pPr>
        <w:jc w:val="center"/>
        <w:rPr>
          <w:rFonts w:ascii="Cambria" w:eastAsiaTheme="minorHAnsi" w:hAnsi="Cambria"/>
          <w:b/>
          <w:color w:val="5B9BD5" w:themeColor="accent1"/>
        </w:rPr>
      </w:pPr>
    </w:p>
    <w:p w14:paraId="1EE392B5" w14:textId="52006133" w:rsidR="00814CF8" w:rsidRPr="005A4D18" w:rsidRDefault="00814CF8" w:rsidP="00814CF8">
      <w:pPr>
        <w:jc w:val="center"/>
        <w:rPr>
          <w:b/>
        </w:rPr>
      </w:pPr>
      <w:r w:rsidRPr="005A4D18">
        <w:rPr>
          <w:rFonts w:ascii="Cambria" w:hAnsi="Cambria"/>
          <w:b/>
        </w:rPr>
        <w:t>Autor:</w:t>
      </w:r>
    </w:p>
    <w:p w14:paraId="1442A781" w14:textId="5A167E08" w:rsidR="00814CF8" w:rsidRPr="005A4D18" w:rsidRDefault="00B93055" w:rsidP="00814CF8">
      <w:pPr>
        <w:jc w:val="center"/>
        <w:rPr>
          <w:rFonts w:ascii="Cambria" w:hAnsi="Cambria"/>
          <w:b/>
        </w:rPr>
      </w:pPr>
      <w:r w:rsidRPr="005A4D18">
        <w:rPr>
          <w:rFonts w:ascii="Cambria" w:hAnsi="Cambria"/>
          <w:b/>
        </w:rPr>
        <w:t>Danilo Barja</w:t>
      </w:r>
      <w:r w:rsidR="00814CF8" w:rsidRPr="005A4D18">
        <w:rPr>
          <w:rFonts w:ascii="Cambria" w:hAnsi="Cambria"/>
          <w:b/>
        </w:rPr>
        <w:t>k</w:t>
      </w:r>
      <w:r w:rsidRPr="005A4D18">
        <w:rPr>
          <w:rFonts w:ascii="Cambria" w:hAnsi="Cambria"/>
          <w:b/>
        </w:rPr>
        <w:t>t</w:t>
      </w:r>
      <w:r w:rsidR="00814CF8" w:rsidRPr="005A4D18">
        <w:rPr>
          <w:rFonts w:ascii="Cambria" w:hAnsi="Cambria"/>
          <w:b/>
        </w:rPr>
        <w:t>arović, diplomirani ekonomista</w:t>
      </w:r>
    </w:p>
    <w:p w14:paraId="5C20BA3B" w14:textId="77777777" w:rsidR="00814CF8" w:rsidRPr="005A4D18" w:rsidRDefault="00814CF8" w:rsidP="00814CF8">
      <w:pPr>
        <w:rPr>
          <w:rFonts w:ascii="Cambria" w:hAnsi="Cambria"/>
          <w:b/>
        </w:rPr>
      </w:pPr>
    </w:p>
    <w:p w14:paraId="6E955660" w14:textId="77777777" w:rsidR="00814CF8" w:rsidRPr="005A4D18" w:rsidRDefault="00814CF8" w:rsidP="00814CF8">
      <w:pPr>
        <w:rPr>
          <w:rFonts w:ascii="Cambria" w:hAnsi="Cambria"/>
          <w:b/>
        </w:rPr>
      </w:pPr>
    </w:p>
    <w:p w14:paraId="721FA51F" w14:textId="4CEAEDCD" w:rsidR="00814CF8" w:rsidRPr="005A4D18" w:rsidRDefault="00814CF8" w:rsidP="00814CF8">
      <w:pPr>
        <w:rPr>
          <w:rFonts w:ascii="Cambria" w:hAnsi="Cambria"/>
          <w:b/>
        </w:rPr>
      </w:pPr>
    </w:p>
    <w:p w14:paraId="6BB1A3AB" w14:textId="18E0BAEE" w:rsidR="00814CF8" w:rsidRPr="005A4D18" w:rsidRDefault="00814CF8" w:rsidP="00814CF8">
      <w:pPr>
        <w:rPr>
          <w:rFonts w:ascii="Cambria" w:hAnsi="Cambria"/>
          <w:b/>
          <w:lang w:val="sr-Latn-ME"/>
        </w:rPr>
      </w:pPr>
    </w:p>
    <w:p w14:paraId="006FEDD8" w14:textId="61041F7B" w:rsidR="00814CF8" w:rsidRPr="005A4D18" w:rsidRDefault="00814CF8" w:rsidP="00814CF8">
      <w:pPr>
        <w:rPr>
          <w:rFonts w:ascii="Cambria" w:hAnsi="Cambria"/>
          <w:b/>
        </w:rPr>
      </w:pPr>
    </w:p>
    <w:p w14:paraId="76388B5F" w14:textId="7247B112" w:rsidR="00814CF8" w:rsidRPr="005A4D18" w:rsidRDefault="00814CF8" w:rsidP="00814CF8">
      <w:pPr>
        <w:rPr>
          <w:rFonts w:ascii="Cambria" w:hAnsi="Cambria"/>
          <w:b/>
        </w:rPr>
      </w:pPr>
    </w:p>
    <w:p w14:paraId="4360FF97" w14:textId="77777777" w:rsidR="00814CF8" w:rsidRPr="005A4D18" w:rsidRDefault="00814CF8" w:rsidP="00814CF8">
      <w:pPr>
        <w:rPr>
          <w:rFonts w:ascii="Cambria" w:hAnsi="Cambria"/>
          <w:b/>
        </w:rPr>
      </w:pPr>
    </w:p>
    <w:p w14:paraId="430E8707" w14:textId="77777777" w:rsidR="00814CF8" w:rsidRPr="005A4D18" w:rsidRDefault="00814CF8" w:rsidP="00814CF8">
      <w:pPr>
        <w:jc w:val="center"/>
        <w:rPr>
          <w:rFonts w:ascii="Cambria" w:hAnsi="Cambria"/>
          <w:b/>
        </w:rPr>
      </w:pPr>
    </w:p>
    <w:p w14:paraId="30D5E73B" w14:textId="69C10885" w:rsidR="003F7412" w:rsidRPr="005A4D18" w:rsidRDefault="00B93055" w:rsidP="00814CF8">
      <w:pPr>
        <w:jc w:val="center"/>
        <w:rPr>
          <w:rFonts w:ascii="Cambria" w:hAnsi="Cambria"/>
          <w:b/>
          <w:color w:val="5B9BD5" w:themeColor="accent1"/>
        </w:rPr>
      </w:pPr>
      <w:r w:rsidRPr="005A4D18">
        <w:rPr>
          <w:rFonts w:ascii="Cambria" w:hAnsi="Cambria"/>
          <w:b/>
        </w:rPr>
        <w:t xml:space="preserve">Podgorica, </w:t>
      </w:r>
      <w:r w:rsidR="00B2111E" w:rsidRPr="005A4D18">
        <w:rPr>
          <w:rFonts w:ascii="Cambria" w:hAnsi="Cambria"/>
          <w:b/>
        </w:rPr>
        <w:t>septembar 2</w:t>
      </w:r>
      <w:r w:rsidRPr="005A4D18">
        <w:rPr>
          <w:rFonts w:ascii="Cambria" w:hAnsi="Cambria"/>
          <w:b/>
        </w:rPr>
        <w:t>021. g</w:t>
      </w:r>
      <w:r w:rsidR="00814CF8" w:rsidRPr="005A4D18">
        <w:rPr>
          <w:rFonts w:ascii="Cambria" w:hAnsi="Cambria"/>
          <w:b/>
        </w:rPr>
        <w:t>odine</w:t>
      </w:r>
    </w:p>
    <w:p w14:paraId="082673CD" w14:textId="77777777" w:rsidR="00814CF8" w:rsidRPr="00814CF8" w:rsidRDefault="00814CF8" w:rsidP="00814CF8">
      <w:pPr>
        <w:jc w:val="center"/>
        <w:rPr>
          <w:rFonts w:ascii="Cambria" w:hAnsi="Cambria"/>
          <w:b/>
          <w:color w:val="5B9BD5" w:themeColor="accent1"/>
          <w:sz w:val="24"/>
          <w:szCs w:val="24"/>
        </w:rPr>
      </w:pPr>
    </w:p>
    <w:p w14:paraId="64AD04A3" w14:textId="654663FD" w:rsidR="003E3117" w:rsidRDefault="003F7412">
      <w:pPr>
        <w:pStyle w:val="TOC1"/>
        <w:tabs>
          <w:tab w:val="right" w:leader="dot" w:pos="9016"/>
        </w:tabs>
        <w:rPr>
          <w:rFonts w:asciiTheme="minorHAnsi" w:eastAsiaTheme="minorEastAsia" w:hAnsiTheme="minorHAnsi" w:cstheme="minorBidi"/>
          <w:noProof/>
          <w:lang w:eastAsia="en-GB"/>
        </w:rPr>
      </w:pPr>
      <w:r>
        <w:rPr>
          <w:rFonts w:ascii="Calibri Light" w:eastAsia="Times New Roman" w:hAnsi="Calibri Light"/>
          <w:color w:val="2F5496"/>
          <w:sz w:val="32"/>
          <w:szCs w:val="32"/>
          <w:lang w:val="en-US"/>
        </w:rPr>
        <w:lastRenderedPageBreak/>
        <w:fldChar w:fldCharType="begin"/>
      </w:r>
      <w:r>
        <w:instrText xml:space="preserve"> TOC \o "1-3" \h </w:instrText>
      </w:r>
      <w:r>
        <w:rPr>
          <w:rFonts w:ascii="Calibri Light" w:eastAsia="Times New Roman" w:hAnsi="Calibri Light"/>
          <w:color w:val="2F5496"/>
          <w:sz w:val="32"/>
          <w:szCs w:val="32"/>
          <w:lang w:val="en-US"/>
        </w:rPr>
        <w:fldChar w:fldCharType="separate"/>
      </w:r>
      <w:hyperlink w:anchor="_Toc82271937" w:history="1">
        <w:r w:rsidR="003E3117" w:rsidRPr="0088552D">
          <w:rPr>
            <w:rStyle w:val="Hyperlink"/>
            <w:b/>
            <w:noProof/>
          </w:rPr>
          <w:t>Uvod</w:t>
        </w:r>
        <w:r w:rsidR="003E3117">
          <w:rPr>
            <w:noProof/>
          </w:rPr>
          <w:tab/>
        </w:r>
        <w:r w:rsidR="003E3117">
          <w:rPr>
            <w:noProof/>
          </w:rPr>
          <w:fldChar w:fldCharType="begin"/>
        </w:r>
        <w:r w:rsidR="003E3117">
          <w:rPr>
            <w:noProof/>
          </w:rPr>
          <w:instrText xml:space="preserve"> PAGEREF _Toc82271937 \h </w:instrText>
        </w:r>
        <w:r w:rsidR="003E3117">
          <w:rPr>
            <w:noProof/>
          </w:rPr>
        </w:r>
        <w:r w:rsidR="003E3117">
          <w:rPr>
            <w:noProof/>
          </w:rPr>
          <w:fldChar w:fldCharType="separate"/>
        </w:r>
        <w:r w:rsidR="003E3117">
          <w:rPr>
            <w:noProof/>
          </w:rPr>
          <w:t>5</w:t>
        </w:r>
        <w:r w:rsidR="003E3117">
          <w:rPr>
            <w:noProof/>
          </w:rPr>
          <w:fldChar w:fldCharType="end"/>
        </w:r>
      </w:hyperlink>
    </w:p>
    <w:p w14:paraId="5C97E0E4" w14:textId="2D25B5AB" w:rsidR="003E3117" w:rsidRDefault="003F3794">
      <w:pPr>
        <w:pStyle w:val="TOC1"/>
        <w:tabs>
          <w:tab w:val="left" w:pos="440"/>
          <w:tab w:val="right" w:leader="dot" w:pos="9016"/>
        </w:tabs>
        <w:rPr>
          <w:rFonts w:asciiTheme="minorHAnsi" w:eastAsiaTheme="minorEastAsia" w:hAnsiTheme="minorHAnsi" w:cstheme="minorBidi"/>
          <w:noProof/>
          <w:lang w:eastAsia="en-GB"/>
        </w:rPr>
      </w:pPr>
      <w:hyperlink w:anchor="_Toc82271938" w:history="1">
        <w:r w:rsidR="003E3117" w:rsidRPr="0088552D">
          <w:rPr>
            <w:rStyle w:val="Hyperlink"/>
            <w:noProof/>
          </w:rPr>
          <w:t>1.</w:t>
        </w:r>
        <w:r w:rsidR="003E3117">
          <w:rPr>
            <w:rFonts w:asciiTheme="minorHAnsi" w:eastAsiaTheme="minorEastAsia" w:hAnsiTheme="minorHAnsi" w:cstheme="minorBidi"/>
            <w:noProof/>
            <w:lang w:eastAsia="en-GB"/>
          </w:rPr>
          <w:tab/>
        </w:r>
        <w:r w:rsidR="003E3117" w:rsidRPr="0088552D">
          <w:rPr>
            <w:rStyle w:val="Hyperlink"/>
            <w:noProof/>
          </w:rPr>
          <w:t>ZELENE JAVNE NABAVKE</w:t>
        </w:r>
        <w:r w:rsidR="003E3117">
          <w:rPr>
            <w:noProof/>
          </w:rPr>
          <w:tab/>
        </w:r>
        <w:r w:rsidR="003E3117">
          <w:rPr>
            <w:noProof/>
          </w:rPr>
          <w:fldChar w:fldCharType="begin"/>
        </w:r>
        <w:r w:rsidR="003E3117">
          <w:rPr>
            <w:noProof/>
          </w:rPr>
          <w:instrText xml:space="preserve"> PAGEREF _Toc82271938 \h </w:instrText>
        </w:r>
        <w:r w:rsidR="003E3117">
          <w:rPr>
            <w:noProof/>
          </w:rPr>
        </w:r>
        <w:r w:rsidR="003E3117">
          <w:rPr>
            <w:noProof/>
          </w:rPr>
          <w:fldChar w:fldCharType="separate"/>
        </w:r>
        <w:r w:rsidR="003E3117">
          <w:rPr>
            <w:noProof/>
          </w:rPr>
          <w:t>7</w:t>
        </w:r>
        <w:r w:rsidR="003E3117">
          <w:rPr>
            <w:noProof/>
          </w:rPr>
          <w:fldChar w:fldCharType="end"/>
        </w:r>
      </w:hyperlink>
    </w:p>
    <w:p w14:paraId="499B7873" w14:textId="6F7D0914"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39" w:history="1">
        <w:r w:rsidR="003E3117" w:rsidRPr="0088552D">
          <w:rPr>
            <w:rStyle w:val="Hyperlink"/>
            <w:rFonts w:cs="Calibri"/>
            <w:noProof/>
          </w:rPr>
          <w:t>1.1.</w:t>
        </w:r>
        <w:r w:rsidR="003E3117">
          <w:rPr>
            <w:rFonts w:asciiTheme="minorHAnsi" w:eastAsiaTheme="minorEastAsia" w:hAnsiTheme="minorHAnsi" w:cstheme="minorBidi"/>
            <w:noProof/>
            <w:lang w:eastAsia="en-GB"/>
          </w:rPr>
          <w:tab/>
        </w:r>
        <w:r w:rsidR="003E3117" w:rsidRPr="0088552D">
          <w:rPr>
            <w:rStyle w:val="Hyperlink"/>
            <w:rFonts w:cs="Calibri"/>
            <w:noProof/>
          </w:rPr>
          <w:t>Ekonomske i ekološke koristi zelenih javnih nabavki u EU</w:t>
        </w:r>
        <w:r w:rsidR="003E3117">
          <w:rPr>
            <w:noProof/>
          </w:rPr>
          <w:tab/>
        </w:r>
        <w:r w:rsidR="003E3117">
          <w:rPr>
            <w:noProof/>
          </w:rPr>
          <w:fldChar w:fldCharType="begin"/>
        </w:r>
        <w:r w:rsidR="003E3117">
          <w:rPr>
            <w:noProof/>
          </w:rPr>
          <w:instrText xml:space="preserve"> PAGEREF _Toc82271939 \h </w:instrText>
        </w:r>
        <w:r w:rsidR="003E3117">
          <w:rPr>
            <w:noProof/>
          </w:rPr>
        </w:r>
        <w:r w:rsidR="003E3117">
          <w:rPr>
            <w:noProof/>
          </w:rPr>
          <w:fldChar w:fldCharType="separate"/>
        </w:r>
        <w:r w:rsidR="003E3117">
          <w:rPr>
            <w:noProof/>
          </w:rPr>
          <w:t>9</w:t>
        </w:r>
        <w:r w:rsidR="003E3117">
          <w:rPr>
            <w:noProof/>
          </w:rPr>
          <w:fldChar w:fldCharType="end"/>
        </w:r>
      </w:hyperlink>
    </w:p>
    <w:p w14:paraId="6C68A3A6" w14:textId="5C7A3266" w:rsidR="003E3117" w:rsidRDefault="003F3794">
      <w:pPr>
        <w:pStyle w:val="TOC3"/>
        <w:tabs>
          <w:tab w:val="left" w:pos="1320"/>
          <w:tab w:val="right" w:leader="dot" w:pos="9016"/>
        </w:tabs>
        <w:rPr>
          <w:rFonts w:asciiTheme="minorHAnsi" w:eastAsiaTheme="minorEastAsia" w:hAnsiTheme="minorHAnsi" w:cstheme="minorBidi"/>
          <w:noProof/>
          <w:lang w:eastAsia="en-GB"/>
        </w:rPr>
      </w:pPr>
      <w:hyperlink w:anchor="_Toc82271940" w:history="1">
        <w:r w:rsidR="003E3117" w:rsidRPr="0088552D">
          <w:rPr>
            <w:rStyle w:val="Hyperlink"/>
            <w:noProof/>
          </w:rPr>
          <w:t>1.1.1.</w:t>
        </w:r>
        <w:r w:rsidR="003E3117">
          <w:rPr>
            <w:rFonts w:asciiTheme="minorHAnsi" w:eastAsiaTheme="minorEastAsia" w:hAnsiTheme="minorHAnsi" w:cstheme="minorBidi"/>
            <w:noProof/>
            <w:lang w:eastAsia="en-GB"/>
          </w:rPr>
          <w:tab/>
        </w:r>
        <w:r w:rsidR="003E3117" w:rsidRPr="0088552D">
          <w:rPr>
            <w:rStyle w:val="Hyperlink"/>
            <w:noProof/>
          </w:rPr>
          <w:t>Ekonomske koristi</w:t>
        </w:r>
        <w:r w:rsidR="003E3117">
          <w:rPr>
            <w:noProof/>
          </w:rPr>
          <w:tab/>
        </w:r>
        <w:r w:rsidR="003E3117">
          <w:rPr>
            <w:noProof/>
          </w:rPr>
          <w:fldChar w:fldCharType="begin"/>
        </w:r>
        <w:r w:rsidR="003E3117">
          <w:rPr>
            <w:noProof/>
          </w:rPr>
          <w:instrText xml:space="preserve"> PAGEREF _Toc82271940 \h </w:instrText>
        </w:r>
        <w:r w:rsidR="003E3117">
          <w:rPr>
            <w:noProof/>
          </w:rPr>
        </w:r>
        <w:r w:rsidR="003E3117">
          <w:rPr>
            <w:noProof/>
          </w:rPr>
          <w:fldChar w:fldCharType="separate"/>
        </w:r>
        <w:r w:rsidR="003E3117">
          <w:rPr>
            <w:noProof/>
          </w:rPr>
          <w:t>10</w:t>
        </w:r>
        <w:r w:rsidR="003E3117">
          <w:rPr>
            <w:noProof/>
          </w:rPr>
          <w:fldChar w:fldCharType="end"/>
        </w:r>
      </w:hyperlink>
    </w:p>
    <w:p w14:paraId="055B0946" w14:textId="16CBDB2F" w:rsidR="003E3117" w:rsidRDefault="003F3794">
      <w:pPr>
        <w:pStyle w:val="TOC3"/>
        <w:tabs>
          <w:tab w:val="left" w:pos="1320"/>
          <w:tab w:val="right" w:leader="dot" w:pos="9016"/>
        </w:tabs>
        <w:rPr>
          <w:rFonts w:asciiTheme="minorHAnsi" w:eastAsiaTheme="minorEastAsia" w:hAnsiTheme="minorHAnsi" w:cstheme="minorBidi"/>
          <w:noProof/>
          <w:lang w:eastAsia="en-GB"/>
        </w:rPr>
      </w:pPr>
      <w:hyperlink w:anchor="_Toc82271941" w:history="1">
        <w:r w:rsidR="003E3117" w:rsidRPr="0088552D">
          <w:rPr>
            <w:rStyle w:val="Hyperlink"/>
            <w:noProof/>
          </w:rPr>
          <w:t>1.1.2.</w:t>
        </w:r>
        <w:r w:rsidR="003E3117">
          <w:rPr>
            <w:rFonts w:asciiTheme="minorHAnsi" w:eastAsiaTheme="minorEastAsia" w:hAnsiTheme="minorHAnsi" w:cstheme="minorBidi"/>
            <w:noProof/>
            <w:lang w:eastAsia="en-GB"/>
          </w:rPr>
          <w:tab/>
        </w:r>
        <w:r w:rsidR="003E3117" w:rsidRPr="0088552D">
          <w:rPr>
            <w:rStyle w:val="Hyperlink"/>
            <w:noProof/>
          </w:rPr>
          <w:t>Koristi za životnu sredinu</w:t>
        </w:r>
        <w:r w:rsidR="003E3117">
          <w:rPr>
            <w:noProof/>
          </w:rPr>
          <w:tab/>
        </w:r>
        <w:r w:rsidR="003E3117">
          <w:rPr>
            <w:noProof/>
          </w:rPr>
          <w:fldChar w:fldCharType="begin"/>
        </w:r>
        <w:r w:rsidR="003E3117">
          <w:rPr>
            <w:noProof/>
          </w:rPr>
          <w:instrText xml:space="preserve"> PAGEREF _Toc82271941 \h </w:instrText>
        </w:r>
        <w:r w:rsidR="003E3117">
          <w:rPr>
            <w:noProof/>
          </w:rPr>
        </w:r>
        <w:r w:rsidR="003E3117">
          <w:rPr>
            <w:noProof/>
          </w:rPr>
          <w:fldChar w:fldCharType="separate"/>
        </w:r>
        <w:r w:rsidR="003E3117">
          <w:rPr>
            <w:noProof/>
          </w:rPr>
          <w:t>13</w:t>
        </w:r>
        <w:r w:rsidR="003E3117">
          <w:rPr>
            <w:noProof/>
          </w:rPr>
          <w:fldChar w:fldCharType="end"/>
        </w:r>
      </w:hyperlink>
    </w:p>
    <w:p w14:paraId="107F808C" w14:textId="544FA697"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42" w:history="1">
        <w:r w:rsidR="003E3117" w:rsidRPr="0088552D">
          <w:rPr>
            <w:rStyle w:val="Hyperlink"/>
            <w:noProof/>
          </w:rPr>
          <w:t>1.2.</w:t>
        </w:r>
        <w:r w:rsidR="003E3117">
          <w:rPr>
            <w:rFonts w:asciiTheme="minorHAnsi" w:eastAsiaTheme="minorEastAsia" w:hAnsiTheme="minorHAnsi" w:cstheme="minorBidi"/>
            <w:noProof/>
            <w:lang w:eastAsia="en-GB"/>
          </w:rPr>
          <w:tab/>
        </w:r>
        <w:r w:rsidR="003E3117" w:rsidRPr="0088552D">
          <w:rPr>
            <w:rStyle w:val="Hyperlink"/>
            <w:noProof/>
          </w:rPr>
          <w:t>Kriterijumi zelenih javnih nabavki</w:t>
        </w:r>
        <w:r w:rsidR="003E3117">
          <w:rPr>
            <w:noProof/>
          </w:rPr>
          <w:tab/>
        </w:r>
        <w:r w:rsidR="003E3117">
          <w:rPr>
            <w:noProof/>
          </w:rPr>
          <w:fldChar w:fldCharType="begin"/>
        </w:r>
        <w:r w:rsidR="003E3117">
          <w:rPr>
            <w:noProof/>
          </w:rPr>
          <w:instrText xml:space="preserve"> PAGEREF _Toc82271942 \h </w:instrText>
        </w:r>
        <w:r w:rsidR="003E3117">
          <w:rPr>
            <w:noProof/>
          </w:rPr>
        </w:r>
        <w:r w:rsidR="003E3117">
          <w:rPr>
            <w:noProof/>
          </w:rPr>
          <w:fldChar w:fldCharType="separate"/>
        </w:r>
        <w:r w:rsidR="003E3117">
          <w:rPr>
            <w:noProof/>
          </w:rPr>
          <w:t>16</w:t>
        </w:r>
        <w:r w:rsidR="003E3117">
          <w:rPr>
            <w:noProof/>
          </w:rPr>
          <w:fldChar w:fldCharType="end"/>
        </w:r>
      </w:hyperlink>
    </w:p>
    <w:p w14:paraId="06734498" w14:textId="3C9CDAB4"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43" w:history="1">
        <w:r w:rsidR="003E3117" w:rsidRPr="0088552D">
          <w:rPr>
            <w:rStyle w:val="Hyperlink"/>
            <w:noProof/>
          </w:rPr>
          <w:t>1.3.</w:t>
        </w:r>
        <w:r w:rsidR="003E3117">
          <w:rPr>
            <w:rFonts w:asciiTheme="minorHAnsi" w:eastAsiaTheme="minorEastAsia" w:hAnsiTheme="minorHAnsi" w:cstheme="minorBidi"/>
            <w:noProof/>
            <w:lang w:eastAsia="en-GB"/>
          </w:rPr>
          <w:tab/>
        </w:r>
        <w:r w:rsidR="003E3117" w:rsidRPr="0088552D">
          <w:rPr>
            <w:rStyle w:val="Hyperlink"/>
            <w:noProof/>
          </w:rPr>
          <w:t>Izgradnja modela uticaja na osnovu pretpostavke</w:t>
        </w:r>
        <w:r w:rsidR="003E3117">
          <w:rPr>
            <w:noProof/>
          </w:rPr>
          <w:tab/>
        </w:r>
        <w:r w:rsidR="003E3117">
          <w:rPr>
            <w:noProof/>
          </w:rPr>
          <w:fldChar w:fldCharType="begin"/>
        </w:r>
        <w:r w:rsidR="003E3117">
          <w:rPr>
            <w:noProof/>
          </w:rPr>
          <w:instrText xml:space="preserve"> PAGEREF _Toc82271943 \h </w:instrText>
        </w:r>
        <w:r w:rsidR="003E3117">
          <w:rPr>
            <w:noProof/>
          </w:rPr>
        </w:r>
        <w:r w:rsidR="003E3117">
          <w:rPr>
            <w:noProof/>
          </w:rPr>
          <w:fldChar w:fldCharType="separate"/>
        </w:r>
        <w:r w:rsidR="003E3117">
          <w:rPr>
            <w:noProof/>
          </w:rPr>
          <w:t>17</w:t>
        </w:r>
        <w:r w:rsidR="003E3117">
          <w:rPr>
            <w:noProof/>
          </w:rPr>
          <w:fldChar w:fldCharType="end"/>
        </w:r>
      </w:hyperlink>
    </w:p>
    <w:p w14:paraId="0F1B2482" w14:textId="5668D805"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44" w:history="1">
        <w:r w:rsidR="003E3117" w:rsidRPr="0088552D">
          <w:rPr>
            <w:rStyle w:val="Hyperlink"/>
            <w:noProof/>
          </w:rPr>
          <w:t>1.4.</w:t>
        </w:r>
        <w:r w:rsidR="003E3117">
          <w:rPr>
            <w:rFonts w:asciiTheme="minorHAnsi" w:eastAsiaTheme="minorEastAsia" w:hAnsiTheme="minorHAnsi" w:cstheme="minorBidi"/>
            <w:noProof/>
            <w:lang w:eastAsia="en-GB"/>
          </w:rPr>
          <w:tab/>
        </w:r>
        <w:r w:rsidR="003E3117" w:rsidRPr="0088552D">
          <w:rPr>
            <w:rStyle w:val="Hyperlink"/>
            <w:noProof/>
          </w:rPr>
          <w:t>Problem dostupnosti podataka</w:t>
        </w:r>
        <w:r w:rsidR="003E3117">
          <w:rPr>
            <w:noProof/>
          </w:rPr>
          <w:tab/>
        </w:r>
        <w:r w:rsidR="003E3117">
          <w:rPr>
            <w:noProof/>
          </w:rPr>
          <w:fldChar w:fldCharType="begin"/>
        </w:r>
        <w:r w:rsidR="003E3117">
          <w:rPr>
            <w:noProof/>
          </w:rPr>
          <w:instrText xml:space="preserve"> PAGEREF _Toc82271944 \h </w:instrText>
        </w:r>
        <w:r w:rsidR="003E3117">
          <w:rPr>
            <w:noProof/>
          </w:rPr>
        </w:r>
        <w:r w:rsidR="003E3117">
          <w:rPr>
            <w:noProof/>
          </w:rPr>
          <w:fldChar w:fldCharType="separate"/>
        </w:r>
        <w:r w:rsidR="003E3117">
          <w:rPr>
            <w:noProof/>
          </w:rPr>
          <w:t>22</w:t>
        </w:r>
        <w:r w:rsidR="003E3117">
          <w:rPr>
            <w:noProof/>
          </w:rPr>
          <w:fldChar w:fldCharType="end"/>
        </w:r>
      </w:hyperlink>
    </w:p>
    <w:p w14:paraId="1F5445ED" w14:textId="274DEB67"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45" w:history="1">
        <w:r w:rsidR="003E3117" w:rsidRPr="0088552D">
          <w:rPr>
            <w:rStyle w:val="Hyperlink"/>
            <w:noProof/>
          </w:rPr>
          <w:t>1.5.</w:t>
        </w:r>
        <w:r w:rsidR="003E3117">
          <w:rPr>
            <w:rFonts w:asciiTheme="minorHAnsi" w:eastAsiaTheme="minorEastAsia" w:hAnsiTheme="minorHAnsi" w:cstheme="minorBidi"/>
            <w:noProof/>
            <w:lang w:eastAsia="en-GB"/>
          </w:rPr>
          <w:tab/>
        </w:r>
        <w:r w:rsidR="003E3117" w:rsidRPr="0088552D">
          <w:rPr>
            <w:rStyle w:val="Hyperlink"/>
            <w:noProof/>
          </w:rPr>
          <w:t>Javne nabavke i kriterijumi energetske efikasnosti</w:t>
        </w:r>
        <w:r w:rsidR="003E3117">
          <w:rPr>
            <w:noProof/>
          </w:rPr>
          <w:tab/>
        </w:r>
        <w:r w:rsidR="003E3117">
          <w:rPr>
            <w:noProof/>
          </w:rPr>
          <w:fldChar w:fldCharType="begin"/>
        </w:r>
        <w:r w:rsidR="003E3117">
          <w:rPr>
            <w:noProof/>
          </w:rPr>
          <w:instrText xml:space="preserve"> PAGEREF _Toc82271945 \h </w:instrText>
        </w:r>
        <w:r w:rsidR="003E3117">
          <w:rPr>
            <w:noProof/>
          </w:rPr>
        </w:r>
        <w:r w:rsidR="003E3117">
          <w:rPr>
            <w:noProof/>
          </w:rPr>
          <w:fldChar w:fldCharType="separate"/>
        </w:r>
        <w:r w:rsidR="003E3117">
          <w:rPr>
            <w:noProof/>
          </w:rPr>
          <w:t>22</w:t>
        </w:r>
        <w:r w:rsidR="003E3117">
          <w:rPr>
            <w:noProof/>
          </w:rPr>
          <w:fldChar w:fldCharType="end"/>
        </w:r>
      </w:hyperlink>
    </w:p>
    <w:p w14:paraId="7F0B5F7F" w14:textId="1EB645C4"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46" w:history="1">
        <w:r w:rsidR="003E3117" w:rsidRPr="0088552D">
          <w:rPr>
            <w:rStyle w:val="Hyperlink"/>
            <w:noProof/>
          </w:rPr>
          <w:t>1.6.</w:t>
        </w:r>
        <w:r w:rsidR="003E3117">
          <w:rPr>
            <w:rFonts w:asciiTheme="minorHAnsi" w:eastAsiaTheme="minorEastAsia" w:hAnsiTheme="minorHAnsi" w:cstheme="minorBidi"/>
            <w:noProof/>
            <w:lang w:eastAsia="en-GB"/>
          </w:rPr>
          <w:tab/>
        </w:r>
        <w:r w:rsidR="003E3117" w:rsidRPr="0088552D">
          <w:rPr>
            <w:rStyle w:val="Hyperlink"/>
            <w:noProof/>
          </w:rPr>
          <w:t>Analiza troškova za materijal u javnoj upravi</w:t>
        </w:r>
        <w:r w:rsidR="003E3117">
          <w:rPr>
            <w:noProof/>
          </w:rPr>
          <w:tab/>
        </w:r>
        <w:r w:rsidR="003E3117">
          <w:rPr>
            <w:noProof/>
          </w:rPr>
          <w:fldChar w:fldCharType="begin"/>
        </w:r>
        <w:r w:rsidR="003E3117">
          <w:rPr>
            <w:noProof/>
          </w:rPr>
          <w:instrText xml:space="preserve"> PAGEREF _Toc82271946 \h </w:instrText>
        </w:r>
        <w:r w:rsidR="003E3117">
          <w:rPr>
            <w:noProof/>
          </w:rPr>
        </w:r>
        <w:r w:rsidR="003E3117">
          <w:rPr>
            <w:noProof/>
          </w:rPr>
          <w:fldChar w:fldCharType="separate"/>
        </w:r>
        <w:r w:rsidR="003E3117">
          <w:rPr>
            <w:noProof/>
          </w:rPr>
          <w:t>24</w:t>
        </w:r>
        <w:r w:rsidR="003E3117">
          <w:rPr>
            <w:noProof/>
          </w:rPr>
          <w:fldChar w:fldCharType="end"/>
        </w:r>
      </w:hyperlink>
    </w:p>
    <w:p w14:paraId="725B997F" w14:textId="38F58E2C" w:rsidR="003E3117" w:rsidRDefault="003F3794">
      <w:pPr>
        <w:pStyle w:val="TOC1"/>
        <w:tabs>
          <w:tab w:val="right" w:leader="dot" w:pos="9016"/>
        </w:tabs>
        <w:rPr>
          <w:rFonts w:asciiTheme="minorHAnsi" w:eastAsiaTheme="minorEastAsia" w:hAnsiTheme="minorHAnsi" w:cstheme="minorBidi"/>
          <w:noProof/>
          <w:lang w:eastAsia="en-GB"/>
        </w:rPr>
      </w:pPr>
      <w:hyperlink w:anchor="_Toc82271947" w:history="1">
        <w:r w:rsidR="003E3117" w:rsidRPr="0088552D">
          <w:rPr>
            <w:rStyle w:val="Hyperlink"/>
            <w:rFonts w:cs="Calibri"/>
            <w:noProof/>
          </w:rPr>
          <w:t>2. EKONOMSKE KORISTI PRIMJENE CIRKULARNE EKONOMIJE</w:t>
        </w:r>
        <w:r w:rsidR="003E3117">
          <w:rPr>
            <w:noProof/>
          </w:rPr>
          <w:tab/>
        </w:r>
        <w:r w:rsidR="003E3117">
          <w:rPr>
            <w:noProof/>
          </w:rPr>
          <w:fldChar w:fldCharType="begin"/>
        </w:r>
        <w:r w:rsidR="003E3117">
          <w:rPr>
            <w:noProof/>
          </w:rPr>
          <w:instrText xml:space="preserve"> PAGEREF _Toc82271947 \h </w:instrText>
        </w:r>
        <w:r w:rsidR="003E3117">
          <w:rPr>
            <w:noProof/>
          </w:rPr>
        </w:r>
        <w:r w:rsidR="003E3117">
          <w:rPr>
            <w:noProof/>
          </w:rPr>
          <w:fldChar w:fldCharType="separate"/>
        </w:r>
        <w:r w:rsidR="003E3117">
          <w:rPr>
            <w:noProof/>
          </w:rPr>
          <w:t>27</w:t>
        </w:r>
        <w:r w:rsidR="003E3117">
          <w:rPr>
            <w:noProof/>
          </w:rPr>
          <w:fldChar w:fldCharType="end"/>
        </w:r>
      </w:hyperlink>
    </w:p>
    <w:p w14:paraId="3F1CA1D6" w14:textId="13F97950"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48" w:history="1">
        <w:r w:rsidR="003E3117" w:rsidRPr="0088552D">
          <w:rPr>
            <w:rStyle w:val="Hyperlink"/>
            <w:noProof/>
          </w:rPr>
          <w:t>2.1.</w:t>
        </w:r>
        <w:r w:rsidR="003E3117">
          <w:rPr>
            <w:rFonts w:asciiTheme="minorHAnsi" w:eastAsiaTheme="minorEastAsia" w:hAnsiTheme="minorHAnsi" w:cstheme="minorBidi"/>
            <w:noProof/>
            <w:lang w:eastAsia="en-GB"/>
          </w:rPr>
          <w:tab/>
        </w:r>
        <w:r w:rsidR="003E3117" w:rsidRPr="0088552D">
          <w:rPr>
            <w:rStyle w:val="Hyperlink"/>
            <w:noProof/>
          </w:rPr>
          <w:t>Upravljanje otpadom</w:t>
        </w:r>
        <w:r w:rsidR="003E3117">
          <w:rPr>
            <w:noProof/>
          </w:rPr>
          <w:tab/>
        </w:r>
        <w:r w:rsidR="003E3117">
          <w:rPr>
            <w:noProof/>
          </w:rPr>
          <w:fldChar w:fldCharType="begin"/>
        </w:r>
        <w:r w:rsidR="003E3117">
          <w:rPr>
            <w:noProof/>
          </w:rPr>
          <w:instrText xml:space="preserve"> PAGEREF _Toc82271948 \h </w:instrText>
        </w:r>
        <w:r w:rsidR="003E3117">
          <w:rPr>
            <w:noProof/>
          </w:rPr>
        </w:r>
        <w:r w:rsidR="003E3117">
          <w:rPr>
            <w:noProof/>
          </w:rPr>
          <w:fldChar w:fldCharType="separate"/>
        </w:r>
        <w:r w:rsidR="003E3117">
          <w:rPr>
            <w:noProof/>
          </w:rPr>
          <w:t>32</w:t>
        </w:r>
        <w:r w:rsidR="003E3117">
          <w:rPr>
            <w:noProof/>
          </w:rPr>
          <w:fldChar w:fldCharType="end"/>
        </w:r>
      </w:hyperlink>
    </w:p>
    <w:p w14:paraId="48795C98" w14:textId="4D926C47"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49" w:history="1">
        <w:r w:rsidR="003E3117" w:rsidRPr="0088552D">
          <w:rPr>
            <w:rStyle w:val="Hyperlink"/>
            <w:noProof/>
          </w:rPr>
          <w:t>2.2.</w:t>
        </w:r>
        <w:r w:rsidR="003E3117">
          <w:rPr>
            <w:rFonts w:asciiTheme="minorHAnsi" w:eastAsiaTheme="minorEastAsia" w:hAnsiTheme="minorHAnsi" w:cstheme="minorBidi"/>
            <w:noProof/>
            <w:lang w:eastAsia="en-GB"/>
          </w:rPr>
          <w:tab/>
        </w:r>
        <w:r w:rsidR="003E3117" w:rsidRPr="0088552D">
          <w:rPr>
            <w:rStyle w:val="Hyperlink"/>
            <w:noProof/>
          </w:rPr>
          <w:t>Upravljanje otpadom u Crnoj Gori</w:t>
        </w:r>
        <w:r w:rsidR="003E3117">
          <w:rPr>
            <w:noProof/>
          </w:rPr>
          <w:tab/>
        </w:r>
        <w:r w:rsidR="003E3117">
          <w:rPr>
            <w:noProof/>
          </w:rPr>
          <w:fldChar w:fldCharType="begin"/>
        </w:r>
        <w:r w:rsidR="003E3117">
          <w:rPr>
            <w:noProof/>
          </w:rPr>
          <w:instrText xml:space="preserve"> PAGEREF _Toc82271949 \h </w:instrText>
        </w:r>
        <w:r w:rsidR="003E3117">
          <w:rPr>
            <w:noProof/>
          </w:rPr>
        </w:r>
        <w:r w:rsidR="003E3117">
          <w:rPr>
            <w:noProof/>
          </w:rPr>
          <w:fldChar w:fldCharType="separate"/>
        </w:r>
        <w:r w:rsidR="003E3117">
          <w:rPr>
            <w:noProof/>
          </w:rPr>
          <w:t>32</w:t>
        </w:r>
        <w:r w:rsidR="003E3117">
          <w:rPr>
            <w:noProof/>
          </w:rPr>
          <w:fldChar w:fldCharType="end"/>
        </w:r>
      </w:hyperlink>
    </w:p>
    <w:p w14:paraId="72E2027D" w14:textId="07A70DDA"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50" w:history="1">
        <w:r w:rsidR="003E3117" w:rsidRPr="0088552D">
          <w:rPr>
            <w:rStyle w:val="Hyperlink"/>
            <w:noProof/>
          </w:rPr>
          <w:t>2.3.</w:t>
        </w:r>
        <w:r w:rsidR="003E3117">
          <w:rPr>
            <w:rFonts w:asciiTheme="minorHAnsi" w:eastAsiaTheme="minorEastAsia" w:hAnsiTheme="minorHAnsi" w:cstheme="minorBidi"/>
            <w:noProof/>
            <w:lang w:eastAsia="en-GB"/>
          </w:rPr>
          <w:tab/>
        </w:r>
        <w:r w:rsidR="003E3117" w:rsidRPr="0088552D">
          <w:rPr>
            <w:rStyle w:val="Hyperlink"/>
            <w:noProof/>
          </w:rPr>
          <w:t>Komparativna analiza upravljanja otpadom u zemljama Zapadnog Balkana</w:t>
        </w:r>
        <w:r w:rsidR="003E3117">
          <w:rPr>
            <w:noProof/>
          </w:rPr>
          <w:tab/>
        </w:r>
        <w:r w:rsidR="003E3117">
          <w:rPr>
            <w:noProof/>
          </w:rPr>
          <w:fldChar w:fldCharType="begin"/>
        </w:r>
        <w:r w:rsidR="003E3117">
          <w:rPr>
            <w:noProof/>
          </w:rPr>
          <w:instrText xml:space="preserve"> PAGEREF _Toc82271950 \h </w:instrText>
        </w:r>
        <w:r w:rsidR="003E3117">
          <w:rPr>
            <w:noProof/>
          </w:rPr>
        </w:r>
        <w:r w:rsidR="003E3117">
          <w:rPr>
            <w:noProof/>
          </w:rPr>
          <w:fldChar w:fldCharType="separate"/>
        </w:r>
        <w:r w:rsidR="003E3117">
          <w:rPr>
            <w:noProof/>
          </w:rPr>
          <w:t>34</w:t>
        </w:r>
        <w:r w:rsidR="003E3117">
          <w:rPr>
            <w:noProof/>
          </w:rPr>
          <w:fldChar w:fldCharType="end"/>
        </w:r>
      </w:hyperlink>
    </w:p>
    <w:p w14:paraId="63867C5B" w14:textId="0E9C2FAF"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51" w:history="1">
        <w:r w:rsidR="003E3117" w:rsidRPr="0088552D">
          <w:rPr>
            <w:rStyle w:val="Hyperlink"/>
            <w:noProof/>
          </w:rPr>
          <w:t>2.4.</w:t>
        </w:r>
        <w:r w:rsidR="003E3117">
          <w:rPr>
            <w:rFonts w:asciiTheme="minorHAnsi" w:eastAsiaTheme="minorEastAsia" w:hAnsiTheme="minorHAnsi" w:cstheme="minorBidi"/>
            <w:noProof/>
            <w:lang w:eastAsia="en-GB"/>
          </w:rPr>
          <w:tab/>
        </w:r>
        <w:r w:rsidR="003E3117" w:rsidRPr="0088552D">
          <w:rPr>
            <w:rStyle w:val="Hyperlink"/>
            <w:noProof/>
          </w:rPr>
          <w:t>Kalkulator/Obračun uštede u gradovima nultog otpada</w:t>
        </w:r>
        <w:r w:rsidR="003E3117">
          <w:rPr>
            <w:noProof/>
          </w:rPr>
          <w:tab/>
        </w:r>
        <w:r w:rsidR="003E3117">
          <w:rPr>
            <w:noProof/>
          </w:rPr>
          <w:fldChar w:fldCharType="begin"/>
        </w:r>
        <w:r w:rsidR="003E3117">
          <w:rPr>
            <w:noProof/>
          </w:rPr>
          <w:instrText xml:space="preserve"> PAGEREF _Toc82271951 \h </w:instrText>
        </w:r>
        <w:r w:rsidR="003E3117">
          <w:rPr>
            <w:noProof/>
          </w:rPr>
        </w:r>
        <w:r w:rsidR="003E3117">
          <w:rPr>
            <w:noProof/>
          </w:rPr>
          <w:fldChar w:fldCharType="separate"/>
        </w:r>
        <w:r w:rsidR="003E3117">
          <w:rPr>
            <w:noProof/>
          </w:rPr>
          <w:t>37</w:t>
        </w:r>
        <w:r w:rsidR="003E3117">
          <w:rPr>
            <w:noProof/>
          </w:rPr>
          <w:fldChar w:fldCharType="end"/>
        </w:r>
      </w:hyperlink>
    </w:p>
    <w:p w14:paraId="395D8E25" w14:textId="2FE0A581" w:rsidR="003E3117" w:rsidRDefault="003F3794">
      <w:pPr>
        <w:pStyle w:val="TOC1"/>
        <w:tabs>
          <w:tab w:val="left" w:pos="440"/>
          <w:tab w:val="right" w:leader="dot" w:pos="9016"/>
        </w:tabs>
        <w:rPr>
          <w:rFonts w:asciiTheme="minorHAnsi" w:eastAsiaTheme="minorEastAsia" w:hAnsiTheme="minorHAnsi" w:cstheme="minorBidi"/>
          <w:noProof/>
          <w:lang w:eastAsia="en-GB"/>
        </w:rPr>
      </w:pPr>
      <w:hyperlink w:anchor="_Toc82271952" w:history="1">
        <w:r w:rsidR="003E3117" w:rsidRPr="0088552D">
          <w:rPr>
            <w:rStyle w:val="Hyperlink"/>
            <w:rFonts w:cs="Calibri"/>
            <w:noProof/>
          </w:rPr>
          <w:t>3.</w:t>
        </w:r>
        <w:r w:rsidR="003E3117">
          <w:rPr>
            <w:rFonts w:asciiTheme="minorHAnsi" w:eastAsiaTheme="minorEastAsia" w:hAnsiTheme="minorHAnsi" w:cstheme="minorBidi"/>
            <w:noProof/>
            <w:lang w:eastAsia="en-GB"/>
          </w:rPr>
          <w:tab/>
        </w:r>
        <w:r w:rsidR="003E3117" w:rsidRPr="0088552D">
          <w:rPr>
            <w:rStyle w:val="Hyperlink"/>
            <w:rFonts w:cs="Calibri"/>
            <w:noProof/>
          </w:rPr>
          <w:t>ENERGETSKA EFIKASNOST ZA OZELENJAVANJE JAVNE UPRAVE</w:t>
        </w:r>
        <w:r w:rsidR="003E3117">
          <w:rPr>
            <w:noProof/>
          </w:rPr>
          <w:tab/>
        </w:r>
        <w:r w:rsidR="003E3117">
          <w:rPr>
            <w:noProof/>
          </w:rPr>
          <w:fldChar w:fldCharType="begin"/>
        </w:r>
        <w:r w:rsidR="003E3117">
          <w:rPr>
            <w:noProof/>
          </w:rPr>
          <w:instrText xml:space="preserve"> PAGEREF _Toc82271952 \h </w:instrText>
        </w:r>
        <w:r w:rsidR="003E3117">
          <w:rPr>
            <w:noProof/>
          </w:rPr>
        </w:r>
        <w:r w:rsidR="003E3117">
          <w:rPr>
            <w:noProof/>
          </w:rPr>
          <w:fldChar w:fldCharType="separate"/>
        </w:r>
        <w:r w:rsidR="003E3117">
          <w:rPr>
            <w:noProof/>
          </w:rPr>
          <w:t>38</w:t>
        </w:r>
        <w:r w:rsidR="003E3117">
          <w:rPr>
            <w:noProof/>
          </w:rPr>
          <w:fldChar w:fldCharType="end"/>
        </w:r>
      </w:hyperlink>
    </w:p>
    <w:p w14:paraId="5522E82C" w14:textId="08D0877A"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53" w:history="1">
        <w:r w:rsidR="003E3117" w:rsidRPr="0088552D">
          <w:rPr>
            <w:rStyle w:val="Hyperlink"/>
            <w:noProof/>
          </w:rPr>
          <w:t>3.1.</w:t>
        </w:r>
        <w:r w:rsidR="003E3117">
          <w:rPr>
            <w:rFonts w:asciiTheme="minorHAnsi" w:eastAsiaTheme="minorEastAsia" w:hAnsiTheme="minorHAnsi" w:cstheme="minorBidi"/>
            <w:noProof/>
            <w:lang w:eastAsia="en-GB"/>
          </w:rPr>
          <w:tab/>
        </w:r>
        <w:r w:rsidR="003E3117" w:rsidRPr="0088552D">
          <w:rPr>
            <w:rStyle w:val="Hyperlink"/>
            <w:noProof/>
          </w:rPr>
          <w:t>Potencijal za uštede mjerama energetske efikasnosti</w:t>
        </w:r>
        <w:r w:rsidR="003E3117">
          <w:rPr>
            <w:noProof/>
          </w:rPr>
          <w:tab/>
        </w:r>
        <w:r w:rsidR="003E3117">
          <w:rPr>
            <w:noProof/>
          </w:rPr>
          <w:fldChar w:fldCharType="begin"/>
        </w:r>
        <w:r w:rsidR="003E3117">
          <w:rPr>
            <w:noProof/>
          </w:rPr>
          <w:instrText xml:space="preserve"> PAGEREF _Toc82271953 \h </w:instrText>
        </w:r>
        <w:r w:rsidR="003E3117">
          <w:rPr>
            <w:noProof/>
          </w:rPr>
        </w:r>
        <w:r w:rsidR="003E3117">
          <w:rPr>
            <w:noProof/>
          </w:rPr>
          <w:fldChar w:fldCharType="separate"/>
        </w:r>
        <w:r w:rsidR="003E3117">
          <w:rPr>
            <w:noProof/>
          </w:rPr>
          <w:t>39</w:t>
        </w:r>
        <w:r w:rsidR="003E3117">
          <w:rPr>
            <w:noProof/>
          </w:rPr>
          <w:fldChar w:fldCharType="end"/>
        </w:r>
      </w:hyperlink>
    </w:p>
    <w:p w14:paraId="3731CBCF" w14:textId="2C2AF6FA"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54" w:history="1">
        <w:r w:rsidR="003E3117" w:rsidRPr="0088552D">
          <w:rPr>
            <w:rStyle w:val="Hyperlink"/>
            <w:noProof/>
          </w:rPr>
          <w:t>3.2.</w:t>
        </w:r>
        <w:r w:rsidR="003E3117">
          <w:rPr>
            <w:rFonts w:asciiTheme="minorHAnsi" w:eastAsiaTheme="minorEastAsia" w:hAnsiTheme="minorHAnsi" w:cstheme="minorBidi"/>
            <w:noProof/>
            <w:lang w:eastAsia="en-GB"/>
          </w:rPr>
          <w:tab/>
        </w:r>
        <w:r w:rsidR="003E3117" w:rsidRPr="0088552D">
          <w:rPr>
            <w:rStyle w:val="Hyperlink"/>
            <w:noProof/>
          </w:rPr>
          <w:t>EE potencijal u analizi javnog sektora</w:t>
        </w:r>
        <w:r w:rsidR="003E3117">
          <w:rPr>
            <w:noProof/>
          </w:rPr>
          <w:tab/>
        </w:r>
        <w:r w:rsidR="003E3117">
          <w:rPr>
            <w:noProof/>
          </w:rPr>
          <w:fldChar w:fldCharType="begin"/>
        </w:r>
        <w:r w:rsidR="003E3117">
          <w:rPr>
            <w:noProof/>
          </w:rPr>
          <w:instrText xml:space="preserve"> PAGEREF _Toc82271954 \h </w:instrText>
        </w:r>
        <w:r w:rsidR="003E3117">
          <w:rPr>
            <w:noProof/>
          </w:rPr>
        </w:r>
        <w:r w:rsidR="003E3117">
          <w:rPr>
            <w:noProof/>
          </w:rPr>
          <w:fldChar w:fldCharType="separate"/>
        </w:r>
        <w:r w:rsidR="003E3117">
          <w:rPr>
            <w:noProof/>
          </w:rPr>
          <w:t>40</w:t>
        </w:r>
        <w:r w:rsidR="003E3117">
          <w:rPr>
            <w:noProof/>
          </w:rPr>
          <w:fldChar w:fldCharType="end"/>
        </w:r>
      </w:hyperlink>
    </w:p>
    <w:p w14:paraId="0C64864A" w14:textId="78791A44" w:rsidR="003E3117" w:rsidRDefault="003F3794">
      <w:pPr>
        <w:pStyle w:val="TOC1"/>
        <w:tabs>
          <w:tab w:val="left" w:pos="440"/>
          <w:tab w:val="right" w:leader="dot" w:pos="9016"/>
        </w:tabs>
        <w:rPr>
          <w:rFonts w:asciiTheme="minorHAnsi" w:eastAsiaTheme="minorEastAsia" w:hAnsiTheme="minorHAnsi" w:cstheme="minorBidi"/>
          <w:noProof/>
          <w:lang w:eastAsia="en-GB"/>
        </w:rPr>
      </w:pPr>
      <w:hyperlink w:anchor="_Toc82271955" w:history="1">
        <w:r w:rsidR="003E3117" w:rsidRPr="0088552D">
          <w:rPr>
            <w:rStyle w:val="Hyperlink"/>
            <w:noProof/>
          </w:rPr>
          <w:t>4.</w:t>
        </w:r>
        <w:r w:rsidR="003E3117">
          <w:rPr>
            <w:rFonts w:asciiTheme="minorHAnsi" w:eastAsiaTheme="minorEastAsia" w:hAnsiTheme="minorHAnsi" w:cstheme="minorBidi"/>
            <w:noProof/>
            <w:lang w:eastAsia="en-GB"/>
          </w:rPr>
          <w:tab/>
        </w:r>
        <w:r w:rsidR="003E3117" w:rsidRPr="0088552D">
          <w:rPr>
            <w:rStyle w:val="Hyperlink"/>
            <w:noProof/>
          </w:rPr>
          <w:t>UVOĐENJE ELEKTRIČNIH VOZILA U JAVNOJ UPRAVI CRNE GORE</w:t>
        </w:r>
        <w:r w:rsidR="003E3117">
          <w:rPr>
            <w:noProof/>
          </w:rPr>
          <w:tab/>
        </w:r>
        <w:r w:rsidR="003E3117">
          <w:rPr>
            <w:noProof/>
          </w:rPr>
          <w:fldChar w:fldCharType="begin"/>
        </w:r>
        <w:r w:rsidR="003E3117">
          <w:rPr>
            <w:noProof/>
          </w:rPr>
          <w:instrText xml:space="preserve"> PAGEREF _Toc82271955 \h </w:instrText>
        </w:r>
        <w:r w:rsidR="003E3117">
          <w:rPr>
            <w:noProof/>
          </w:rPr>
        </w:r>
        <w:r w:rsidR="003E3117">
          <w:rPr>
            <w:noProof/>
          </w:rPr>
          <w:fldChar w:fldCharType="separate"/>
        </w:r>
        <w:r w:rsidR="003E3117">
          <w:rPr>
            <w:noProof/>
          </w:rPr>
          <w:t>49</w:t>
        </w:r>
        <w:r w:rsidR="003E3117">
          <w:rPr>
            <w:noProof/>
          </w:rPr>
          <w:fldChar w:fldCharType="end"/>
        </w:r>
      </w:hyperlink>
    </w:p>
    <w:p w14:paraId="0780804E" w14:textId="4BD8C945"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56" w:history="1">
        <w:r w:rsidR="003E3117" w:rsidRPr="0088552D">
          <w:rPr>
            <w:rStyle w:val="Hyperlink"/>
            <w:noProof/>
          </w:rPr>
          <w:t>4.1.</w:t>
        </w:r>
        <w:r w:rsidR="003E3117">
          <w:rPr>
            <w:rFonts w:asciiTheme="minorHAnsi" w:eastAsiaTheme="minorEastAsia" w:hAnsiTheme="minorHAnsi" w:cstheme="minorBidi"/>
            <w:noProof/>
            <w:lang w:eastAsia="en-GB"/>
          </w:rPr>
          <w:tab/>
        </w:r>
        <w:r w:rsidR="003E3117" w:rsidRPr="0088552D">
          <w:rPr>
            <w:rStyle w:val="Hyperlink"/>
            <w:noProof/>
          </w:rPr>
          <w:t>Scenarij i ulazne pretpostavke</w:t>
        </w:r>
        <w:r w:rsidR="003E3117">
          <w:rPr>
            <w:noProof/>
          </w:rPr>
          <w:tab/>
        </w:r>
        <w:r w:rsidR="003E3117">
          <w:rPr>
            <w:noProof/>
          </w:rPr>
          <w:fldChar w:fldCharType="begin"/>
        </w:r>
        <w:r w:rsidR="003E3117">
          <w:rPr>
            <w:noProof/>
          </w:rPr>
          <w:instrText xml:space="preserve"> PAGEREF _Toc82271956 \h </w:instrText>
        </w:r>
        <w:r w:rsidR="003E3117">
          <w:rPr>
            <w:noProof/>
          </w:rPr>
        </w:r>
        <w:r w:rsidR="003E3117">
          <w:rPr>
            <w:noProof/>
          </w:rPr>
          <w:fldChar w:fldCharType="separate"/>
        </w:r>
        <w:r w:rsidR="003E3117">
          <w:rPr>
            <w:noProof/>
          </w:rPr>
          <w:t>49</w:t>
        </w:r>
        <w:r w:rsidR="003E3117">
          <w:rPr>
            <w:noProof/>
          </w:rPr>
          <w:fldChar w:fldCharType="end"/>
        </w:r>
      </w:hyperlink>
    </w:p>
    <w:p w14:paraId="67C6E562" w14:textId="728D1E44"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57" w:history="1">
        <w:r w:rsidR="003E3117" w:rsidRPr="0088552D">
          <w:rPr>
            <w:rStyle w:val="Hyperlink"/>
            <w:noProof/>
          </w:rPr>
          <w:t>4.2.</w:t>
        </w:r>
        <w:r w:rsidR="003E3117">
          <w:rPr>
            <w:rFonts w:asciiTheme="minorHAnsi" w:eastAsiaTheme="minorEastAsia" w:hAnsiTheme="minorHAnsi" w:cstheme="minorBidi"/>
            <w:noProof/>
            <w:lang w:eastAsia="en-GB"/>
          </w:rPr>
          <w:tab/>
        </w:r>
        <w:r w:rsidR="003E3117" w:rsidRPr="0088552D">
          <w:rPr>
            <w:rStyle w:val="Hyperlink"/>
            <w:noProof/>
          </w:rPr>
          <w:t>Utvrđivanje isplativosti projekta</w:t>
        </w:r>
        <w:r w:rsidR="003E3117">
          <w:rPr>
            <w:noProof/>
          </w:rPr>
          <w:tab/>
        </w:r>
        <w:r w:rsidR="003E3117">
          <w:rPr>
            <w:noProof/>
          </w:rPr>
          <w:fldChar w:fldCharType="begin"/>
        </w:r>
        <w:r w:rsidR="003E3117">
          <w:rPr>
            <w:noProof/>
          </w:rPr>
          <w:instrText xml:space="preserve"> PAGEREF _Toc82271957 \h </w:instrText>
        </w:r>
        <w:r w:rsidR="003E3117">
          <w:rPr>
            <w:noProof/>
          </w:rPr>
        </w:r>
        <w:r w:rsidR="003E3117">
          <w:rPr>
            <w:noProof/>
          </w:rPr>
          <w:fldChar w:fldCharType="separate"/>
        </w:r>
        <w:r w:rsidR="003E3117">
          <w:rPr>
            <w:noProof/>
          </w:rPr>
          <w:t>52</w:t>
        </w:r>
        <w:r w:rsidR="003E3117">
          <w:rPr>
            <w:noProof/>
          </w:rPr>
          <w:fldChar w:fldCharType="end"/>
        </w:r>
      </w:hyperlink>
    </w:p>
    <w:p w14:paraId="545AD185" w14:textId="1FEB88EB" w:rsidR="003E3117" w:rsidRDefault="003F3794">
      <w:pPr>
        <w:pStyle w:val="TOC2"/>
        <w:tabs>
          <w:tab w:val="left" w:pos="880"/>
          <w:tab w:val="right" w:leader="dot" w:pos="9016"/>
        </w:tabs>
        <w:rPr>
          <w:rFonts w:asciiTheme="minorHAnsi" w:eastAsiaTheme="minorEastAsia" w:hAnsiTheme="minorHAnsi" w:cstheme="minorBidi"/>
          <w:noProof/>
          <w:lang w:eastAsia="en-GB"/>
        </w:rPr>
      </w:pPr>
      <w:hyperlink w:anchor="_Toc82271958" w:history="1">
        <w:r w:rsidR="003E3117" w:rsidRPr="0088552D">
          <w:rPr>
            <w:rStyle w:val="Hyperlink"/>
            <w:noProof/>
          </w:rPr>
          <w:t>4.3.</w:t>
        </w:r>
        <w:r w:rsidR="003E3117">
          <w:rPr>
            <w:rFonts w:asciiTheme="minorHAnsi" w:eastAsiaTheme="minorEastAsia" w:hAnsiTheme="minorHAnsi" w:cstheme="minorBidi"/>
            <w:noProof/>
            <w:lang w:eastAsia="en-GB"/>
          </w:rPr>
          <w:tab/>
        </w:r>
        <w:r w:rsidR="003E3117" w:rsidRPr="0088552D">
          <w:rPr>
            <w:rStyle w:val="Hyperlink"/>
            <w:noProof/>
            <w:lang w:eastAsia="hr-HR"/>
          </w:rPr>
          <w:t>Zaključak sprovedene analize uvođenja električnih automobila u javnoj upravi</w:t>
        </w:r>
        <w:r w:rsidR="003E3117">
          <w:rPr>
            <w:noProof/>
          </w:rPr>
          <w:tab/>
        </w:r>
        <w:r w:rsidR="003E3117">
          <w:rPr>
            <w:noProof/>
          </w:rPr>
          <w:fldChar w:fldCharType="begin"/>
        </w:r>
        <w:r w:rsidR="003E3117">
          <w:rPr>
            <w:noProof/>
          </w:rPr>
          <w:instrText xml:space="preserve"> PAGEREF _Toc82271958 \h </w:instrText>
        </w:r>
        <w:r w:rsidR="003E3117">
          <w:rPr>
            <w:noProof/>
          </w:rPr>
        </w:r>
        <w:r w:rsidR="003E3117">
          <w:rPr>
            <w:noProof/>
          </w:rPr>
          <w:fldChar w:fldCharType="separate"/>
        </w:r>
        <w:r w:rsidR="003E3117">
          <w:rPr>
            <w:noProof/>
          </w:rPr>
          <w:t>53</w:t>
        </w:r>
        <w:r w:rsidR="003E3117">
          <w:rPr>
            <w:noProof/>
          </w:rPr>
          <w:fldChar w:fldCharType="end"/>
        </w:r>
      </w:hyperlink>
    </w:p>
    <w:p w14:paraId="3B24AAE4" w14:textId="4D20BD51" w:rsidR="003E3117" w:rsidRDefault="003F3794">
      <w:pPr>
        <w:pStyle w:val="TOC1"/>
        <w:tabs>
          <w:tab w:val="right" w:leader="dot" w:pos="9016"/>
        </w:tabs>
        <w:rPr>
          <w:rFonts w:asciiTheme="minorHAnsi" w:eastAsiaTheme="minorEastAsia" w:hAnsiTheme="minorHAnsi" w:cstheme="minorBidi"/>
          <w:noProof/>
          <w:lang w:eastAsia="en-GB"/>
        </w:rPr>
      </w:pPr>
      <w:hyperlink w:anchor="_Toc82271959" w:history="1">
        <w:r w:rsidR="003E3117" w:rsidRPr="0088552D">
          <w:rPr>
            <w:rStyle w:val="Hyperlink"/>
            <w:b/>
            <w:noProof/>
          </w:rPr>
          <w:t>ZAKLJUČAK</w:t>
        </w:r>
        <w:r w:rsidR="003E3117">
          <w:rPr>
            <w:noProof/>
          </w:rPr>
          <w:tab/>
        </w:r>
        <w:r w:rsidR="003E3117">
          <w:rPr>
            <w:noProof/>
          </w:rPr>
          <w:fldChar w:fldCharType="begin"/>
        </w:r>
        <w:r w:rsidR="003E3117">
          <w:rPr>
            <w:noProof/>
          </w:rPr>
          <w:instrText xml:space="preserve"> PAGEREF _Toc82271959 \h </w:instrText>
        </w:r>
        <w:r w:rsidR="003E3117">
          <w:rPr>
            <w:noProof/>
          </w:rPr>
        </w:r>
        <w:r w:rsidR="003E3117">
          <w:rPr>
            <w:noProof/>
          </w:rPr>
          <w:fldChar w:fldCharType="separate"/>
        </w:r>
        <w:r w:rsidR="003E3117">
          <w:rPr>
            <w:noProof/>
          </w:rPr>
          <w:t>54</w:t>
        </w:r>
        <w:r w:rsidR="003E3117">
          <w:rPr>
            <w:noProof/>
          </w:rPr>
          <w:fldChar w:fldCharType="end"/>
        </w:r>
      </w:hyperlink>
    </w:p>
    <w:p w14:paraId="24CA20E1" w14:textId="08BCC2ED" w:rsidR="00DF0ADC" w:rsidRDefault="003F7412" w:rsidP="005B0A4D">
      <w:r>
        <w:fldChar w:fldCharType="end"/>
      </w:r>
    </w:p>
    <w:p w14:paraId="72835D17" w14:textId="6D785A79" w:rsidR="005B0A4D" w:rsidRDefault="005B0A4D" w:rsidP="005B0A4D"/>
    <w:p w14:paraId="3D33C82C" w14:textId="06930F56" w:rsidR="00F928A6" w:rsidRDefault="00F928A6" w:rsidP="005B0779">
      <w:pPr>
        <w:jc w:val="center"/>
      </w:pPr>
    </w:p>
    <w:p w14:paraId="52C0176E" w14:textId="2B7B40AF" w:rsidR="00F928A6" w:rsidRDefault="00F928A6" w:rsidP="005B0A4D"/>
    <w:p w14:paraId="326D4B8C" w14:textId="25F81443" w:rsidR="00814CF8" w:rsidRDefault="00814CF8" w:rsidP="005B0A4D"/>
    <w:p w14:paraId="392E1ABB" w14:textId="77777777" w:rsidR="00814CF8" w:rsidRDefault="00814CF8" w:rsidP="005B0A4D"/>
    <w:p w14:paraId="4266B856" w14:textId="79BA814C" w:rsidR="00F928A6" w:rsidRDefault="00F928A6" w:rsidP="005B0A4D"/>
    <w:p w14:paraId="02FF3A72" w14:textId="1471E861" w:rsidR="00F928A6" w:rsidRDefault="00F928A6" w:rsidP="005B0A4D"/>
    <w:p w14:paraId="70EC9739" w14:textId="3F724936" w:rsidR="00F928A6" w:rsidRDefault="00F928A6" w:rsidP="005B0A4D"/>
    <w:p w14:paraId="1E6F7EDA" w14:textId="366229B1" w:rsidR="00F928A6" w:rsidRDefault="00F928A6" w:rsidP="005B0A4D"/>
    <w:p w14:paraId="6EE6437D" w14:textId="12B80A99" w:rsidR="00F928A6" w:rsidRDefault="00F928A6" w:rsidP="005B0A4D"/>
    <w:p w14:paraId="397B508C" w14:textId="4ACDD0D8" w:rsidR="00F928A6" w:rsidRDefault="00F928A6" w:rsidP="005B0A4D"/>
    <w:p w14:paraId="54D1BAF8" w14:textId="0CFEA765" w:rsidR="00F928A6" w:rsidRDefault="00F928A6" w:rsidP="005B0A4D"/>
    <w:p w14:paraId="2068855E" w14:textId="64D1190C" w:rsidR="00F928A6" w:rsidRDefault="00F928A6" w:rsidP="005B0A4D"/>
    <w:p w14:paraId="44BAE083" w14:textId="5FB55AD8" w:rsidR="00F928A6" w:rsidRPr="00F928A6" w:rsidRDefault="00F928A6" w:rsidP="005B0A4D">
      <w:pPr>
        <w:rPr>
          <w:b/>
          <w:i/>
        </w:rPr>
      </w:pPr>
      <w:r>
        <w:rPr>
          <w:b/>
          <w:i/>
        </w:rPr>
        <w:t>Pregled</w:t>
      </w:r>
      <w:r w:rsidRPr="00F928A6">
        <w:rPr>
          <w:b/>
          <w:i/>
        </w:rPr>
        <w:t xml:space="preserve"> tabela, grafika </w:t>
      </w:r>
      <w:r>
        <w:rPr>
          <w:b/>
          <w:i/>
        </w:rPr>
        <w:t>i</w:t>
      </w:r>
      <w:r w:rsidRPr="00F928A6">
        <w:rPr>
          <w:b/>
          <w:i/>
        </w:rPr>
        <w:t xml:space="preserve"> slika:</w:t>
      </w:r>
    </w:p>
    <w:p w14:paraId="185BC265" w14:textId="6385E2FB" w:rsidR="001F4AEC" w:rsidRPr="001F4AEC" w:rsidRDefault="005B0A4D">
      <w:pPr>
        <w:pStyle w:val="TableofFigures"/>
        <w:tabs>
          <w:tab w:val="right" w:leader="dot" w:pos="9016"/>
        </w:tabs>
        <w:rPr>
          <w:rFonts w:eastAsiaTheme="minorEastAsia" w:cstheme="minorBidi"/>
          <w:b w:val="0"/>
          <w:bCs w:val="0"/>
          <w:i/>
          <w:noProof/>
          <w:sz w:val="22"/>
          <w:szCs w:val="22"/>
          <w:lang w:val="en-US"/>
        </w:rPr>
      </w:pPr>
      <w:r w:rsidRPr="00D836D6">
        <w:rPr>
          <w:i/>
        </w:rPr>
        <w:fldChar w:fldCharType="begin"/>
      </w:r>
      <w:r w:rsidRPr="00D836D6">
        <w:rPr>
          <w:i/>
        </w:rPr>
        <w:instrText xml:space="preserve"> TOC \h \z \c "Table" </w:instrText>
      </w:r>
      <w:r w:rsidRPr="00D836D6">
        <w:rPr>
          <w:i/>
        </w:rPr>
        <w:fldChar w:fldCharType="separate"/>
      </w:r>
      <w:hyperlink w:anchor="_Toc82415534" w:history="1">
        <w:r w:rsidR="001F4AEC" w:rsidRPr="001F4AEC">
          <w:rPr>
            <w:rStyle w:val="Hyperlink"/>
            <w:rFonts w:ascii="Calibri" w:hAnsi="Calibri"/>
            <w:i/>
            <w:noProof/>
          </w:rPr>
          <w:t>Tabela 1 Uporedni pregled ugovorenih javnih nabavki i nabavki po godinama, u Eur</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_Toc82415534 \h </w:instrText>
        </w:r>
        <w:r w:rsidR="001F4AEC" w:rsidRPr="001F4AEC">
          <w:rPr>
            <w:i/>
            <w:noProof/>
            <w:webHidden/>
          </w:rPr>
        </w:r>
        <w:r w:rsidR="001F4AEC" w:rsidRPr="001F4AEC">
          <w:rPr>
            <w:i/>
            <w:noProof/>
            <w:webHidden/>
          </w:rPr>
          <w:fldChar w:fldCharType="separate"/>
        </w:r>
        <w:r w:rsidR="001F4AEC" w:rsidRPr="001F4AEC">
          <w:rPr>
            <w:i/>
            <w:noProof/>
            <w:webHidden/>
          </w:rPr>
          <w:t>8</w:t>
        </w:r>
        <w:r w:rsidR="001F4AEC" w:rsidRPr="001F4AEC">
          <w:rPr>
            <w:i/>
            <w:noProof/>
            <w:webHidden/>
          </w:rPr>
          <w:fldChar w:fldCharType="end"/>
        </w:r>
      </w:hyperlink>
    </w:p>
    <w:p w14:paraId="133D600E" w14:textId="4FDFB6A2"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35" w:history="1">
        <w:r w:rsidR="001F4AEC" w:rsidRPr="001F4AEC">
          <w:rPr>
            <w:rStyle w:val="Hyperlink"/>
            <w:rFonts w:ascii="Calibri" w:hAnsi="Calibri"/>
            <w:i/>
            <w:noProof/>
          </w:rPr>
          <w:t xml:space="preserve">Tabela 2 </w:t>
        </w:r>
        <w:r w:rsidR="001F4AEC" w:rsidRPr="001F4AEC">
          <w:rPr>
            <w:rStyle w:val="Hyperlink"/>
            <w:rFonts w:ascii="Calibri" w:hAnsi="Calibri" w:cs="Calibri"/>
            <w:i/>
            <w:noProof/>
          </w:rPr>
          <w:t>Ocjena upotrebe i učinka zelenih javnih nabavki</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_Toc82415535 \h </w:instrText>
        </w:r>
        <w:r w:rsidR="001F4AEC" w:rsidRPr="001F4AEC">
          <w:rPr>
            <w:i/>
            <w:noProof/>
            <w:webHidden/>
          </w:rPr>
        </w:r>
        <w:r w:rsidR="001F4AEC" w:rsidRPr="001F4AEC">
          <w:rPr>
            <w:i/>
            <w:noProof/>
            <w:webHidden/>
          </w:rPr>
          <w:fldChar w:fldCharType="separate"/>
        </w:r>
        <w:r w:rsidR="001F4AEC" w:rsidRPr="001F4AEC">
          <w:rPr>
            <w:i/>
            <w:noProof/>
            <w:webHidden/>
          </w:rPr>
          <w:t>19</w:t>
        </w:r>
        <w:r w:rsidR="001F4AEC" w:rsidRPr="001F4AEC">
          <w:rPr>
            <w:i/>
            <w:noProof/>
            <w:webHidden/>
          </w:rPr>
          <w:fldChar w:fldCharType="end"/>
        </w:r>
      </w:hyperlink>
    </w:p>
    <w:p w14:paraId="349AB7E0" w14:textId="1AACF583"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36" w:history="1">
        <w:r w:rsidR="001F4AEC" w:rsidRPr="001F4AEC">
          <w:rPr>
            <w:rStyle w:val="Hyperlink"/>
            <w:i/>
            <w:noProof/>
          </w:rPr>
          <w:t xml:space="preserve">Tabela 3 </w:t>
        </w:r>
        <w:r w:rsidR="001F4AEC" w:rsidRPr="001F4AEC">
          <w:rPr>
            <w:rStyle w:val="Hyperlink"/>
            <w:rFonts w:cs="Calibri"/>
            <w:i/>
            <w:noProof/>
            <w:lang w:eastAsia="en-GB"/>
          </w:rPr>
          <w:t>Izvod ocjene indikatora na osnovu dostupnosti podataka u Finskoj</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_Toc82415536 \h </w:instrText>
        </w:r>
        <w:r w:rsidR="001F4AEC" w:rsidRPr="001F4AEC">
          <w:rPr>
            <w:i/>
            <w:noProof/>
            <w:webHidden/>
          </w:rPr>
        </w:r>
        <w:r w:rsidR="001F4AEC" w:rsidRPr="001F4AEC">
          <w:rPr>
            <w:i/>
            <w:noProof/>
            <w:webHidden/>
          </w:rPr>
          <w:fldChar w:fldCharType="separate"/>
        </w:r>
        <w:r w:rsidR="001F4AEC" w:rsidRPr="001F4AEC">
          <w:rPr>
            <w:i/>
            <w:noProof/>
            <w:webHidden/>
          </w:rPr>
          <w:t>21</w:t>
        </w:r>
        <w:r w:rsidR="001F4AEC" w:rsidRPr="001F4AEC">
          <w:rPr>
            <w:i/>
            <w:noProof/>
            <w:webHidden/>
          </w:rPr>
          <w:fldChar w:fldCharType="end"/>
        </w:r>
      </w:hyperlink>
    </w:p>
    <w:p w14:paraId="2E8CEE75" w14:textId="48568E2C"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37" w:history="1">
        <w:r w:rsidR="001F4AEC" w:rsidRPr="001F4AEC">
          <w:rPr>
            <w:rStyle w:val="Hyperlink"/>
            <w:i/>
            <w:noProof/>
          </w:rPr>
          <w:t>Tabela 4 Akcije reciklaže 2012-2021 (izvor: MEPU, Odjeljenje za održivi razvoj)</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_Toc82415537 \h </w:instrText>
        </w:r>
        <w:r w:rsidR="001F4AEC" w:rsidRPr="001F4AEC">
          <w:rPr>
            <w:i/>
            <w:noProof/>
            <w:webHidden/>
          </w:rPr>
        </w:r>
        <w:r w:rsidR="001F4AEC" w:rsidRPr="001F4AEC">
          <w:rPr>
            <w:i/>
            <w:noProof/>
            <w:webHidden/>
          </w:rPr>
          <w:fldChar w:fldCharType="separate"/>
        </w:r>
        <w:r w:rsidR="001F4AEC" w:rsidRPr="001F4AEC">
          <w:rPr>
            <w:i/>
            <w:noProof/>
            <w:webHidden/>
          </w:rPr>
          <w:t>26</w:t>
        </w:r>
        <w:r w:rsidR="001F4AEC" w:rsidRPr="001F4AEC">
          <w:rPr>
            <w:i/>
            <w:noProof/>
            <w:webHidden/>
          </w:rPr>
          <w:fldChar w:fldCharType="end"/>
        </w:r>
      </w:hyperlink>
    </w:p>
    <w:p w14:paraId="6FA4CF6D" w14:textId="0940F17F"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38" w:history="1">
        <w:r w:rsidR="001F4AEC" w:rsidRPr="001F4AEC">
          <w:rPr>
            <w:rStyle w:val="Hyperlink"/>
            <w:rFonts w:ascii="Calibri" w:hAnsi="Calibri"/>
            <w:i/>
            <w:noProof/>
          </w:rPr>
          <w:t xml:space="preserve">Tabela 5 </w:t>
        </w:r>
        <w:r w:rsidR="001F4AEC" w:rsidRPr="001F4AEC">
          <w:rPr>
            <w:rStyle w:val="Hyperlink"/>
            <w:rFonts w:ascii="Calibri" w:hAnsi="Calibri" w:cs="Calibri"/>
            <w:i/>
            <w:noProof/>
          </w:rPr>
          <w:t>Tretman otpada, u izabranim godinama, 2008-2018 (hiljadu tona)</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_Toc82415538 \h </w:instrText>
        </w:r>
        <w:r w:rsidR="001F4AEC" w:rsidRPr="001F4AEC">
          <w:rPr>
            <w:i/>
            <w:noProof/>
            <w:webHidden/>
          </w:rPr>
        </w:r>
        <w:r w:rsidR="001F4AEC" w:rsidRPr="001F4AEC">
          <w:rPr>
            <w:i/>
            <w:noProof/>
            <w:webHidden/>
          </w:rPr>
          <w:fldChar w:fldCharType="separate"/>
        </w:r>
        <w:r w:rsidR="001F4AEC" w:rsidRPr="001F4AEC">
          <w:rPr>
            <w:i/>
            <w:noProof/>
            <w:webHidden/>
          </w:rPr>
          <w:t>36</w:t>
        </w:r>
        <w:r w:rsidR="001F4AEC" w:rsidRPr="001F4AEC">
          <w:rPr>
            <w:i/>
            <w:noProof/>
            <w:webHidden/>
          </w:rPr>
          <w:fldChar w:fldCharType="end"/>
        </w:r>
      </w:hyperlink>
    </w:p>
    <w:p w14:paraId="20B66908" w14:textId="603F6920"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39" w:history="1">
        <w:r w:rsidR="001F4AEC" w:rsidRPr="001F4AEC">
          <w:rPr>
            <w:rStyle w:val="Hyperlink"/>
            <w:rFonts w:ascii="Calibri" w:hAnsi="Calibri"/>
            <w:i/>
            <w:noProof/>
          </w:rPr>
          <w:t>Tabela 6</w:t>
        </w:r>
        <w:r w:rsidR="001F4AEC" w:rsidRPr="001F4AEC">
          <w:rPr>
            <w:rStyle w:val="Hyperlink"/>
            <w:rFonts w:ascii="Calibri" w:hAnsi="Calibri" w:cs="Calibri"/>
            <w:i/>
            <w:caps/>
            <w:noProof/>
          </w:rPr>
          <w:t xml:space="preserve"> </w:t>
        </w:r>
        <w:r w:rsidR="001F4AEC" w:rsidRPr="001F4AEC">
          <w:rPr>
            <w:rStyle w:val="Hyperlink"/>
            <w:rFonts w:ascii="Calibri" w:hAnsi="Calibri" w:cs="Calibri"/>
            <w:i/>
            <w:noProof/>
          </w:rPr>
          <w:t>Primjer ključnih pokazatelja rezultata revizije za nekoliko državnih institucija Crne Gore</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_Toc82415539 \h </w:instrText>
        </w:r>
        <w:r w:rsidR="001F4AEC" w:rsidRPr="001F4AEC">
          <w:rPr>
            <w:i/>
            <w:noProof/>
            <w:webHidden/>
          </w:rPr>
        </w:r>
        <w:r w:rsidR="001F4AEC" w:rsidRPr="001F4AEC">
          <w:rPr>
            <w:i/>
            <w:noProof/>
            <w:webHidden/>
          </w:rPr>
          <w:fldChar w:fldCharType="separate"/>
        </w:r>
        <w:r w:rsidR="001F4AEC" w:rsidRPr="001F4AEC">
          <w:rPr>
            <w:i/>
            <w:noProof/>
            <w:webHidden/>
          </w:rPr>
          <w:t>42</w:t>
        </w:r>
        <w:r w:rsidR="001F4AEC" w:rsidRPr="001F4AEC">
          <w:rPr>
            <w:i/>
            <w:noProof/>
            <w:webHidden/>
          </w:rPr>
          <w:fldChar w:fldCharType="end"/>
        </w:r>
      </w:hyperlink>
    </w:p>
    <w:p w14:paraId="10E8290F" w14:textId="35B40225"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40" w:history="1">
        <w:r w:rsidR="001F4AEC" w:rsidRPr="001F4AEC">
          <w:rPr>
            <w:rStyle w:val="Hyperlink"/>
            <w:rFonts w:ascii="Calibri" w:hAnsi="Calibri"/>
            <w:i/>
            <w:noProof/>
          </w:rPr>
          <w:t>Tabela 7 Ključni zbirni podaci prema DEA informacijala po vrastama izgradnje</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_Toc82415540 \h </w:instrText>
        </w:r>
        <w:r w:rsidR="001F4AEC" w:rsidRPr="001F4AEC">
          <w:rPr>
            <w:i/>
            <w:noProof/>
            <w:webHidden/>
          </w:rPr>
        </w:r>
        <w:r w:rsidR="001F4AEC" w:rsidRPr="001F4AEC">
          <w:rPr>
            <w:i/>
            <w:noProof/>
            <w:webHidden/>
          </w:rPr>
          <w:fldChar w:fldCharType="separate"/>
        </w:r>
        <w:r w:rsidR="001F4AEC" w:rsidRPr="001F4AEC">
          <w:rPr>
            <w:i/>
            <w:noProof/>
            <w:webHidden/>
          </w:rPr>
          <w:t>44</w:t>
        </w:r>
        <w:r w:rsidR="001F4AEC" w:rsidRPr="001F4AEC">
          <w:rPr>
            <w:i/>
            <w:noProof/>
            <w:webHidden/>
          </w:rPr>
          <w:fldChar w:fldCharType="end"/>
        </w:r>
      </w:hyperlink>
    </w:p>
    <w:p w14:paraId="357BCD10" w14:textId="3A100D8D"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41" w:history="1">
        <w:r w:rsidR="001F4AEC" w:rsidRPr="001F4AEC">
          <w:rPr>
            <w:rStyle w:val="Hyperlink"/>
            <w:rFonts w:ascii="Calibri" w:hAnsi="Calibri"/>
            <w:i/>
            <w:noProof/>
          </w:rPr>
          <w:t xml:space="preserve">Tabela 8 </w:t>
        </w:r>
        <w:r w:rsidR="001F4AEC" w:rsidRPr="001F4AEC">
          <w:rPr>
            <w:rStyle w:val="Hyperlink"/>
            <w:rFonts w:ascii="Calibri" w:hAnsi="Calibri" w:cs="Calibri"/>
            <w:i/>
            <w:noProof/>
          </w:rPr>
          <w:t>Ključni zbirni podaci prema DEA informacijama po klimatskim zonama</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_Toc82415541 \h </w:instrText>
        </w:r>
        <w:r w:rsidR="001F4AEC" w:rsidRPr="001F4AEC">
          <w:rPr>
            <w:i/>
            <w:noProof/>
            <w:webHidden/>
          </w:rPr>
        </w:r>
        <w:r w:rsidR="001F4AEC" w:rsidRPr="001F4AEC">
          <w:rPr>
            <w:i/>
            <w:noProof/>
            <w:webHidden/>
          </w:rPr>
          <w:fldChar w:fldCharType="separate"/>
        </w:r>
        <w:r w:rsidR="001F4AEC" w:rsidRPr="001F4AEC">
          <w:rPr>
            <w:i/>
            <w:noProof/>
            <w:webHidden/>
          </w:rPr>
          <w:t>45</w:t>
        </w:r>
        <w:r w:rsidR="001F4AEC" w:rsidRPr="001F4AEC">
          <w:rPr>
            <w:i/>
            <w:noProof/>
            <w:webHidden/>
          </w:rPr>
          <w:fldChar w:fldCharType="end"/>
        </w:r>
      </w:hyperlink>
    </w:p>
    <w:p w14:paraId="6976A385" w14:textId="7972289C"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42" w:history="1">
        <w:r w:rsidR="001F4AEC" w:rsidRPr="001F4AEC">
          <w:rPr>
            <w:rStyle w:val="Hyperlink"/>
            <w:rFonts w:ascii="Calibri" w:hAnsi="Calibri"/>
            <w:i/>
            <w:noProof/>
          </w:rPr>
          <w:t xml:space="preserve">Tabela 9 </w:t>
        </w:r>
        <w:r w:rsidR="001F4AEC" w:rsidRPr="001F4AEC">
          <w:rPr>
            <w:rStyle w:val="Hyperlink"/>
            <w:rFonts w:ascii="Calibri" w:hAnsi="Calibri" w:cs="Calibri"/>
            <w:i/>
            <w:noProof/>
          </w:rPr>
          <w:t>Potencijal za uštedu energije u javnim zgradama u Crnoj Gori</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_Toc82415542 \h </w:instrText>
        </w:r>
        <w:r w:rsidR="001F4AEC" w:rsidRPr="001F4AEC">
          <w:rPr>
            <w:i/>
            <w:noProof/>
            <w:webHidden/>
          </w:rPr>
        </w:r>
        <w:r w:rsidR="001F4AEC" w:rsidRPr="001F4AEC">
          <w:rPr>
            <w:i/>
            <w:noProof/>
            <w:webHidden/>
          </w:rPr>
          <w:fldChar w:fldCharType="separate"/>
        </w:r>
        <w:r w:rsidR="001F4AEC" w:rsidRPr="001F4AEC">
          <w:rPr>
            <w:i/>
            <w:noProof/>
            <w:webHidden/>
          </w:rPr>
          <w:t>47</w:t>
        </w:r>
        <w:r w:rsidR="001F4AEC" w:rsidRPr="001F4AEC">
          <w:rPr>
            <w:i/>
            <w:noProof/>
            <w:webHidden/>
          </w:rPr>
          <w:fldChar w:fldCharType="end"/>
        </w:r>
      </w:hyperlink>
    </w:p>
    <w:p w14:paraId="076C14D0" w14:textId="3A5622D3"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43" w:history="1">
        <w:r w:rsidR="001F4AEC" w:rsidRPr="001F4AEC">
          <w:rPr>
            <w:rStyle w:val="Hyperlink"/>
            <w:rFonts w:ascii="Calibri" w:hAnsi="Calibri"/>
            <w:i/>
            <w:noProof/>
          </w:rPr>
          <w:t>Tabela 10 Rezultati projekta, za obuhvaćene objekte</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_Toc82415543 \h </w:instrText>
        </w:r>
        <w:r w:rsidR="001F4AEC" w:rsidRPr="001F4AEC">
          <w:rPr>
            <w:i/>
            <w:noProof/>
            <w:webHidden/>
          </w:rPr>
        </w:r>
        <w:r w:rsidR="001F4AEC" w:rsidRPr="001F4AEC">
          <w:rPr>
            <w:i/>
            <w:noProof/>
            <w:webHidden/>
          </w:rPr>
          <w:fldChar w:fldCharType="separate"/>
        </w:r>
        <w:r w:rsidR="001F4AEC" w:rsidRPr="001F4AEC">
          <w:rPr>
            <w:i/>
            <w:noProof/>
            <w:webHidden/>
          </w:rPr>
          <w:t>49</w:t>
        </w:r>
        <w:r w:rsidR="001F4AEC" w:rsidRPr="001F4AEC">
          <w:rPr>
            <w:i/>
            <w:noProof/>
            <w:webHidden/>
          </w:rPr>
          <w:fldChar w:fldCharType="end"/>
        </w:r>
      </w:hyperlink>
    </w:p>
    <w:p w14:paraId="58672DD4" w14:textId="1F4F8C0C"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44" w:history="1">
        <w:r w:rsidR="001F4AEC" w:rsidRPr="001F4AEC">
          <w:rPr>
            <w:rStyle w:val="Hyperlink"/>
            <w:rFonts w:ascii="Calibri" w:hAnsi="Calibri"/>
            <w:i/>
            <w:noProof/>
          </w:rPr>
          <w:t>Tabela 11 Vozni park Komunalne policije (2019.)</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_Toc82415544 \h </w:instrText>
        </w:r>
        <w:r w:rsidR="001F4AEC" w:rsidRPr="001F4AEC">
          <w:rPr>
            <w:i/>
            <w:noProof/>
            <w:webHidden/>
          </w:rPr>
        </w:r>
        <w:r w:rsidR="001F4AEC" w:rsidRPr="001F4AEC">
          <w:rPr>
            <w:i/>
            <w:noProof/>
            <w:webHidden/>
          </w:rPr>
          <w:fldChar w:fldCharType="separate"/>
        </w:r>
        <w:r w:rsidR="001F4AEC" w:rsidRPr="001F4AEC">
          <w:rPr>
            <w:i/>
            <w:noProof/>
            <w:webHidden/>
          </w:rPr>
          <w:t>50</w:t>
        </w:r>
        <w:r w:rsidR="001F4AEC" w:rsidRPr="001F4AEC">
          <w:rPr>
            <w:i/>
            <w:noProof/>
            <w:webHidden/>
          </w:rPr>
          <w:fldChar w:fldCharType="end"/>
        </w:r>
      </w:hyperlink>
    </w:p>
    <w:p w14:paraId="0955F5AF" w14:textId="1F34063E"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45" w:history="1">
        <w:r w:rsidR="001F4AEC" w:rsidRPr="001F4AEC">
          <w:rPr>
            <w:rStyle w:val="Hyperlink"/>
            <w:rFonts w:ascii="Calibri" w:hAnsi="Calibri"/>
            <w:i/>
            <w:noProof/>
          </w:rPr>
          <w:t>Tabela 12 Vozila koje je potrebno zamijeniti iz voznog parka Komunalne policije</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_Toc82415545 \h </w:instrText>
        </w:r>
        <w:r w:rsidR="001F4AEC" w:rsidRPr="001F4AEC">
          <w:rPr>
            <w:i/>
            <w:noProof/>
            <w:webHidden/>
          </w:rPr>
        </w:r>
        <w:r w:rsidR="001F4AEC" w:rsidRPr="001F4AEC">
          <w:rPr>
            <w:i/>
            <w:noProof/>
            <w:webHidden/>
          </w:rPr>
          <w:fldChar w:fldCharType="separate"/>
        </w:r>
        <w:r w:rsidR="001F4AEC" w:rsidRPr="001F4AEC">
          <w:rPr>
            <w:i/>
            <w:noProof/>
            <w:webHidden/>
          </w:rPr>
          <w:t>51</w:t>
        </w:r>
        <w:r w:rsidR="001F4AEC" w:rsidRPr="001F4AEC">
          <w:rPr>
            <w:i/>
            <w:noProof/>
            <w:webHidden/>
          </w:rPr>
          <w:fldChar w:fldCharType="end"/>
        </w:r>
      </w:hyperlink>
    </w:p>
    <w:p w14:paraId="41BF01FB" w14:textId="56BBE700"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46" w:history="1">
        <w:r w:rsidR="001F4AEC" w:rsidRPr="001F4AEC">
          <w:rPr>
            <w:rStyle w:val="Hyperlink"/>
            <w:rFonts w:ascii="Calibri" w:hAnsi="Calibri"/>
            <w:i/>
            <w:noProof/>
          </w:rPr>
          <w:t>Tabela 13 Pretpostavke za analizu – javni sektor</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_Toc82415546 \h </w:instrText>
        </w:r>
        <w:r w:rsidR="001F4AEC" w:rsidRPr="001F4AEC">
          <w:rPr>
            <w:i/>
            <w:noProof/>
            <w:webHidden/>
          </w:rPr>
        </w:r>
        <w:r w:rsidR="001F4AEC" w:rsidRPr="001F4AEC">
          <w:rPr>
            <w:i/>
            <w:noProof/>
            <w:webHidden/>
          </w:rPr>
          <w:fldChar w:fldCharType="separate"/>
        </w:r>
        <w:r w:rsidR="001F4AEC" w:rsidRPr="001F4AEC">
          <w:rPr>
            <w:i/>
            <w:noProof/>
            <w:webHidden/>
          </w:rPr>
          <w:t>52</w:t>
        </w:r>
        <w:r w:rsidR="001F4AEC" w:rsidRPr="001F4AEC">
          <w:rPr>
            <w:i/>
            <w:noProof/>
            <w:webHidden/>
          </w:rPr>
          <w:fldChar w:fldCharType="end"/>
        </w:r>
      </w:hyperlink>
    </w:p>
    <w:p w14:paraId="57BBD7FE" w14:textId="4C66D387" w:rsidR="001F4AEC" w:rsidRDefault="003F3794">
      <w:pPr>
        <w:pStyle w:val="TableofFigures"/>
        <w:tabs>
          <w:tab w:val="right" w:leader="dot" w:pos="9016"/>
        </w:tabs>
        <w:rPr>
          <w:rFonts w:eastAsiaTheme="minorEastAsia" w:cstheme="minorBidi"/>
          <w:b w:val="0"/>
          <w:bCs w:val="0"/>
          <w:noProof/>
          <w:sz w:val="22"/>
          <w:szCs w:val="22"/>
          <w:lang w:val="en-US"/>
        </w:rPr>
      </w:pPr>
      <w:hyperlink w:anchor="_Toc82415547" w:history="1">
        <w:r w:rsidR="001F4AEC" w:rsidRPr="001F4AEC">
          <w:rPr>
            <w:rStyle w:val="Hyperlink"/>
            <w:rFonts w:ascii="Calibri" w:hAnsi="Calibri"/>
            <w:i/>
            <w:noProof/>
          </w:rPr>
          <w:t>Tabela 14 Rezultati finansijskog proračuna - Komunalna policija</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_Toc82415547 \h </w:instrText>
        </w:r>
        <w:r w:rsidR="001F4AEC" w:rsidRPr="001F4AEC">
          <w:rPr>
            <w:i/>
            <w:noProof/>
            <w:webHidden/>
          </w:rPr>
        </w:r>
        <w:r w:rsidR="001F4AEC" w:rsidRPr="001F4AEC">
          <w:rPr>
            <w:i/>
            <w:noProof/>
            <w:webHidden/>
          </w:rPr>
          <w:fldChar w:fldCharType="separate"/>
        </w:r>
        <w:r w:rsidR="001F4AEC" w:rsidRPr="001F4AEC">
          <w:rPr>
            <w:i/>
            <w:noProof/>
            <w:webHidden/>
          </w:rPr>
          <w:t>53</w:t>
        </w:r>
        <w:r w:rsidR="001F4AEC" w:rsidRPr="001F4AEC">
          <w:rPr>
            <w:i/>
            <w:noProof/>
            <w:webHidden/>
          </w:rPr>
          <w:fldChar w:fldCharType="end"/>
        </w:r>
      </w:hyperlink>
    </w:p>
    <w:p w14:paraId="7EC7360E" w14:textId="777681BA" w:rsidR="002A6A75" w:rsidRPr="00D836D6" w:rsidRDefault="005B0A4D" w:rsidP="002A6A75">
      <w:pPr>
        <w:rPr>
          <w:i/>
        </w:rPr>
      </w:pPr>
      <w:r w:rsidRPr="00D836D6">
        <w:rPr>
          <w:i/>
        </w:rPr>
        <w:fldChar w:fldCharType="end"/>
      </w:r>
    </w:p>
    <w:p w14:paraId="69422FC6" w14:textId="2AF55EF6" w:rsidR="00D836D6" w:rsidRPr="00D836D6" w:rsidRDefault="002A6A75">
      <w:pPr>
        <w:pStyle w:val="TableofFigures"/>
        <w:tabs>
          <w:tab w:val="right" w:leader="dot" w:pos="9016"/>
        </w:tabs>
        <w:rPr>
          <w:rFonts w:eastAsiaTheme="minorEastAsia" w:cstheme="minorBidi"/>
          <w:i/>
          <w:noProof/>
          <w:lang w:val="en-US"/>
        </w:rPr>
      </w:pPr>
      <w:r w:rsidRPr="00D836D6">
        <w:rPr>
          <w:i/>
        </w:rPr>
        <w:fldChar w:fldCharType="begin"/>
      </w:r>
      <w:r w:rsidRPr="00D836D6">
        <w:rPr>
          <w:i/>
        </w:rPr>
        <w:instrText xml:space="preserve"> TOC \h \z \c "Figure" </w:instrText>
      </w:r>
      <w:r w:rsidRPr="00D836D6">
        <w:rPr>
          <w:i/>
        </w:rPr>
        <w:fldChar w:fldCharType="separate"/>
      </w:r>
      <w:hyperlink w:anchor="_Toc82087077" w:history="1">
        <w:r w:rsidR="00D836D6" w:rsidRPr="00D836D6">
          <w:rPr>
            <w:rStyle w:val="Hyperlink"/>
            <w:i/>
            <w:noProof/>
          </w:rPr>
          <w:t>Grafik 1 Rashodi za materijal, % učešće, 2020. godina</w:t>
        </w:r>
        <w:r w:rsidR="00D836D6" w:rsidRPr="00D836D6">
          <w:rPr>
            <w:i/>
            <w:noProof/>
            <w:webHidden/>
          </w:rPr>
          <w:tab/>
        </w:r>
        <w:r w:rsidR="00D836D6" w:rsidRPr="00D836D6">
          <w:rPr>
            <w:i/>
            <w:noProof/>
            <w:webHidden/>
          </w:rPr>
          <w:fldChar w:fldCharType="begin"/>
        </w:r>
        <w:r w:rsidR="00D836D6" w:rsidRPr="00D836D6">
          <w:rPr>
            <w:i/>
            <w:noProof/>
            <w:webHidden/>
          </w:rPr>
          <w:instrText xml:space="preserve"> PAGEREF _Toc82087077 \h </w:instrText>
        </w:r>
        <w:r w:rsidR="00D836D6" w:rsidRPr="00D836D6">
          <w:rPr>
            <w:i/>
            <w:noProof/>
            <w:webHidden/>
          </w:rPr>
        </w:r>
        <w:r w:rsidR="00D836D6" w:rsidRPr="00D836D6">
          <w:rPr>
            <w:i/>
            <w:noProof/>
            <w:webHidden/>
          </w:rPr>
          <w:fldChar w:fldCharType="separate"/>
        </w:r>
        <w:r w:rsidR="00D836D6" w:rsidRPr="00D836D6">
          <w:rPr>
            <w:i/>
            <w:noProof/>
            <w:webHidden/>
          </w:rPr>
          <w:t>22</w:t>
        </w:r>
        <w:r w:rsidR="00D836D6" w:rsidRPr="00D836D6">
          <w:rPr>
            <w:i/>
            <w:noProof/>
            <w:webHidden/>
          </w:rPr>
          <w:fldChar w:fldCharType="end"/>
        </w:r>
      </w:hyperlink>
    </w:p>
    <w:p w14:paraId="2B2FB518" w14:textId="1D0C659A" w:rsidR="00D836D6" w:rsidRPr="00D836D6" w:rsidRDefault="003F3794">
      <w:pPr>
        <w:pStyle w:val="TableofFigures"/>
        <w:tabs>
          <w:tab w:val="right" w:leader="dot" w:pos="9016"/>
        </w:tabs>
        <w:rPr>
          <w:rFonts w:eastAsiaTheme="minorEastAsia" w:cstheme="minorBidi"/>
          <w:i/>
          <w:noProof/>
          <w:lang w:val="en-US"/>
        </w:rPr>
      </w:pPr>
      <w:hyperlink w:anchor="_Toc82087078" w:history="1">
        <w:r w:rsidR="00D836D6" w:rsidRPr="00D836D6">
          <w:rPr>
            <w:rStyle w:val="Hyperlink"/>
            <w:i/>
            <w:noProof/>
          </w:rPr>
          <w:t>Grafik 2 Rashodi za gorivo i energiju, u Eur, 2016-2020. godina</w:t>
        </w:r>
        <w:r w:rsidR="00D836D6" w:rsidRPr="00D836D6">
          <w:rPr>
            <w:i/>
            <w:noProof/>
            <w:webHidden/>
          </w:rPr>
          <w:tab/>
        </w:r>
        <w:r w:rsidR="00D836D6" w:rsidRPr="00D836D6">
          <w:rPr>
            <w:i/>
            <w:noProof/>
            <w:webHidden/>
          </w:rPr>
          <w:fldChar w:fldCharType="begin"/>
        </w:r>
        <w:r w:rsidR="00D836D6" w:rsidRPr="00D836D6">
          <w:rPr>
            <w:i/>
            <w:noProof/>
            <w:webHidden/>
          </w:rPr>
          <w:instrText xml:space="preserve"> PAGEREF _Toc82087078 \h </w:instrText>
        </w:r>
        <w:r w:rsidR="00D836D6" w:rsidRPr="00D836D6">
          <w:rPr>
            <w:i/>
            <w:noProof/>
            <w:webHidden/>
          </w:rPr>
        </w:r>
        <w:r w:rsidR="00D836D6" w:rsidRPr="00D836D6">
          <w:rPr>
            <w:i/>
            <w:noProof/>
            <w:webHidden/>
          </w:rPr>
          <w:fldChar w:fldCharType="separate"/>
        </w:r>
        <w:r w:rsidR="00D836D6" w:rsidRPr="00D836D6">
          <w:rPr>
            <w:i/>
            <w:noProof/>
            <w:webHidden/>
          </w:rPr>
          <w:t>23</w:t>
        </w:r>
        <w:r w:rsidR="00D836D6" w:rsidRPr="00D836D6">
          <w:rPr>
            <w:i/>
            <w:noProof/>
            <w:webHidden/>
          </w:rPr>
          <w:fldChar w:fldCharType="end"/>
        </w:r>
      </w:hyperlink>
    </w:p>
    <w:p w14:paraId="60431E5A" w14:textId="39CDF822" w:rsidR="00D836D6" w:rsidRPr="00D836D6" w:rsidRDefault="003F3794">
      <w:pPr>
        <w:pStyle w:val="TableofFigures"/>
        <w:tabs>
          <w:tab w:val="right" w:leader="dot" w:pos="9016"/>
        </w:tabs>
        <w:rPr>
          <w:rFonts w:eastAsiaTheme="minorEastAsia" w:cstheme="minorBidi"/>
          <w:i/>
          <w:noProof/>
          <w:lang w:val="en-US"/>
        </w:rPr>
      </w:pPr>
      <w:hyperlink w:anchor="_Toc82087079" w:history="1">
        <w:r w:rsidR="00D836D6" w:rsidRPr="00D836D6">
          <w:rPr>
            <w:rStyle w:val="Hyperlink"/>
            <w:i/>
            <w:noProof/>
          </w:rPr>
          <w:t>Grafik 3 Učešće rashoda za materijal i rashoda za gorivo u BDP, 2016-2019. godina, %</w:t>
        </w:r>
        <w:r w:rsidR="00D836D6" w:rsidRPr="00D836D6">
          <w:rPr>
            <w:i/>
            <w:noProof/>
            <w:webHidden/>
          </w:rPr>
          <w:tab/>
        </w:r>
        <w:r w:rsidR="00D836D6" w:rsidRPr="00D836D6">
          <w:rPr>
            <w:i/>
            <w:noProof/>
            <w:webHidden/>
          </w:rPr>
          <w:fldChar w:fldCharType="begin"/>
        </w:r>
        <w:r w:rsidR="00D836D6" w:rsidRPr="00D836D6">
          <w:rPr>
            <w:i/>
            <w:noProof/>
            <w:webHidden/>
          </w:rPr>
          <w:instrText xml:space="preserve"> PAGEREF _Toc82087079 \h </w:instrText>
        </w:r>
        <w:r w:rsidR="00D836D6" w:rsidRPr="00D836D6">
          <w:rPr>
            <w:i/>
            <w:noProof/>
            <w:webHidden/>
          </w:rPr>
        </w:r>
        <w:r w:rsidR="00D836D6" w:rsidRPr="00D836D6">
          <w:rPr>
            <w:i/>
            <w:noProof/>
            <w:webHidden/>
          </w:rPr>
          <w:fldChar w:fldCharType="separate"/>
        </w:r>
        <w:r w:rsidR="00D836D6" w:rsidRPr="00D836D6">
          <w:rPr>
            <w:i/>
            <w:noProof/>
            <w:webHidden/>
          </w:rPr>
          <w:t>23</w:t>
        </w:r>
        <w:r w:rsidR="00D836D6" w:rsidRPr="00D836D6">
          <w:rPr>
            <w:i/>
            <w:noProof/>
            <w:webHidden/>
          </w:rPr>
          <w:fldChar w:fldCharType="end"/>
        </w:r>
      </w:hyperlink>
    </w:p>
    <w:p w14:paraId="09F04B39" w14:textId="539F749D" w:rsidR="00D836D6" w:rsidRPr="00D836D6" w:rsidRDefault="003F3794">
      <w:pPr>
        <w:pStyle w:val="TableofFigures"/>
        <w:tabs>
          <w:tab w:val="right" w:leader="dot" w:pos="9016"/>
        </w:tabs>
        <w:rPr>
          <w:rFonts w:eastAsiaTheme="minorEastAsia" w:cstheme="minorBidi"/>
          <w:i/>
          <w:noProof/>
          <w:lang w:val="en-US"/>
        </w:rPr>
      </w:pPr>
      <w:hyperlink w:anchor="_Toc82087080" w:history="1">
        <w:r w:rsidR="00D836D6" w:rsidRPr="00D836D6">
          <w:rPr>
            <w:rStyle w:val="Hyperlink"/>
            <w:i/>
            <w:noProof/>
          </w:rPr>
          <w:t>Grafik 4 Rashodi za materijal i administrativni materijal, u Eur, 2016-2020. godina</w:t>
        </w:r>
        <w:r w:rsidR="00D836D6" w:rsidRPr="00D836D6">
          <w:rPr>
            <w:i/>
            <w:noProof/>
            <w:webHidden/>
          </w:rPr>
          <w:tab/>
        </w:r>
        <w:r w:rsidR="00D836D6" w:rsidRPr="00D836D6">
          <w:rPr>
            <w:i/>
            <w:noProof/>
            <w:webHidden/>
          </w:rPr>
          <w:fldChar w:fldCharType="begin"/>
        </w:r>
        <w:r w:rsidR="00D836D6" w:rsidRPr="00D836D6">
          <w:rPr>
            <w:i/>
            <w:noProof/>
            <w:webHidden/>
          </w:rPr>
          <w:instrText xml:space="preserve"> PAGEREF _Toc82087080 \h </w:instrText>
        </w:r>
        <w:r w:rsidR="00D836D6" w:rsidRPr="00D836D6">
          <w:rPr>
            <w:i/>
            <w:noProof/>
            <w:webHidden/>
          </w:rPr>
        </w:r>
        <w:r w:rsidR="00D836D6" w:rsidRPr="00D836D6">
          <w:rPr>
            <w:i/>
            <w:noProof/>
            <w:webHidden/>
          </w:rPr>
          <w:fldChar w:fldCharType="separate"/>
        </w:r>
        <w:r w:rsidR="00D836D6" w:rsidRPr="00D836D6">
          <w:rPr>
            <w:i/>
            <w:noProof/>
            <w:webHidden/>
          </w:rPr>
          <w:t>24</w:t>
        </w:r>
        <w:r w:rsidR="00D836D6" w:rsidRPr="00D836D6">
          <w:rPr>
            <w:i/>
            <w:noProof/>
            <w:webHidden/>
          </w:rPr>
          <w:fldChar w:fldCharType="end"/>
        </w:r>
      </w:hyperlink>
    </w:p>
    <w:p w14:paraId="62828C17" w14:textId="2698732D" w:rsidR="00D836D6" w:rsidRPr="00D836D6" w:rsidRDefault="003F3794">
      <w:pPr>
        <w:pStyle w:val="TableofFigures"/>
        <w:tabs>
          <w:tab w:val="right" w:leader="dot" w:pos="9016"/>
        </w:tabs>
        <w:rPr>
          <w:rFonts w:eastAsiaTheme="minorEastAsia" w:cstheme="minorBidi"/>
          <w:i/>
          <w:noProof/>
          <w:lang w:val="en-US"/>
        </w:rPr>
      </w:pPr>
      <w:hyperlink w:anchor="_Toc82087081" w:history="1">
        <w:r w:rsidR="00D836D6" w:rsidRPr="00D836D6">
          <w:rPr>
            <w:rStyle w:val="Hyperlink"/>
            <w:i/>
            <w:noProof/>
          </w:rPr>
          <w:t xml:space="preserve">Grafik 5 </w:t>
        </w:r>
        <w:r w:rsidR="00D836D6" w:rsidRPr="00D836D6">
          <w:rPr>
            <w:rStyle w:val="Hyperlink"/>
            <w:rFonts w:cs="Calibri"/>
            <w:i/>
            <w:noProof/>
          </w:rPr>
          <w:t>Stvaranje komunalnog otpada, 2009 i 2019. godina (kilograma po stanovniku)</w:t>
        </w:r>
        <w:r w:rsidR="00D836D6" w:rsidRPr="00D836D6">
          <w:rPr>
            <w:i/>
            <w:noProof/>
            <w:webHidden/>
          </w:rPr>
          <w:tab/>
        </w:r>
        <w:r w:rsidR="00D836D6" w:rsidRPr="00D836D6">
          <w:rPr>
            <w:i/>
            <w:noProof/>
            <w:webHidden/>
          </w:rPr>
          <w:fldChar w:fldCharType="begin"/>
        </w:r>
        <w:r w:rsidR="00D836D6" w:rsidRPr="00D836D6">
          <w:rPr>
            <w:i/>
            <w:noProof/>
            <w:webHidden/>
          </w:rPr>
          <w:instrText xml:space="preserve"> PAGEREF _Toc82087081 \h </w:instrText>
        </w:r>
        <w:r w:rsidR="00D836D6" w:rsidRPr="00D836D6">
          <w:rPr>
            <w:i/>
            <w:noProof/>
            <w:webHidden/>
          </w:rPr>
        </w:r>
        <w:r w:rsidR="00D836D6" w:rsidRPr="00D836D6">
          <w:rPr>
            <w:i/>
            <w:noProof/>
            <w:webHidden/>
          </w:rPr>
          <w:fldChar w:fldCharType="separate"/>
        </w:r>
        <w:r w:rsidR="00D836D6" w:rsidRPr="00D836D6">
          <w:rPr>
            <w:i/>
            <w:noProof/>
            <w:webHidden/>
          </w:rPr>
          <w:t>33</w:t>
        </w:r>
        <w:r w:rsidR="00D836D6" w:rsidRPr="00D836D6">
          <w:rPr>
            <w:i/>
            <w:noProof/>
            <w:webHidden/>
          </w:rPr>
          <w:fldChar w:fldCharType="end"/>
        </w:r>
      </w:hyperlink>
    </w:p>
    <w:p w14:paraId="45454C03" w14:textId="5D9DD628" w:rsidR="00D836D6" w:rsidRPr="00D836D6" w:rsidRDefault="003F3794">
      <w:pPr>
        <w:pStyle w:val="TableofFigures"/>
        <w:tabs>
          <w:tab w:val="right" w:leader="dot" w:pos="9016"/>
        </w:tabs>
        <w:rPr>
          <w:rFonts w:eastAsiaTheme="minorEastAsia" w:cstheme="minorBidi"/>
          <w:i/>
          <w:noProof/>
          <w:lang w:val="en-US"/>
        </w:rPr>
      </w:pPr>
      <w:hyperlink w:anchor="_Toc82087082" w:history="1">
        <w:r w:rsidR="00D836D6" w:rsidRPr="00D836D6">
          <w:rPr>
            <w:rStyle w:val="Hyperlink"/>
            <w:i/>
            <w:noProof/>
          </w:rPr>
          <w:t>Grafik 6 Osobe koje opslužuju službe za sakupljanje komunalnog otpada, 2014. i 2019</w:t>
        </w:r>
        <w:r w:rsidR="00D836D6" w:rsidRPr="00D836D6">
          <w:rPr>
            <w:i/>
            <w:noProof/>
            <w:webHidden/>
          </w:rPr>
          <w:tab/>
        </w:r>
        <w:r w:rsidR="00D836D6" w:rsidRPr="00D836D6">
          <w:rPr>
            <w:i/>
            <w:noProof/>
            <w:webHidden/>
          </w:rPr>
          <w:fldChar w:fldCharType="begin"/>
        </w:r>
        <w:r w:rsidR="00D836D6" w:rsidRPr="00D836D6">
          <w:rPr>
            <w:i/>
            <w:noProof/>
            <w:webHidden/>
          </w:rPr>
          <w:instrText xml:space="preserve"> PAGEREF _Toc82087082 \h </w:instrText>
        </w:r>
        <w:r w:rsidR="00D836D6" w:rsidRPr="00D836D6">
          <w:rPr>
            <w:i/>
            <w:noProof/>
            <w:webHidden/>
          </w:rPr>
        </w:r>
        <w:r w:rsidR="00D836D6" w:rsidRPr="00D836D6">
          <w:rPr>
            <w:i/>
            <w:noProof/>
            <w:webHidden/>
          </w:rPr>
          <w:fldChar w:fldCharType="separate"/>
        </w:r>
        <w:r w:rsidR="00D836D6" w:rsidRPr="00D836D6">
          <w:rPr>
            <w:i/>
            <w:noProof/>
            <w:webHidden/>
          </w:rPr>
          <w:t>34</w:t>
        </w:r>
        <w:r w:rsidR="00D836D6" w:rsidRPr="00D836D6">
          <w:rPr>
            <w:i/>
            <w:noProof/>
            <w:webHidden/>
          </w:rPr>
          <w:fldChar w:fldCharType="end"/>
        </w:r>
      </w:hyperlink>
    </w:p>
    <w:p w14:paraId="0E81DA05" w14:textId="7FFFFE94" w:rsidR="00D836D6" w:rsidRPr="00D836D6" w:rsidRDefault="003F3794">
      <w:pPr>
        <w:pStyle w:val="TableofFigures"/>
        <w:tabs>
          <w:tab w:val="right" w:leader="dot" w:pos="9016"/>
        </w:tabs>
        <w:rPr>
          <w:rFonts w:eastAsiaTheme="minorEastAsia" w:cstheme="minorBidi"/>
          <w:i/>
          <w:noProof/>
          <w:lang w:val="en-US"/>
        </w:rPr>
      </w:pPr>
      <w:hyperlink w:anchor="_Toc82087083" w:history="1">
        <w:r w:rsidR="00D836D6" w:rsidRPr="00D836D6">
          <w:rPr>
            <w:rStyle w:val="Hyperlink"/>
            <w:rFonts w:cs="Calibri"/>
            <w:i/>
            <w:noProof/>
          </w:rPr>
          <w:t>Grafik 7 Crpljenje slatke vode, 2014. i 2019. godina (% učešća/udjela raspoloživih resursa)</w:t>
        </w:r>
        <w:r w:rsidR="00D836D6" w:rsidRPr="00D836D6">
          <w:rPr>
            <w:i/>
            <w:noProof/>
            <w:webHidden/>
          </w:rPr>
          <w:tab/>
        </w:r>
        <w:r w:rsidR="00D836D6" w:rsidRPr="00D836D6">
          <w:rPr>
            <w:i/>
            <w:noProof/>
            <w:webHidden/>
          </w:rPr>
          <w:fldChar w:fldCharType="begin"/>
        </w:r>
        <w:r w:rsidR="00D836D6" w:rsidRPr="00D836D6">
          <w:rPr>
            <w:i/>
            <w:noProof/>
            <w:webHidden/>
          </w:rPr>
          <w:instrText xml:space="preserve"> PAGEREF _Toc82087083 \h </w:instrText>
        </w:r>
        <w:r w:rsidR="00D836D6" w:rsidRPr="00D836D6">
          <w:rPr>
            <w:i/>
            <w:noProof/>
            <w:webHidden/>
          </w:rPr>
        </w:r>
        <w:r w:rsidR="00D836D6" w:rsidRPr="00D836D6">
          <w:rPr>
            <w:i/>
            <w:noProof/>
            <w:webHidden/>
          </w:rPr>
          <w:fldChar w:fldCharType="separate"/>
        </w:r>
        <w:r w:rsidR="00D836D6" w:rsidRPr="00D836D6">
          <w:rPr>
            <w:i/>
            <w:noProof/>
            <w:webHidden/>
          </w:rPr>
          <w:t>35</w:t>
        </w:r>
        <w:r w:rsidR="00D836D6" w:rsidRPr="00D836D6">
          <w:rPr>
            <w:i/>
            <w:noProof/>
            <w:webHidden/>
          </w:rPr>
          <w:fldChar w:fldCharType="end"/>
        </w:r>
      </w:hyperlink>
    </w:p>
    <w:p w14:paraId="15B3B67F" w14:textId="4D12E759" w:rsidR="005B0A4D" w:rsidRPr="00D836D6" w:rsidRDefault="002A6A75" w:rsidP="005B0A4D">
      <w:pPr>
        <w:rPr>
          <w:i/>
        </w:rPr>
      </w:pPr>
      <w:r w:rsidRPr="00D836D6">
        <w:rPr>
          <w:i/>
        </w:rPr>
        <w:fldChar w:fldCharType="end"/>
      </w:r>
    </w:p>
    <w:p w14:paraId="1BC62C91" w14:textId="3C26293F" w:rsidR="001F4AEC" w:rsidRPr="001F4AEC" w:rsidRDefault="003A5888">
      <w:pPr>
        <w:pStyle w:val="TableofFigures"/>
        <w:tabs>
          <w:tab w:val="right" w:leader="dot" w:pos="9016"/>
        </w:tabs>
        <w:rPr>
          <w:rFonts w:eastAsiaTheme="minorEastAsia" w:cstheme="minorBidi"/>
          <w:b w:val="0"/>
          <w:bCs w:val="0"/>
          <w:i/>
          <w:noProof/>
          <w:sz w:val="22"/>
          <w:szCs w:val="22"/>
          <w:lang w:val="en-US"/>
        </w:rPr>
      </w:pPr>
      <w:r w:rsidRPr="00D836D6">
        <w:rPr>
          <w:i/>
        </w:rPr>
        <w:fldChar w:fldCharType="begin"/>
      </w:r>
      <w:r w:rsidRPr="00D836D6">
        <w:rPr>
          <w:i/>
        </w:rPr>
        <w:instrText xml:space="preserve"> TOC \h \z \c "Equation" </w:instrText>
      </w:r>
      <w:r w:rsidRPr="00D836D6">
        <w:rPr>
          <w:i/>
        </w:rPr>
        <w:fldChar w:fldCharType="separate"/>
      </w:r>
      <w:hyperlink w:anchor="_Toc82415548" w:history="1">
        <w:r w:rsidR="001F4AEC" w:rsidRPr="001F4AEC">
          <w:rPr>
            <w:rStyle w:val="Hyperlink"/>
            <w:rFonts w:ascii="Calibri" w:hAnsi="Calibri"/>
            <w:i/>
            <w:noProof/>
          </w:rPr>
          <w:t>Slika 1 Logička karta prednosti za kupovinu ekološki prihvatljivih proizvoda</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_Toc82415548 \h </w:instrText>
        </w:r>
        <w:r w:rsidR="001F4AEC" w:rsidRPr="001F4AEC">
          <w:rPr>
            <w:i/>
            <w:noProof/>
            <w:webHidden/>
          </w:rPr>
        </w:r>
        <w:r w:rsidR="001F4AEC" w:rsidRPr="001F4AEC">
          <w:rPr>
            <w:i/>
            <w:noProof/>
            <w:webHidden/>
          </w:rPr>
          <w:fldChar w:fldCharType="separate"/>
        </w:r>
        <w:r w:rsidR="001F4AEC" w:rsidRPr="001F4AEC">
          <w:rPr>
            <w:i/>
            <w:noProof/>
            <w:webHidden/>
          </w:rPr>
          <w:t>13</w:t>
        </w:r>
        <w:r w:rsidR="001F4AEC" w:rsidRPr="001F4AEC">
          <w:rPr>
            <w:i/>
            <w:noProof/>
            <w:webHidden/>
          </w:rPr>
          <w:fldChar w:fldCharType="end"/>
        </w:r>
      </w:hyperlink>
    </w:p>
    <w:p w14:paraId="1CA88846" w14:textId="56E4C60D"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49" w:history="1">
        <w:r w:rsidR="001F4AEC" w:rsidRPr="001F4AEC">
          <w:rPr>
            <w:rStyle w:val="Hyperlink"/>
            <w:rFonts w:ascii="Calibri" w:hAnsi="Calibri"/>
            <w:i/>
            <w:noProof/>
          </w:rPr>
          <w:t>Slika 2 Pet faza u procesu unapređenja Sistema upravljanja otpadom</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_Toc82415549 \h </w:instrText>
        </w:r>
        <w:r w:rsidR="001F4AEC" w:rsidRPr="001F4AEC">
          <w:rPr>
            <w:i/>
            <w:noProof/>
            <w:webHidden/>
          </w:rPr>
        </w:r>
        <w:r w:rsidR="001F4AEC" w:rsidRPr="001F4AEC">
          <w:rPr>
            <w:i/>
            <w:noProof/>
            <w:webHidden/>
          </w:rPr>
          <w:fldChar w:fldCharType="separate"/>
        </w:r>
        <w:r w:rsidR="001F4AEC" w:rsidRPr="001F4AEC">
          <w:rPr>
            <w:i/>
            <w:noProof/>
            <w:webHidden/>
          </w:rPr>
          <w:t>29</w:t>
        </w:r>
        <w:r w:rsidR="001F4AEC" w:rsidRPr="001F4AEC">
          <w:rPr>
            <w:i/>
            <w:noProof/>
            <w:webHidden/>
          </w:rPr>
          <w:fldChar w:fldCharType="end"/>
        </w:r>
      </w:hyperlink>
    </w:p>
    <w:p w14:paraId="0880B7DB" w14:textId="2A654646"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50" w:history="1">
        <w:r w:rsidR="001F4AEC" w:rsidRPr="001F4AEC">
          <w:rPr>
            <w:rStyle w:val="Hyperlink"/>
            <w:rFonts w:ascii="Calibri" w:hAnsi="Calibri"/>
            <w:i/>
            <w:noProof/>
          </w:rPr>
          <w:t>Slika 3 Primjer kalkulatora uštede u gradovima nultog otpada</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_Toc82415550 \h </w:instrText>
        </w:r>
        <w:r w:rsidR="001F4AEC" w:rsidRPr="001F4AEC">
          <w:rPr>
            <w:i/>
            <w:noProof/>
            <w:webHidden/>
          </w:rPr>
        </w:r>
        <w:r w:rsidR="001F4AEC" w:rsidRPr="001F4AEC">
          <w:rPr>
            <w:i/>
            <w:noProof/>
            <w:webHidden/>
          </w:rPr>
          <w:fldChar w:fldCharType="separate"/>
        </w:r>
        <w:r w:rsidR="001F4AEC" w:rsidRPr="001F4AEC">
          <w:rPr>
            <w:i/>
            <w:noProof/>
            <w:webHidden/>
          </w:rPr>
          <w:t>38</w:t>
        </w:r>
        <w:r w:rsidR="001F4AEC" w:rsidRPr="001F4AEC">
          <w:rPr>
            <w:i/>
            <w:noProof/>
            <w:webHidden/>
          </w:rPr>
          <w:fldChar w:fldCharType="end"/>
        </w:r>
      </w:hyperlink>
    </w:p>
    <w:p w14:paraId="4D19F88B" w14:textId="6BA61950" w:rsidR="001F4AEC" w:rsidRPr="001F4AEC" w:rsidRDefault="003F3794">
      <w:pPr>
        <w:pStyle w:val="TableofFigures"/>
        <w:tabs>
          <w:tab w:val="right" w:leader="dot" w:pos="9016"/>
        </w:tabs>
        <w:rPr>
          <w:rFonts w:eastAsiaTheme="minorEastAsia" w:cstheme="minorBidi"/>
          <w:b w:val="0"/>
          <w:bCs w:val="0"/>
          <w:i/>
          <w:noProof/>
          <w:sz w:val="22"/>
          <w:szCs w:val="22"/>
          <w:lang w:val="en-US"/>
        </w:rPr>
      </w:pPr>
      <w:hyperlink w:anchor="_Toc82415551" w:history="1">
        <w:r w:rsidR="001F4AEC" w:rsidRPr="001F4AEC">
          <w:rPr>
            <w:rStyle w:val="Hyperlink"/>
            <w:rFonts w:ascii="Calibri" w:hAnsi="Calibri"/>
            <w:i/>
            <w:noProof/>
          </w:rPr>
          <w:t>Slika 4 Sopstveno parkiralište Komunalne policije</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_Toc82415551 \h </w:instrText>
        </w:r>
        <w:r w:rsidR="001F4AEC" w:rsidRPr="001F4AEC">
          <w:rPr>
            <w:i/>
            <w:noProof/>
            <w:webHidden/>
          </w:rPr>
        </w:r>
        <w:r w:rsidR="001F4AEC" w:rsidRPr="001F4AEC">
          <w:rPr>
            <w:i/>
            <w:noProof/>
            <w:webHidden/>
          </w:rPr>
          <w:fldChar w:fldCharType="separate"/>
        </w:r>
        <w:r w:rsidR="001F4AEC" w:rsidRPr="001F4AEC">
          <w:rPr>
            <w:i/>
            <w:noProof/>
            <w:webHidden/>
          </w:rPr>
          <w:t>51</w:t>
        </w:r>
        <w:r w:rsidR="001F4AEC" w:rsidRPr="001F4AEC">
          <w:rPr>
            <w:i/>
            <w:noProof/>
            <w:webHidden/>
          </w:rPr>
          <w:fldChar w:fldCharType="end"/>
        </w:r>
      </w:hyperlink>
    </w:p>
    <w:p w14:paraId="7860B7DF" w14:textId="57A1B651" w:rsidR="001F4AEC" w:rsidRDefault="003F3794">
      <w:pPr>
        <w:pStyle w:val="TableofFigures"/>
        <w:tabs>
          <w:tab w:val="right" w:leader="dot" w:pos="9016"/>
        </w:tabs>
        <w:rPr>
          <w:rFonts w:eastAsiaTheme="minorEastAsia" w:cstheme="minorBidi"/>
          <w:b w:val="0"/>
          <w:bCs w:val="0"/>
          <w:noProof/>
          <w:sz w:val="22"/>
          <w:szCs w:val="22"/>
          <w:lang w:val="en-US"/>
        </w:rPr>
      </w:pPr>
      <w:hyperlink w:anchor="_Toc82415552" w:history="1">
        <w:r w:rsidR="001F4AEC" w:rsidRPr="001F4AEC">
          <w:rPr>
            <w:rStyle w:val="Hyperlink"/>
            <w:rFonts w:ascii="Calibri" w:hAnsi="Calibri"/>
            <w:i/>
            <w:noProof/>
          </w:rPr>
          <w:t>Slika 5 Grupa vozila koja odgovara potrebama i zahtjevima Komunalne policije</w:t>
        </w:r>
        <w:r w:rsidR="001F4AEC" w:rsidRPr="001F4AEC">
          <w:rPr>
            <w:i/>
            <w:noProof/>
            <w:webHidden/>
          </w:rPr>
          <w:tab/>
        </w:r>
        <w:r w:rsidR="001F4AEC" w:rsidRPr="001F4AEC">
          <w:rPr>
            <w:i/>
            <w:noProof/>
            <w:webHidden/>
          </w:rPr>
          <w:fldChar w:fldCharType="begin"/>
        </w:r>
        <w:r w:rsidR="001F4AEC" w:rsidRPr="001F4AEC">
          <w:rPr>
            <w:i/>
            <w:noProof/>
            <w:webHidden/>
          </w:rPr>
          <w:instrText xml:space="preserve"> PAGEREF _Toc82415552 \h </w:instrText>
        </w:r>
        <w:r w:rsidR="001F4AEC" w:rsidRPr="001F4AEC">
          <w:rPr>
            <w:i/>
            <w:noProof/>
            <w:webHidden/>
          </w:rPr>
        </w:r>
        <w:r w:rsidR="001F4AEC" w:rsidRPr="001F4AEC">
          <w:rPr>
            <w:i/>
            <w:noProof/>
            <w:webHidden/>
          </w:rPr>
          <w:fldChar w:fldCharType="separate"/>
        </w:r>
        <w:r w:rsidR="001F4AEC" w:rsidRPr="001F4AEC">
          <w:rPr>
            <w:i/>
            <w:noProof/>
            <w:webHidden/>
          </w:rPr>
          <w:t>52</w:t>
        </w:r>
        <w:r w:rsidR="001F4AEC" w:rsidRPr="001F4AEC">
          <w:rPr>
            <w:i/>
            <w:noProof/>
            <w:webHidden/>
          </w:rPr>
          <w:fldChar w:fldCharType="end"/>
        </w:r>
      </w:hyperlink>
    </w:p>
    <w:p w14:paraId="2DB14487" w14:textId="6AECDC23" w:rsidR="005B0A4D" w:rsidRPr="00F928A6" w:rsidRDefault="003A5888" w:rsidP="005B0A4D">
      <w:pPr>
        <w:rPr>
          <w:i/>
        </w:rPr>
      </w:pPr>
      <w:r w:rsidRPr="00D836D6">
        <w:rPr>
          <w:i/>
        </w:rPr>
        <w:fldChar w:fldCharType="end"/>
      </w:r>
    </w:p>
    <w:p w14:paraId="56E16210" w14:textId="1F7BDE13" w:rsidR="005B0A4D" w:rsidRDefault="005B0A4D" w:rsidP="005B0A4D"/>
    <w:p w14:paraId="6E0345B5" w14:textId="0E96238C" w:rsidR="005B0A4D" w:rsidRDefault="005B0A4D" w:rsidP="005B0A4D"/>
    <w:p w14:paraId="30DE6FD4" w14:textId="6074D3CF" w:rsidR="005B0A4D" w:rsidRDefault="005B0A4D" w:rsidP="005B0A4D"/>
    <w:p w14:paraId="7CEE8416" w14:textId="654E42AA" w:rsidR="005B0A4D" w:rsidRDefault="005B0A4D" w:rsidP="005B0A4D"/>
    <w:p w14:paraId="06606B92" w14:textId="25A2AECC" w:rsidR="005B0A4D" w:rsidRDefault="005B0A4D" w:rsidP="005B0A4D"/>
    <w:p w14:paraId="6D188C37" w14:textId="61C81E74" w:rsidR="00346A91" w:rsidRDefault="00346A91" w:rsidP="005B0A4D"/>
    <w:p w14:paraId="55452760" w14:textId="5904628B" w:rsidR="00346A91" w:rsidRDefault="00346A91" w:rsidP="005B0A4D"/>
    <w:p w14:paraId="18455214" w14:textId="366A8C1A" w:rsidR="00346A91" w:rsidRDefault="00346A91" w:rsidP="005B0A4D"/>
    <w:p w14:paraId="308D9C2F" w14:textId="43AD8FA4" w:rsidR="00346A91" w:rsidRDefault="00346A91" w:rsidP="005B0A4D"/>
    <w:p w14:paraId="746C54E0" w14:textId="7B010E75" w:rsidR="00346A91" w:rsidRDefault="00346A91" w:rsidP="005B0A4D"/>
    <w:p w14:paraId="72948CB8" w14:textId="47E7768A" w:rsidR="00346A91" w:rsidRDefault="00346A91" w:rsidP="005B0A4D"/>
    <w:p w14:paraId="15BB642D" w14:textId="50FED63B" w:rsidR="00346A91" w:rsidRDefault="00346A91" w:rsidP="005B0A4D"/>
    <w:p w14:paraId="4C51FCAE" w14:textId="0B0A1770" w:rsidR="006833F9" w:rsidRDefault="006833F9" w:rsidP="003F7412">
      <w:pPr>
        <w:jc w:val="both"/>
        <w:rPr>
          <w:rFonts w:cs="Calibri"/>
          <w:b/>
          <w:bCs/>
          <w:sz w:val="24"/>
        </w:rPr>
      </w:pPr>
    </w:p>
    <w:p w14:paraId="1C20D78B" w14:textId="77777777" w:rsidR="006833F9" w:rsidRDefault="006833F9" w:rsidP="006833F9">
      <w:pPr>
        <w:pStyle w:val="Heading1"/>
        <w:rPr>
          <w:b/>
          <w:color w:val="171717" w:themeColor="background2" w:themeShade="1A"/>
        </w:rPr>
      </w:pPr>
      <w:bookmarkStart w:id="0" w:name="_Toc82003570"/>
      <w:bookmarkStart w:id="1" w:name="_Toc82271937"/>
      <w:bookmarkStart w:id="2" w:name="_Hlk82116125"/>
      <w:r w:rsidRPr="00A46AC5">
        <w:rPr>
          <w:b/>
          <w:color w:val="171717" w:themeColor="background2" w:themeShade="1A"/>
        </w:rPr>
        <w:lastRenderedPageBreak/>
        <w:t>Uvod</w:t>
      </w:r>
      <w:bookmarkEnd w:id="0"/>
      <w:bookmarkEnd w:id="1"/>
      <w:r w:rsidRPr="00A46AC5">
        <w:rPr>
          <w:b/>
          <w:color w:val="171717" w:themeColor="background2" w:themeShade="1A"/>
        </w:rPr>
        <w:t xml:space="preserve"> </w:t>
      </w:r>
    </w:p>
    <w:p w14:paraId="32F9BC86" w14:textId="77777777" w:rsidR="006833F9" w:rsidRPr="00597129" w:rsidRDefault="006833F9" w:rsidP="006833F9">
      <w:pPr>
        <w:jc w:val="both"/>
        <w:rPr>
          <w:rFonts w:asciiTheme="minorHAnsi" w:hAnsiTheme="minorHAnsi" w:cstheme="minorHAnsi"/>
        </w:rPr>
      </w:pPr>
    </w:p>
    <w:bookmarkEnd w:id="2"/>
    <w:p w14:paraId="2E0E8194" w14:textId="77777777" w:rsidR="005F0D16" w:rsidRPr="00597129" w:rsidRDefault="005F0D16" w:rsidP="005F0D16">
      <w:pPr>
        <w:jc w:val="both"/>
        <w:rPr>
          <w:rFonts w:asciiTheme="minorHAnsi" w:hAnsiTheme="minorHAnsi" w:cstheme="minorHAnsi"/>
          <w:sz w:val="24"/>
          <w:szCs w:val="24"/>
        </w:rPr>
      </w:pPr>
      <w:r w:rsidRPr="00597129">
        <w:rPr>
          <w:rFonts w:asciiTheme="minorHAnsi" w:hAnsiTheme="minorHAnsi" w:cstheme="minorHAnsi"/>
          <w:sz w:val="24"/>
          <w:szCs w:val="24"/>
        </w:rPr>
        <w:t>U trenutnoj finansijskoj i ekonomskoj krizi javnog sektora prouzrokovan</w:t>
      </w:r>
      <w:r>
        <w:rPr>
          <w:rFonts w:asciiTheme="minorHAnsi" w:hAnsiTheme="minorHAnsi" w:cstheme="minorHAnsi"/>
          <w:sz w:val="24"/>
          <w:szCs w:val="24"/>
        </w:rPr>
        <w:t>oj</w:t>
      </w:r>
      <w:r w:rsidRPr="00597129">
        <w:rPr>
          <w:rFonts w:asciiTheme="minorHAnsi" w:hAnsiTheme="minorHAnsi" w:cstheme="minorHAnsi"/>
          <w:sz w:val="24"/>
          <w:szCs w:val="24"/>
        </w:rPr>
        <w:t xml:space="preserve"> pandemijom Covid 19, održivost bi trebala da postane najvažnije pitanje za kreatore javne politike Crne Gore. Stoga, ova analiza ima za cilj da skrene pa</w:t>
      </w:r>
      <w:r w:rsidRPr="00597129">
        <w:rPr>
          <w:rFonts w:asciiTheme="minorHAnsi" w:hAnsiTheme="minorHAnsi" w:cstheme="minorHAnsi"/>
          <w:sz w:val="24"/>
          <w:szCs w:val="24"/>
          <w:lang w:val="sr-Latn-BA"/>
        </w:rPr>
        <w:t>žnju donosiocima odluka u javnom sektoru Crne Gore na važnost održivog i efikasnog korišćenja resursa, što za rezultat može imat</w:t>
      </w:r>
      <w:r>
        <w:rPr>
          <w:rFonts w:asciiTheme="minorHAnsi" w:hAnsiTheme="minorHAnsi" w:cstheme="minorHAnsi"/>
          <w:sz w:val="24"/>
          <w:szCs w:val="24"/>
          <w:lang w:val="sr-Latn-BA"/>
        </w:rPr>
        <w:t>i</w:t>
      </w:r>
      <w:r w:rsidRPr="00597129">
        <w:rPr>
          <w:rFonts w:asciiTheme="minorHAnsi" w:hAnsiTheme="minorHAnsi" w:cstheme="minorHAnsi"/>
          <w:sz w:val="24"/>
          <w:szCs w:val="24"/>
          <w:lang w:val="sr-Latn-BA"/>
        </w:rPr>
        <w:t xml:space="preserve"> ekonomske, socijalne i koristi za životnu sredinu. </w:t>
      </w:r>
      <w:r w:rsidRPr="00597129">
        <w:rPr>
          <w:rFonts w:asciiTheme="minorHAnsi" w:hAnsiTheme="minorHAnsi" w:cstheme="minorHAnsi"/>
          <w:sz w:val="24"/>
          <w:szCs w:val="24"/>
        </w:rPr>
        <w:t xml:space="preserve"> Jasno je da će održivost javne politike takođe ostati na dnevnom redu javn</w:t>
      </w:r>
      <w:r>
        <w:rPr>
          <w:rFonts w:asciiTheme="minorHAnsi" w:hAnsiTheme="minorHAnsi" w:cstheme="minorHAnsi"/>
          <w:sz w:val="24"/>
          <w:szCs w:val="24"/>
        </w:rPr>
        <w:t>e</w:t>
      </w:r>
      <w:r w:rsidRPr="00597129">
        <w:rPr>
          <w:rFonts w:asciiTheme="minorHAnsi" w:hAnsiTheme="minorHAnsi" w:cstheme="minorHAnsi"/>
          <w:sz w:val="24"/>
          <w:szCs w:val="24"/>
        </w:rPr>
        <w:t xml:space="preserve"> uprav</w:t>
      </w:r>
      <w:r>
        <w:rPr>
          <w:rFonts w:asciiTheme="minorHAnsi" w:hAnsiTheme="minorHAnsi" w:cstheme="minorHAnsi"/>
          <w:sz w:val="24"/>
          <w:szCs w:val="24"/>
        </w:rPr>
        <w:t>e</w:t>
      </w:r>
      <w:r w:rsidRPr="00597129">
        <w:rPr>
          <w:rFonts w:asciiTheme="minorHAnsi" w:hAnsiTheme="minorHAnsi" w:cstheme="minorHAnsi"/>
          <w:sz w:val="24"/>
          <w:szCs w:val="24"/>
        </w:rPr>
        <w:t xml:space="preserve"> u narednim godinama, pogotovo ako se uzme u obzir činjenica da je Crna Gora na samom početku svog puta ka zelenoj ekonomiji.  </w:t>
      </w:r>
    </w:p>
    <w:p w14:paraId="7D8DC67B" w14:textId="77777777" w:rsidR="005F0D16" w:rsidRPr="00597129" w:rsidRDefault="005F0D16" w:rsidP="005F0D16">
      <w:pPr>
        <w:jc w:val="both"/>
        <w:rPr>
          <w:rFonts w:asciiTheme="minorHAnsi" w:hAnsiTheme="minorHAnsi" w:cstheme="minorHAnsi"/>
          <w:sz w:val="24"/>
          <w:szCs w:val="24"/>
        </w:rPr>
      </w:pPr>
      <w:r w:rsidRPr="00597129">
        <w:rPr>
          <w:rFonts w:asciiTheme="minorHAnsi" w:hAnsiTheme="minorHAnsi" w:cstheme="minorHAnsi"/>
          <w:sz w:val="24"/>
          <w:szCs w:val="24"/>
        </w:rPr>
        <w:t xml:space="preserve">Pojam ozelenjavanja ekonomije pokriva široku lepezu aktivnosti koja ima za rezultat stvaranje novih zelenih poslova i ozelenjavanje postojećih. Stvaranje novih zelenih poslova moguće je u tradicionalnim sektorima ali i u novim, specifičnim sektorima koji predstavljaju zamajac zelene ekonomije, kao što su energetska efikasnost, upotreba obnovljivih izvora energije, reciklaža i ponovna upotreba resursa i održivi saobraćaj. </w:t>
      </w:r>
    </w:p>
    <w:p w14:paraId="430453F8" w14:textId="19436573" w:rsidR="005F0D16" w:rsidRDefault="005F0D16" w:rsidP="005F0D16">
      <w:pPr>
        <w:jc w:val="both"/>
        <w:rPr>
          <w:rFonts w:asciiTheme="minorHAnsi" w:hAnsiTheme="minorHAnsi" w:cstheme="minorHAnsi"/>
          <w:sz w:val="24"/>
          <w:szCs w:val="24"/>
        </w:rPr>
      </w:pPr>
      <w:r>
        <w:rPr>
          <w:rFonts w:asciiTheme="minorHAnsi" w:hAnsiTheme="minorHAnsi" w:cstheme="minorHAnsi"/>
          <w:sz w:val="24"/>
          <w:szCs w:val="24"/>
        </w:rPr>
        <w:t>Za uvođenje kompleks</w:t>
      </w:r>
      <w:r w:rsidR="00847277">
        <w:rPr>
          <w:rFonts w:asciiTheme="minorHAnsi" w:hAnsiTheme="minorHAnsi" w:cstheme="minorHAnsi"/>
          <w:sz w:val="24"/>
          <w:szCs w:val="24"/>
        </w:rPr>
        <w:t>n</w:t>
      </w:r>
      <w:r>
        <w:rPr>
          <w:rFonts w:asciiTheme="minorHAnsi" w:hAnsiTheme="minorHAnsi" w:cstheme="minorHAnsi"/>
          <w:sz w:val="24"/>
          <w:szCs w:val="24"/>
        </w:rPr>
        <w:t xml:space="preserve">og novog principa, kao što je zelena ekonomija, </w:t>
      </w:r>
      <w:r w:rsidRPr="00597129">
        <w:rPr>
          <w:rFonts w:asciiTheme="minorHAnsi" w:hAnsiTheme="minorHAnsi" w:cstheme="minorHAnsi"/>
          <w:sz w:val="24"/>
          <w:szCs w:val="24"/>
        </w:rPr>
        <w:t xml:space="preserve">i </w:t>
      </w:r>
      <w:r>
        <w:rPr>
          <w:rFonts w:asciiTheme="minorHAnsi" w:hAnsiTheme="minorHAnsi" w:cstheme="minorHAnsi"/>
          <w:sz w:val="24"/>
          <w:szCs w:val="24"/>
        </w:rPr>
        <w:t>otpočinjanje</w:t>
      </w:r>
      <w:r w:rsidRPr="00597129">
        <w:rPr>
          <w:rFonts w:asciiTheme="minorHAnsi" w:hAnsiTheme="minorHAnsi" w:cstheme="minorHAnsi"/>
          <w:sz w:val="24"/>
          <w:szCs w:val="24"/>
        </w:rPr>
        <w:t xml:space="preserve"> primjen</w:t>
      </w:r>
      <w:r>
        <w:rPr>
          <w:rFonts w:asciiTheme="minorHAnsi" w:hAnsiTheme="minorHAnsi" w:cstheme="minorHAnsi"/>
          <w:sz w:val="24"/>
          <w:szCs w:val="24"/>
        </w:rPr>
        <w:t>e</w:t>
      </w:r>
      <w:r w:rsidRPr="00597129">
        <w:rPr>
          <w:rFonts w:asciiTheme="minorHAnsi" w:hAnsiTheme="minorHAnsi" w:cstheme="minorHAnsi"/>
          <w:sz w:val="24"/>
          <w:szCs w:val="24"/>
        </w:rPr>
        <w:t xml:space="preserve"> od strane svih aktera </w:t>
      </w:r>
      <w:r w:rsidR="00B93055">
        <w:rPr>
          <w:rFonts w:asciiTheme="minorHAnsi" w:hAnsiTheme="minorHAnsi" w:cstheme="minorHAnsi"/>
          <w:sz w:val="24"/>
          <w:szCs w:val="24"/>
        </w:rPr>
        <w:t>zahti</w:t>
      </w:r>
      <w:r>
        <w:rPr>
          <w:rFonts w:asciiTheme="minorHAnsi" w:hAnsiTheme="minorHAnsi" w:cstheme="minorHAnsi"/>
          <w:sz w:val="24"/>
          <w:szCs w:val="24"/>
        </w:rPr>
        <w:t>jeva dosta vremena i</w:t>
      </w:r>
      <w:r w:rsidRPr="00597129">
        <w:rPr>
          <w:rFonts w:asciiTheme="minorHAnsi" w:hAnsiTheme="minorHAnsi" w:cstheme="minorHAnsi"/>
          <w:sz w:val="24"/>
          <w:szCs w:val="24"/>
        </w:rPr>
        <w:t xml:space="preserve"> odlu</w:t>
      </w:r>
      <w:r w:rsidRPr="00597129">
        <w:rPr>
          <w:rFonts w:asciiTheme="minorHAnsi" w:hAnsiTheme="minorHAnsi" w:cstheme="minorHAnsi"/>
          <w:sz w:val="24"/>
          <w:szCs w:val="24"/>
          <w:lang w:val="sr-Latn-BA"/>
        </w:rPr>
        <w:t xml:space="preserve">čnu posvećenost svih državnih institucija </w:t>
      </w:r>
      <w:r>
        <w:rPr>
          <w:rFonts w:asciiTheme="minorHAnsi" w:hAnsiTheme="minorHAnsi" w:cstheme="minorHAnsi"/>
          <w:sz w:val="24"/>
          <w:szCs w:val="24"/>
          <w:lang w:val="sr-Latn-BA"/>
        </w:rPr>
        <w:t>podje</w:t>
      </w:r>
      <w:r w:rsidRPr="00597129">
        <w:rPr>
          <w:rFonts w:asciiTheme="minorHAnsi" w:hAnsiTheme="minorHAnsi" w:cstheme="minorHAnsi"/>
          <w:sz w:val="24"/>
          <w:szCs w:val="24"/>
          <w:lang w:val="sr-Latn-BA"/>
        </w:rPr>
        <w:t>dnako</w:t>
      </w:r>
      <w:r>
        <w:rPr>
          <w:rFonts w:asciiTheme="minorHAnsi" w:hAnsiTheme="minorHAnsi" w:cstheme="minorHAnsi"/>
          <w:sz w:val="24"/>
          <w:szCs w:val="24"/>
          <w:lang w:val="sr-Latn-BA"/>
        </w:rPr>
        <w:t>, što svakako nije slučaj i u Crnoj Gori.</w:t>
      </w:r>
      <w:r w:rsidRPr="00597129">
        <w:rPr>
          <w:rFonts w:asciiTheme="minorHAnsi" w:hAnsiTheme="minorHAnsi" w:cstheme="minorHAnsi"/>
          <w:sz w:val="24"/>
          <w:szCs w:val="24"/>
        </w:rPr>
        <w:t xml:space="preserve"> Pokretanje i sprovođenje ideje u praksi je komplikovanije nego što se čini, jer zahtijeva i inovativni pristup i dodatne investicije u novu tehnologiju, i mnoge druge promjene</w:t>
      </w:r>
      <w:r>
        <w:rPr>
          <w:rFonts w:asciiTheme="minorHAnsi" w:hAnsiTheme="minorHAnsi" w:cstheme="minorHAnsi"/>
          <w:sz w:val="24"/>
          <w:szCs w:val="24"/>
        </w:rPr>
        <w:t>, uklju</w:t>
      </w:r>
      <w:r>
        <w:rPr>
          <w:rFonts w:asciiTheme="minorHAnsi" w:hAnsiTheme="minorHAnsi" w:cstheme="minorHAnsi"/>
          <w:sz w:val="24"/>
          <w:szCs w:val="24"/>
          <w:lang w:val="sr-Latn-ME"/>
        </w:rPr>
        <w:t>čujući i drugačiju</w:t>
      </w:r>
      <w:r w:rsidRPr="00597129">
        <w:rPr>
          <w:rFonts w:asciiTheme="minorHAnsi" w:hAnsiTheme="minorHAnsi" w:cstheme="minorHAnsi"/>
          <w:sz w:val="24"/>
          <w:szCs w:val="24"/>
        </w:rPr>
        <w:t xml:space="preserve"> organizacij</w:t>
      </w:r>
      <w:r>
        <w:rPr>
          <w:rFonts w:asciiTheme="minorHAnsi" w:hAnsiTheme="minorHAnsi" w:cstheme="minorHAnsi"/>
          <w:sz w:val="24"/>
          <w:szCs w:val="24"/>
        </w:rPr>
        <w:t>u</w:t>
      </w:r>
      <w:r w:rsidRPr="00597129">
        <w:rPr>
          <w:rFonts w:asciiTheme="minorHAnsi" w:hAnsiTheme="minorHAnsi" w:cstheme="minorHAnsi"/>
          <w:sz w:val="24"/>
          <w:szCs w:val="24"/>
        </w:rPr>
        <w:t xml:space="preserve"> javne uprave, preduzeća i gradova. </w:t>
      </w:r>
    </w:p>
    <w:p w14:paraId="5A5E7E9A" w14:textId="4E44D170" w:rsidR="00CF5AF8" w:rsidRPr="00CF5AF8" w:rsidRDefault="00CF5AF8" w:rsidP="00CF5AF8">
      <w:pPr>
        <w:pStyle w:val="Header"/>
        <w:contextualSpacing/>
        <w:jc w:val="both"/>
        <w:rPr>
          <w:rFonts w:asciiTheme="minorHAnsi" w:eastAsiaTheme="minorHAnsi" w:hAnsiTheme="minorHAnsi" w:cstheme="minorHAnsi"/>
          <w:sz w:val="24"/>
          <w:szCs w:val="24"/>
          <w:lang w:val="sr-Latn-ME"/>
        </w:rPr>
      </w:pPr>
      <w:r w:rsidRPr="00CF5AF8">
        <w:rPr>
          <w:rFonts w:asciiTheme="minorHAnsi" w:hAnsiTheme="minorHAnsi" w:cstheme="minorHAnsi"/>
          <w:sz w:val="24"/>
          <w:szCs w:val="24"/>
          <w:lang w:val="sr-Latn-ME"/>
        </w:rPr>
        <w:t xml:space="preserve">Vlada Crne Gore na sjednici održanoj 20. maja 2021. godine, usvojila Program aktivnosti za obilježavanje 30 godina Ekološke države Crne Gore. </w:t>
      </w:r>
    </w:p>
    <w:p w14:paraId="762BB8CD" w14:textId="77777777" w:rsidR="00CF5AF8" w:rsidRPr="00CF5AF8" w:rsidRDefault="00CF5AF8" w:rsidP="00CF5AF8">
      <w:pPr>
        <w:pStyle w:val="Header"/>
        <w:rPr>
          <w:rFonts w:asciiTheme="minorHAnsi" w:hAnsiTheme="minorHAnsi" w:cstheme="minorHAnsi"/>
          <w:sz w:val="24"/>
          <w:szCs w:val="24"/>
          <w:lang w:val="sr-Latn-ME"/>
        </w:rPr>
      </w:pPr>
    </w:p>
    <w:p w14:paraId="4997A9EB" w14:textId="6361F061" w:rsidR="00CF5AF8" w:rsidRDefault="00CF5AF8" w:rsidP="00CF5AF8">
      <w:pPr>
        <w:pStyle w:val="Header"/>
        <w:jc w:val="both"/>
        <w:rPr>
          <w:rFonts w:asciiTheme="minorHAnsi" w:hAnsiTheme="minorHAnsi" w:cstheme="minorHAnsi"/>
          <w:sz w:val="24"/>
          <w:szCs w:val="24"/>
          <w:lang w:val="sr-Latn-ME"/>
        </w:rPr>
      </w:pPr>
      <w:r w:rsidRPr="00CF5AF8">
        <w:rPr>
          <w:rFonts w:asciiTheme="minorHAnsi" w:hAnsiTheme="minorHAnsi" w:cstheme="minorHAnsi"/>
          <w:sz w:val="24"/>
          <w:szCs w:val="24"/>
          <w:lang w:val="sr-Latn-ME"/>
        </w:rPr>
        <w:t xml:space="preserve">Kao jednu od mjera, Program predviđa izradu smjernica za uvođenje seta aktivnosti za ozelenjavanje javne uprave sa analizom troškova, u cilju optimizacije potrošnje, poboljšanja uslova komfora i smanjenja emisija gasova sa efektom </w:t>
      </w:r>
      <w:bookmarkStart w:id="3" w:name="_GoBack"/>
      <w:r w:rsidRPr="00CF5AF8">
        <w:rPr>
          <w:rFonts w:asciiTheme="minorHAnsi" w:hAnsiTheme="minorHAnsi" w:cstheme="minorHAnsi"/>
          <w:sz w:val="24"/>
          <w:szCs w:val="24"/>
          <w:lang w:val="sr-Latn-ME"/>
        </w:rPr>
        <w:t>staklen</w:t>
      </w:r>
      <w:bookmarkEnd w:id="3"/>
      <w:r w:rsidRPr="00CF5AF8">
        <w:rPr>
          <w:rFonts w:asciiTheme="minorHAnsi" w:hAnsiTheme="minorHAnsi" w:cstheme="minorHAnsi"/>
          <w:sz w:val="24"/>
          <w:szCs w:val="24"/>
          <w:lang w:val="sr-Latn-ME"/>
        </w:rPr>
        <w:t xml:space="preserve">e bašte, a zaključkom Vlade su zadužena sva ministarstva i organi uprave da prihvate koncept smanjenja upotrebe jednotne plastike. </w:t>
      </w:r>
    </w:p>
    <w:p w14:paraId="3F4F9C72" w14:textId="77777777" w:rsidR="00CF5AF8" w:rsidRPr="00CF5AF8" w:rsidRDefault="00CF5AF8" w:rsidP="00CF5AF8">
      <w:pPr>
        <w:pStyle w:val="Header"/>
        <w:jc w:val="both"/>
        <w:rPr>
          <w:rFonts w:asciiTheme="minorHAnsi" w:hAnsiTheme="minorHAnsi" w:cstheme="minorHAnsi"/>
          <w:sz w:val="24"/>
          <w:szCs w:val="24"/>
          <w:lang w:val="sr-Latn-ME"/>
        </w:rPr>
      </w:pPr>
    </w:p>
    <w:p w14:paraId="18163187" w14:textId="4E8BAD4B" w:rsidR="005F0D16" w:rsidRPr="00597129" w:rsidRDefault="00CF5AF8" w:rsidP="005F0D16">
      <w:pPr>
        <w:jc w:val="both"/>
        <w:rPr>
          <w:rFonts w:asciiTheme="minorHAnsi" w:hAnsiTheme="minorHAnsi" w:cstheme="minorHAnsi"/>
          <w:sz w:val="24"/>
          <w:szCs w:val="24"/>
        </w:rPr>
      </w:pPr>
      <w:r>
        <w:rPr>
          <w:rFonts w:asciiTheme="minorHAnsi" w:hAnsiTheme="minorHAnsi" w:cstheme="minorHAnsi"/>
          <w:sz w:val="24"/>
          <w:szCs w:val="24"/>
        </w:rPr>
        <w:t xml:space="preserve">Kao doprinos prihvatanja ovog koncepta, urađena je analiza koja je </w:t>
      </w:r>
      <w:r w:rsidR="00B93055">
        <w:rPr>
          <w:rFonts w:asciiTheme="minorHAnsi" w:hAnsiTheme="minorHAnsi" w:cstheme="minorHAnsi"/>
          <w:sz w:val="24"/>
          <w:szCs w:val="24"/>
        </w:rPr>
        <w:t>podijeljena u četiri pogl</w:t>
      </w:r>
      <w:r w:rsidR="005F0D16" w:rsidRPr="00597129">
        <w:rPr>
          <w:rFonts w:asciiTheme="minorHAnsi" w:hAnsiTheme="minorHAnsi" w:cstheme="minorHAnsi"/>
          <w:sz w:val="24"/>
          <w:szCs w:val="24"/>
        </w:rPr>
        <w:t xml:space="preserve">avlja koja se odnose na ekonomske koristi primjene koncepta: </w:t>
      </w:r>
    </w:p>
    <w:p w14:paraId="2676D91E" w14:textId="77777777" w:rsidR="005F0D16" w:rsidRPr="00597129" w:rsidRDefault="005F0D16" w:rsidP="005F0D16">
      <w:pPr>
        <w:pStyle w:val="ListParagraph"/>
        <w:numPr>
          <w:ilvl w:val="0"/>
          <w:numId w:val="32"/>
        </w:numPr>
        <w:ind w:left="714" w:hanging="357"/>
        <w:contextualSpacing/>
        <w:jc w:val="both"/>
        <w:rPr>
          <w:rFonts w:asciiTheme="minorHAnsi" w:hAnsiTheme="minorHAnsi" w:cstheme="minorHAnsi"/>
          <w:sz w:val="24"/>
          <w:szCs w:val="24"/>
        </w:rPr>
      </w:pPr>
      <w:r w:rsidRPr="00597129">
        <w:rPr>
          <w:rFonts w:asciiTheme="minorHAnsi" w:hAnsiTheme="minorHAnsi" w:cstheme="minorHAnsi"/>
          <w:sz w:val="24"/>
          <w:szCs w:val="24"/>
        </w:rPr>
        <w:t xml:space="preserve">Zelenih javnih nabavki, </w:t>
      </w:r>
    </w:p>
    <w:p w14:paraId="38741BE8" w14:textId="77777777" w:rsidR="005F0D16" w:rsidRPr="00597129" w:rsidRDefault="005F0D16" w:rsidP="005F0D16">
      <w:pPr>
        <w:pStyle w:val="ListParagraph"/>
        <w:numPr>
          <w:ilvl w:val="0"/>
          <w:numId w:val="32"/>
        </w:numPr>
        <w:ind w:left="714" w:hanging="357"/>
        <w:contextualSpacing/>
        <w:jc w:val="both"/>
        <w:rPr>
          <w:rFonts w:asciiTheme="minorHAnsi" w:hAnsiTheme="minorHAnsi" w:cstheme="minorHAnsi"/>
          <w:sz w:val="24"/>
          <w:szCs w:val="24"/>
        </w:rPr>
      </w:pPr>
      <w:r w:rsidRPr="00597129">
        <w:rPr>
          <w:rFonts w:asciiTheme="minorHAnsi" w:hAnsiTheme="minorHAnsi" w:cstheme="minorHAnsi"/>
          <w:sz w:val="24"/>
          <w:szCs w:val="24"/>
        </w:rPr>
        <w:t xml:space="preserve">Cirkularne ekonomije i efikasnog upravlja otpadom, </w:t>
      </w:r>
    </w:p>
    <w:p w14:paraId="595F5C1C" w14:textId="77777777" w:rsidR="005F0D16" w:rsidRPr="00597129" w:rsidRDefault="005F0D16" w:rsidP="005F0D16">
      <w:pPr>
        <w:pStyle w:val="ListParagraph"/>
        <w:numPr>
          <w:ilvl w:val="0"/>
          <w:numId w:val="32"/>
        </w:numPr>
        <w:ind w:left="714" w:hanging="357"/>
        <w:contextualSpacing/>
        <w:jc w:val="both"/>
        <w:rPr>
          <w:rFonts w:asciiTheme="minorHAnsi" w:hAnsiTheme="minorHAnsi" w:cstheme="minorHAnsi"/>
          <w:sz w:val="24"/>
          <w:szCs w:val="24"/>
        </w:rPr>
      </w:pPr>
      <w:r w:rsidRPr="00597129">
        <w:rPr>
          <w:rFonts w:asciiTheme="minorHAnsi" w:hAnsiTheme="minorHAnsi" w:cstheme="minorHAnsi"/>
          <w:sz w:val="24"/>
          <w:szCs w:val="24"/>
        </w:rPr>
        <w:t xml:space="preserve">Energetske efikasnosti u javnoj upravi, </w:t>
      </w:r>
      <w:r>
        <w:rPr>
          <w:rFonts w:asciiTheme="minorHAnsi" w:hAnsiTheme="minorHAnsi" w:cstheme="minorHAnsi"/>
          <w:sz w:val="24"/>
          <w:szCs w:val="24"/>
        </w:rPr>
        <w:t>i</w:t>
      </w:r>
    </w:p>
    <w:p w14:paraId="3A5D8D4B" w14:textId="55963296" w:rsidR="005F0D16" w:rsidRPr="00597129" w:rsidRDefault="005F0D16" w:rsidP="005F0D16">
      <w:pPr>
        <w:pStyle w:val="ListParagraph"/>
        <w:numPr>
          <w:ilvl w:val="0"/>
          <w:numId w:val="32"/>
        </w:numPr>
        <w:ind w:left="714" w:hanging="357"/>
        <w:contextualSpacing/>
        <w:jc w:val="both"/>
        <w:rPr>
          <w:rFonts w:asciiTheme="minorHAnsi" w:hAnsiTheme="minorHAnsi" w:cstheme="minorHAnsi"/>
          <w:sz w:val="24"/>
          <w:szCs w:val="24"/>
        </w:rPr>
      </w:pPr>
      <w:r>
        <w:rPr>
          <w:rFonts w:asciiTheme="minorHAnsi" w:hAnsiTheme="minorHAnsi" w:cstheme="minorHAnsi"/>
          <w:sz w:val="24"/>
          <w:szCs w:val="24"/>
        </w:rPr>
        <w:t>Uvo</w:t>
      </w:r>
      <w:r>
        <w:rPr>
          <w:rFonts w:asciiTheme="minorHAnsi" w:hAnsiTheme="minorHAnsi" w:cstheme="minorHAnsi"/>
          <w:sz w:val="24"/>
          <w:szCs w:val="24"/>
          <w:lang w:val="sr-Latn-BA"/>
        </w:rPr>
        <w:t>đenja</w:t>
      </w:r>
      <w:r w:rsidRPr="00597129">
        <w:rPr>
          <w:rFonts w:asciiTheme="minorHAnsi" w:hAnsiTheme="minorHAnsi" w:cstheme="minorHAnsi"/>
          <w:sz w:val="24"/>
          <w:szCs w:val="24"/>
        </w:rPr>
        <w:t xml:space="preserve"> električnih vozila u javn</w:t>
      </w:r>
      <w:r w:rsidR="00B2111E">
        <w:rPr>
          <w:rFonts w:asciiTheme="minorHAnsi" w:hAnsiTheme="minorHAnsi" w:cstheme="minorHAnsi"/>
          <w:sz w:val="24"/>
          <w:szCs w:val="24"/>
        </w:rPr>
        <w:t>oj upravi</w:t>
      </w:r>
      <w:r w:rsidRPr="00597129">
        <w:rPr>
          <w:rFonts w:asciiTheme="minorHAnsi" w:hAnsiTheme="minorHAnsi" w:cstheme="minorHAnsi"/>
          <w:sz w:val="24"/>
          <w:szCs w:val="24"/>
        </w:rPr>
        <w:t xml:space="preserve">. </w:t>
      </w:r>
    </w:p>
    <w:p w14:paraId="32023809" w14:textId="77777777" w:rsidR="005F0D16" w:rsidRDefault="005F0D16" w:rsidP="005F0D16">
      <w:pPr>
        <w:jc w:val="both"/>
        <w:rPr>
          <w:rFonts w:asciiTheme="minorHAnsi" w:hAnsiTheme="minorHAnsi" w:cstheme="minorHAnsi"/>
          <w:sz w:val="24"/>
          <w:szCs w:val="24"/>
        </w:rPr>
      </w:pPr>
      <w:r>
        <w:rPr>
          <w:rFonts w:asciiTheme="minorHAnsi" w:hAnsiTheme="minorHAnsi" w:cstheme="minorHAnsi"/>
          <w:sz w:val="24"/>
          <w:szCs w:val="24"/>
        </w:rPr>
        <w:t xml:space="preserve">Takođe, usljed nedostatka mjerljivih podataka na osnovu kojih bi mogla da se sprovede adekvatna analiza ekonomskih koristi na primjeru institucija Crne Gore, analiza je dala primjere dobre prakse u zemljama Evropske unije u cilju jasnijeg shvatanja novih koncepata proisteklih iz Zelene agende i Sofijske Deklaracije. </w:t>
      </w:r>
    </w:p>
    <w:p w14:paraId="1A2C772E" w14:textId="77777777" w:rsidR="005F0D16" w:rsidRPr="0044768C" w:rsidRDefault="005F0D16" w:rsidP="005F0D16">
      <w:pPr>
        <w:jc w:val="both"/>
        <w:rPr>
          <w:rFonts w:asciiTheme="minorHAnsi" w:eastAsiaTheme="minorHAnsi" w:hAnsiTheme="minorHAnsi" w:cstheme="minorHAnsi"/>
          <w:sz w:val="24"/>
          <w:szCs w:val="24"/>
        </w:rPr>
      </w:pPr>
      <w:r w:rsidRPr="00597129">
        <w:rPr>
          <w:rFonts w:asciiTheme="minorHAnsi" w:hAnsiTheme="minorHAnsi" w:cstheme="minorHAnsi"/>
          <w:sz w:val="24"/>
          <w:szCs w:val="24"/>
        </w:rPr>
        <w:t xml:space="preserve">Ova analiza sadrži relevantne podatke i informacije koji su utemeljeni na zvaničnim dostupnim </w:t>
      </w:r>
      <w:r w:rsidRPr="0044768C">
        <w:rPr>
          <w:rFonts w:asciiTheme="minorHAnsi" w:hAnsiTheme="minorHAnsi" w:cstheme="minorHAnsi"/>
          <w:sz w:val="24"/>
          <w:szCs w:val="24"/>
        </w:rPr>
        <w:t xml:space="preserve">podacima institucija Crne Gore i ostale dostupne literature koja opisuje najbolju praksu </w:t>
      </w:r>
      <w:r>
        <w:rPr>
          <w:rFonts w:asciiTheme="minorHAnsi" w:hAnsiTheme="minorHAnsi" w:cstheme="minorHAnsi"/>
          <w:sz w:val="24"/>
          <w:szCs w:val="24"/>
        </w:rPr>
        <w:t xml:space="preserve">u </w:t>
      </w:r>
      <w:r w:rsidRPr="0044768C">
        <w:rPr>
          <w:rFonts w:asciiTheme="minorHAnsi" w:hAnsiTheme="minorHAnsi" w:cstheme="minorHAnsi"/>
          <w:sz w:val="24"/>
          <w:szCs w:val="24"/>
        </w:rPr>
        <w:t>svijetu i Evrop</w:t>
      </w:r>
      <w:r>
        <w:rPr>
          <w:rFonts w:asciiTheme="minorHAnsi" w:hAnsiTheme="minorHAnsi" w:cstheme="minorHAnsi"/>
          <w:sz w:val="24"/>
          <w:szCs w:val="24"/>
        </w:rPr>
        <w:t>i</w:t>
      </w:r>
      <w:r w:rsidRPr="0044768C">
        <w:rPr>
          <w:rFonts w:asciiTheme="minorHAnsi" w:hAnsiTheme="minorHAnsi" w:cstheme="minorHAnsi"/>
          <w:sz w:val="24"/>
          <w:szCs w:val="24"/>
        </w:rPr>
        <w:t xml:space="preserve"> iz gore navedenih oblasti. Takođe, korišteni su i podaci koji su bili dostupni na </w:t>
      </w:r>
      <w:r>
        <w:rPr>
          <w:rFonts w:asciiTheme="minorHAnsi" w:hAnsiTheme="minorHAnsi" w:cstheme="minorHAnsi"/>
          <w:sz w:val="24"/>
          <w:szCs w:val="24"/>
        </w:rPr>
        <w:t xml:space="preserve">internet stranicama </w:t>
      </w:r>
      <w:r w:rsidRPr="0044768C">
        <w:rPr>
          <w:rFonts w:asciiTheme="minorHAnsi" w:hAnsiTheme="minorHAnsi" w:cstheme="minorHAnsi"/>
          <w:sz w:val="24"/>
          <w:szCs w:val="24"/>
        </w:rPr>
        <w:t>Eurostat-</w:t>
      </w:r>
      <w:r>
        <w:rPr>
          <w:rFonts w:asciiTheme="minorHAnsi" w:hAnsiTheme="minorHAnsi" w:cstheme="minorHAnsi"/>
          <w:sz w:val="24"/>
          <w:szCs w:val="24"/>
        </w:rPr>
        <w:t>a</w:t>
      </w:r>
      <w:r w:rsidRPr="0044768C">
        <w:rPr>
          <w:rFonts w:asciiTheme="minorHAnsi" w:hAnsiTheme="minorHAnsi" w:cstheme="minorHAnsi"/>
          <w:sz w:val="24"/>
          <w:szCs w:val="24"/>
        </w:rPr>
        <w:t xml:space="preserve"> i OECD-</w:t>
      </w:r>
      <w:r>
        <w:rPr>
          <w:rFonts w:asciiTheme="minorHAnsi" w:hAnsiTheme="minorHAnsi" w:cstheme="minorHAnsi"/>
          <w:sz w:val="24"/>
          <w:szCs w:val="24"/>
        </w:rPr>
        <w:t>a</w:t>
      </w:r>
      <w:r w:rsidRPr="0044768C">
        <w:rPr>
          <w:rFonts w:asciiTheme="minorHAnsi" w:hAnsiTheme="minorHAnsi" w:cstheme="minorHAnsi"/>
          <w:sz w:val="24"/>
          <w:szCs w:val="24"/>
        </w:rPr>
        <w:t>.</w:t>
      </w:r>
    </w:p>
    <w:p w14:paraId="36E4E53F" w14:textId="77777777" w:rsidR="005F0D16" w:rsidRPr="0044768C" w:rsidRDefault="005F0D16" w:rsidP="005F0D16">
      <w:pPr>
        <w:jc w:val="both"/>
        <w:rPr>
          <w:rFonts w:asciiTheme="minorHAnsi" w:hAnsiTheme="minorHAnsi" w:cstheme="minorHAnsi"/>
          <w:sz w:val="24"/>
          <w:szCs w:val="24"/>
          <w:lang w:val="sr-Latn-ME"/>
        </w:rPr>
      </w:pPr>
      <w:r w:rsidRPr="0044768C">
        <w:rPr>
          <w:rFonts w:asciiTheme="minorHAnsi" w:hAnsiTheme="minorHAnsi" w:cstheme="minorHAnsi"/>
          <w:sz w:val="24"/>
          <w:szCs w:val="24"/>
          <w:lang w:val="sr-Latn-ME"/>
        </w:rPr>
        <w:lastRenderedPageBreak/>
        <w:t>Prilikom rada na analizi postojala su i ograničenja, koja su se prvenstveno ogledala u nedostavljanju traženih podataka od strane Uprave za katastar i dr</w:t>
      </w:r>
      <w:r w:rsidRPr="0044768C">
        <w:rPr>
          <w:rFonts w:asciiTheme="minorHAnsi" w:hAnsiTheme="minorHAnsi" w:cstheme="minorHAnsi"/>
          <w:sz w:val="24"/>
          <w:szCs w:val="24"/>
          <w:lang w:val="sr-Latn-BA"/>
        </w:rPr>
        <w:t>žavnu imovinu</w:t>
      </w:r>
      <w:r w:rsidRPr="0044768C">
        <w:rPr>
          <w:rFonts w:asciiTheme="minorHAnsi" w:hAnsiTheme="minorHAnsi" w:cstheme="minorHAnsi"/>
          <w:sz w:val="24"/>
          <w:szCs w:val="24"/>
          <w:lang w:val="sr-Latn-ME"/>
        </w:rPr>
        <w:t>, a tiču se prije svega potrošnje kancelarijskog materijala, plastičnih ambalaža, konzervi, tonera, električne energije i goriva za 2020. godinu u svim ministarstvima.</w:t>
      </w:r>
    </w:p>
    <w:p w14:paraId="063B6AF2" w14:textId="77777777" w:rsidR="005F0D16" w:rsidRPr="0044768C" w:rsidRDefault="005F0D16" w:rsidP="005F0D16">
      <w:pPr>
        <w:tabs>
          <w:tab w:val="left" w:pos="1490"/>
        </w:tabs>
        <w:spacing w:after="0"/>
        <w:jc w:val="both"/>
        <w:rPr>
          <w:rFonts w:asciiTheme="minorHAnsi" w:hAnsiTheme="minorHAnsi" w:cstheme="minorHAnsi"/>
          <w:sz w:val="24"/>
          <w:szCs w:val="24"/>
        </w:rPr>
      </w:pPr>
      <w:r w:rsidRPr="0044768C">
        <w:rPr>
          <w:rFonts w:asciiTheme="minorHAnsi" w:hAnsiTheme="minorHAnsi" w:cstheme="minorHAnsi"/>
          <w:sz w:val="24"/>
          <w:szCs w:val="24"/>
        </w:rPr>
        <w:t>Pored jednostavnih statističkih podataka sa kojima se raspolaže i koji se koriste radi izrade godišnjih izvještaja o javnim nabavkama, Uprava nema elektronsku bazu sa podacima koji su bili potreb</w:t>
      </w:r>
      <w:r>
        <w:rPr>
          <w:rFonts w:asciiTheme="minorHAnsi" w:hAnsiTheme="minorHAnsi" w:cstheme="minorHAnsi"/>
          <w:sz w:val="24"/>
          <w:szCs w:val="24"/>
        </w:rPr>
        <w:t>n</w:t>
      </w:r>
      <w:r w:rsidRPr="0044768C">
        <w:rPr>
          <w:rFonts w:asciiTheme="minorHAnsi" w:hAnsiTheme="minorHAnsi" w:cstheme="minorHAnsi"/>
          <w:sz w:val="24"/>
          <w:szCs w:val="24"/>
        </w:rPr>
        <w:t>i za kvalitetnu izradu ove analiz</w:t>
      </w:r>
      <w:r>
        <w:rPr>
          <w:rFonts w:asciiTheme="minorHAnsi" w:hAnsiTheme="minorHAnsi" w:cstheme="minorHAnsi"/>
          <w:sz w:val="24"/>
          <w:szCs w:val="24"/>
        </w:rPr>
        <w:t>e</w:t>
      </w:r>
      <w:r w:rsidRPr="0044768C">
        <w:rPr>
          <w:rFonts w:asciiTheme="minorHAnsi" w:hAnsiTheme="minorHAnsi" w:cstheme="minorHAnsi"/>
          <w:sz w:val="24"/>
          <w:szCs w:val="24"/>
        </w:rPr>
        <w:t>. Odnosno, Uprava nema podatak</w:t>
      </w:r>
      <w:r>
        <w:rPr>
          <w:rFonts w:asciiTheme="minorHAnsi" w:hAnsiTheme="minorHAnsi" w:cstheme="minorHAnsi"/>
          <w:sz w:val="24"/>
          <w:szCs w:val="24"/>
        </w:rPr>
        <w:t>a</w:t>
      </w:r>
      <w:r w:rsidRPr="0044768C">
        <w:rPr>
          <w:rFonts w:asciiTheme="minorHAnsi" w:hAnsiTheme="minorHAnsi" w:cstheme="minorHAnsi"/>
          <w:sz w:val="24"/>
          <w:szCs w:val="24"/>
        </w:rPr>
        <w:t xml:space="preserve"> o tome koliko je utrošeno sredstava za pojedinačne grupe roba koju su interesantne sa aspekta cirkularne ekonomije, zelenih javnih nabavki i energetske efikasnosti. </w:t>
      </w:r>
    </w:p>
    <w:p w14:paraId="30827D36" w14:textId="77777777" w:rsidR="005F0D16" w:rsidRPr="0044768C" w:rsidRDefault="005F0D16" w:rsidP="005F0D16">
      <w:pPr>
        <w:tabs>
          <w:tab w:val="left" w:pos="1490"/>
        </w:tabs>
        <w:spacing w:after="0"/>
        <w:contextualSpacing/>
        <w:jc w:val="both"/>
        <w:rPr>
          <w:rFonts w:asciiTheme="minorHAnsi" w:hAnsiTheme="minorHAnsi" w:cstheme="minorHAnsi"/>
        </w:rPr>
      </w:pPr>
    </w:p>
    <w:p w14:paraId="32C4F49C" w14:textId="0579E6E6" w:rsidR="001C7B36" w:rsidRDefault="005F0D16" w:rsidP="005F0D16">
      <w:pPr>
        <w:contextualSpacing/>
        <w:jc w:val="both"/>
        <w:rPr>
          <w:rFonts w:asciiTheme="minorHAnsi" w:hAnsiTheme="minorHAnsi" w:cstheme="minorHAnsi"/>
          <w:sz w:val="24"/>
          <w:szCs w:val="24"/>
          <w:lang w:val="sr-Latn-ME"/>
        </w:rPr>
      </w:pPr>
      <w:r w:rsidRPr="00DE3125">
        <w:rPr>
          <w:rFonts w:asciiTheme="minorHAnsi" w:hAnsiTheme="minorHAnsi" w:cstheme="minorHAnsi"/>
          <w:sz w:val="24"/>
          <w:szCs w:val="24"/>
          <w:lang w:val="sr-Latn-ME"/>
        </w:rPr>
        <w:t>S tim u vezi Ministarstvo ekologije, prostornog planiranja i urbanizma se obratilo Upravi za imovinu zvaničnim dopisom sa zahtjevom za dostavljanje kopija svih izdatih faktura za svako ministarstvo pojedinačno, na osnovu kojih bi se sprovela adekvatna analiza. Ni nakon finalizacije ove analize Uprava nije dostavila nijedan zvanični podatak.</w:t>
      </w:r>
      <w:r w:rsidR="001C7B36">
        <w:rPr>
          <w:rFonts w:asciiTheme="minorHAnsi" w:hAnsiTheme="minorHAnsi" w:cstheme="minorHAnsi"/>
          <w:sz w:val="24"/>
          <w:szCs w:val="24"/>
          <w:lang w:val="sr-Latn-ME"/>
        </w:rPr>
        <w:t xml:space="preserve"> </w:t>
      </w:r>
    </w:p>
    <w:p w14:paraId="309BC791" w14:textId="6343E07D" w:rsidR="001C7B36" w:rsidRDefault="001C7B36" w:rsidP="005F0D16">
      <w:pPr>
        <w:contextualSpacing/>
        <w:jc w:val="both"/>
        <w:rPr>
          <w:rFonts w:asciiTheme="minorHAnsi" w:hAnsiTheme="minorHAnsi" w:cstheme="minorHAnsi"/>
          <w:sz w:val="24"/>
          <w:szCs w:val="24"/>
          <w:lang w:val="sr-Latn-ME"/>
        </w:rPr>
      </w:pPr>
    </w:p>
    <w:p w14:paraId="62C9B1B5" w14:textId="2A1DF85D" w:rsidR="001C7B36" w:rsidRDefault="001C7B36" w:rsidP="005F0D16">
      <w:pPr>
        <w:contextualSpacing/>
        <w:jc w:val="both"/>
        <w:rPr>
          <w:rFonts w:asciiTheme="minorHAnsi" w:hAnsiTheme="minorHAnsi" w:cstheme="minorHAnsi"/>
          <w:sz w:val="24"/>
          <w:szCs w:val="24"/>
          <w:lang w:val="sr-Latn-ME"/>
        </w:rPr>
      </w:pPr>
      <w:r>
        <w:rPr>
          <w:rFonts w:asciiTheme="minorHAnsi" w:hAnsiTheme="minorHAnsi" w:cstheme="minorHAnsi"/>
          <w:sz w:val="24"/>
          <w:szCs w:val="24"/>
          <w:lang w:val="sr-Latn-ME"/>
        </w:rPr>
        <w:t>Ulazni podaci su glavni uslov za kvalitetnu analizu troškova ozelenjavanje javne uprave. Smatramo da se prije svega mora uspostaviti elektronska baza podataka o količ</w:t>
      </w:r>
      <w:r w:rsidR="006A3FF1">
        <w:rPr>
          <w:rFonts w:asciiTheme="minorHAnsi" w:hAnsiTheme="minorHAnsi" w:cstheme="minorHAnsi"/>
          <w:sz w:val="24"/>
          <w:szCs w:val="24"/>
          <w:lang w:val="sr-Latn-ME"/>
        </w:rPr>
        <w:t>i</w:t>
      </w:r>
      <w:r>
        <w:rPr>
          <w:rFonts w:asciiTheme="minorHAnsi" w:hAnsiTheme="minorHAnsi" w:cstheme="minorHAnsi"/>
          <w:sz w:val="24"/>
          <w:szCs w:val="24"/>
          <w:lang w:val="sr-Latn-ME"/>
        </w:rPr>
        <w:t>ni potrošnje i rashodima za robe koji su gore navedeni na nivou svih upravnih organa i iste redovno pratiti</w:t>
      </w:r>
      <w:r w:rsidR="006A3FF1">
        <w:rPr>
          <w:rFonts w:asciiTheme="minorHAnsi" w:hAnsiTheme="minorHAnsi" w:cstheme="minorHAnsi"/>
          <w:sz w:val="24"/>
          <w:szCs w:val="24"/>
          <w:lang w:val="sr-Latn-ME"/>
        </w:rPr>
        <w:t>, sprovoditi kontrole i analize ostvarenih rezultata</w:t>
      </w:r>
      <w:r>
        <w:rPr>
          <w:rFonts w:asciiTheme="minorHAnsi" w:hAnsiTheme="minorHAnsi" w:cstheme="minorHAnsi"/>
          <w:sz w:val="24"/>
          <w:szCs w:val="24"/>
          <w:lang w:val="sr-Latn-ME"/>
        </w:rPr>
        <w:t xml:space="preserve"> i izvještavati Vladu Crne Gore.</w:t>
      </w:r>
    </w:p>
    <w:p w14:paraId="3E07FAF2" w14:textId="0C0CD164" w:rsidR="001C7B36" w:rsidRDefault="001C7B36" w:rsidP="005F0D16">
      <w:pPr>
        <w:contextualSpacing/>
        <w:jc w:val="both"/>
        <w:rPr>
          <w:rFonts w:asciiTheme="minorHAnsi" w:hAnsiTheme="minorHAnsi" w:cstheme="minorHAnsi"/>
          <w:sz w:val="24"/>
          <w:szCs w:val="24"/>
          <w:lang w:val="sr-Latn-ME"/>
        </w:rPr>
      </w:pPr>
      <w:r>
        <w:rPr>
          <w:rFonts w:asciiTheme="minorHAnsi" w:hAnsiTheme="minorHAnsi" w:cstheme="minorHAnsi"/>
          <w:sz w:val="24"/>
          <w:szCs w:val="24"/>
          <w:lang w:val="sr-Latn-ME"/>
        </w:rPr>
        <w:t xml:space="preserve"> </w:t>
      </w:r>
    </w:p>
    <w:p w14:paraId="5BFA933B" w14:textId="720939EA" w:rsidR="001C7B36" w:rsidRDefault="001C7B36" w:rsidP="005F0D16">
      <w:pPr>
        <w:contextualSpacing/>
        <w:jc w:val="both"/>
        <w:rPr>
          <w:rFonts w:asciiTheme="minorHAnsi" w:hAnsiTheme="minorHAnsi" w:cstheme="minorHAnsi"/>
          <w:sz w:val="24"/>
          <w:szCs w:val="24"/>
          <w:lang w:val="sr-Latn-ME"/>
        </w:rPr>
      </w:pPr>
    </w:p>
    <w:p w14:paraId="66FFBD37" w14:textId="2094BF41" w:rsidR="001C7B36" w:rsidRDefault="001C7B36" w:rsidP="005F0D16">
      <w:pPr>
        <w:contextualSpacing/>
        <w:jc w:val="both"/>
        <w:rPr>
          <w:rFonts w:asciiTheme="minorHAnsi" w:hAnsiTheme="minorHAnsi" w:cstheme="minorHAnsi"/>
          <w:sz w:val="24"/>
          <w:szCs w:val="24"/>
          <w:lang w:val="sr-Latn-ME"/>
        </w:rPr>
      </w:pPr>
    </w:p>
    <w:p w14:paraId="754766FB" w14:textId="111ECC73" w:rsidR="00CF5AF8" w:rsidRDefault="00CF5AF8" w:rsidP="006833F9">
      <w:pPr>
        <w:jc w:val="both"/>
        <w:rPr>
          <w:rFonts w:asciiTheme="minorHAnsi" w:hAnsiTheme="minorHAnsi" w:cstheme="minorHAnsi"/>
          <w:sz w:val="24"/>
          <w:szCs w:val="24"/>
        </w:rPr>
      </w:pPr>
    </w:p>
    <w:p w14:paraId="70D0B5CB" w14:textId="2B723F21" w:rsidR="006833F9" w:rsidRDefault="006833F9" w:rsidP="006833F9">
      <w:pPr>
        <w:jc w:val="both"/>
        <w:rPr>
          <w:rFonts w:asciiTheme="minorHAnsi" w:hAnsiTheme="minorHAnsi" w:cstheme="minorHAnsi"/>
          <w:sz w:val="24"/>
          <w:szCs w:val="24"/>
        </w:rPr>
      </w:pPr>
    </w:p>
    <w:p w14:paraId="58ECA310" w14:textId="77777777" w:rsidR="00E70470" w:rsidRDefault="00E70470" w:rsidP="006833F9">
      <w:pPr>
        <w:jc w:val="both"/>
        <w:rPr>
          <w:rFonts w:asciiTheme="minorHAnsi" w:hAnsiTheme="minorHAnsi" w:cstheme="minorHAnsi"/>
          <w:sz w:val="24"/>
          <w:szCs w:val="24"/>
        </w:rPr>
      </w:pPr>
    </w:p>
    <w:p w14:paraId="11DB1E7E" w14:textId="77777777" w:rsidR="006833F9" w:rsidRDefault="006833F9" w:rsidP="006833F9">
      <w:pPr>
        <w:jc w:val="both"/>
        <w:rPr>
          <w:rFonts w:asciiTheme="minorHAnsi" w:hAnsiTheme="minorHAnsi" w:cstheme="minorHAnsi"/>
          <w:sz w:val="24"/>
          <w:szCs w:val="24"/>
        </w:rPr>
      </w:pPr>
    </w:p>
    <w:p w14:paraId="1E2D7110" w14:textId="407F636B" w:rsidR="006833F9" w:rsidRDefault="006833F9" w:rsidP="006833F9">
      <w:pPr>
        <w:jc w:val="both"/>
        <w:rPr>
          <w:rFonts w:asciiTheme="minorHAnsi" w:hAnsiTheme="minorHAnsi" w:cstheme="minorHAnsi"/>
          <w:sz w:val="24"/>
          <w:szCs w:val="24"/>
        </w:rPr>
      </w:pPr>
    </w:p>
    <w:p w14:paraId="7215DAD5" w14:textId="4B790AD9" w:rsidR="006833F9" w:rsidRDefault="006833F9" w:rsidP="006833F9">
      <w:pPr>
        <w:jc w:val="both"/>
        <w:rPr>
          <w:rFonts w:asciiTheme="minorHAnsi" w:hAnsiTheme="minorHAnsi" w:cstheme="minorHAnsi"/>
          <w:sz w:val="24"/>
          <w:szCs w:val="24"/>
        </w:rPr>
      </w:pPr>
    </w:p>
    <w:p w14:paraId="7DA20F34" w14:textId="4D2E3F11" w:rsidR="006833F9" w:rsidRDefault="006833F9" w:rsidP="006833F9">
      <w:pPr>
        <w:jc w:val="both"/>
        <w:rPr>
          <w:rFonts w:asciiTheme="minorHAnsi" w:hAnsiTheme="minorHAnsi" w:cstheme="minorHAnsi"/>
          <w:sz w:val="24"/>
          <w:szCs w:val="24"/>
        </w:rPr>
      </w:pPr>
    </w:p>
    <w:p w14:paraId="02364EB7" w14:textId="7876664B" w:rsidR="006833F9" w:rsidRDefault="006833F9" w:rsidP="006833F9">
      <w:pPr>
        <w:jc w:val="both"/>
        <w:rPr>
          <w:rFonts w:asciiTheme="minorHAnsi" w:hAnsiTheme="minorHAnsi" w:cstheme="minorHAnsi"/>
          <w:sz w:val="24"/>
          <w:szCs w:val="24"/>
        </w:rPr>
      </w:pPr>
    </w:p>
    <w:p w14:paraId="713F44B4" w14:textId="233BAF18" w:rsidR="006833F9" w:rsidRDefault="006833F9" w:rsidP="006833F9">
      <w:pPr>
        <w:jc w:val="both"/>
        <w:rPr>
          <w:rFonts w:asciiTheme="minorHAnsi" w:hAnsiTheme="minorHAnsi" w:cstheme="minorHAnsi"/>
          <w:sz w:val="24"/>
          <w:szCs w:val="24"/>
        </w:rPr>
      </w:pPr>
    </w:p>
    <w:p w14:paraId="43B8EF61" w14:textId="28C436E7" w:rsidR="006833F9" w:rsidRDefault="006833F9" w:rsidP="006833F9">
      <w:pPr>
        <w:jc w:val="both"/>
        <w:rPr>
          <w:rFonts w:asciiTheme="minorHAnsi" w:hAnsiTheme="minorHAnsi" w:cstheme="minorHAnsi"/>
          <w:sz w:val="24"/>
          <w:szCs w:val="24"/>
        </w:rPr>
      </w:pPr>
    </w:p>
    <w:p w14:paraId="0A7B0D85" w14:textId="2DC25360" w:rsidR="006833F9" w:rsidRDefault="006833F9" w:rsidP="006833F9">
      <w:pPr>
        <w:jc w:val="both"/>
        <w:rPr>
          <w:rFonts w:asciiTheme="minorHAnsi" w:hAnsiTheme="minorHAnsi" w:cstheme="minorHAnsi"/>
          <w:sz w:val="24"/>
          <w:szCs w:val="24"/>
        </w:rPr>
      </w:pPr>
    </w:p>
    <w:p w14:paraId="13055C39" w14:textId="77777777" w:rsidR="006833F9" w:rsidRDefault="006833F9" w:rsidP="006833F9">
      <w:pPr>
        <w:jc w:val="both"/>
        <w:rPr>
          <w:rFonts w:asciiTheme="minorHAnsi" w:hAnsiTheme="minorHAnsi" w:cstheme="minorHAnsi"/>
          <w:sz w:val="24"/>
          <w:szCs w:val="24"/>
        </w:rPr>
      </w:pPr>
    </w:p>
    <w:p w14:paraId="50572982" w14:textId="77777777" w:rsidR="006833F9" w:rsidRDefault="006833F9" w:rsidP="006833F9">
      <w:pPr>
        <w:jc w:val="both"/>
        <w:rPr>
          <w:rFonts w:asciiTheme="minorHAnsi" w:hAnsiTheme="minorHAnsi" w:cstheme="minorHAnsi"/>
          <w:sz w:val="24"/>
          <w:szCs w:val="24"/>
        </w:rPr>
      </w:pPr>
    </w:p>
    <w:p w14:paraId="3AE050FF" w14:textId="77777777" w:rsidR="006833F9" w:rsidRDefault="006833F9" w:rsidP="006833F9">
      <w:pPr>
        <w:jc w:val="both"/>
        <w:rPr>
          <w:rFonts w:asciiTheme="minorHAnsi" w:hAnsiTheme="minorHAnsi" w:cstheme="minorHAnsi"/>
          <w:sz w:val="24"/>
          <w:szCs w:val="24"/>
        </w:rPr>
      </w:pPr>
    </w:p>
    <w:p w14:paraId="5A7CE245" w14:textId="52957D62" w:rsidR="006833F9" w:rsidRDefault="006833F9" w:rsidP="006833F9">
      <w:pPr>
        <w:jc w:val="both"/>
        <w:rPr>
          <w:rFonts w:asciiTheme="minorHAnsi" w:hAnsiTheme="minorHAnsi" w:cstheme="minorHAnsi"/>
          <w:sz w:val="24"/>
          <w:szCs w:val="24"/>
        </w:rPr>
      </w:pPr>
    </w:p>
    <w:p w14:paraId="32BE7679" w14:textId="77777777" w:rsidR="006833F9" w:rsidRPr="00A46AC5" w:rsidRDefault="006833F9" w:rsidP="006833F9">
      <w:pPr>
        <w:pStyle w:val="Heading1"/>
        <w:numPr>
          <w:ilvl w:val="0"/>
          <w:numId w:val="16"/>
        </w:numPr>
        <w:rPr>
          <w:rFonts w:ascii="Calibri" w:hAnsi="Calibri"/>
          <w:color w:val="171717" w:themeColor="background2" w:themeShade="1A"/>
        </w:rPr>
      </w:pPr>
      <w:bookmarkStart w:id="4" w:name="_Toc80181910"/>
      <w:bookmarkStart w:id="5" w:name="_Toc82003571"/>
      <w:bookmarkStart w:id="6" w:name="_Toc82271938"/>
      <w:r w:rsidRPr="00A46AC5">
        <w:rPr>
          <w:rFonts w:ascii="Calibri" w:hAnsi="Calibri"/>
          <w:color w:val="171717" w:themeColor="background2" w:themeShade="1A"/>
        </w:rPr>
        <w:lastRenderedPageBreak/>
        <w:t>ZELENE JAVNE NABAVKE</w:t>
      </w:r>
      <w:bookmarkEnd w:id="4"/>
      <w:bookmarkEnd w:id="5"/>
      <w:bookmarkEnd w:id="6"/>
    </w:p>
    <w:p w14:paraId="4FD3BE4C" w14:textId="77777777" w:rsidR="006833F9" w:rsidRDefault="006833F9" w:rsidP="006833F9"/>
    <w:p w14:paraId="0938483F" w14:textId="1A3EA76C" w:rsidR="006833F9" w:rsidRDefault="006833F9" w:rsidP="006833F9">
      <w:pPr>
        <w:jc w:val="both"/>
      </w:pPr>
      <w:r>
        <w:rPr>
          <w:rFonts w:cs="Calibri"/>
          <w:sz w:val="24"/>
          <w:szCs w:val="24"/>
        </w:rPr>
        <w:t>Javne nabavke su jedan od instrumenata koji može značajno da doprinese ostvarivanju programa pam</w:t>
      </w:r>
      <w:r w:rsidR="005A2087">
        <w:rPr>
          <w:rFonts w:cs="Calibri"/>
          <w:sz w:val="24"/>
          <w:szCs w:val="24"/>
        </w:rPr>
        <w:t>etnog i održivog ekonomskog rast</w:t>
      </w:r>
      <w:r>
        <w:rPr>
          <w:rFonts w:cs="Calibri"/>
          <w:sz w:val="24"/>
          <w:szCs w:val="24"/>
        </w:rPr>
        <w:t xml:space="preserve">a kroz obezbjeđivanje efikasnog korišćenja javnih sredstava, podsticanje konkurencije i inovacija u poslovanju. Javne nabavke su važna alatka za realizaciju ciljeva i prioriteta politike u širokom spektru javnih sektora i uslužnih oblasti. Jedno od važnih poglavlja u okviru procesa pristupanja Evropskoj uniji su i javne nabavke, a Crna Gora se obavezala da ispuni zahtjeve koji su joj postavljeni radi dobijanja članstva u EU. </w:t>
      </w:r>
    </w:p>
    <w:p w14:paraId="4F385C2C" w14:textId="77777777" w:rsidR="006833F9" w:rsidRDefault="006833F9" w:rsidP="006833F9">
      <w:pPr>
        <w:jc w:val="both"/>
        <w:rPr>
          <w:rFonts w:cs="Calibri"/>
        </w:rPr>
      </w:pPr>
      <w:r>
        <w:rPr>
          <w:rFonts w:cs="Calibri"/>
          <w:sz w:val="24"/>
          <w:szCs w:val="24"/>
        </w:rPr>
        <w:t xml:space="preserve">Plastika je postala funkcionalni i sveprisutni materijal u našoj ekonomiji i svakodnevnim životima zbog svojih funkcionalnih svojstava i niskih troškova. Njena upotreba je eksponencionalno rasla od 1960-tih, a očekuje se da će se udvostručiti u narednih 20 godina. </w:t>
      </w:r>
    </w:p>
    <w:p w14:paraId="4034E22B" w14:textId="77777777" w:rsidR="006833F9" w:rsidRDefault="006833F9" w:rsidP="006833F9">
      <w:pPr>
        <w:jc w:val="both"/>
      </w:pPr>
      <w:r>
        <w:rPr>
          <w:rFonts w:cs="Calibri"/>
          <w:sz w:val="24"/>
          <w:szCs w:val="24"/>
        </w:rPr>
        <w:t>Globalno, najveća primjena plastike je kroz plastičnu ambalažu</w:t>
      </w:r>
      <w:r>
        <w:rPr>
          <w:rStyle w:val="FootnoteReference"/>
          <w:rFonts w:cs="Calibri"/>
          <w:sz w:val="24"/>
          <w:szCs w:val="24"/>
        </w:rPr>
        <w:footnoteReference w:id="1"/>
      </w:r>
      <w:r>
        <w:rPr>
          <w:rFonts w:cs="Calibri"/>
          <w:sz w:val="24"/>
          <w:szCs w:val="24"/>
        </w:rPr>
        <w:t xml:space="preserve">, koja predstavlja 26% od ukupne korišćene plastike. Kao materijal za pakovanje, plastika je posebno jeftina, laka i ima visoke performanse, i posledično tome, plastika sve više zamjenjuje ostale materijale. U toku 2013. godine je proizvedeno 78 miliona tona plastičnog pakovanja širom svijeta i očekuje se snažno povećanje količine plastične ambalaže, udvostručujući se u narednih 14 godina i više nego učetvorostručiti do 2050. godine. </w:t>
      </w:r>
    </w:p>
    <w:p w14:paraId="47D571D3" w14:textId="6CF3C2E4" w:rsidR="006833F9" w:rsidRDefault="006833F9" w:rsidP="006833F9">
      <w:pPr>
        <w:pStyle w:val="Pa5"/>
        <w:spacing w:after="100"/>
        <w:jc w:val="both"/>
      </w:pPr>
      <w:r>
        <w:rPr>
          <w:rFonts w:ascii="Calibri" w:hAnsi="Calibri" w:cs="Calibri"/>
          <w:color w:val="000000"/>
        </w:rPr>
        <w:t>Kako bi se riješio ovaj problem, potrebne su promjene na obje strane tržišta – na strani proizvodnje i potrošnje.</w:t>
      </w:r>
      <w:r w:rsidR="00AC578B">
        <w:rPr>
          <w:rFonts w:ascii="Calibri" w:hAnsi="Calibri" w:cs="Calibri"/>
          <w:color w:val="000000"/>
        </w:rPr>
        <w:t xml:space="preserve"> </w:t>
      </w:r>
      <w:r>
        <w:rPr>
          <w:rFonts w:ascii="Calibri" w:hAnsi="Calibri" w:cs="Calibri"/>
          <w:color w:val="000000"/>
        </w:rPr>
        <w:t xml:space="preserve"> Javne organizacije posluju i kao regulatori tržišta, ali i kao učesnici na tržištu, npr. kao potrošači, kroz svoje ugovore i nabavke. </w:t>
      </w:r>
    </w:p>
    <w:p w14:paraId="627C7C33" w14:textId="50511203" w:rsidR="006833F9" w:rsidRPr="00295734" w:rsidRDefault="006833F9" w:rsidP="006833F9">
      <w:pPr>
        <w:tabs>
          <w:tab w:val="left" w:pos="1490"/>
        </w:tabs>
        <w:spacing w:after="0"/>
        <w:jc w:val="both"/>
        <w:rPr>
          <w:sz w:val="24"/>
          <w:szCs w:val="24"/>
        </w:rPr>
      </w:pPr>
      <w:r>
        <w:rPr>
          <w:rFonts w:cs="Calibri"/>
          <w:sz w:val="24"/>
          <w:szCs w:val="24"/>
        </w:rPr>
        <w:t>Vlada Crne Gore je pripremila nacrt Strategije za unapređenje sistema javnih nabavki i javno-privatnog partnerstva za period 2021-2025. godine, uključujući i akcioni plan za period 2021-2022. godine</w:t>
      </w:r>
      <w:r>
        <w:rPr>
          <w:rStyle w:val="FootnoteReference"/>
          <w:rFonts w:cs="Calibri"/>
          <w:sz w:val="24"/>
          <w:szCs w:val="24"/>
        </w:rPr>
        <w:footnoteReference w:id="2"/>
      </w:r>
      <w:r>
        <w:rPr>
          <w:rFonts w:cs="Calibri"/>
          <w:sz w:val="24"/>
          <w:szCs w:val="24"/>
        </w:rPr>
        <w:t>. Cilj donošenja S</w:t>
      </w:r>
      <w:r w:rsidR="00AC578B">
        <w:rPr>
          <w:rFonts w:cs="Calibri"/>
          <w:sz w:val="24"/>
          <w:szCs w:val="24"/>
        </w:rPr>
        <w:t>trategije jeste unapr</w:t>
      </w:r>
      <w:r>
        <w:rPr>
          <w:rFonts w:cs="Calibri"/>
          <w:sz w:val="24"/>
          <w:szCs w:val="24"/>
        </w:rPr>
        <w:t>eđenje sistema javnih nabavki u pravcu održivosti, modernizacije, veće efikasnosti i čvrstoće temelja na kojima počiva sistem.</w:t>
      </w:r>
      <w:r>
        <w:rPr>
          <w:rFonts w:cs="Calibri"/>
          <w:b/>
          <w:sz w:val="24"/>
          <w:szCs w:val="24"/>
        </w:rPr>
        <w:t xml:space="preserve"> </w:t>
      </w:r>
      <w:r w:rsidRPr="001C7588">
        <w:rPr>
          <w:rFonts w:cs="Calibri"/>
          <w:sz w:val="24"/>
          <w:szCs w:val="24"/>
        </w:rPr>
        <w:t xml:space="preserve">Sa druge strane ovaj </w:t>
      </w:r>
      <w:r w:rsidRPr="00295734">
        <w:rPr>
          <w:rFonts w:cs="Calibri"/>
          <w:sz w:val="24"/>
          <w:szCs w:val="24"/>
        </w:rPr>
        <w:t>okvir planira</w:t>
      </w:r>
      <w:r w:rsidR="00AC578B">
        <w:rPr>
          <w:rFonts w:cs="Calibri"/>
          <w:sz w:val="24"/>
          <w:szCs w:val="24"/>
        </w:rPr>
        <w:t>ni</w:t>
      </w:r>
      <w:r w:rsidRPr="00295734">
        <w:rPr>
          <w:rFonts w:cs="Calibri"/>
          <w:sz w:val="24"/>
          <w:szCs w:val="24"/>
        </w:rPr>
        <w:t xml:space="preserve">h aktivnosti ima za cilj razvoj politike javno-privatnog partnerstva, sa istovremeno jasnim prenošenjem stava javnih vlasti da radi na kreiranju svih preduslova za nove projekte koji se mogu realizovati po ovom investicionom modelu. </w:t>
      </w:r>
    </w:p>
    <w:p w14:paraId="5CB5947B" w14:textId="77777777" w:rsidR="006833F9" w:rsidRDefault="006833F9" w:rsidP="006833F9">
      <w:pPr>
        <w:tabs>
          <w:tab w:val="left" w:pos="1490"/>
        </w:tabs>
        <w:spacing w:after="0"/>
        <w:jc w:val="both"/>
        <w:rPr>
          <w:rFonts w:cs="Calibri"/>
          <w:bCs/>
        </w:rPr>
      </w:pPr>
    </w:p>
    <w:p w14:paraId="3D0E185D" w14:textId="77777777" w:rsidR="006833F9" w:rsidRDefault="006833F9" w:rsidP="006833F9">
      <w:pPr>
        <w:tabs>
          <w:tab w:val="left" w:pos="1490"/>
        </w:tabs>
        <w:spacing w:after="0"/>
        <w:jc w:val="both"/>
      </w:pPr>
      <w:r w:rsidRPr="00295734">
        <w:rPr>
          <w:rFonts w:cs="Calibri"/>
          <w:bCs/>
          <w:sz w:val="24"/>
          <w:szCs w:val="24"/>
        </w:rPr>
        <w:t xml:space="preserve">U kontekstu širenja upotreba održivih i zelenih javnih nabavki koje su jedan od strateških pravaca sveukupne javne politike, važno je istaći da politika zelenih nabavki korespondira ciljevima Strategije </w:t>
      </w:r>
      <w:r w:rsidRPr="001C7588">
        <w:rPr>
          <w:rFonts w:cs="Calibri"/>
          <w:bCs/>
          <w:sz w:val="24"/>
          <w:szCs w:val="24"/>
        </w:rPr>
        <w:t>održivog razvoja do 2030. godine, a to su efikasno upravljanje obnovljivim prirodnim resursima, unapređenje stanja životne sredine i zdravlja ljudi, održiva proizvodnja i potrošnja, obezbjeđenje inovativnosti, razvoj ljudskih resursa, zapošljavanja i socijalne inkluzije</w:t>
      </w:r>
      <w:r>
        <w:rPr>
          <w:rFonts w:cs="Calibri"/>
          <w:bCs/>
          <w:sz w:val="24"/>
          <w:szCs w:val="24"/>
        </w:rPr>
        <w:t xml:space="preserve">. Zelene javne nabavke su važna alatka za postizanje ciljeva politike održivog razvoja i zaštite životne sredine koji su vezani za klimatske promjene, korišćenje resursa i održivu potrošnju i proizvodnju – posebno kad se uzme u obzir značaj potrošnje roba i usluga od strane javnog sektora. </w:t>
      </w:r>
    </w:p>
    <w:p w14:paraId="60C96DEB" w14:textId="77777777" w:rsidR="006833F9" w:rsidRDefault="006833F9" w:rsidP="006833F9">
      <w:pPr>
        <w:tabs>
          <w:tab w:val="left" w:pos="1490"/>
        </w:tabs>
        <w:spacing w:after="0"/>
        <w:jc w:val="both"/>
        <w:rPr>
          <w:rFonts w:cs="Calibri"/>
          <w:bCs/>
          <w:sz w:val="24"/>
          <w:szCs w:val="24"/>
        </w:rPr>
      </w:pPr>
    </w:p>
    <w:p w14:paraId="2A8AAAD0" w14:textId="77777777" w:rsidR="006833F9" w:rsidRDefault="006833F9" w:rsidP="006833F9">
      <w:pPr>
        <w:jc w:val="both"/>
      </w:pPr>
      <w:r>
        <w:rPr>
          <w:rFonts w:cs="Calibri"/>
          <w:bCs/>
          <w:sz w:val="24"/>
          <w:szCs w:val="24"/>
        </w:rPr>
        <w:lastRenderedPageBreak/>
        <w:t>Iako je princip zaštite životne sredine bio zastupljen u prethodnoj Strategiji razvoja sistema javnih nabavki za period 2016-2020. godine, izvještajni podaci pokazuju nizak stepen primjene socijalnih i ekoloških standarda u postupcima dodjele ugovora o javnim nabavkama. Ostvarivanje principa javnih nabavki, u prvom redu efikasnosti, efektivnosti upotrebe javnih sredstava i ekonomičnosti postupaka javnih nabavki uslovljeno je primjenom posebnih oblika nabavki kao što je okvirni sporazum, te većom zastupljenošću centralizovanih nabavki.  Podaci iz godišnjih izvještaja o javnim nabavkama ukazuju da je upotreba ovih oblika nabavki na niskom nivou</w:t>
      </w:r>
      <w:r>
        <w:rPr>
          <w:rStyle w:val="FootnoteReference"/>
          <w:rFonts w:cs="Calibri"/>
          <w:bCs/>
          <w:sz w:val="24"/>
          <w:szCs w:val="24"/>
        </w:rPr>
        <w:footnoteReference w:id="3"/>
      </w:r>
      <w:r>
        <w:rPr>
          <w:rFonts w:cs="Calibri"/>
          <w:bCs/>
          <w:sz w:val="24"/>
          <w:szCs w:val="24"/>
        </w:rPr>
        <w:t>.</w:t>
      </w:r>
    </w:p>
    <w:p w14:paraId="24C7AA42" w14:textId="77777777" w:rsidR="006833F9" w:rsidRDefault="006833F9" w:rsidP="006833F9">
      <w:pPr>
        <w:jc w:val="both"/>
        <w:rPr>
          <w:rFonts w:cs="Calibri"/>
          <w:sz w:val="24"/>
          <w:szCs w:val="24"/>
        </w:rPr>
      </w:pPr>
      <w:r>
        <w:rPr>
          <w:rFonts w:cs="Calibri"/>
          <w:sz w:val="24"/>
          <w:szCs w:val="24"/>
        </w:rPr>
        <w:t xml:space="preserve">Prema članu 11 novog Zakona o javnim nabavkama ("Sl. list CG", br. 74/2019) propisano je načelo zaštite životne sredine, socijalnog i radnog prava i obezbjeđenja energetske efikasnosti. </w:t>
      </w:r>
    </w:p>
    <w:p w14:paraId="1ADB5E66" w14:textId="77777777" w:rsidR="006833F9" w:rsidRDefault="006833F9" w:rsidP="006833F9">
      <w:pPr>
        <w:jc w:val="both"/>
        <w:rPr>
          <w:rFonts w:cs="Calibri"/>
          <w:sz w:val="24"/>
          <w:szCs w:val="24"/>
        </w:rPr>
      </w:pPr>
      <w:r>
        <w:rPr>
          <w:rFonts w:cs="Calibri"/>
          <w:sz w:val="24"/>
          <w:szCs w:val="24"/>
        </w:rPr>
        <w:t>U skladu sa ovim članom, naručilac je dužan da u postupku javne nabavke obezbijedi da svi privredni subjekti poštuju utvrđene obaveze u dijelu zaštite životne sredine, socijalnog i radnog prava, uključujući kolektivne ugovore, u skladu sa zakonom i potvrđenim međunarodnim konvencijama o zaštiti životne sredine i socijalnog i radnog prava. Naručilac je dužan da vrši nabavku roba, usluga ili radova uz obezbjeđivanje adekvatnog smanjenja potrošnje energije, odnosno poštovanja principa energetske efikasnosti.</w:t>
      </w:r>
    </w:p>
    <w:p w14:paraId="6CC14046" w14:textId="77777777" w:rsidR="006833F9" w:rsidRDefault="006833F9" w:rsidP="006833F9">
      <w:pPr>
        <w:jc w:val="both"/>
        <w:rPr>
          <w:rFonts w:cs="Calibri"/>
          <w:sz w:val="24"/>
          <w:szCs w:val="24"/>
        </w:rPr>
      </w:pPr>
      <w:r>
        <w:rPr>
          <w:rFonts w:cs="Calibri"/>
          <w:sz w:val="24"/>
          <w:szCs w:val="24"/>
        </w:rPr>
        <w:t xml:space="preserve">Članom 87 ovog zakona, u okviru definisanja dodatnih uslova, predviđena je mogućnost da naručilac može da odredi i druge dodatne uslove za učešće u postupku javne nabavke, posebno ukoliko se odnose na socijalna, ekološka i pitanja energetske efikasnosti. </w:t>
      </w:r>
    </w:p>
    <w:p w14:paraId="4CCBB9BC" w14:textId="77777777" w:rsidR="006833F9" w:rsidRDefault="006833F9" w:rsidP="006833F9">
      <w:pPr>
        <w:pStyle w:val="BodyText"/>
        <w:ind w:right="95"/>
        <w:jc w:val="both"/>
      </w:pPr>
      <w:r>
        <w:t>Obveznici</w:t>
      </w:r>
      <w:r>
        <w:rPr>
          <w:spacing w:val="1"/>
        </w:rPr>
        <w:t xml:space="preserve"> </w:t>
      </w:r>
      <w:r>
        <w:t>primjene</w:t>
      </w:r>
      <w:r>
        <w:rPr>
          <w:spacing w:val="1"/>
        </w:rPr>
        <w:t xml:space="preserve"> </w:t>
      </w:r>
      <w:r>
        <w:t>Zakona</w:t>
      </w:r>
      <w:r>
        <w:rPr>
          <w:spacing w:val="1"/>
        </w:rPr>
        <w:t xml:space="preserve"> </w:t>
      </w:r>
      <w:r>
        <w:t>o</w:t>
      </w:r>
      <w:r>
        <w:rPr>
          <w:spacing w:val="1"/>
        </w:rPr>
        <w:t xml:space="preserve"> </w:t>
      </w:r>
      <w:r>
        <w:t>javnim</w:t>
      </w:r>
      <w:r>
        <w:rPr>
          <w:spacing w:val="1"/>
        </w:rPr>
        <w:t xml:space="preserve"> </w:t>
      </w:r>
      <w:r>
        <w:t>nabavkama</w:t>
      </w:r>
      <w:r>
        <w:rPr>
          <w:spacing w:val="1"/>
        </w:rPr>
        <w:t xml:space="preserve"> </w:t>
      </w:r>
      <w:r>
        <w:t>u</w:t>
      </w:r>
      <w:r>
        <w:rPr>
          <w:spacing w:val="1"/>
        </w:rPr>
        <w:t xml:space="preserve"> </w:t>
      </w:r>
      <w:r>
        <w:t>2020.</w:t>
      </w:r>
      <w:r>
        <w:rPr>
          <w:spacing w:val="1"/>
        </w:rPr>
        <w:t xml:space="preserve"> </w:t>
      </w:r>
      <w:r>
        <w:t>godini</w:t>
      </w:r>
      <w:r>
        <w:rPr>
          <w:spacing w:val="1"/>
        </w:rPr>
        <w:t xml:space="preserve"> </w:t>
      </w:r>
      <w:r>
        <w:t>ugovorili</w:t>
      </w:r>
      <w:r>
        <w:rPr>
          <w:spacing w:val="1"/>
        </w:rPr>
        <w:t xml:space="preserve"> </w:t>
      </w:r>
      <w:r>
        <w:t>su ukupno</w:t>
      </w:r>
      <w:r>
        <w:rPr>
          <w:spacing w:val="1"/>
        </w:rPr>
        <w:t xml:space="preserve"> </w:t>
      </w:r>
      <w:r>
        <w:t>642,496,990.90</w:t>
      </w:r>
      <w:r>
        <w:rPr>
          <w:spacing w:val="-1"/>
        </w:rPr>
        <w:t xml:space="preserve"> </w:t>
      </w:r>
      <w:r>
        <w:t>eura</w:t>
      </w:r>
      <w:r>
        <w:rPr>
          <w:spacing w:val="1"/>
        </w:rPr>
        <w:t xml:space="preserve"> </w:t>
      </w:r>
      <w:r>
        <w:t>za</w:t>
      </w:r>
      <w:r>
        <w:rPr>
          <w:spacing w:val="-2"/>
        </w:rPr>
        <w:t xml:space="preserve"> </w:t>
      </w:r>
      <w:r>
        <w:t>nabavku</w:t>
      </w:r>
      <w:r>
        <w:rPr>
          <w:spacing w:val="1"/>
        </w:rPr>
        <w:t xml:space="preserve"> </w:t>
      </w:r>
      <w:r>
        <w:t>roba,</w:t>
      </w:r>
      <w:r>
        <w:rPr>
          <w:spacing w:val="-2"/>
        </w:rPr>
        <w:t xml:space="preserve"> </w:t>
      </w:r>
      <w:r>
        <w:t>usluga</w:t>
      </w:r>
      <w:r>
        <w:rPr>
          <w:spacing w:val="-1"/>
        </w:rPr>
        <w:t xml:space="preserve"> </w:t>
      </w:r>
      <w:r>
        <w:t>i</w:t>
      </w:r>
      <w:r>
        <w:rPr>
          <w:spacing w:val="-2"/>
        </w:rPr>
        <w:t xml:space="preserve"> </w:t>
      </w:r>
      <w:r>
        <w:t>radova</w:t>
      </w:r>
      <w:r>
        <w:rPr>
          <w:rStyle w:val="FootnoteReference"/>
        </w:rPr>
        <w:footnoteReference w:id="4"/>
      </w:r>
      <w:r>
        <w:t xml:space="preserve">. Na robe je ugovoreno 43,80%. </w:t>
      </w:r>
    </w:p>
    <w:p w14:paraId="3EA14853" w14:textId="77777777" w:rsidR="006833F9" w:rsidRDefault="006833F9" w:rsidP="006833F9">
      <w:pPr>
        <w:pStyle w:val="BodyText"/>
        <w:ind w:right="95"/>
        <w:jc w:val="both"/>
      </w:pPr>
    </w:p>
    <w:p w14:paraId="4C6068A0" w14:textId="1370B9C8" w:rsidR="006833F9" w:rsidRPr="00A62473" w:rsidRDefault="006833F9" w:rsidP="006833F9">
      <w:pPr>
        <w:pStyle w:val="Caption"/>
        <w:jc w:val="center"/>
        <w:rPr>
          <w:color w:val="0D0D0D" w:themeColor="text1" w:themeTint="F2"/>
        </w:rPr>
      </w:pPr>
      <w:bookmarkStart w:id="7" w:name="_Toc81913957"/>
      <w:bookmarkStart w:id="8" w:name="_Toc82002930"/>
      <w:bookmarkStart w:id="9" w:name="_Toc82415534"/>
      <w:r w:rsidRPr="002A6A75">
        <w:rPr>
          <w:rFonts w:ascii="Calibri" w:hAnsi="Calibri"/>
          <w:sz w:val="22"/>
          <w:szCs w:val="22"/>
        </w:rPr>
        <w:t xml:space="preserve">Tabela </w:t>
      </w:r>
      <w:r w:rsidRPr="00A62473">
        <w:rPr>
          <w:rFonts w:ascii="Calibri" w:hAnsi="Calibri"/>
          <w:color w:val="0D0D0D" w:themeColor="text1" w:themeTint="F2"/>
          <w:sz w:val="22"/>
          <w:szCs w:val="22"/>
        </w:rPr>
        <w:fldChar w:fldCharType="begin"/>
      </w:r>
      <w:r w:rsidRPr="00A62473">
        <w:rPr>
          <w:rFonts w:ascii="Calibri" w:hAnsi="Calibri"/>
          <w:color w:val="0D0D0D" w:themeColor="text1" w:themeTint="F2"/>
          <w:sz w:val="22"/>
          <w:szCs w:val="22"/>
        </w:rPr>
        <w:instrText xml:space="preserve"> SEQ Table \* ARABIC </w:instrText>
      </w:r>
      <w:r w:rsidRPr="00A62473">
        <w:rPr>
          <w:rFonts w:ascii="Calibri" w:hAnsi="Calibri"/>
          <w:color w:val="0D0D0D" w:themeColor="text1" w:themeTint="F2"/>
          <w:sz w:val="22"/>
          <w:szCs w:val="22"/>
        </w:rPr>
        <w:fldChar w:fldCharType="separate"/>
      </w:r>
      <w:r w:rsidR="002E7036">
        <w:rPr>
          <w:rFonts w:ascii="Calibri" w:hAnsi="Calibri"/>
          <w:noProof/>
          <w:color w:val="0D0D0D" w:themeColor="text1" w:themeTint="F2"/>
          <w:sz w:val="22"/>
          <w:szCs w:val="22"/>
        </w:rPr>
        <w:t>1</w:t>
      </w:r>
      <w:r w:rsidRPr="00A62473">
        <w:rPr>
          <w:rFonts w:ascii="Calibri" w:hAnsi="Calibri"/>
          <w:color w:val="0D0D0D" w:themeColor="text1" w:themeTint="F2"/>
          <w:sz w:val="22"/>
          <w:szCs w:val="22"/>
        </w:rPr>
        <w:fldChar w:fldCharType="end"/>
      </w:r>
      <w:r w:rsidRPr="00506ED4">
        <w:rPr>
          <w:rFonts w:ascii="Calibri" w:hAnsi="Calibri"/>
          <w:color w:val="0D0D0D" w:themeColor="text1" w:themeTint="F2"/>
          <w:sz w:val="22"/>
          <w:szCs w:val="22"/>
        </w:rPr>
        <w:t xml:space="preserve"> Uporedni pregled ugovorenih javnih nabavki i nabavki po godinama, u Eur</w:t>
      </w:r>
      <w:bookmarkEnd w:id="7"/>
      <w:bookmarkEnd w:id="8"/>
      <w:bookmarkEnd w:id="9"/>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11"/>
        <w:gridCol w:w="1968"/>
        <w:gridCol w:w="3267"/>
        <w:gridCol w:w="2834"/>
      </w:tblGrid>
      <w:tr w:rsidR="006833F9" w14:paraId="43EC4DA3" w14:textId="77777777" w:rsidTr="005A2087">
        <w:trPr>
          <w:trHeight w:val="877"/>
          <w:jc w:val="center"/>
        </w:trPr>
        <w:tc>
          <w:tcPr>
            <w:tcW w:w="1111" w:type="dxa"/>
            <w:shd w:val="clear" w:color="auto" w:fill="2E74B5" w:themeFill="accent1" w:themeFillShade="BF"/>
            <w:tcMar>
              <w:top w:w="0" w:type="dxa"/>
              <w:left w:w="0" w:type="dxa"/>
              <w:bottom w:w="0" w:type="dxa"/>
              <w:right w:w="0" w:type="dxa"/>
            </w:tcMar>
          </w:tcPr>
          <w:p w14:paraId="299A9F1D" w14:textId="77777777" w:rsidR="006833F9" w:rsidRPr="00A107BF" w:rsidRDefault="006833F9" w:rsidP="005A2087">
            <w:pPr>
              <w:pStyle w:val="TableParagraph"/>
              <w:spacing w:before="10"/>
              <w:jc w:val="left"/>
              <w:rPr>
                <w:i/>
                <w:color w:val="FFFFFF" w:themeColor="background1"/>
              </w:rPr>
            </w:pPr>
          </w:p>
          <w:p w14:paraId="2BD6DEF9" w14:textId="77777777" w:rsidR="006833F9" w:rsidRPr="00A107BF" w:rsidRDefault="006833F9" w:rsidP="005A2087">
            <w:pPr>
              <w:pStyle w:val="TableParagraph"/>
              <w:spacing w:before="1"/>
              <w:ind w:left="174" w:right="150"/>
              <w:rPr>
                <w:b/>
                <w:color w:val="FFFFFF" w:themeColor="background1"/>
              </w:rPr>
            </w:pPr>
            <w:r w:rsidRPr="00A107BF">
              <w:rPr>
                <w:b/>
                <w:color w:val="FFFFFF" w:themeColor="background1"/>
              </w:rPr>
              <w:t>Godina</w:t>
            </w:r>
          </w:p>
        </w:tc>
        <w:tc>
          <w:tcPr>
            <w:tcW w:w="1968" w:type="dxa"/>
            <w:shd w:val="clear" w:color="auto" w:fill="2E74B5" w:themeFill="accent1" w:themeFillShade="BF"/>
            <w:tcMar>
              <w:top w:w="0" w:type="dxa"/>
              <w:left w:w="0" w:type="dxa"/>
              <w:bottom w:w="0" w:type="dxa"/>
              <w:right w:w="0" w:type="dxa"/>
            </w:tcMar>
          </w:tcPr>
          <w:p w14:paraId="6D34BC36" w14:textId="77777777" w:rsidR="006833F9" w:rsidRPr="0091029E" w:rsidRDefault="006833F9" w:rsidP="005A2087">
            <w:pPr>
              <w:pStyle w:val="TableParagraph"/>
              <w:ind w:left="148" w:right="107" w:firstLine="446"/>
              <w:jc w:val="left"/>
              <w:rPr>
                <w:i/>
                <w:color w:val="FFFFFF" w:themeColor="background1"/>
              </w:rPr>
            </w:pPr>
            <w:r w:rsidRPr="0091029E">
              <w:rPr>
                <w:b/>
                <w:i/>
                <w:color w:val="FFFFFF" w:themeColor="background1"/>
              </w:rPr>
              <w:t>Ukupna</w:t>
            </w:r>
            <w:r w:rsidRPr="0091029E">
              <w:rPr>
                <w:b/>
                <w:i/>
                <w:color w:val="FFFFFF" w:themeColor="background1"/>
                <w:spacing w:val="1"/>
              </w:rPr>
              <w:t xml:space="preserve"> </w:t>
            </w:r>
            <w:r w:rsidRPr="0091029E">
              <w:rPr>
                <w:b/>
                <w:i/>
                <w:color w:val="FFFFFF" w:themeColor="background1"/>
              </w:rPr>
              <w:t>vrijednost</w:t>
            </w:r>
            <w:r w:rsidRPr="0091029E">
              <w:rPr>
                <w:b/>
                <w:i/>
                <w:color w:val="FFFFFF" w:themeColor="background1"/>
                <w:spacing w:val="-7"/>
              </w:rPr>
              <w:t xml:space="preserve"> </w:t>
            </w:r>
            <w:r w:rsidRPr="0091029E">
              <w:rPr>
                <w:b/>
                <w:i/>
                <w:color w:val="FFFFFF" w:themeColor="background1"/>
              </w:rPr>
              <w:t>javnih</w:t>
            </w:r>
          </w:p>
          <w:p w14:paraId="1B2567F1" w14:textId="77777777" w:rsidR="006833F9" w:rsidRPr="00A107BF" w:rsidRDefault="006833F9" w:rsidP="005A2087">
            <w:pPr>
              <w:pStyle w:val="TableParagraph"/>
              <w:spacing w:line="272" w:lineRule="exact"/>
              <w:ind w:left="592"/>
              <w:jc w:val="left"/>
              <w:rPr>
                <w:b/>
                <w:color w:val="FFFFFF" w:themeColor="background1"/>
              </w:rPr>
            </w:pPr>
            <w:r w:rsidRPr="0091029E">
              <w:rPr>
                <w:b/>
                <w:i/>
                <w:color w:val="FFFFFF" w:themeColor="background1"/>
              </w:rPr>
              <w:t>Nabavki</w:t>
            </w:r>
          </w:p>
        </w:tc>
        <w:tc>
          <w:tcPr>
            <w:tcW w:w="3267" w:type="dxa"/>
            <w:shd w:val="clear" w:color="auto" w:fill="2E74B5" w:themeFill="accent1" w:themeFillShade="BF"/>
            <w:tcMar>
              <w:top w:w="0" w:type="dxa"/>
              <w:left w:w="0" w:type="dxa"/>
              <w:bottom w:w="0" w:type="dxa"/>
              <w:right w:w="0" w:type="dxa"/>
            </w:tcMar>
          </w:tcPr>
          <w:p w14:paraId="05115A00" w14:textId="77777777" w:rsidR="006833F9" w:rsidRPr="00A107BF" w:rsidRDefault="006833F9" w:rsidP="005A2087">
            <w:pPr>
              <w:pStyle w:val="TableParagraph"/>
              <w:spacing w:before="145"/>
              <w:ind w:left="1015" w:right="232" w:hanging="750"/>
              <w:jc w:val="left"/>
              <w:rPr>
                <w:color w:val="FFFFFF" w:themeColor="background1"/>
              </w:rPr>
            </w:pPr>
            <w:r w:rsidRPr="00A107BF">
              <w:rPr>
                <w:b/>
                <w:i/>
                <w:color w:val="FFFFFF" w:themeColor="background1"/>
              </w:rPr>
              <w:t>Ukupna</w:t>
            </w:r>
            <w:r w:rsidRPr="00A107BF">
              <w:rPr>
                <w:b/>
                <w:i/>
                <w:color w:val="FFFFFF" w:themeColor="background1"/>
                <w:spacing w:val="-5"/>
              </w:rPr>
              <w:t xml:space="preserve"> </w:t>
            </w:r>
            <w:r w:rsidRPr="00A107BF">
              <w:rPr>
                <w:b/>
                <w:i/>
                <w:color w:val="FFFFFF" w:themeColor="background1"/>
              </w:rPr>
              <w:t>vrijednost</w:t>
            </w:r>
            <w:r w:rsidRPr="00A107BF">
              <w:rPr>
                <w:b/>
                <w:i/>
                <w:color w:val="FFFFFF" w:themeColor="background1"/>
                <w:spacing w:val="-7"/>
              </w:rPr>
              <w:t xml:space="preserve"> </w:t>
            </w:r>
            <w:r w:rsidRPr="00A107BF">
              <w:rPr>
                <w:b/>
                <w:i/>
                <w:color w:val="FFFFFF" w:themeColor="background1"/>
              </w:rPr>
              <w:t>nabavke</w:t>
            </w:r>
            <w:r w:rsidRPr="00A107BF">
              <w:rPr>
                <w:b/>
                <w:i/>
                <w:color w:val="FFFFFF" w:themeColor="background1"/>
                <w:spacing w:val="-51"/>
              </w:rPr>
              <w:t xml:space="preserve"> </w:t>
            </w:r>
            <w:r w:rsidRPr="00A107BF">
              <w:rPr>
                <w:b/>
                <w:i/>
                <w:color w:val="FFFFFF" w:themeColor="background1"/>
              </w:rPr>
              <w:t>struje</w:t>
            </w:r>
            <w:r w:rsidRPr="00A107BF">
              <w:rPr>
                <w:b/>
                <w:i/>
                <w:color w:val="FFFFFF" w:themeColor="background1"/>
                <w:spacing w:val="-1"/>
              </w:rPr>
              <w:t xml:space="preserve"> </w:t>
            </w:r>
            <w:r w:rsidRPr="00A107BF">
              <w:rPr>
                <w:b/>
                <w:i/>
                <w:color w:val="FFFFFF" w:themeColor="background1"/>
              </w:rPr>
              <w:t>i</w:t>
            </w:r>
            <w:r w:rsidRPr="00A107BF">
              <w:rPr>
                <w:b/>
                <w:i/>
                <w:color w:val="FFFFFF" w:themeColor="background1"/>
                <w:spacing w:val="-1"/>
              </w:rPr>
              <w:t xml:space="preserve"> </w:t>
            </w:r>
            <w:r w:rsidRPr="00A107BF">
              <w:rPr>
                <w:b/>
                <w:i/>
                <w:color w:val="FFFFFF" w:themeColor="background1"/>
              </w:rPr>
              <w:t>uglja</w:t>
            </w:r>
          </w:p>
        </w:tc>
        <w:tc>
          <w:tcPr>
            <w:tcW w:w="2834" w:type="dxa"/>
            <w:shd w:val="clear" w:color="auto" w:fill="2E74B5" w:themeFill="accent1" w:themeFillShade="BF"/>
            <w:tcMar>
              <w:top w:w="0" w:type="dxa"/>
              <w:left w:w="0" w:type="dxa"/>
              <w:bottom w:w="0" w:type="dxa"/>
              <w:right w:w="0" w:type="dxa"/>
            </w:tcMar>
          </w:tcPr>
          <w:p w14:paraId="05B6767D" w14:textId="77777777" w:rsidR="006833F9" w:rsidRPr="00A107BF" w:rsidRDefault="006833F9" w:rsidP="005A2087">
            <w:pPr>
              <w:pStyle w:val="TableParagraph"/>
              <w:spacing w:before="145"/>
              <w:ind w:left="1020" w:right="454" w:hanging="516"/>
              <w:jc w:val="left"/>
              <w:rPr>
                <w:color w:val="FFFFFF" w:themeColor="background1"/>
              </w:rPr>
            </w:pPr>
            <w:r w:rsidRPr="00A107BF">
              <w:rPr>
                <w:b/>
                <w:i/>
                <w:color w:val="FFFFFF" w:themeColor="background1"/>
              </w:rPr>
              <w:t>Ukupna vrijednost</w:t>
            </w:r>
            <w:r w:rsidRPr="00A107BF">
              <w:rPr>
                <w:b/>
                <w:i/>
                <w:color w:val="FFFFFF" w:themeColor="background1"/>
                <w:spacing w:val="-52"/>
              </w:rPr>
              <w:t xml:space="preserve"> </w:t>
            </w:r>
            <w:r w:rsidRPr="00A107BF">
              <w:rPr>
                <w:b/>
                <w:i/>
                <w:color w:val="FFFFFF" w:themeColor="background1"/>
              </w:rPr>
              <w:t>nabavki</w:t>
            </w:r>
          </w:p>
        </w:tc>
      </w:tr>
      <w:tr w:rsidR="006833F9" w14:paraId="00DE743A" w14:textId="77777777" w:rsidTr="005A2087">
        <w:trPr>
          <w:trHeight w:val="318"/>
          <w:jc w:val="center"/>
        </w:trPr>
        <w:tc>
          <w:tcPr>
            <w:tcW w:w="1111" w:type="dxa"/>
            <w:shd w:val="clear" w:color="auto" w:fill="2E74B5" w:themeFill="accent1" w:themeFillShade="BF"/>
            <w:tcMar>
              <w:top w:w="0" w:type="dxa"/>
              <w:left w:w="0" w:type="dxa"/>
              <w:bottom w:w="0" w:type="dxa"/>
              <w:right w:w="0" w:type="dxa"/>
            </w:tcMar>
          </w:tcPr>
          <w:p w14:paraId="5B6B30D8" w14:textId="77777777" w:rsidR="006833F9" w:rsidRPr="00A107BF" w:rsidRDefault="006833F9" w:rsidP="005A2087">
            <w:pPr>
              <w:pStyle w:val="TableParagraph"/>
              <w:spacing w:before="14" w:line="285" w:lineRule="exact"/>
              <w:ind w:left="174" w:right="144"/>
              <w:rPr>
                <w:b/>
                <w:color w:val="FFFFFF" w:themeColor="background1"/>
                <w:sz w:val="20"/>
                <w:szCs w:val="20"/>
              </w:rPr>
            </w:pPr>
            <w:r w:rsidRPr="00A107BF">
              <w:rPr>
                <w:b/>
                <w:color w:val="FFFFFF" w:themeColor="background1"/>
                <w:sz w:val="20"/>
                <w:szCs w:val="20"/>
              </w:rPr>
              <w:t>2017.</w:t>
            </w:r>
          </w:p>
        </w:tc>
        <w:tc>
          <w:tcPr>
            <w:tcW w:w="1968" w:type="dxa"/>
            <w:shd w:val="clear" w:color="auto" w:fill="auto"/>
            <w:tcMar>
              <w:top w:w="0" w:type="dxa"/>
              <w:left w:w="0" w:type="dxa"/>
              <w:bottom w:w="0" w:type="dxa"/>
              <w:right w:w="0" w:type="dxa"/>
            </w:tcMar>
          </w:tcPr>
          <w:p w14:paraId="3A3DA503" w14:textId="77777777" w:rsidR="006833F9" w:rsidRDefault="006833F9" w:rsidP="005A2087">
            <w:pPr>
              <w:pStyle w:val="TableParagraph"/>
              <w:spacing w:line="292" w:lineRule="exact"/>
              <w:ind w:left="136"/>
              <w:jc w:val="left"/>
              <w:rPr>
                <w:sz w:val="20"/>
                <w:szCs w:val="20"/>
              </w:rPr>
            </w:pPr>
            <w:r>
              <w:rPr>
                <w:sz w:val="20"/>
                <w:szCs w:val="20"/>
              </w:rPr>
              <w:t>450,966,606.78 €</w:t>
            </w:r>
          </w:p>
        </w:tc>
        <w:tc>
          <w:tcPr>
            <w:tcW w:w="3267" w:type="dxa"/>
            <w:shd w:val="clear" w:color="auto" w:fill="auto"/>
            <w:tcMar>
              <w:top w:w="0" w:type="dxa"/>
              <w:left w:w="0" w:type="dxa"/>
              <w:bottom w:w="0" w:type="dxa"/>
              <w:right w:w="0" w:type="dxa"/>
            </w:tcMar>
          </w:tcPr>
          <w:p w14:paraId="69F0360F" w14:textId="77777777" w:rsidR="006833F9" w:rsidRDefault="006833F9" w:rsidP="005A2087">
            <w:pPr>
              <w:pStyle w:val="TableParagraph"/>
              <w:spacing w:before="14" w:line="285" w:lineRule="exact"/>
              <w:ind w:left="766" w:right="735"/>
            </w:pPr>
            <w:r>
              <w:rPr>
                <w:sz w:val="20"/>
                <w:szCs w:val="20"/>
              </w:rPr>
              <w:t>71,670,353.83</w:t>
            </w:r>
            <w:r>
              <w:rPr>
                <w:spacing w:val="-1"/>
                <w:sz w:val="20"/>
                <w:szCs w:val="20"/>
              </w:rPr>
              <w:t xml:space="preserve"> </w:t>
            </w:r>
            <w:r>
              <w:rPr>
                <w:sz w:val="20"/>
                <w:szCs w:val="20"/>
              </w:rPr>
              <w:t>€</w:t>
            </w:r>
          </w:p>
        </w:tc>
        <w:tc>
          <w:tcPr>
            <w:tcW w:w="2834" w:type="dxa"/>
            <w:shd w:val="clear" w:color="auto" w:fill="auto"/>
            <w:tcMar>
              <w:top w:w="0" w:type="dxa"/>
              <w:left w:w="0" w:type="dxa"/>
              <w:bottom w:w="0" w:type="dxa"/>
              <w:right w:w="0" w:type="dxa"/>
            </w:tcMar>
          </w:tcPr>
          <w:p w14:paraId="3F56D2B6" w14:textId="77777777" w:rsidR="006833F9" w:rsidRDefault="006833F9" w:rsidP="005A2087">
            <w:pPr>
              <w:pStyle w:val="TableParagraph"/>
              <w:spacing w:before="14" w:line="285" w:lineRule="exact"/>
              <w:ind w:left="545" w:right="514"/>
            </w:pPr>
            <w:r>
              <w:rPr>
                <w:sz w:val="20"/>
                <w:szCs w:val="20"/>
              </w:rPr>
              <w:t>522,636,960.61</w:t>
            </w:r>
            <w:r>
              <w:rPr>
                <w:spacing w:val="-1"/>
                <w:sz w:val="20"/>
                <w:szCs w:val="20"/>
              </w:rPr>
              <w:t xml:space="preserve"> </w:t>
            </w:r>
            <w:r>
              <w:rPr>
                <w:sz w:val="20"/>
                <w:szCs w:val="20"/>
              </w:rPr>
              <w:t>€</w:t>
            </w:r>
          </w:p>
        </w:tc>
      </w:tr>
      <w:tr w:rsidR="006833F9" w14:paraId="4FAF7A2A" w14:textId="77777777" w:rsidTr="005A2087">
        <w:trPr>
          <w:trHeight w:val="315"/>
          <w:jc w:val="center"/>
        </w:trPr>
        <w:tc>
          <w:tcPr>
            <w:tcW w:w="1111" w:type="dxa"/>
            <w:shd w:val="clear" w:color="auto" w:fill="2E74B5" w:themeFill="accent1" w:themeFillShade="BF"/>
            <w:tcMar>
              <w:top w:w="0" w:type="dxa"/>
              <w:left w:w="0" w:type="dxa"/>
              <w:bottom w:w="0" w:type="dxa"/>
              <w:right w:w="0" w:type="dxa"/>
            </w:tcMar>
          </w:tcPr>
          <w:p w14:paraId="711D7BF5" w14:textId="77777777" w:rsidR="006833F9" w:rsidRPr="00A107BF" w:rsidRDefault="006833F9" w:rsidP="005A2087">
            <w:pPr>
              <w:pStyle w:val="TableParagraph"/>
              <w:spacing w:before="11" w:line="285" w:lineRule="exact"/>
              <w:ind w:left="174" w:right="144"/>
              <w:rPr>
                <w:b/>
                <w:color w:val="FFFFFF" w:themeColor="background1"/>
                <w:sz w:val="20"/>
                <w:szCs w:val="20"/>
              </w:rPr>
            </w:pPr>
            <w:r w:rsidRPr="00A107BF">
              <w:rPr>
                <w:b/>
                <w:color w:val="FFFFFF" w:themeColor="background1"/>
                <w:sz w:val="20"/>
                <w:szCs w:val="20"/>
              </w:rPr>
              <w:t>2018.</w:t>
            </w:r>
          </w:p>
        </w:tc>
        <w:tc>
          <w:tcPr>
            <w:tcW w:w="1968" w:type="dxa"/>
            <w:shd w:val="clear" w:color="auto" w:fill="FFFFFF"/>
            <w:tcMar>
              <w:top w:w="0" w:type="dxa"/>
              <w:left w:w="0" w:type="dxa"/>
              <w:bottom w:w="0" w:type="dxa"/>
              <w:right w:w="0" w:type="dxa"/>
            </w:tcMar>
          </w:tcPr>
          <w:p w14:paraId="13294A43" w14:textId="77777777" w:rsidR="006833F9" w:rsidRDefault="006833F9" w:rsidP="005A2087">
            <w:pPr>
              <w:pStyle w:val="TableParagraph"/>
              <w:spacing w:line="289" w:lineRule="exact"/>
              <w:ind w:left="136"/>
              <w:jc w:val="left"/>
            </w:pPr>
            <w:r>
              <w:rPr>
                <w:sz w:val="20"/>
                <w:szCs w:val="20"/>
              </w:rPr>
              <w:t>449,373,407.93</w:t>
            </w:r>
            <w:r>
              <w:rPr>
                <w:spacing w:val="-2"/>
                <w:sz w:val="20"/>
                <w:szCs w:val="20"/>
              </w:rPr>
              <w:t xml:space="preserve"> </w:t>
            </w:r>
            <w:r>
              <w:rPr>
                <w:sz w:val="20"/>
                <w:szCs w:val="20"/>
              </w:rPr>
              <w:t>€</w:t>
            </w:r>
          </w:p>
        </w:tc>
        <w:tc>
          <w:tcPr>
            <w:tcW w:w="3267" w:type="dxa"/>
            <w:shd w:val="clear" w:color="auto" w:fill="FFFFFF"/>
            <w:tcMar>
              <w:top w:w="0" w:type="dxa"/>
              <w:left w:w="0" w:type="dxa"/>
              <w:bottom w:w="0" w:type="dxa"/>
              <w:right w:w="0" w:type="dxa"/>
            </w:tcMar>
          </w:tcPr>
          <w:p w14:paraId="3212ACB4" w14:textId="77777777" w:rsidR="006833F9" w:rsidRDefault="006833F9" w:rsidP="005A2087">
            <w:pPr>
              <w:pStyle w:val="TableParagraph"/>
              <w:spacing w:before="11" w:line="285" w:lineRule="exact"/>
              <w:ind w:left="766" w:right="735"/>
            </w:pPr>
            <w:r>
              <w:rPr>
                <w:sz w:val="20"/>
                <w:szCs w:val="20"/>
              </w:rPr>
              <w:t>85,739,160.97</w:t>
            </w:r>
            <w:r>
              <w:rPr>
                <w:spacing w:val="-1"/>
                <w:sz w:val="20"/>
                <w:szCs w:val="20"/>
              </w:rPr>
              <w:t xml:space="preserve"> </w:t>
            </w:r>
            <w:r>
              <w:rPr>
                <w:sz w:val="20"/>
                <w:szCs w:val="20"/>
              </w:rPr>
              <w:t>€</w:t>
            </w:r>
          </w:p>
        </w:tc>
        <w:tc>
          <w:tcPr>
            <w:tcW w:w="2834" w:type="dxa"/>
            <w:shd w:val="clear" w:color="auto" w:fill="FFFFFF"/>
            <w:tcMar>
              <w:top w:w="0" w:type="dxa"/>
              <w:left w:w="0" w:type="dxa"/>
              <w:bottom w:w="0" w:type="dxa"/>
              <w:right w:w="0" w:type="dxa"/>
            </w:tcMar>
          </w:tcPr>
          <w:p w14:paraId="1178505B" w14:textId="77777777" w:rsidR="006833F9" w:rsidRDefault="006833F9" w:rsidP="005A2087">
            <w:pPr>
              <w:pStyle w:val="TableParagraph"/>
              <w:spacing w:before="11" w:line="285" w:lineRule="exact"/>
              <w:ind w:left="545" w:right="514"/>
            </w:pPr>
            <w:r>
              <w:rPr>
                <w:sz w:val="20"/>
                <w:szCs w:val="20"/>
              </w:rPr>
              <w:t>535,112,568,90</w:t>
            </w:r>
            <w:r>
              <w:rPr>
                <w:spacing w:val="1"/>
                <w:sz w:val="20"/>
                <w:szCs w:val="20"/>
              </w:rPr>
              <w:t xml:space="preserve"> </w:t>
            </w:r>
            <w:r>
              <w:rPr>
                <w:sz w:val="20"/>
                <w:szCs w:val="20"/>
              </w:rPr>
              <w:t>€</w:t>
            </w:r>
          </w:p>
        </w:tc>
      </w:tr>
      <w:tr w:rsidR="006833F9" w14:paraId="04D6B712" w14:textId="77777777" w:rsidTr="005A2087">
        <w:trPr>
          <w:trHeight w:val="315"/>
          <w:jc w:val="center"/>
        </w:trPr>
        <w:tc>
          <w:tcPr>
            <w:tcW w:w="1111" w:type="dxa"/>
            <w:shd w:val="clear" w:color="auto" w:fill="2E74B5" w:themeFill="accent1" w:themeFillShade="BF"/>
            <w:tcMar>
              <w:top w:w="0" w:type="dxa"/>
              <w:left w:w="0" w:type="dxa"/>
              <w:bottom w:w="0" w:type="dxa"/>
              <w:right w:w="0" w:type="dxa"/>
            </w:tcMar>
          </w:tcPr>
          <w:p w14:paraId="19EE8590" w14:textId="77777777" w:rsidR="006833F9" w:rsidRPr="00A107BF" w:rsidRDefault="006833F9" w:rsidP="005A2087">
            <w:pPr>
              <w:pStyle w:val="TableParagraph"/>
              <w:spacing w:before="11" w:line="285" w:lineRule="exact"/>
              <w:ind w:left="174" w:right="144"/>
              <w:rPr>
                <w:b/>
                <w:color w:val="FFFFFF" w:themeColor="background1"/>
                <w:sz w:val="20"/>
                <w:szCs w:val="20"/>
              </w:rPr>
            </w:pPr>
            <w:r w:rsidRPr="00A107BF">
              <w:rPr>
                <w:b/>
                <w:color w:val="FFFFFF" w:themeColor="background1"/>
                <w:sz w:val="20"/>
                <w:szCs w:val="20"/>
              </w:rPr>
              <w:t>2019.</w:t>
            </w:r>
          </w:p>
        </w:tc>
        <w:tc>
          <w:tcPr>
            <w:tcW w:w="1968" w:type="dxa"/>
            <w:shd w:val="clear" w:color="auto" w:fill="FFFFFF"/>
            <w:tcMar>
              <w:top w:w="0" w:type="dxa"/>
              <w:left w:w="0" w:type="dxa"/>
              <w:bottom w:w="0" w:type="dxa"/>
              <w:right w:w="0" w:type="dxa"/>
            </w:tcMar>
          </w:tcPr>
          <w:p w14:paraId="6E8692CB" w14:textId="77777777" w:rsidR="006833F9" w:rsidRDefault="006833F9" w:rsidP="005A2087">
            <w:pPr>
              <w:pStyle w:val="TableParagraph"/>
              <w:spacing w:line="289" w:lineRule="exact"/>
              <w:ind w:left="136"/>
              <w:jc w:val="left"/>
              <w:rPr>
                <w:sz w:val="20"/>
                <w:szCs w:val="20"/>
              </w:rPr>
            </w:pPr>
            <w:r>
              <w:rPr>
                <w:sz w:val="20"/>
                <w:szCs w:val="20"/>
              </w:rPr>
              <w:t>608,224,346.95 €</w:t>
            </w:r>
          </w:p>
        </w:tc>
        <w:tc>
          <w:tcPr>
            <w:tcW w:w="3267" w:type="dxa"/>
            <w:shd w:val="clear" w:color="auto" w:fill="FFFFFF"/>
            <w:tcMar>
              <w:top w:w="0" w:type="dxa"/>
              <w:left w:w="0" w:type="dxa"/>
              <w:bottom w:w="0" w:type="dxa"/>
              <w:right w:w="0" w:type="dxa"/>
            </w:tcMar>
          </w:tcPr>
          <w:p w14:paraId="3BBA5967" w14:textId="77777777" w:rsidR="006833F9" w:rsidRDefault="006833F9" w:rsidP="005A2087">
            <w:pPr>
              <w:pStyle w:val="TableParagraph"/>
              <w:spacing w:before="11" w:line="285" w:lineRule="exact"/>
              <w:ind w:left="766" w:right="737"/>
            </w:pPr>
            <w:r>
              <w:rPr>
                <w:sz w:val="20"/>
                <w:szCs w:val="20"/>
              </w:rPr>
              <w:t>107,425,391.96</w:t>
            </w:r>
            <w:r>
              <w:rPr>
                <w:spacing w:val="-1"/>
                <w:sz w:val="20"/>
                <w:szCs w:val="20"/>
              </w:rPr>
              <w:t xml:space="preserve"> </w:t>
            </w:r>
            <w:r>
              <w:rPr>
                <w:sz w:val="20"/>
                <w:szCs w:val="20"/>
              </w:rPr>
              <w:t>€</w:t>
            </w:r>
          </w:p>
        </w:tc>
        <w:tc>
          <w:tcPr>
            <w:tcW w:w="2834" w:type="dxa"/>
            <w:shd w:val="clear" w:color="auto" w:fill="FFFFFF"/>
            <w:tcMar>
              <w:top w:w="0" w:type="dxa"/>
              <w:left w:w="0" w:type="dxa"/>
              <w:bottom w:w="0" w:type="dxa"/>
              <w:right w:w="0" w:type="dxa"/>
            </w:tcMar>
          </w:tcPr>
          <w:p w14:paraId="77048E5F" w14:textId="77777777" w:rsidR="006833F9" w:rsidRDefault="006833F9" w:rsidP="005A2087">
            <w:pPr>
              <w:pStyle w:val="TableParagraph"/>
              <w:spacing w:before="11" w:line="285" w:lineRule="exact"/>
              <w:ind w:left="545" w:right="514"/>
            </w:pPr>
            <w:r>
              <w:rPr>
                <w:sz w:val="20"/>
                <w:szCs w:val="20"/>
              </w:rPr>
              <w:t>715,649,738.91</w:t>
            </w:r>
            <w:r>
              <w:rPr>
                <w:spacing w:val="-1"/>
                <w:sz w:val="20"/>
                <w:szCs w:val="20"/>
              </w:rPr>
              <w:t xml:space="preserve"> </w:t>
            </w:r>
            <w:r>
              <w:rPr>
                <w:sz w:val="20"/>
                <w:szCs w:val="20"/>
              </w:rPr>
              <w:t>€</w:t>
            </w:r>
          </w:p>
        </w:tc>
      </w:tr>
      <w:tr w:rsidR="006833F9" w14:paraId="7C38AAAE" w14:textId="77777777" w:rsidTr="005A2087">
        <w:trPr>
          <w:trHeight w:val="481"/>
          <w:jc w:val="center"/>
        </w:trPr>
        <w:tc>
          <w:tcPr>
            <w:tcW w:w="1111" w:type="dxa"/>
            <w:shd w:val="clear" w:color="auto" w:fill="2E74B5" w:themeFill="accent1" w:themeFillShade="BF"/>
            <w:tcMar>
              <w:top w:w="0" w:type="dxa"/>
              <w:left w:w="0" w:type="dxa"/>
              <w:bottom w:w="0" w:type="dxa"/>
              <w:right w:w="0" w:type="dxa"/>
            </w:tcMar>
          </w:tcPr>
          <w:p w14:paraId="3C39D806" w14:textId="77777777" w:rsidR="006833F9" w:rsidRPr="00A107BF" w:rsidRDefault="006833F9" w:rsidP="005A2087">
            <w:pPr>
              <w:pStyle w:val="TableParagraph"/>
              <w:spacing w:before="95"/>
              <w:ind w:left="174" w:right="149"/>
              <w:rPr>
                <w:b/>
                <w:color w:val="FFFFFF" w:themeColor="background1"/>
                <w:sz w:val="20"/>
                <w:szCs w:val="20"/>
              </w:rPr>
            </w:pPr>
            <w:r w:rsidRPr="00A107BF">
              <w:rPr>
                <w:b/>
                <w:color w:val="FFFFFF" w:themeColor="background1"/>
                <w:sz w:val="20"/>
                <w:szCs w:val="20"/>
              </w:rPr>
              <w:t>2020.</w:t>
            </w:r>
          </w:p>
        </w:tc>
        <w:tc>
          <w:tcPr>
            <w:tcW w:w="1968" w:type="dxa"/>
            <w:shd w:val="clear" w:color="auto" w:fill="FFFFFF"/>
            <w:tcMar>
              <w:top w:w="0" w:type="dxa"/>
              <w:left w:w="0" w:type="dxa"/>
              <w:bottom w:w="0" w:type="dxa"/>
              <w:right w:w="0" w:type="dxa"/>
            </w:tcMar>
          </w:tcPr>
          <w:p w14:paraId="122137A6" w14:textId="77777777" w:rsidR="006833F9" w:rsidRDefault="006833F9" w:rsidP="005A2087">
            <w:pPr>
              <w:pStyle w:val="TableParagraph"/>
              <w:spacing w:before="95"/>
              <w:ind w:left="131"/>
              <w:jc w:val="left"/>
            </w:pPr>
            <w:r>
              <w:rPr>
                <w:b/>
                <w:sz w:val="20"/>
                <w:szCs w:val="20"/>
              </w:rPr>
              <w:t>545,150,791.50</w:t>
            </w:r>
            <w:r>
              <w:rPr>
                <w:b/>
                <w:spacing w:val="-3"/>
                <w:sz w:val="20"/>
                <w:szCs w:val="20"/>
              </w:rPr>
              <w:t xml:space="preserve"> </w:t>
            </w:r>
            <w:r>
              <w:rPr>
                <w:b/>
                <w:sz w:val="20"/>
                <w:szCs w:val="20"/>
              </w:rPr>
              <w:t>€</w:t>
            </w:r>
          </w:p>
        </w:tc>
        <w:tc>
          <w:tcPr>
            <w:tcW w:w="3267" w:type="dxa"/>
            <w:shd w:val="clear" w:color="auto" w:fill="FFFFFF"/>
            <w:tcMar>
              <w:top w:w="0" w:type="dxa"/>
              <w:left w:w="0" w:type="dxa"/>
              <w:bottom w:w="0" w:type="dxa"/>
              <w:right w:w="0" w:type="dxa"/>
            </w:tcMar>
          </w:tcPr>
          <w:p w14:paraId="1F608A23" w14:textId="77777777" w:rsidR="006833F9" w:rsidRDefault="006833F9" w:rsidP="005A2087">
            <w:pPr>
              <w:pStyle w:val="TableParagraph"/>
              <w:spacing w:before="95"/>
              <w:ind w:left="766" w:right="737"/>
              <w:rPr>
                <w:b/>
                <w:sz w:val="20"/>
                <w:szCs w:val="20"/>
              </w:rPr>
            </w:pPr>
            <w:r>
              <w:rPr>
                <w:b/>
                <w:sz w:val="20"/>
                <w:szCs w:val="20"/>
              </w:rPr>
              <w:t>97,346,199.40 €</w:t>
            </w:r>
          </w:p>
        </w:tc>
        <w:tc>
          <w:tcPr>
            <w:tcW w:w="2834" w:type="dxa"/>
            <w:shd w:val="clear" w:color="auto" w:fill="FFFFFF"/>
            <w:tcMar>
              <w:top w:w="0" w:type="dxa"/>
              <w:left w:w="0" w:type="dxa"/>
              <w:bottom w:w="0" w:type="dxa"/>
              <w:right w:w="0" w:type="dxa"/>
            </w:tcMar>
          </w:tcPr>
          <w:p w14:paraId="55A02858" w14:textId="77777777" w:rsidR="006833F9" w:rsidRDefault="006833F9" w:rsidP="005A2087">
            <w:pPr>
              <w:pStyle w:val="TableParagraph"/>
              <w:spacing w:before="95"/>
              <w:ind w:left="547" w:right="514"/>
              <w:rPr>
                <w:b/>
                <w:sz w:val="20"/>
                <w:szCs w:val="20"/>
              </w:rPr>
            </w:pPr>
            <w:r>
              <w:rPr>
                <w:b/>
                <w:sz w:val="20"/>
                <w:szCs w:val="20"/>
              </w:rPr>
              <w:t>642,496,990.90 €</w:t>
            </w:r>
          </w:p>
        </w:tc>
      </w:tr>
    </w:tbl>
    <w:p w14:paraId="24F8D8F0" w14:textId="77777777" w:rsidR="006833F9" w:rsidRDefault="006833F9" w:rsidP="006833F9">
      <w:pPr>
        <w:pStyle w:val="BodyText"/>
        <w:spacing w:before="9"/>
        <w:rPr>
          <w:i/>
          <w:sz w:val="23"/>
        </w:rPr>
      </w:pPr>
    </w:p>
    <w:p w14:paraId="79A72F3F" w14:textId="77777777" w:rsidR="006833F9" w:rsidRPr="00BC5042" w:rsidRDefault="006833F9" w:rsidP="006833F9">
      <w:pPr>
        <w:shd w:val="clear" w:color="auto" w:fill="FFFFFF"/>
        <w:suppressAutoHyphens w:val="0"/>
        <w:spacing w:before="168" w:after="168"/>
        <w:jc w:val="both"/>
        <w:textAlignment w:val="auto"/>
        <w:rPr>
          <w:sz w:val="24"/>
        </w:rPr>
      </w:pPr>
      <w:r w:rsidRPr="00BC5042">
        <w:rPr>
          <w:sz w:val="24"/>
        </w:rPr>
        <w:t>Ukupna vrijednost javnih nabavki u gore prikazanoj tabeli odnosi se na vrijednost javnih</w:t>
      </w:r>
      <w:r w:rsidRPr="00BC5042">
        <w:rPr>
          <w:spacing w:val="1"/>
          <w:sz w:val="24"/>
        </w:rPr>
        <w:t xml:space="preserve"> </w:t>
      </w:r>
      <w:r w:rsidRPr="00BC5042">
        <w:rPr>
          <w:sz w:val="24"/>
        </w:rPr>
        <w:t>nabavki sprovedenih primjenom postupaka javnih nabavki, nabavki male vrijednosti, hitnih</w:t>
      </w:r>
      <w:r w:rsidRPr="00BC5042">
        <w:rPr>
          <w:spacing w:val="1"/>
          <w:sz w:val="24"/>
        </w:rPr>
        <w:t xml:space="preserve"> </w:t>
      </w:r>
      <w:r w:rsidRPr="00BC5042">
        <w:rPr>
          <w:sz w:val="24"/>
        </w:rPr>
        <w:t>nabavki i jednostavnih nabavki, dok se ukupna vrijednost nabavki odnosi na zbir vrijednosti</w:t>
      </w:r>
      <w:r w:rsidRPr="00BC5042">
        <w:rPr>
          <w:spacing w:val="1"/>
          <w:sz w:val="24"/>
        </w:rPr>
        <w:t xml:space="preserve"> </w:t>
      </w:r>
      <w:r w:rsidRPr="00BC5042">
        <w:rPr>
          <w:sz w:val="24"/>
        </w:rPr>
        <w:t>javnih nabavki i vrijednosti nabavke struje i uglja. Prikazana tabela 1 ukazuje da je ukupna</w:t>
      </w:r>
      <w:r w:rsidRPr="00BC5042">
        <w:rPr>
          <w:spacing w:val="1"/>
          <w:sz w:val="24"/>
        </w:rPr>
        <w:t xml:space="preserve"> </w:t>
      </w:r>
      <w:r w:rsidRPr="00BC5042">
        <w:rPr>
          <w:sz w:val="24"/>
        </w:rPr>
        <w:t>vrijednost nabavki u 2020. godini manja u odnosu na 2019. godinu za 3,86 %, a u odnosu na</w:t>
      </w:r>
      <w:r w:rsidRPr="00BC5042">
        <w:rPr>
          <w:spacing w:val="1"/>
          <w:sz w:val="24"/>
        </w:rPr>
        <w:t xml:space="preserve"> </w:t>
      </w:r>
      <w:r w:rsidRPr="00BC5042">
        <w:rPr>
          <w:sz w:val="24"/>
        </w:rPr>
        <w:t xml:space="preserve">2018. godinu veća za 5,67 %. Ukupna vrijednost javnih nabavki u 2020. godini je manja u odnosu na 2019. godinu za 3,94 %, dok je u odnosu na 2018. godinu veća za 5,97 %. </w:t>
      </w:r>
    </w:p>
    <w:p w14:paraId="1DCC8FB5" w14:textId="5F31EDE6" w:rsidR="006833F9" w:rsidRPr="0044768C" w:rsidRDefault="006833F9" w:rsidP="006833F9">
      <w:pPr>
        <w:shd w:val="clear" w:color="auto" w:fill="FFFFFF"/>
        <w:suppressAutoHyphens w:val="0"/>
        <w:spacing w:before="168" w:after="168"/>
        <w:jc w:val="both"/>
        <w:textAlignment w:val="auto"/>
        <w:rPr>
          <w:rFonts w:cs="Calibri"/>
          <w:sz w:val="24"/>
          <w:szCs w:val="24"/>
        </w:rPr>
      </w:pPr>
      <w:r w:rsidRPr="0044768C">
        <w:rPr>
          <w:sz w:val="24"/>
          <w:szCs w:val="24"/>
        </w:rPr>
        <w:lastRenderedPageBreak/>
        <w:t>Učešće nabavki i javnih nabavki predstavljaju veliki dio BDP u Crnoj Gori, te je učešće nabavki u BDP u 2019. godini iznosilo 14,58%, dok je</w:t>
      </w:r>
      <w:r w:rsidR="005B1735">
        <w:rPr>
          <w:sz w:val="24"/>
          <w:szCs w:val="24"/>
        </w:rPr>
        <w:t xml:space="preserve"> učešće javnih nabavki u istom</w:t>
      </w:r>
      <w:r w:rsidRPr="0044768C">
        <w:rPr>
          <w:sz w:val="24"/>
          <w:szCs w:val="24"/>
        </w:rPr>
        <w:t xml:space="preserve"> navedenom periodu iznosilo 12,39%</w:t>
      </w:r>
      <w:r w:rsidR="005B1735">
        <w:rPr>
          <w:sz w:val="24"/>
          <w:szCs w:val="24"/>
        </w:rPr>
        <w:t>. U</w:t>
      </w:r>
      <w:r w:rsidRPr="0044768C">
        <w:rPr>
          <w:sz w:val="24"/>
          <w:szCs w:val="24"/>
        </w:rPr>
        <w:t xml:space="preserve"> 2020. </w:t>
      </w:r>
      <w:r>
        <w:rPr>
          <w:sz w:val="24"/>
          <w:szCs w:val="24"/>
        </w:rPr>
        <w:t>g</w:t>
      </w:r>
      <w:r w:rsidRPr="0044768C">
        <w:rPr>
          <w:sz w:val="24"/>
          <w:szCs w:val="24"/>
        </w:rPr>
        <w:t>odini učešće javnih nabavki u BDP-u je iznosilo 13,06%</w:t>
      </w:r>
      <w:r w:rsidRPr="0044768C">
        <w:rPr>
          <w:rStyle w:val="FootnoteReference"/>
          <w:sz w:val="24"/>
          <w:szCs w:val="24"/>
        </w:rPr>
        <w:footnoteReference w:id="5"/>
      </w:r>
      <w:r w:rsidRPr="0044768C">
        <w:rPr>
          <w:sz w:val="24"/>
          <w:szCs w:val="24"/>
        </w:rPr>
        <w:t>.</w:t>
      </w:r>
    </w:p>
    <w:p w14:paraId="4BB1C422" w14:textId="77777777" w:rsidR="006833F9" w:rsidRDefault="006833F9" w:rsidP="006833F9">
      <w:pPr>
        <w:tabs>
          <w:tab w:val="left" w:pos="1490"/>
        </w:tabs>
        <w:spacing w:after="0"/>
        <w:jc w:val="both"/>
      </w:pPr>
      <w:r>
        <w:rPr>
          <w:rFonts w:cs="Calibri"/>
          <w:bCs/>
          <w:sz w:val="24"/>
          <w:szCs w:val="24"/>
          <w:u w:val="single"/>
        </w:rPr>
        <w:t>Brojne slabosti koje su identifikovane u sistemu javnih nabavki povezane su sa nedostatkom znanja o javnim nabavkama – prazninama koje su uočene kod naručilaca koje zahtijevaju obuku i ostale aktivnosti na pružanju podrške.</w:t>
      </w:r>
      <w:r>
        <w:rPr>
          <w:rFonts w:cs="Calibri"/>
          <w:bCs/>
          <w:sz w:val="24"/>
          <w:szCs w:val="24"/>
        </w:rPr>
        <w:t xml:space="preserve"> Edukacija lica koja obavljaju poslove javnih nabavki obuhvata: edukaciju koja se odnosi na implementaciju pravnog okvira i edukaciju koja se odnosi na implementaciju elektronskog sistema javnih nabavki.</w:t>
      </w:r>
    </w:p>
    <w:p w14:paraId="7DBE1AB9" w14:textId="77777777" w:rsidR="006833F9" w:rsidRDefault="006833F9" w:rsidP="006833F9">
      <w:pPr>
        <w:tabs>
          <w:tab w:val="left" w:pos="1490"/>
        </w:tabs>
        <w:spacing w:after="0"/>
        <w:jc w:val="both"/>
        <w:rPr>
          <w:rFonts w:cs="Calibri"/>
          <w:bCs/>
          <w:sz w:val="24"/>
          <w:szCs w:val="24"/>
        </w:rPr>
      </w:pPr>
    </w:p>
    <w:p w14:paraId="01142B43" w14:textId="77777777" w:rsidR="006833F9" w:rsidRDefault="006833F9" w:rsidP="006833F9">
      <w:pPr>
        <w:tabs>
          <w:tab w:val="left" w:pos="1490"/>
        </w:tabs>
        <w:spacing w:after="0"/>
        <w:jc w:val="both"/>
      </w:pPr>
      <w:r>
        <w:rPr>
          <w:rFonts w:cs="Calibri"/>
          <w:bCs/>
          <w:sz w:val="24"/>
          <w:szCs w:val="24"/>
        </w:rPr>
        <w:t>Elektronski sistem javnih nabavki je prvi sistem elektronskih javnih nabavki u Crnoj Gori, koji je operativan od 1. januara 2021. godine. ESJN funkcioniše primjenom informaciono-komunikacionih sredstava, omogućavajući sprovođenje i nadgledanje svih faza procesa nabavki - od faze planiranja do faze sprovođenja ugovora.</w:t>
      </w:r>
      <w:r>
        <w:rPr>
          <w:rFonts w:cs="Calibri"/>
          <w:bCs/>
          <w:sz w:val="24"/>
          <w:szCs w:val="24"/>
          <w:lang w:val="sq-AL"/>
        </w:rPr>
        <w:t xml:space="preserve"> </w:t>
      </w:r>
      <w:r>
        <w:rPr>
          <w:rFonts w:cs="Calibri"/>
          <w:bCs/>
          <w:sz w:val="24"/>
          <w:szCs w:val="24"/>
        </w:rPr>
        <w:t>Uvođenje ESJN znači isključivo korišćenje informacionih i komunikacionih tehnologija, koje moraju biti široko dostupne svim privrednim subjektima i u tom pogledu ne smije biti nikakvih ograničenja, tj. bilo kakve vrste diskriminacije učesnika.</w:t>
      </w:r>
    </w:p>
    <w:p w14:paraId="7DCC6D26" w14:textId="77777777" w:rsidR="006833F9" w:rsidRDefault="006833F9" w:rsidP="006833F9">
      <w:pPr>
        <w:tabs>
          <w:tab w:val="left" w:pos="1490"/>
        </w:tabs>
        <w:spacing w:after="0"/>
        <w:jc w:val="both"/>
        <w:rPr>
          <w:rFonts w:cs="Calibri"/>
          <w:bCs/>
          <w:sz w:val="24"/>
          <w:szCs w:val="24"/>
        </w:rPr>
      </w:pPr>
      <w:r>
        <w:rPr>
          <w:rFonts w:cs="Calibri"/>
          <w:bCs/>
          <w:sz w:val="24"/>
          <w:szCs w:val="24"/>
        </w:rPr>
        <w:t xml:space="preserve"> </w:t>
      </w:r>
    </w:p>
    <w:p w14:paraId="26843368" w14:textId="22CC4EA5" w:rsidR="006833F9" w:rsidRDefault="006833F9" w:rsidP="006833F9">
      <w:pPr>
        <w:tabs>
          <w:tab w:val="left" w:pos="1490"/>
        </w:tabs>
        <w:spacing w:after="0"/>
        <w:jc w:val="both"/>
      </w:pPr>
      <w:r>
        <w:rPr>
          <w:rFonts w:cs="Calibri"/>
          <w:bCs/>
          <w:sz w:val="24"/>
          <w:szCs w:val="24"/>
        </w:rPr>
        <w:t>Ostvarivanje principa javnih nabavki, u prvom redu efikasnosti, efektivnosti upotrebe javnih sredstava i ekonomičnosti postupaka javnih nabavki uslovljeno je primjenom posebnih oblika nabavki kao što je okvirni sporazum, te većom zastupljenošću centralizovanih nabavki.  Podaci iz godišnjih izvještaja o javnim nabavkama ukazuju da je upotreba ovih oblika nabavki na niskom nivou</w:t>
      </w:r>
      <w:r>
        <w:rPr>
          <w:rStyle w:val="FootnoteReference"/>
          <w:rFonts w:cs="Calibri"/>
          <w:bCs/>
          <w:sz w:val="24"/>
          <w:szCs w:val="24"/>
        </w:rPr>
        <w:footnoteReference w:id="6"/>
      </w:r>
      <w:r>
        <w:rPr>
          <w:rFonts w:cs="Calibri"/>
          <w:bCs/>
          <w:sz w:val="24"/>
          <w:szCs w:val="24"/>
        </w:rPr>
        <w:t>. Benefiti koje omogućava ovaj oblik nabavke jesu da se na osnovu jednog postupka javne nabavke m</w:t>
      </w:r>
      <w:r w:rsidR="00EC70ED">
        <w:rPr>
          <w:rFonts w:cs="Calibri"/>
          <w:bCs/>
          <w:sz w:val="24"/>
          <w:szCs w:val="24"/>
        </w:rPr>
        <w:t>ože</w:t>
      </w:r>
      <w:r>
        <w:rPr>
          <w:rFonts w:cs="Calibri"/>
          <w:bCs/>
          <w:sz w:val="24"/>
          <w:szCs w:val="24"/>
        </w:rPr>
        <w:t xml:space="preserve"> zaključiti više ugovora, a ugovori se mogu zaključiti i od strane više naručilaca i sa više ponuđača. Koncept okvirnog sporazuma obezbjeđuje zaključenje ugovora o javnim nabavkama roba, radova i usluga, kojima ne bi morale da prethode dugotrajne procedure sa nezvjesnim ishodom. Mogućnost upotrebe okvirnih sporazuma kao metoda nabavke je u Crnoj Gori propisana još na početku razvoja sistema javnih nabavki. </w:t>
      </w:r>
    </w:p>
    <w:p w14:paraId="38B4F1AD" w14:textId="77777777" w:rsidR="006833F9" w:rsidRPr="00C1721C" w:rsidRDefault="006833F9" w:rsidP="006833F9">
      <w:pPr>
        <w:tabs>
          <w:tab w:val="left" w:pos="1490"/>
        </w:tabs>
        <w:spacing w:after="0"/>
        <w:jc w:val="both"/>
        <w:rPr>
          <w:rFonts w:asciiTheme="minorHAnsi" w:hAnsiTheme="minorHAnsi" w:cstheme="minorHAnsi"/>
          <w:bCs/>
          <w:sz w:val="24"/>
          <w:szCs w:val="24"/>
        </w:rPr>
      </w:pPr>
    </w:p>
    <w:p w14:paraId="57B9647E" w14:textId="77777777" w:rsidR="00E70470" w:rsidRDefault="006833F9" w:rsidP="006833F9">
      <w:pPr>
        <w:tabs>
          <w:tab w:val="left" w:pos="1490"/>
        </w:tabs>
        <w:spacing w:after="0"/>
        <w:jc w:val="both"/>
        <w:rPr>
          <w:rFonts w:asciiTheme="minorHAnsi" w:hAnsiTheme="minorHAnsi" w:cstheme="minorHAnsi"/>
        </w:rPr>
      </w:pPr>
      <w:r w:rsidRPr="00C1721C">
        <w:rPr>
          <w:rFonts w:asciiTheme="minorHAnsi" w:hAnsiTheme="minorHAnsi" w:cstheme="minorHAnsi"/>
          <w:sz w:val="24"/>
          <w:szCs w:val="24"/>
        </w:rPr>
        <w:t xml:space="preserve">U dijelu centralizovanih nabavki, Uredbom o objedinjavanju javnih nabavki robe i usluga </w:t>
      </w:r>
      <w:r w:rsidRPr="00C1721C">
        <w:rPr>
          <w:rFonts w:asciiTheme="minorHAnsi" w:hAnsiTheme="minorHAnsi" w:cstheme="minorHAnsi"/>
          <w:bCs/>
          <w:sz w:val="24"/>
          <w:szCs w:val="24"/>
        </w:rPr>
        <w:t>(“Sl. list CG”, br. 74/2017),</w:t>
      </w:r>
      <w:r w:rsidRPr="00C1721C">
        <w:rPr>
          <w:rFonts w:asciiTheme="minorHAnsi" w:hAnsiTheme="minorHAnsi" w:cstheme="minorHAnsi"/>
          <w:sz w:val="24"/>
          <w:szCs w:val="24"/>
        </w:rPr>
        <w:t xml:space="preserve"> utvrđeno je da </w:t>
      </w:r>
      <w:r w:rsidRPr="00C1721C">
        <w:rPr>
          <w:rFonts w:asciiTheme="minorHAnsi" w:hAnsiTheme="minorHAnsi" w:cstheme="minorHAnsi"/>
          <w:sz w:val="24"/>
          <w:szCs w:val="24"/>
          <w:u w:val="single"/>
        </w:rPr>
        <w:t>je Uprava za državnu imovinu i katastar organ koji sprovodi objedinjene javne nabavke</w:t>
      </w:r>
      <w:r>
        <w:rPr>
          <w:rFonts w:asciiTheme="minorHAnsi" w:hAnsiTheme="minorHAnsi" w:cstheme="minorHAnsi"/>
        </w:rPr>
        <w:t>.</w:t>
      </w:r>
    </w:p>
    <w:p w14:paraId="07C240D9" w14:textId="77777777" w:rsidR="00E70470" w:rsidRDefault="00E70470" w:rsidP="006833F9">
      <w:pPr>
        <w:tabs>
          <w:tab w:val="left" w:pos="1490"/>
        </w:tabs>
        <w:spacing w:after="0"/>
        <w:jc w:val="both"/>
        <w:rPr>
          <w:rFonts w:asciiTheme="minorHAnsi" w:hAnsiTheme="minorHAnsi" w:cstheme="minorHAnsi"/>
        </w:rPr>
      </w:pPr>
    </w:p>
    <w:p w14:paraId="085E18BA" w14:textId="7E5115E7" w:rsidR="00814CF8" w:rsidRDefault="006833F9" w:rsidP="006833F9">
      <w:pPr>
        <w:tabs>
          <w:tab w:val="left" w:pos="1490"/>
        </w:tabs>
        <w:spacing w:after="0"/>
        <w:jc w:val="both"/>
        <w:rPr>
          <w:rFonts w:asciiTheme="minorHAnsi" w:hAnsiTheme="minorHAnsi" w:cstheme="minorHAnsi"/>
          <w:sz w:val="24"/>
          <w:szCs w:val="24"/>
        </w:rPr>
      </w:pPr>
      <w:r>
        <w:rPr>
          <w:rFonts w:asciiTheme="minorHAnsi" w:hAnsiTheme="minorHAnsi" w:cstheme="minorHAnsi"/>
        </w:rPr>
        <w:t xml:space="preserve"> </w:t>
      </w:r>
      <w:r w:rsidR="00684F0C">
        <w:rPr>
          <w:rFonts w:asciiTheme="minorHAnsi" w:hAnsiTheme="minorHAnsi" w:cstheme="minorHAnsi"/>
          <w:sz w:val="24"/>
          <w:szCs w:val="24"/>
        </w:rPr>
        <w:t>S obzirom da su principi zele</w:t>
      </w:r>
      <w:r w:rsidRPr="00C1721C">
        <w:rPr>
          <w:rFonts w:asciiTheme="minorHAnsi" w:hAnsiTheme="minorHAnsi" w:cstheme="minorHAnsi"/>
          <w:sz w:val="24"/>
          <w:szCs w:val="24"/>
        </w:rPr>
        <w:t>nih javnih nabavki uvedeni u Crnu Goru od 2021. godine, i da su oni na dobrovoljnoj osnovi, nemoguće je sprovesti analizu ostvarenih koristi na državni budžet i životnu sredinu. U narednom poglav</w:t>
      </w:r>
      <w:r w:rsidR="00CD5CF9">
        <w:rPr>
          <w:rFonts w:asciiTheme="minorHAnsi" w:hAnsiTheme="minorHAnsi" w:cstheme="minorHAnsi"/>
          <w:sz w:val="24"/>
          <w:szCs w:val="24"/>
        </w:rPr>
        <w:t>lju ćemo analizirati ove koristi</w:t>
      </w:r>
      <w:r w:rsidRPr="00C1721C">
        <w:rPr>
          <w:rFonts w:asciiTheme="minorHAnsi" w:hAnsiTheme="minorHAnsi" w:cstheme="minorHAnsi"/>
          <w:sz w:val="24"/>
          <w:szCs w:val="24"/>
        </w:rPr>
        <w:t xml:space="preserve"> koje su ostvarene u zemljama Evropske unije i mogu predstavljati dobru polaznu osnovu za donosice odluka u cilju ozbiljnijeg shvatanja svih potencijalnih koristi koje se mogu ostvariti primjenom ovih principa</w:t>
      </w:r>
      <w:r>
        <w:rPr>
          <w:rFonts w:asciiTheme="minorHAnsi" w:hAnsiTheme="minorHAnsi" w:cstheme="minorHAnsi"/>
          <w:sz w:val="24"/>
          <w:szCs w:val="24"/>
        </w:rPr>
        <w:t>.</w:t>
      </w:r>
    </w:p>
    <w:p w14:paraId="2CF7361F" w14:textId="77777777" w:rsidR="00A83338" w:rsidRPr="00C1721C" w:rsidRDefault="00A83338" w:rsidP="006833F9">
      <w:pPr>
        <w:tabs>
          <w:tab w:val="left" w:pos="1490"/>
        </w:tabs>
        <w:spacing w:after="0"/>
        <w:jc w:val="both"/>
        <w:rPr>
          <w:rFonts w:asciiTheme="minorHAnsi" w:hAnsiTheme="minorHAnsi" w:cstheme="minorHAnsi"/>
        </w:rPr>
      </w:pPr>
    </w:p>
    <w:p w14:paraId="31C29753" w14:textId="77777777" w:rsidR="006833F9" w:rsidRDefault="006833F9" w:rsidP="006833F9">
      <w:pPr>
        <w:pStyle w:val="Heading2"/>
        <w:numPr>
          <w:ilvl w:val="1"/>
          <w:numId w:val="16"/>
        </w:numPr>
        <w:rPr>
          <w:rStyle w:val="IntenseEmphasis"/>
          <w:rFonts w:ascii="Calibri" w:hAnsi="Calibri" w:cs="Calibri"/>
          <w:i w:val="0"/>
          <w:iCs w:val="0"/>
          <w:color w:val="2F5496"/>
        </w:rPr>
      </w:pPr>
      <w:bookmarkStart w:id="10" w:name="_Toc80181912"/>
      <w:bookmarkStart w:id="11" w:name="_Toc82003572"/>
      <w:bookmarkStart w:id="12" w:name="_Toc82271939"/>
      <w:r w:rsidRPr="00A46AC5">
        <w:rPr>
          <w:rStyle w:val="IntenseEmphasis"/>
          <w:rFonts w:ascii="Calibri" w:hAnsi="Calibri" w:cs="Calibri"/>
          <w:i w:val="0"/>
          <w:iCs w:val="0"/>
          <w:color w:val="171717" w:themeColor="background2" w:themeShade="1A"/>
        </w:rPr>
        <w:t xml:space="preserve">Ekonomske i ekološke koristi zelenih javnih nabavki u </w:t>
      </w:r>
      <w:bookmarkEnd w:id="10"/>
      <w:r w:rsidRPr="00A46AC5">
        <w:rPr>
          <w:rStyle w:val="IntenseEmphasis"/>
          <w:rFonts w:ascii="Calibri" w:hAnsi="Calibri" w:cs="Calibri"/>
          <w:i w:val="0"/>
          <w:iCs w:val="0"/>
          <w:color w:val="171717" w:themeColor="background2" w:themeShade="1A"/>
        </w:rPr>
        <w:t>EU</w:t>
      </w:r>
      <w:bookmarkEnd w:id="11"/>
      <w:bookmarkEnd w:id="12"/>
    </w:p>
    <w:p w14:paraId="11341928" w14:textId="77777777" w:rsidR="006833F9" w:rsidRPr="00812664" w:rsidRDefault="006833F9" w:rsidP="006833F9"/>
    <w:p w14:paraId="16B5CA62" w14:textId="77777777" w:rsidR="006833F9" w:rsidRDefault="006833F9" w:rsidP="006833F9">
      <w:pPr>
        <w:jc w:val="both"/>
      </w:pPr>
      <w:r>
        <w:rPr>
          <w:rFonts w:cs="Calibri"/>
          <w:sz w:val="24"/>
        </w:rPr>
        <w:t xml:space="preserve">Javne politike utiču na ekonomiju i razvoj zemlje. Razumijevanje kako i u kojoj mjeri ove politike funkcionišu ključno je za stvaranje pozitivnih ekonomskih i društvenih ishoda za </w:t>
      </w:r>
      <w:r>
        <w:rPr>
          <w:rFonts w:cs="Calibri"/>
          <w:sz w:val="24"/>
        </w:rPr>
        <w:lastRenderedPageBreak/>
        <w:t>građane. Preporuka Savjeta OECD-a o Regulatornoj politici i Upravljanju naglašava važnost politika praćenja. Savjet preporučuje da evaluacije treba da budu kvantitativne kad god je to moguće i da uzmu u obzir sve vrste rezultata koji proističu iz sprovedenih politika.</w:t>
      </w:r>
    </w:p>
    <w:p w14:paraId="5721C394" w14:textId="77777777" w:rsidR="006833F9" w:rsidRDefault="006833F9" w:rsidP="006833F9">
      <w:pPr>
        <w:shd w:val="clear" w:color="auto" w:fill="FFFFFF"/>
        <w:suppressAutoHyphens w:val="0"/>
        <w:spacing w:before="168" w:after="168"/>
        <w:jc w:val="both"/>
        <w:textAlignment w:val="auto"/>
        <w:rPr>
          <w:rFonts w:cs="Calibri"/>
          <w:sz w:val="24"/>
        </w:rPr>
      </w:pPr>
      <w:r>
        <w:rPr>
          <w:rFonts w:cs="Calibri"/>
          <w:sz w:val="24"/>
        </w:rPr>
        <w:t xml:space="preserve">U zemljama OECD-a, u prosjeku 29% ukupnih državnih rashoda troši se putem javnih nabavki, što predstavlja 12% BDP-a. Javne nabavke su kritična oblast politike koja može osigurati dobro upravljanje javnim finansijama uz maksimalan uticaj na građane. U zemljama OECD-a ušteda od 1% u rashodima za nabavke mogla bi predstavljati 43 milijarde eura na godišnjem nivou. </w:t>
      </w:r>
    </w:p>
    <w:p w14:paraId="4558E486" w14:textId="77777777" w:rsidR="006833F9" w:rsidRDefault="006833F9" w:rsidP="006833F9">
      <w:pPr>
        <w:shd w:val="clear" w:color="auto" w:fill="FFFFFF"/>
        <w:suppressAutoHyphens w:val="0"/>
        <w:spacing w:before="168" w:after="168"/>
        <w:jc w:val="both"/>
        <w:textAlignment w:val="auto"/>
        <w:rPr>
          <w:rFonts w:cs="Calibri"/>
          <w:sz w:val="24"/>
        </w:rPr>
      </w:pPr>
      <w:r>
        <w:rPr>
          <w:rFonts w:cs="Calibri"/>
          <w:sz w:val="24"/>
        </w:rPr>
        <w:t>Međutim, ekonomski uticaj javnih nabavki nije ograničen na uštede ostvarene efikasnim i efektivnim procedurama. Umjesto toga, prilike koje se mogu stvoriti pravilnom upotrebom javnih nabavki takođe bi trebalo uzeti u obzir prilikom kreiranja njenih strateških pristupa ili mjerenja uticaja. Tamo gdje se strateški koriste, javne nabavke mogu dovesti do poboljšanja u zdravstvenoj zaštiti, obrazovanju, inovacijama, rastu na nivou preduzeća, mogućnostima zapošljavanja, društvenoj inkluziji i kvalitetu i integritetu javnih institucija. Mjerenje efikasnosti politika nabavki može samo povećati koristi koje se mogu postići.</w:t>
      </w:r>
    </w:p>
    <w:p w14:paraId="7E43C7C3" w14:textId="77777777" w:rsidR="006833F9" w:rsidRDefault="006833F9" w:rsidP="006833F9">
      <w:pPr>
        <w:jc w:val="both"/>
        <w:rPr>
          <w:rFonts w:cs="Calibri"/>
          <w:sz w:val="24"/>
        </w:rPr>
      </w:pPr>
      <w:r>
        <w:rPr>
          <w:rFonts w:cs="Calibri"/>
          <w:sz w:val="24"/>
        </w:rPr>
        <w:t xml:space="preserve">Zelene javne nabavke (u daljem tekstu </w:t>
      </w:r>
      <w:r>
        <w:rPr>
          <w:rFonts w:cs="Calibri"/>
          <w:sz w:val="24"/>
          <w:shd w:val="clear" w:color="auto" w:fill="FFFFFF"/>
        </w:rPr>
        <w:t>ZJN</w:t>
      </w:r>
      <w:r>
        <w:rPr>
          <w:rFonts w:cs="Calibri"/>
          <w:sz w:val="24"/>
        </w:rPr>
        <w:t>) ovdje su definisane kao proces kojim javna i polujavna tijela nastoje da nabave dobra, usluge i radove sa smanjenim uticajem na životnu sredinu tokom svog životnog ciklusa u poređenju sa robom, uslugama i radovima sa istom primarnom funkcijom kako bi se inače nabavila. To je proces koji promoviše, ali ne vodi nužno, kupovinu „zelenog“ proizvoda i koji u potpunosti poštuje zakonodavstvo EU o javnim nabavkama. Postupci ZJN-a mogu donijeti niz različitih prednosti, obim svake koristi navedene u nastavku, a koje zavise od grupe proizvoda i kriterijuma koji se koriste pri kupovini.</w:t>
      </w:r>
    </w:p>
    <w:p w14:paraId="095370F0" w14:textId="77777777" w:rsidR="006833F9" w:rsidRDefault="006833F9" w:rsidP="006833F9">
      <w:pPr>
        <w:jc w:val="both"/>
        <w:rPr>
          <w:rFonts w:eastAsia="Times New Roman" w:cs="Calibri"/>
          <w:color w:val="1F3864"/>
          <w:spacing w:val="15"/>
        </w:rPr>
      </w:pPr>
    </w:p>
    <w:p w14:paraId="61206CA5" w14:textId="77777777" w:rsidR="006833F9" w:rsidRPr="00A46AC5" w:rsidRDefault="006833F9" w:rsidP="006833F9">
      <w:pPr>
        <w:pStyle w:val="Heading3"/>
        <w:numPr>
          <w:ilvl w:val="2"/>
          <w:numId w:val="16"/>
        </w:numPr>
        <w:rPr>
          <w:rFonts w:ascii="Calibri" w:hAnsi="Calibri"/>
          <w:color w:val="171717" w:themeColor="background2" w:themeShade="1A"/>
        </w:rPr>
      </w:pPr>
      <w:bookmarkStart w:id="13" w:name="_Toc82003573"/>
      <w:bookmarkStart w:id="14" w:name="_Toc82271940"/>
      <w:r w:rsidRPr="00A46AC5">
        <w:rPr>
          <w:rFonts w:ascii="Calibri" w:hAnsi="Calibri"/>
          <w:color w:val="171717" w:themeColor="background2" w:themeShade="1A"/>
        </w:rPr>
        <w:t>Ekonomske koristi</w:t>
      </w:r>
      <w:bookmarkEnd w:id="13"/>
      <w:bookmarkEnd w:id="14"/>
    </w:p>
    <w:p w14:paraId="33F4DE64" w14:textId="77777777" w:rsidR="006833F9" w:rsidRDefault="006833F9" w:rsidP="006833F9">
      <w:pPr>
        <w:jc w:val="both"/>
        <w:rPr>
          <w:rFonts w:cs="Calibri"/>
          <w:b/>
          <w:bCs/>
          <w:sz w:val="24"/>
        </w:rPr>
      </w:pPr>
    </w:p>
    <w:p w14:paraId="5404841C" w14:textId="1480FB9C" w:rsidR="006833F9" w:rsidRDefault="006833F9" w:rsidP="006833F9">
      <w:pPr>
        <w:jc w:val="both"/>
        <w:rPr>
          <w:rFonts w:cs="Calibri"/>
          <w:b/>
          <w:bCs/>
          <w:sz w:val="24"/>
        </w:rPr>
      </w:pPr>
      <w:r>
        <w:rPr>
          <w:rFonts w:cs="Calibri"/>
          <w:b/>
          <w:bCs/>
          <w:sz w:val="24"/>
        </w:rPr>
        <w:t>Direktna finansijsk</w:t>
      </w:r>
      <w:r w:rsidR="000D6928">
        <w:rPr>
          <w:rFonts w:cs="Calibri"/>
          <w:b/>
          <w:bCs/>
          <w:sz w:val="24"/>
        </w:rPr>
        <w:t>a korist za nadležne organe koji</w:t>
      </w:r>
      <w:r>
        <w:rPr>
          <w:rFonts w:cs="Calibri"/>
          <w:b/>
          <w:bCs/>
          <w:sz w:val="24"/>
        </w:rPr>
        <w:t xml:space="preserve"> sprovode javne nabavke</w:t>
      </w:r>
      <w:r w:rsidR="00B2111E">
        <w:rPr>
          <w:rStyle w:val="FootnoteReference"/>
          <w:rFonts w:cs="Calibri"/>
          <w:b/>
          <w:bCs/>
          <w:sz w:val="24"/>
        </w:rPr>
        <w:footnoteReference w:id="7"/>
      </w:r>
    </w:p>
    <w:p w14:paraId="4C4D0195" w14:textId="066EDCBE" w:rsidR="006833F9" w:rsidRDefault="006833F9" w:rsidP="006833F9">
      <w:pPr>
        <w:jc w:val="both"/>
        <w:rPr>
          <w:rFonts w:cs="Calibri"/>
          <w:sz w:val="24"/>
        </w:rPr>
      </w:pPr>
      <w:r>
        <w:rPr>
          <w:rFonts w:cs="Calibri"/>
          <w:sz w:val="24"/>
        </w:rPr>
        <w:t>Za proizvode koji tokom svog životnog vijeka troše resurse, kupovina proizvoda koji štede resurse može značajno smanjiti troškove za korisnike, čak i tamo gdje su početni izdaci veći. Primjeri su kancelarijska oprema, rasvjeta, vozila, zgrade</w:t>
      </w:r>
      <w:r w:rsidR="00800DA4">
        <w:rPr>
          <w:rStyle w:val="FootnoteReference"/>
          <w:rFonts w:cs="Calibri"/>
          <w:sz w:val="24"/>
        </w:rPr>
        <w:footnoteReference w:id="8"/>
      </w:r>
      <w:r>
        <w:rPr>
          <w:rFonts w:cs="Calibri"/>
          <w:sz w:val="24"/>
        </w:rPr>
        <w:t>.</w:t>
      </w:r>
    </w:p>
    <w:p w14:paraId="17661415" w14:textId="3A948858" w:rsidR="00814CF8" w:rsidRPr="00E35DB8" w:rsidRDefault="006833F9" w:rsidP="00E35DB8">
      <w:pPr>
        <w:pBdr>
          <w:top w:val="single" w:sz="4" w:space="1" w:color="auto"/>
          <w:left w:val="single" w:sz="4" w:space="4" w:color="auto"/>
          <w:bottom w:val="single" w:sz="4" w:space="1" w:color="auto"/>
          <w:right w:val="single" w:sz="4" w:space="4" w:color="auto"/>
        </w:pBdr>
        <w:shd w:val="clear" w:color="auto" w:fill="DEEAF6"/>
        <w:ind w:left="270" w:right="294"/>
        <w:jc w:val="both"/>
      </w:pPr>
      <w:r>
        <w:rPr>
          <w:rFonts w:cs="Calibri"/>
          <w:sz w:val="24"/>
        </w:rPr>
        <w:t xml:space="preserve">Primjer 1: Procjena troškova životnog ciklusa </w:t>
      </w:r>
      <w:r>
        <w:rPr>
          <w:rFonts w:cs="Calibri"/>
          <w:sz w:val="24"/>
          <w:shd w:val="clear" w:color="auto" w:fill="DEEAF6"/>
        </w:rPr>
        <w:t>alternativnih HVAC sistema</w:t>
      </w:r>
      <w:r>
        <w:rPr>
          <w:rFonts w:cs="Calibri"/>
          <w:sz w:val="24"/>
        </w:rPr>
        <w:t xml:space="preserve"> (sistemi grijanja, ventilacije i hlađenja) sprovedena u SAD-u 2005. godine dovela je do toga da je javni organ kupio HVAC sistem zasnovan na alternativnoj energetski efikasnoj „zelenoj” tehnologiji, čija je potrošnja energije bila znatno niža, tako da je ušteda nadmašila veće kapitalne troškove i troškove održavanja, kao i donijela ekološku korist u smislu smanjenja emisija sa efektom staklene bašte i drugih zagađivača vazduha.</w:t>
      </w:r>
    </w:p>
    <w:p w14:paraId="344F75EF" w14:textId="6E60ECB7" w:rsidR="006833F9" w:rsidRDefault="006833F9" w:rsidP="00814CF8">
      <w:pPr>
        <w:pBdr>
          <w:top w:val="single" w:sz="4" w:space="1" w:color="auto"/>
          <w:left w:val="single" w:sz="4" w:space="4" w:color="auto"/>
          <w:bottom w:val="single" w:sz="4" w:space="1" w:color="auto"/>
          <w:right w:val="single" w:sz="4" w:space="4" w:color="auto"/>
        </w:pBdr>
        <w:shd w:val="clear" w:color="auto" w:fill="DEEAF6" w:themeFill="accent1" w:themeFillTint="33"/>
        <w:ind w:left="270" w:right="294"/>
        <w:jc w:val="both"/>
        <w:rPr>
          <w:rFonts w:cs="Calibri"/>
          <w:sz w:val="24"/>
        </w:rPr>
      </w:pPr>
      <w:r>
        <w:rPr>
          <w:rFonts w:cs="Calibri"/>
          <w:sz w:val="24"/>
        </w:rPr>
        <w:t>Primjer 2: Nedavna studija sprovedena za britansku vladu pokazala je da je upotreba tehnika održive izgradnje na Njuport južnom distributerskom putu rezultirala koristima u vrijednosti od 2,1 milion funti (3,1 milion evra), od kojih je dio došao kroz smanjene troškove otkupa recikliranog materijala.</w:t>
      </w:r>
    </w:p>
    <w:p w14:paraId="676C27EA" w14:textId="1917E2C1" w:rsidR="006833F9" w:rsidRDefault="006833F9" w:rsidP="006833F9">
      <w:pPr>
        <w:ind w:right="24"/>
        <w:jc w:val="both"/>
      </w:pPr>
      <w:r w:rsidRPr="00694488">
        <w:rPr>
          <w:rFonts w:cs="Calibri"/>
          <w:sz w:val="24"/>
        </w:rPr>
        <w:lastRenderedPageBreak/>
        <w:t>Studija</w:t>
      </w:r>
      <w:r w:rsidR="00175DB5">
        <w:rPr>
          <w:rFonts w:cs="Calibri"/>
          <w:sz w:val="24"/>
        </w:rPr>
        <w:t xml:space="preserve"> iz prim</w:t>
      </w:r>
      <w:r w:rsidR="00814CF8" w:rsidRPr="00694488">
        <w:rPr>
          <w:rFonts w:cs="Calibri"/>
          <w:sz w:val="24"/>
        </w:rPr>
        <w:t>j</w:t>
      </w:r>
      <w:r w:rsidR="00175DB5">
        <w:rPr>
          <w:rFonts w:cs="Calibri"/>
          <w:sz w:val="24"/>
        </w:rPr>
        <w:t>e</w:t>
      </w:r>
      <w:r w:rsidR="00814CF8" w:rsidRPr="00694488">
        <w:rPr>
          <w:rFonts w:cs="Calibri"/>
          <w:sz w:val="24"/>
        </w:rPr>
        <w:t>ra 2</w:t>
      </w:r>
      <w:r w:rsidRPr="00694488">
        <w:rPr>
          <w:rFonts w:cs="Calibri"/>
          <w:sz w:val="24"/>
        </w:rPr>
        <w:t xml:space="preserve"> je </w:t>
      </w:r>
      <w:r w:rsidR="00814CF8" w:rsidRPr="00694488">
        <w:rPr>
          <w:rFonts w:cs="Calibri"/>
          <w:sz w:val="24"/>
        </w:rPr>
        <w:t>dokazala</w:t>
      </w:r>
      <w:r w:rsidRPr="00694488">
        <w:rPr>
          <w:rFonts w:cs="Calibri"/>
          <w:sz w:val="24"/>
        </w:rPr>
        <w:t xml:space="preserve"> da ZJN zaista stvara novčanu uštedu nakon početnog perioda razvoja strategije ZJN i integracije administrativnih zadataka u sam proces nabavke</w:t>
      </w:r>
      <w:r>
        <w:rPr>
          <w:rFonts w:cs="Calibri"/>
          <w:sz w:val="24"/>
        </w:rPr>
        <w:t xml:space="preserve">. Stoga bi potencijalne uštede kroz niže troškove (životnog ciklusa) za zelene proizvode i usluge mogle nadmašiti dodatne administrativne troškove. </w:t>
      </w:r>
      <w:r w:rsidRPr="00694488">
        <w:rPr>
          <w:rFonts w:cs="Calibri"/>
          <w:b/>
          <w:bCs/>
          <w:sz w:val="24"/>
        </w:rPr>
        <w:t>Administrativni troškovi mogli bi se svesti na najmanju mjeru razmjenom dobre prakse, korišćenjem samo osnovnih ekoloških kriterijuma, koriš</w:t>
      </w:r>
      <w:r w:rsidR="00E377CE">
        <w:rPr>
          <w:rFonts w:cs="Calibri"/>
          <w:b/>
          <w:bCs/>
          <w:sz w:val="24"/>
        </w:rPr>
        <w:t>ć</w:t>
      </w:r>
      <w:r w:rsidRPr="00694488">
        <w:rPr>
          <w:rFonts w:cs="Calibri"/>
          <w:b/>
          <w:bCs/>
          <w:sz w:val="24"/>
        </w:rPr>
        <w:t>enjem obuke i drugih alata koje su razvili iskusniji organi.</w:t>
      </w:r>
    </w:p>
    <w:p w14:paraId="3B4430E6" w14:textId="656282AE" w:rsidR="006833F9" w:rsidRDefault="006833F9" w:rsidP="006833F9">
      <w:pPr>
        <w:pBdr>
          <w:top w:val="single" w:sz="4" w:space="1" w:color="000000"/>
          <w:left w:val="single" w:sz="4" w:space="4" w:color="000000"/>
          <w:bottom w:val="single" w:sz="4" w:space="1" w:color="000000"/>
          <w:right w:val="single" w:sz="4" w:space="4" w:color="000000"/>
        </w:pBdr>
        <w:shd w:val="clear" w:color="auto" w:fill="DEEAF6"/>
        <w:ind w:left="270" w:right="294"/>
        <w:jc w:val="both"/>
        <w:rPr>
          <w:rFonts w:cs="Calibri"/>
          <w:sz w:val="24"/>
        </w:rPr>
      </w:pPr>
      <w:r>
        <w:rPr>
          <w:rFonts w:cs="Calibri"/>
          <w:sz w:val="24"/>
        </w:rPr>
        <w:t xml:space="preserve">Kao primjer, može se konstatovati da na nivou danske vlade, Ministarstva životne sredine, potrošačke </w:t>
      </w:r>
      <w:r w:rsidR="00814CF8">
        <w:rPr>
          <w:rFonts w:cs="Calibri"/>
          <w:sz w:val="24"/>
        </w:rPr>
        <w:t>javne organizaciju</w:t>
      </w:r>
      <w:r>
        <w:rPr>
          <w:rFonts w:cs="Calibri"/>
          <w:sz w:val="24"/>
        </w:rPr>
        <w:t xml:space="preserve"> </w:t>
      </w:r>
      <w:r w:rsidR="00694488">
        <w:rPr>
          <w:rFonts w:cs="Calibri"/>
          <w:sz w:val="24"/>
        </w:rPr>
        <w:t>anga</w:t>
      </w:r>
      <w:r w:rsidR="00694488">
        <w:rPr>
          <w:rFonts w:cs="Calibri"/>
          <w:sz w:val="24"/>
          <w:lang w:val="sr-Latn-BA"/>
        </w:rPr>
        <w:t>žuju</w:t>
      </w:r>
      <w:r>
        <w:rPr>
          <w:rFonts w:cs="Calibri"/>
          <w:sz w:val="24"/>
        </w:rPr>
        <w:t xml:space="preserve"> 1/4 do 1/3 osobe godišnje za uključivanje zelenih kriterijuma u tendere i informisanje decentralizovanih </w:t>
      </w:r>
      <w:r w:rsidR="00694488">
        <w:rPr>
          <w:rFonts w:cs="Calibri"/>
          <w:sz w:val="24"/>
        </w:rPr>
        <w:t>potrošača</w:t>
      </w:r>
      <w:r>
        <w:rPr>
          <w:rFonts w:cs="Calibri"/>
          <w:sz w:val="24"/>
        </w:rPr>
        <w:t xml:space="preserve"> o zelenim </w:t>
      </w:r>
      <w:r w:rsidR="00694488">
        <w:rPr>
          <w:rFonts w:cs="Calibri"/>
          <w:sz w:val="24"/>
        </w:rPr>
        <w:t>kriterijumima</w:t>
      </w:r>
      <w:r>
        <w:rPr>
          <w:rFonts w:cs="Calibri"/>
          <w:sz w:val="24"/>
        </w:rPr>
        <w:t xml:space="preserve"> za grupe proizvoda koji se obično ne kupuju. U Holandiji su administrativni troškovi za sprovođenje nacionalne strategije procijenjeni na 6 do 7 miliona eura u periodu od 4 godine.</w:t>
      </w:r>
    </w:p>
    <w:p w14:paraId="4214A8D1" w14:textId="35605B58" w:rsidR="006833F9" w:rsidRDefault="006833F9" w:rsidP="006833F9">
      <w:pPr>
        <w:jc w:val="both"/>
        <w:rPr>
          <w:rFonts w:cs="Calibri"/>
          <w:sz w:val="24"/>
        </w:rPr>
      </w:pPr>
      <w:r>
        <w:rPr>
          <w:rFonts w:cs="Calibri"/>
          <w:sz w:val="24"/>
        </w:rPr>
        <w:t>Neki primjeri koristi koje evropske vlasti ostvaruju putem ZJN:</w:t>
      </w:r>
    </w:p>
    <w:p w14:paraId="2D9D3BC9" w14:textId="710491B4" w:rsidR="006833F9" w:rsidRDefault="006833F9" w:rsidP="006833F9">
      <w:pPr>
        <w:pStyle w:val="ListParagraph"/>
        <w:numPr>
          <w:ilvl w:val="0"/>
          <w:numId w:val="17"/>
        </w:numPr>
        <w:pBdr>
          <w:top w:val="single" w:sz="4" w:space="1" w:color="000000"/>
          <w:left w:val="single" w:sz="4" w:space="4" w:color="000000"/>
          <w:bottom w:val="single" w:sz="4" w:space="1" w:color="000000"/>
          <w:right w:val="single" w:sz="4" w:space="4" w:color="000000"/>
        </w:pBdr>
        <w:shd w:val="clear" w:color="auto" w:fill="DEEAF6"/>
        <w:ind w:left="630" w:right="294"/>
        <w:jc w:val="both"/>
        <w:rPr>
          <w:rFonts w:cs="Calibri"/>
          <w:sz w:val="24"/>
        </w:rPr>
      </w:pPr>
      <w:r>
        <w:rPr>
          <w:rFonts w:cs="Calibri"/>
          <w:sz w:val="24"/>
        </w:rPr>
        <w:t>Grad Beč je uštedio 44,4 miliona eura i preko 100.000 tona CO</w:t>
      </w:r>
      <w:r w:rsidR="00E377CE">
        <w:rPr>
          <w:rFonts w:cs="Calibri"/>
          <w:sz w:val="24"/>
          <w:vertAlign w:val="subscript"/>
        </w:rPr>
        <w:t>2</w:t>
      </w:r>
      <w:r>
        <w:rPr>
          <w:rFonts w:cs="Calibri"/>
          <w:sz w:val="24"/>
        </w:rPr>
        <w:t xml:space="preserve"> između 2004. i 2007. godine kroz program EcoBui</w:t>
      </w:r>
      <w:r w:rsidR="00175DB5">
        <w:rPr>
          <w:rFonts w:cs="Calibri"/>
          <w:sz w:val="24"/>
        </w:rPr>
        <w:t>.</w:t>
      </w:r>
    </w:p>
    <w:p w14:paraId="040B4A0B" w14:textId="459E3044" w:rsidR="006833F9" w:rsidRDefault="006833F9" w:rsidP="006833F9">
      <w:pPr>
        <w:pStyle w:val="ListParagraph"/>
        <w:numPr>
          <w:ilvl w:val="0"/>
          <w:numId w:val="17"/>
        </w:numPr>
        <w:pBdr>
          <w:top w:val="single" w:sz="4" w:space="1" w:color="000000"/>
          <w:left w:val="single" w:sz="4" w:space="4" w:color="000000"/>
          <w:bottom w:val="single" w:sz="4" w:space="1" w:color="000000"/>
          <w:right w:val="single" w:sz="4" w:space="4" w:color="000000"/>
        </w:pBdr>
        <w:shd w:val="clear" w:color="auto" w:fill="DEEAF6"/>
        <w:ind w:left="630" w:right="294"/>
        <w:jc w:val="both"/>
        <w:rPr>
          <w:rFonts w:cs="Calibri"/>
          <w:sz w:val="24"/>
        </w:rPr>
      </w:pPr>
      <w:r>
        <w:rPr>
          <w:rFonts w:cs="Calibri"/>
          <w:sz w:val="24"/>
        </w:rPr>
        <w:t>Samo u Holandiji bi se uštedjelo tri miliona tona CO</w:t>
      </w:r>
      <w:r w:rsidR="00E377CE">
        <w:rPr>
          <w:rFonts w:cs="Calibri"/>
          <w:sz w:val="24"/>
          <w:vertAlign w:val="subscript"/>
        </w:rPr>
        <w:t>2</w:t>
      </w:r>
      <w:r w:rsidR="00E377CE">
        <w:rPr>
          <w:rFonts w:cs="Calibri"/>
          <w:sz w:val="24"/>
        </w:rPr>
        <w:t xml:space="preserve"> </w:t>
      </w:r>
      <w:r>
        <w:rPr>
          <w:rFonts w:cs="Calibri"/>
          <w:sz w:val="24"/>
        </w:rPr>
        <w:t>ako bi svi holandski javni organi primjenjivali nacionalne kriterijume održive javne nabavke, koji uključuju i zelene kriterijume. Potrošnja energije u javnom sektoru smanjila bi se za 10%.</w:t>
      </w:r>
    </w:p>
    <w:p w14:paraId="40242811" w14:textId="77777777" w:rsidR="006833F9" w:rsidRDefault="006833F9" w:rsidP="006833F9">
      <w:pPr>
        <w:pStyle w:val="ListParagraph"/>
        <w:numPr>
          <w:ilvl w:val="0"/>
          <w:numId w:val="17"/>
        </w:numPr>
        <w:pBdr>
          <w:top w:val="single" w:sz="4" w:space="1" w:color="000000"/>
          <w:left w:val="single" w:sz="4" w:space="4" w:color="000000"/>
          <w:bottom w:val="single" w:sz="4" w:space="1" w:color="000000"/>
          <w:right w:val="single" w:sz="4" w:space="4" w:color="000000"/>
        </w:pBdr>
        <w:shd w:val="clear" w:color="auto" w:fill="DEEAF6"/>
        <w:tabs>
          <w:tab w:val="left" w:pos="630"/>
        </w:tabs>
        <w:ind w:left="630" w:right="294"/>
        <w:jc w:val="both"/>
        <w:rPr>
          <w:rFonts w:cs="Calibri"/>
          <w:sz w:val="24"/>
        </w:rPr>
      </w:pPr>
      <w:r>
        <w:rPr>
          <w:rFonts w:cs="Calibri"/>
          <w:sz w:val="24"/>
        </w:rPr>
        <w:t>Kada bi sve kupovine IT-a u Evropi slijedile primjer Gradskog vijeća Kopenhagena i Švedske agencije za administrativni razvoj, potrošnja energije bi se smanjila za oko 30 teravat sati - otprilike ekvivalent četiri nuklearna reaktora.</w:t>
      </w:r>
    </w:p>
    <w:p w14:paraId="4621E420" w14:textId="1E55928E" w:rsidR="006833F9" w:rsidRPr="00506ED4" w:rsidRDefault="006833F9" w:rsidP="006833F9">
      <w:pPr>
        <w:pStyle w:val="ListParagraph"/>
        <w:numPr>
          <w:ilvl w:val="0"/>
          <w:numId w:val="17"/>
        </w:numPr>
        <w:pBdr>
          <w:top w:val="single" w:sz="4" w:space="1" w:color="000000"/>
          <w:left w:val="single" w:sz="4" w:space="4" w:color="000000"/>
          <w:bottom w:val="single" w:sz="4" w:space="1" w:color="000000"/>
          <w:right w:val="single" w:sz="4" w:space="4" w:color="000000"/>
        </w:pBdr>
        <w:shd w:val="clear" w:color="auto" w:fill="DEEAF6"/>
        <w:ind w:left="630" w:right="294"/>
        <w:jc w:val="both"/>
        <w:rPr>
          <w:rFonts w:cs="Calibri"/>
          <w:sz w:val="24"/>
          <w:szCs w:val="24"/>
        </w:rPr>
      </w:pPr>
      <w:r w:rsidRPr="00506ED4">
        <w:rPr>
          <w:rFonts w:cs="Calibri"/>
          <w:sz w:val="24"/>
          <w:szCs w:val="24"/>
        </w:rPr>
        <w:t>Emisije CO</w:t>
      </w:r>
      <w:r w:rsidR="00E377CE">
        <w:rPr>
          <w:rFonts w:cs="Calibri"/>
          <w:sz w:val="24"/>
          <w:szCs w:val="24"/>
          <w:vertAlign w:val="subscript"/>
        </w:rPr>
        <w:t>2</w:t>
      </w:r>
      <w:r w:rsidRPr="00506ED4">
        <w:rPr>
          <w:rFonts w:cs="Calibri"/>
          <w:sz w:val="24"/>
          <w:szCs w:val="24"/>
        </w:rPr>
        <w:t xml:space="preserve"> bi se smanjile za 15 miliona tona godišnje ako bi cijela EU usvojila iste ekološke kriterijume za</w:t>
      </w:r>
      <w:r>
        <w:rPr>
          <w:rFonts w:cs="Calibri"/>
          <w:sz w:val="24"/>
          <w:szCs w:val="24"/>
        </w:rPr>
        <w:t xml:space="preserve"> rasvjetu</w:t>
      </w:r>
      <w:r w:rsidRPr="00506ED4">
        <w:rPr>
          <w:rFonts w:cs="Calibri"/>
          <w:sz w:val="24"/>
          <w:szCs w:val="24"/>
        </w:rPr>
        <w:t xml:space="preserve"> i kancelarijsku opremu kao </w:t>
      </w:r>
      <w:r>
        <w:rPr>
          <w:rFonts w:cs="Calibri"/>
          <w:sz w:val="24"/>
          <w:szCs w:val="24"/>
        </w:rPr>
        <w:t xml:space="preserve">što je uradio </w:t>
      </w:r>
      <w:r w:rsidRPr="00506ED4">
        <w:rPr>
          <w:rFonts w:cs="Calibri"/>
          <w:sz w:val="24"/>
          <w:szCs w:val="24"/>
        </w:rPr>
        <w:t>grad Turku, Finska - smanjivši potrošnju električne energije za 50%</w:t>
      </w:r>
      <w:r>
        <w:rPr>
          <w:rFonts w:cs="Calibri"/>
          <w:sz w:val="24"/>
          <w:szCs w:val="24"/>
        </w:rPr>
        <w:t>.</w:t>
      </w:r>
    </w:p>
    <w:p w14:paraId="1D397233" w14:textId="77777777" w:rsidR="006833F9" w:rsidRDefault="006833F9" w:rsidP="006833F9">
      <w:pPr>
        <w:jc w:val="both"/>
        <w:rPr>
          <w:rFonts w:cs="Calibri"/>
          <w:b/>
          <w:bCs/>
          <w:sz w:val="24"/>
        </w:rPr>
      </w:pPr>
    </w:p>
    <w:p w14:paraId="3FDEC872" w14:textId="77777777" w:rsidR="006833F9" w:rsidRDefault="006833F9" w:rsidP="006833F9">
      <w:pPr>
        <w:jc w:val="both"/>
        <w:rPr>
          <w:rFonts w:cs="Calibri"/>
          <w:b/>
          <w:bCs/>
          <w:sz w:val="24"/>
        </w:rPr>
      </w:pPr>
      <w:r>
        <w:rPr>
          <w:rFonts w:cs="Calibri"/>
          <w:b/>
          <w:bCs/>
          <w:sz w:val="24"/>
        </w:rPr>
        <w:t>ZJN štedi novac i resurse kada se uzmu u obzir troškovi životnog ciklusa</w:t>
      </w:r>
    </w:p>
    <w:p w14:paraId="405C2F42" w14:textId="5694BC08" w:rsidR="006833F9" w:rsidRDefault="006833F9" w:rsidP="006833F9">
      <w:pPr>
        <w:jc w:val="both"/>
        <w:rPr>
          <w:rFonts w:cs="Calibri"/>
          <w:sz w:val="24"/>
        </w:rPr>
      </w:pPr>
      <w:r>
        <w:rPr>
          <w:rFonts w:cs="Calibri"/>
          <w:sz w:val="24"/>
        </w:rPr>
        <w:t xml:space="preserve">ZJN često dovodi do uštede tokom čitavog životnog ciklusa kupovine - kako za javne organe tako i za društvo uopšte. Kupovinom energetski efikasnije IT opreme se može uštedjeti novac na mnogo različitih načina: na primjer manju potrošnju električne energije i lakše recikliranje ili ponovnu upotrebu na kraju njenog vijeka trajanja. Slično tome, zgrada </w:t>
      </w:r>
      <w:r w:rsidR="00A10F4A">
        <w:rPr>
          <w:rFonts w:cs="Calibri"/>
          <w:sz w:val="24"/>
        </w:rPr>
        <w:t xml:space="preserve">čija je potrošnja vode i energije efikasnija inicijalno može koštati više, </w:t>
      </w:r>
      <w:r>
        <w:rPr>
          <w:rFonts w:cs="Calibri"/>
          <w:sz w:val="24"/>
        </w:rPr>
        <w:t>ali će dugoročno uštedjeti novac</w:t>
      </w:r>
      <w:r w:rsidR="00A10F4A">
        <w:rPr>
          <w:rFonts w:cs="Calibri"/>
          <w:sz w:val="24"/>
        </w:rPr>
        <w:t xml:space="preserve"> kroz niže račune. </w:t>
      </w:r>
    </w:p>
    <w:p w14:paraId="2B8DBF0F" w14:textId="77777777" w:rsidR="006833F9" w:rsidRDefault="006833F9" w:rsidP="006833F9">
      <w:pPr>
        <w:jc w:val="both"/>
        <w:rPr>
          <w:rFonts w:cs="Calibri"/>
          <w:b/>
          <w:bCs/>
          <w:sz w:val="24"/>
        </w:rPr>
      </w:pPr>
      <w:r>
        <w:rPr>
          <w:rFonts w:cs="Calibri"/>
          <w:b/>
          <w:bCs/>
          <w:sz w:val="24"/>
        </w:rPr>
        <w:t>ZJN pruža podsticaje industriji za inovacije</w:t>
      </w:r>
    </w:p>
    <w:p w14:paraId="77E7723F" w14:textId="318718EE" w:rsidR="006833F9" w:rsidRDefault="006833F9" w:rsidP="006833F9">
      <w:pPr>
        <w:jc w:val="both"/>
        <w:rPr>
          <w:rFonts w:cs="Calibri"/>
          <w:sz w:val="24"/>
        </w:rPr>
      </w:pPr>
      <w:r>
        <w:rPr>
          <w:rFonts w:cs="Calibri"/>
          <w:sz w:val="24"/>
        </w:rPr>
        <w:t xml:space="preserve">Promovisanje zelenih nabavki daje važne podsticaje industriji da razvija „zelene“ tehnologije i proizvode i promoviše ih na tržištu. Konkretno, mala i srednja preduzeća mogu profitirati od </w:t>
      </w:r>
      <w:r w:rsidR="000F53EB">
        <w:rPr>
          <w:rFonts w:cs="Calibri"/>
          <w:sz w:val="24"/>
        </w:rPr>
        <w:t>ekološki orjentisanih nabavi</w:t>
      </w:r>
      <w:r>
        <w:rPr>
          <w:rFonts w:cs="Calibri"/>
          <w:sz w:val="24"/>
        </w:rPr>
        <w:t xml:space="preserve"> jer to nudi priliku da pronađu tržišta za svoja inovativna rješenja i proizvode.</w:t>
      </w:r>
    </w:p>
    <w:p w14:paraId="26D438EE" w14:textId="3698CD77" w:rsidR="00AA6942" w:rsidRDefault="00AA6942" w:rsidP="006833F9">
      <w:pPr>
        <w:jc w:val="both"/>
        <w:rPr>
          <w:rFonts w:cs="Calibri"/>
          <w:sz w:val="24"/>
        </w:rPr>
      </w:pPr>
    </w:p>
    <w:p w14:paraId="1F0F2141" w14:textId="77777777" w:rsidR="00AA6942" w:rsidRDefault="00AA6942" w:rsidP="006833F9">
      <w:pPr>
        <w:jc w:val="both"/>
        <w:rPr>
          <w:rFonts w:cs="Calibri"/>
          <w:sz w:val="24"/>
        </w:rPr>
      </w:pPr>
    </w:p>
    <w:p w14:paraId="0516C5E3" w14:textId="76E7C993" w:rsidR="006833F9" w:rsidRDefault="006833F9" w:rsidP="006833F9">
      <w:pPr>
        <w:jc w:val="both"/>
        <w:rPr>
          <w:rFonts w:cs="Calibri"/>
          <w:b/>
          <w:bCs/>
          <w:sz w:val="24"/>
        </w:rPr>
      </w:pPr>
      <w:r>
        <w:rPr>
          <w:rFonts w:cs="Calibri"/>
          <w:b/>
          <w:bCs/>
          <w:sz w:val="24"/>
        </w:rPr>
        <w:lastRenderedPageBreak/>
        <w:t>ZJN može smanjiti cijene ekološ</w:t>
      </w:r>
      <w:r w:rsidR="000F53EB">
        <w:rPr>
          <w:rFonts w:cs="Calibri"/>
          <w:b/>
          <w:bCs/>
          <w:sz w:val="24"/>
        </w:rPr>
        <w:t>ki prihvatljivih</w:t>
      </w:r>
      <w:r>
        <w:rPr>
          <w:rFonts w:cs="Calibri"/>
          <w:b/>
          <w:bCs/>
          <w:sz w:val="24"/>
        </w:rPr>
        <w:t xml:space="preserve"> tehnologija</w:t>
      </w:r>
    </w:p>
    <w:p w14:paraId="35D87DE0" w14:textId="75B6A8F4" w:rsidR="006833F9" w:rsidRDefault="006833F9" w:rsidP="006833F9">
      <w:pPr>
        <w:jc w:val="both"/>
        <w:rPr>
          <w:rFonts w:cs="Calibri"/>
          <w:sz w:val="24"/>
        </w:rPr>
      </w:pPr>
      <w:r>
        <w:rPr>
          <w:rFonts w:cs="Calibri"/>
          <w:sz w:val="24"/>
        </w:rPr>
        <w:t>Uvođenje „zelenih“ kriterijuma za nadmetanje na tenderima može uticati na tržište i rezultirati novim učesnicima u oblasti ekoloških tehnologija i proizvoda - što potencijalno može dovesti do povećanja konkurencije i smanjenja cijena.</w:t>
      </w:r>
    </w:p>
    <w:p w14:paraId="7B7C917F" w14:textId="77777777" w:rsidR="00AA6942" w:rsidRDefault="00AA6942" w:rsidP="006833F9">
      <w:pPr>
        <w:jc w:val="both"/>
        <w:rPr>
          <w:rFonts w:cs="Calibri"/>
          <w:sz w:val="24"/>
        </w:rPr>
      </w:pPr>
    </w:p>
    <w:p w14:paraId="4D61D1AA" w14:textId="77777777" w:rsidR="006833F9" w:rsidRPr="00B70C94" w:rsidRDefault="006833F9" w:rsidP="006833F9">
      <w:pPr>
        <w:jc w:val="both"/>
        <w:rPr>
          <w:rFonts w:cs="Calibri"/>
          <w:b/>
          <w:sz w:val="24"/>
          <w:szCs w:val="24"/>
        </w:rPr>
      </w:pPr>
      <w:r w:rsidRPr="00B70C94">
        <w:rPr>
          <w:rFonts w:cs="Calibri"/>
          <w:b/>
          <w:sz w:val="24"/>
          <w:szCs w:val="24"/>
        </w:rPr>
        <w:t>Pristup upravljanja benefi</w:t>
      </w:r>
      <w:r>
        <w:rPr>
          <w:rFonts w:cs="Calibri"/>
          <w:b/>
          <w:sz w:val="24"/>
          <w:szCs w:val="24"/>
        </w:rPr>
        <w:t>tima</w:t>
      </w:r>
      <w:r w:rsidRPr="00B70C94">
        <w:rPr>
          <w:rFonts w:cs="Calibri"/>
          <w:b/>
          <w:sz w:val="24"/>
          <w:szCs w:val="24"/>
        </w:rPr>
        <w:t xml:space="preserve"> za praćenje ishoda državne potrošnje</w:t>
      </w:r>
    </w:p>
    <w:p w14:paraId="3CB5580D" w14:textId="4C9D028E" w:rsidR="006833F9" w:rsidRPr="00060B04" w:rsidRDefault="006833F9" w:rsidP="006833F9">
      <w:pPr>
        <w:jc w:val="both"/>
        <w:rPr>
          <w:rFonts w:cs="Calibri"/>
          <w:b/>
          <w:sz w:val="24"/>
          <w:szCs w:val="24"/>
          <w:u w:val="single"/>
        </w:rPr>
      </w:pPr>
      <w:r w:rsidRPr="00060B04">
        <w:rPr>
          <w:sz w:val="24"/>
          <w:szCs w:val="24"/>
        </w:rPr>
        <w:t xml:space="preserve">Prema </w:t>
      </w:r>
      <w:r w:rsidRPr="00060B04">
        <w:rPr>
          <w:i/>
          <w:sz w:val="24"/>
          <w:szCs w:val="24"/>
        </w:rPr>
        <w:t>Vodiču za efikasno upravljanje beneficijama</w:t>
      </w:r>
      <w:r w:rsidRPr="00060B04">
        <w:rPr>
          <w:sz w:val="24"/>
          <w:szCs w:val="24"/>
        </w:rPr>
        <w:t xml:space="preserve"> vlade Velike Britanije</w:t>
      </w:r>
      <w:r>
        <w:rPr>
          <w:rStyle w:val="FootnoteReference"/>
          <w:sz w:val="24"/>
          <w:szCs w:val="24"/>
        </w:rPr>
        <w:footnoteReference w:id="9"/>
      </w:r>
      <w:r w:rsidRPr="00060B04">
        <w:rPr>
          <w:sz w:val="24"/>
          <w:szCs w:val="24"/>
        </w:rPr>
        <w:t>, korist/benefit se definiše kao: „mjerljivo poboljšanje koje je rezultat ishoda koji jedan ili više aktera percipira kao prednost, što doprinosi jednom ili više organizacionih ciljeva“.</w:t>
      </w:r>
    </w:p>
    <w:p w14:paraId="13FFB6C7" w14:textId="77777777" w:rsidR="006833F9" w:rsidRPr="00060B04" w:rsidRDefault="006833F9" w:rsidP="006833F9">
      <w:pPr>
        <w:suppressAutoHyphens w:val="0"/>
        <w:spacing w:before="168" w:after="168"/>
        <w:jc w:val="both"/>
        <w:rPr>
          <w:sz w:val="24"/>
          <w:szCs w:val="24"/>
        </w:rPr>
      </w:pPr>
      <w:r w:rsidRPr="00060B04">
        <w:rPr>
          <w:sz w:val="24"/>
          <w:szCs w:val="24"/>
        </w:rPr>
        <w:t>Prema pristupu upravljanja benefi</w:t>
      </w:r>
      <w:r>
        <w:rPr>
          <w:sz w:val="24"/>
          <w:szCs w:val="24"/>
        </w:rPr>
        <w:t>tima</w:t>
      </w:r>
      <w:r w:rsidRPr="00060B04">
        <w:rPr>
          <w:sz w:val="24"/>
          <w:szCs w:val="24"/>
        </w:rPr>
        <w:t>, pripremu postupka javne nabavke treba započeti identifikacijom ciljeva i koristi koji se mogu postići. Ključni proizvod u ovoj fazi pristupa upravljanju benef</w:t>
      </w:r>
      <w:r>
        <w:rPr>
          <w:sz w:val="24"/>
          <w:szCs w:val="24"/>
        </w:rPr>
        <w:t>itima</w:t>
      </w:r>
      <w:r w:rsidRPr="00060B04">
        <w:rPr>
          <w:sz w:val="24"/>
          <w:szCs w:val="24"/>
        </w:rPr>
        <w:t xml:space="preserve"> je razvoj </w:t>
      </w:r>
      <w:r>
        <w:rPr>
          <w:sz w:val="24"/>
          <w:szCs w:val="24"/>
        </w:rPr>
        <w:t>logičke mape</w:t>
      </w:r>
      <w:r w:rsidRPr="00060B04">
        <w:rPr>
          <w:sz w:val="24"/>
          <w:szCs w:val="24"/>
        </w:rPr>
        <w:t xml:space="preserve"> benef</w:t>
      </w:r>
      <w:r>
        <w:rPr>
          <w:sz w:val="24"/>
          <w:szCs w:val="24"/>
        </w:rPr>
        <w:t>ita</w:t>
      </w:r>
      <w:r w:rsidRPr="00060B04">
        <w:rPr>
          <w:sz w:val="24"/>
          <w:szCs w:val="24"/>
        </w:rPr>
        <w:t>, koja povezuje pokretače i poslovne promjene koje će proizaći iz projekta sa očekivanim koristima i nedostacima, i povezuje koristi sa ciljevima. Primjer logičke karte koristi za nabavku koja je ekološki prihvatljiva dat je u donjem dija</w:t>
      </w:r>
      <w:r>
        <w:rPr>
          <w:sz w:val="24"/>
          <w:szCs w:val="24"/>
        </w:rPr>
        <w:t>gramu</w:t>
      </w:r>
      <w:r w:rsidRPr="00060B04">
        <w:rPr>
          <w:sz w:val="24"/>
          <w:szCs w:val="24"/>
        </w:rPr>
        <w:t>. Željeni ciljevi projekta treba da budu u skladu sa standardom S.M.A.R.T. principa (tj. trebalo bi da budu specifični, mjerljivi, dostižni, realn</w:t>
      </w:r>
      <w:r>
        <w:rPr>
          <w:sz w:val="24"/>
          <w:szCs w:val="24"/>
        </w:rPr>
        <w:t>o</w:t>
      </w:r>
      <w:r w:rsidRPr="00060B04">
        <w:rPr>
          <w:sz w:val="24"/>
          <w:szCs w:val="24"/>
        </w:rPr>
        <w:t xml:space="preserve"> i vremenski ograničeni). To takođe znači da bi trebalo razmotriti način na koji se podaci o beneficijama i štetama prate i agregiraju kako bi se mogao pratiti prikaz odozdo prema gore o uticajima čitavog sistema javnih nabavki.</w:t>
      </w:r>
    </w:p>
    <w:p w14:paraId="5413B1C8" w14:textId="77777777" w:rsidR="006833F9" w:rsidRPr="00060B04" w:rsidRDefault="006833F9" w:rsidP="006833F9">
      <w:pPr>
        <w:spacing w:before="168" w:after="168"/>
        <w:jc w:val="both"/>
        <w:rPr>
          <w:rFonts w:cs="Calibri"/>
          <w:sz w:val="24"/>
          <w:szCs w:val="24"/>
        </w:rPr>
      </w:pPr>
      <w:r w:rsidRPr="00060B04">
        <w:rPr>
          <w:rFonts w:cs="Calibri"/>
          <w:sz w:val="24"/>
          <w:szCs w:val="24"/>
        </w:rPr>
        <w:t>Posljednja faza svakog projekta nabavke trebala bi biti fokusirana na evaluaciju, pružanje informacija o efikasnosti samog postupka, kao i analizu da li je ishod pomogao u postizanju očekivanih koristi. Kreiranje strategija javnih nabavki prema ovim pravilima može povećati efikasnost i efektivnost sistema javnih nabavki. Oni takođe mogu dovesti do postizanja željenih koristi, zahvaljujući pravilnom dizajnu, praćenju i evaluaciji procesa.</w:t>
      </w:r>
    </w:p>
    <w:p w14:paraId="1298160F" w14:textId="77777777" w:rsidR="006833F9" w:rsidRDefault="006833F9" w:rsidP="006833F9">
      <w:pPr>
        <w:jc w:val="both"/>
        <w:rPr>
          <w:rFonts w:cs="Calibri"/>
          <w:sz w:val="24"/>
          <w:u w:val="single"/>
        </w:rPr>
      </w:pPr>
      <w:r>
        <w:rPr>
          <w:rFonts w:cs="Calibri"/>
          <w:sz w:val="24"/>
          <w:u w:val="single"/>
        </w:rPr>
        <w:t>Primjer logičke karte prednosti za kupovinu ekološki prihvatljivijih proizvoda je predstavljen na sledećoj slici.</w:t>
      </w:r>
    </w:p>
    <w:p w14:paraId="6F92ED1A" w14:textId="77777777" w:rsidR="006833F9" w:rsidRDefault="006833F9" w:rsidP="006833F9">
      <w:pPr>
        <w:jc w:val="both"/>
        <w:rPr>
          <w:rFonts w:cs="Calibri"/>
        </w:rPr>
      </w:pPr>
    </w:p>
    <w:p w14:paraId="729EEC5D" w14:textId="77777777" w:rsidR="006833F9" w:rsidRDefault="006833F9" w:rsidP="006833F9">
      <w:pPr>
        <w:jc w:val="both"/>
      </w:pPr>
      <w:r>
        <w:rPr>
          <w:rFonts w:cs="Calibri"/>
          <w:noProof/>
          <w:lang w:val="en-US"/>
        </w:rPr>
        <w:lastRenderedPageBreak/>
        <w:drawing>
          <wp:inline distT="0" distB="0" distL="0" distR="0" wp14:anchorId="71CDCA22" wp14:editId="7ED06113">
            <wp:extent cx="5731514" cy="3921761"/>
            <wp:effectExtent l="0" t="0" r="2536" b="2539"/>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4" cy="3921761"/>
                    </a:xfrm>
                    <a:prstGeom prst="rect">
                      <a:avLst/>
                    </a:prstGeom>
                    <a:noFill/>
                    <a:ln>
                      <a:noFill/>
                      <a:prstDash/>
                    </a:ln>
                  </pic:spPr>
                </pic:pic>
              </a:graphicData>
            </a:graphic>
          </wp:inline>
        </w:drawing>
      </w:r>
    </w:p>
    <w:p w14:paraId="55DE979B" w14:textId="77777777" w:rsidR="006833F9" w:rsidRDefault="006833F9" w:rsidP="006833F9">
      <w:pPr>
        <w:pStyle w:val="Caption"/>
        <w:keepNext/>
        <w:jc w:val="left"/>
      </w:pPr>
    </w:p>
    <w:p w14:paraId="576AFDD5" w14:textId="5A182D88" w:rsidR="006833F9" w:rsidRPr="00506ED4" w:rsidRDefault="006833F9" w:rsidP="006833F9">
      <w:pPr>
        <w:pStyle w:val="Caption"/>
        <w:jc w:val="center"/>
        <w:rPr>
          <w:rFonts w:ascii="Calibri" w:hAnsi="Calibri"/>
          <w:sz w:val="22"/>
          <w:szCs w:val="22"/>
        </w:rPr>
      </w:pPr>
      <w:bookmarkStart w:id="15" w:name="_Toc82000167"/>
      <w:bookmarkStart w:id="16" w:name="_Toc82415548"/>
      <w:r w:rsidRPr="00B62401">
        <w:rPr>
          <w:rFonts w:ascii="Calibri" w:hAnsi="Calibri"/>
          <w:sz w:val="22"/>
          <w:szCs w:val="22"/>
        </w:rPr>
        <w:t xml:space="preserve">Slika </w:t>
      </w:r>
      <w:r w:rsidRPr="00B62401">
        <w:rPr>
          <w:rFonts w:ascii="Calibri" w:hAnsi="Calibri"/>
          <w:sz w:val="22"/>
          <w:szCs w:val="22"/>
        </w:rPr>
        <w:fldChar w:fldCharType="begin"/>
      </w:r>
      <w:r w:rsidRPr="00B62401">
        <w:rPr>
          <w:rFonts w:ascii="Calibri" w:hAnsi="Calibri"/>
          <w:sz w:val="22"/>
          <w:szCs w:val="22"/>
        </w:rPr>
        <w:instrText xml:space="preserve"> SEQ Equation \* ARABIC </w:instrText>
      </w:r>
      <w:r w:rsidRPr="00B62401">
        <w:rPr>
          <w:rFonts w:ascii="Calibri" w:hAnsi="Calibri"/>
          <w:sz w:val="22"/>
          <w:szCs w:val="22"/>
        </w:rPr>
        <w:fldChar w:fldCharType="separate"/>
      </w:r>
      <w:r w:rsidR="00AC666D">
        <w:rPr>
          <w:rFonts w:ascii="Calibri" w:hAnsi="Calibri"/>
          <w:noProof/>
          <w:sz w:val="22"/>
          <w:szCs w:val="22"/>
        </w:rPr>
        <w:t>1</w:t>
      </w:r>
      <w:r w:rsidRPr="00B62401">
        <w:rPr>
          <w:rFonts w:ascii="Calibri" w:hAnsi="Calibri"/>
          <w:sz w:val="22"/>
          <w:szCs w:val="22"/>
        </w:rPr>
        <w:fldChar w:fldCharType="end"/>
      </w:r>
      <w:r w:rsidRPr="00B62401">
        <w:rPr>
          <w:rFonts w:ascii="Calibri" w:hAnsi="Calibri"/>
          <w:sz w:val="22"/>
          <w:szCs w:val="22"/>
        </w:rPr>
        <w:t xml:space="preserve"> Logičk</w:t>
      </w:r>
      <w:r>
        <w:rPr>
          <w:rFonts w:ascii="Calibri" w:hAnsi="Calibri"/>
          <w:sz w:val="22"/>
          <w:szCs w:val="22"/>
        </w:rPr>
        <w:t>a karta prednosti za kupovinu e</w:t>
      </w:r>
      <w:r w:rsidRPr="00B62401">
        <w:rPr>
          <w:rFonts w:ascii="Calibri" w:hAnsi="Calibri"/>
          <w:sz w:val="22"/>
          <w:szCs w:val="22"/>
        </w:rPr>
        <w:t>kološki prihvatljivih proizvoda</w:t>
      </w:r>
      <w:r w:rsidRPr="00B62401">
        <w:rPr>
          <w:rStyle w:val="FootnoteReference"/>
          <w:rFonts w:ascii="Calibri" w:hAnsi="Calibri" w:cs="Calibri"/>
          <w:sz w:val="22"/>
          <w:szCs w:val="22"/>
        </w:rPr>
        <w:footnoteReference w:id="10"/>
      </w:r>
      <w:bookmarkEnd w:id="15"/>
      <w:bookmarkEnd w:id="16"/>
    </w:p>
    <w:p w14:paraId="3E98BD21" w14:textId="77777777" w:rsidR="006833F9" w:rsidRDefault="006833F9" w:rsidP="006833F9">
      <w:pPr>
        <w:pStyle w:val="Analizanaslov"/>
        <w:rPr>
          <w:rFonts w:ascii="Calibri" w:hAnsi="Calibri" w:cs="Calibri"/>
        </w:rPr>
      </w:pPr>
    </w:p>
    <w:p w14:paraId="049C7249" w14:textId="77777777" w:rsidR="006833F9" w:rsidRDefault="006833F9" w:rsidP="006833F9">
      <w:pPr>
        <w:pStyle w:val="Analizanaslov"/>
        <w:rPr>
          <w:rFonts w:ascii="Calibri" w:hAnsi="Calibri" w:cs="Calibri"/>
        </w:rPr>
      </w:pPr>
    </w:p>
    <w:p w14:paraId="00D8FF17" w14:textId="77777777" w:rsidR="006833F9" w:rsidRPr="00A46AC5" w:rsidRDefault="006833F9" w:rsidP="006833F9">
      <w:pPr>
        <w:pStyle w:val="Heading3"/>
        <w:numPr>
          <w:ilvl w:val="2"/>
          <w:numId w:val="16"/>
        </w:numPr>
        <w:rPr>
          <w:rFonts w:ascii="Calibri" w:hAnsi="Calibri"/>
          <w:color w:val="171717" w:themeColor="background2" w:themeShade="1A"/>
        </w:rPr>
      </w:pPr>
      <w:bookmarkStart w:id="17" w:name="_Toc82003574"/>
      <w:bookmarkStart w:id="18" w:name="_Toc82271941"/>
      <w:r w:rsidRPr="00A46AC5">
        <w:rPr>
          <w:rFonts w:ascii="Calibri" w:hAnsi="Calibri"/>
          <w:color w:val="171717" w:themeColor="background2" w:themeShade="1A"/>
        </w:rPr>
        <w:t>Koristi za životnu sredinu</w:t>
      </w:r>
      <w:bookmarkEnd w:id="17"/>
      <w:bookmarkEnd w:id="18"/>
    </w:p>
    <w:p w14:paraId="1FBEBB0C" w14:textId="77777777" w:rsidR="006833F9" w:rsidRDefault="006833F9" w:rsidP="006833F9">
      <w:pPr>
        <w:rPr>
          <w:rFonts w:cs="Calibri"/>
        </w:rPr>
      </w:pPr>
    </w:p>
    <w:p w14:paraId="731A7CD8" w14:textId="77777777" w:rsidR="006833F9" w:rsidRDefault="006833F9" w:rsidP="006833F9">
      <w:pPr>
        <w:jc w:val="both"/>
        <w:rPr>
          <w:rFonts w:cs="Calibri"/>
          <w:b/>
          <w:bCs/>
          <w:sz w:val="24"/>
        </w:rPr>
      </w:pPr>
      <w:r>
        <w:rPr>
          <w:rFonts w:cs="Calibri"/>
          <w:b/>
          <w:bCs/>
          <w:sz w:val="24"/>
        </w:rPr>
        <w:t>Smanjenje štete po životnu sredinu nastalo javnim nabavkama</w:t>
      </w:r>
    </w:p>
    <w:p w14:paraId="0F29988F" w14:textId="77777777" w:rsidR="000F53EB" w:rsidRDefault="006833F9" w:rsidP="006833F9">
      <w:pPr>
        <w:jc w:val="both"/>
        <w:rPr>
          <w:rFonts w:cs="Calibri"/>
          <w:sz w:val="24"/>
        </w:rPr>
      </w:pPr>
      <w:r>
        <w:rPr>
          <w:rFonts w:cs="Calibri"/>
          <w:sz w:val="24"/>
        </w:rPr>
        <w:t>Ogromna ekološka šteta od trenutnih vladinih aktivnost</w:t>
      </w:r>
      <w:r w:rsidR="000F53EB">
        <w:rPr>
          <w:rFonts w:cs="Calibri"/>
          <w:sz w:val="24"/>
        </w:rPr>
        <w:t>i može biti smanjena većom primjenom zelenih javnih nabavki.</w:t>
      </w:r>
    </w:p>
    <w:p w14:paraId="5A346CBB" w14:textId="7268DC46" w:rsidR="006833F9" w:rsidRDefault="006833F9" w:rsidP="006833F9">
      <w:pPr>
        <w:jc w:val="both"/>
        <w:rPr>
          <w:rFonts w:cs="Calibri"/>
          <w:sz w:val="24"/>
        </w:rPr>
      </w:pPr>
      <w:r>
        <w:rPr>
          <w:rFonts w:cs="Calibri"/>
          <w:sz w:val="24"/>
        </w:rPr>
        <w:t xml:space="preserve">Na primjer: Akcioni plan javnih nabavki Vlade Velike Britanije za održive nabavke uključuje paket akcija kako bi se osiguralo da lanci snabdijevanja i javne usluge budu sve manje niskougljenične, sa </w:t>
      </w:r>
      <w:r w:rsidR="000F53EB">
        <w:rPr>
          <w:rFonts w:cs="Calibri"/>
          <w:sz w:val="24"/>
        </w:rPr>
        <w:t>niskim nivoom</w:t>
      </w:r>
      <w:r>
        <w:rPr>
          <w:rFonts w:cs="Calibri"/>
          <w:sz w:val="24"/>
        </w:rPr>
        <w:t xml:space="preserve"> otpad</w:t>
      </w:r>
      <w:r w:rsidR="000F53EB">
        <w:rPr>
          <w:rFonts w:cs="Calibri"/>
          <w:sz w:val="24"/>
        </w:rPr>
        <w:t>a</w:t>
      </w:r>
      <w:r>
        <w:rPr>
          <w:rFonts w:cs="Calibri"/>
          <w:sz w:val="24"/>
        </w:rPr>
        <w:t xml:space="preserve"> i efikasnij</w:t>
      </w:r>
      <w:r w:rsidR="000F53EB">
        <w:rPr>
          <w:rFonts w:cs="Calibri"/>
          <w:sz w:val="24"/>
        </w:rPr>
        <w:t xml:space="preserve">im korišćenjem </w:t>
      </w:r>
      <w:r>
        <w:rPr>
          <w:rFonts w:cs="Calibri"/>
          <w:sz w:val="24"/>
        </w:rPr>
        <w:t>vod</w:t>
      </w:r>
      <w:r w:rsidR="000F53EB">
        <w:rPr>
          <w:rFonts w:cs="Calibri"/>
          <w:sz w:val="24"/>
        </w:rPr>
        <w:t>e</w:t>
      </w:r>
      <w:r>
        <w:rPr>
          <w:rFonts w:cs="Calibri"/>
          <w:sz w:val="24"/>
        </w:rPr>
        <w:t xml:space="preserve">, da poštuju biodiverzitet i postižu šire ciljeve održivog razvoja. Direktno je povezan sa ciljevima održivog poslovanja državnom imovinom, čiji je cilj materijalizacija značajnih promjena u oblastima emisije </w:t>
      </w:r>
      <w:r w:rsidR="000F53EB">
        <w:rPr>
          <w:rFonts w:cs="Calibri"/>
          <w:sz w:val="24"/>
        </w:rPr>
        <w:t>CO</w:t>
      </w:r>
      <w:r w:rsidR="00E377CE">
        <w:rPr>
          <w:rFonts w:cs="Calibri"/>
          <w:sz w:val="24"/>
          <w:vertAlign w:val="subscript"/>
        </w:rPr>
        <w:t>2</w:t>
      </w:r>
      <w:r>
        <w:rPr>
          <w:rFonts w:cs="Calibri"/>
          <w:sz w:val="24"/>
        </w:rPr>
        <w:t xml:space="preserve">, energetske efikasnosti, otpada i recikliranja, biodiverziteta i potrošnje vode. Radnje u oblasti nabavki stoga se smatraju ključnim za postizanje vladinih operativnih ciljeva, koji će do 2020. godine donijeti oko 1 milion tona uštede ugljen -dioksida. Francuski nacionalni akcioni plan o održivim javnim nabavkama takođe povezuje aktivnosti koje se odnose na ZJN sa postizanjem ciljeva za smanjenje određenih uticaja na životnu sredinu, kao što je smanjenje emisije </w:t>
      </w:r>
      <w:r w:rsidR="00E377CE">
        <w:rPr>
          <w:rFonts w:cs="Calibri"/>
          <w:sz w:val="24"/>
        </w:rPr>
        <w:t>CO</w:t>
      </w:r>
      <w:r w:rsidR="00E377CE">
        <w:rPr>
          <w:rFonts w:cs="Calibri"/>
          <w:sz w:val="24"/>
          <w:vertAlign w:val="subscript"/>
        </w:rPr>
        <w:t>2</w:t>
      </w:r>
      <w:r>
        <w:rPr>
          <w:rFonts w:cs="Calibri"/>
          <w:sz w:val="24"/>
        </w:rPr>
        <w:t xml:space="preserve"> povezane sa transportnim aktivnostima vlade za 10 % i smanjenje emisije </w:t>
      </w:r>
      <w:r w:rsidR="00E377CE">
        <w:rPr>
          <w:rFonts w:cs="Calibri"/>
          <w:sz w:val="24"/>
        </w:rPr>
        <w:t>CO</w:t>
      </w:r>
      <w:r w:rsidR="00E377CE">
        <w:rPr>
          <w:rFonts w:cs="Calibri"/>
          <w:sz w:val="24"/>
          <w:vertAlign w:val="subscript"/>
        </w:rPr>
        <w:t>2</w:t>
      </w:r>
      <w:r>
        <w:rPr>
          <w:rFonts w:cs="Calibri"/>
          <w:sz w:val="24"/>
        </w:rPr>
        <w:t xml:space="preserve"> iz </w:t>
      </w:r>
      <w:r>
        <w:rPr>
          <w:rFonts w:cs="Calibri"/>
          <w:sz w:val="24"/>
        </w:rPr>
        <w:lastRenderedPageBreak/>
        <w:t>javnih zgrada za 10 %. Projekat RELIEF je izračunao da bi primjena zahtjeva organske poljoprivrede za domaću proizvodnju usmjerenih na javnu potrošnju pšenice, govedine, svinjetine i mlijeka smanjila uticaje na ishranu ekvivalentne nutritivnom uticaju za preko 2 miliona ljudi. Kanadska inicijativa saveznih zgrada (FBI), fokusirana na kupovinu „zelene“ energije, dovela je do značajnog smanjenja emisije gasova sa efektom staklene bašte u ciljanim zgradama. Prosječan projekat FBI -a ostvario je procij</w:t>
      </w:r>
      <w:r w:rsidR="004A1C16">
        <w:rPr>
          <w:rFonts w:cs="Calibri"/>
          <w:sz w:val="24"/>
        </w:rPr>
        <w:t>enjeno smanjenje energije za 25</w:t>
      </w:r>
      <w:r>
        <w:rPr>
          <w:rFonts w:cs="Calibri"/>
          <w:sz w:val="24"/>
        </w:rPr>
        <w:t>% i smanjenje emisije gasova staklene bašte za 20%. Predviđene uštede energije (do 2012. godine) rezultiraju projektovanim smanjenjem emisij</w:t>
      </w:r>
      <w:r w:rsidR="004A1C16">
        <w:rPr>
          <w:rFonts w:cs="Calibri"/>
          <w:sz w:val="24"/>
        </w:rPr>
        <w:t xml:space="preserve">e </w:t>
      </w:r>
      <w:r w:rsidR="00E377CE">
        <w:rPr>
          <w:rFonts w:cs="Calibri"/>
          <w:sz w:val="24"/>
        </w:rPr>
        <w:t>CO</w:t>
      </w:r>
      <w:r w:rsidR="00E377CE">
        <w:rPr>
          <w:rFonts w:cs="Calibri"/>
          <w:sz w:val="24"/>
          <w:vertAlign w:val="subscript"/>
        </w:rPr>
        <w:t>2</w:t>
      </w:r>
      <w:r w:rsidR="004A1C16">
        <w:rPr>
          <w:rFonts w:cs="Calibri"/>
          <w:sz w:val="24"/>
        </w:rPr>
        <w:t xml:space="preserve"> za 884 000 tona ili oko 2</w:t>
      </w:r>
      <w:r>
        <w:rPr>
          <w:rFonts w:cs="Calibri"/>
          <w:sz w:val="24"/>
        </w:rPr>
        <w:t>% ukupnih federalnih emisija vezanih za energiju.</w:t>
      </w:r>
    </w:p>
    <w:p w14:paraId="283C26B7" w14:textId="77777777" w:rsidR="006833F9" w:rsidRDefault="006833F9" w:rsidP="006833F9">
      <w:pPr>
        <w:jc w:val="both"/>
        <w:rPr>
          <w:rFonts w:cs="Calibri"/>
          <w:sz w:val="24"/>
        </w:rPr>
      </w:pPr>
    </w:p>
    <w:p w14:paraId="26A5F9B9" w14:textId="2E128CFF" w:rsidR="006833F9" w:rsidRDefault="006833F9" w:rsidP="006833F9">
      <w:pPr>
        <w:jc w:val="both"/>
        <w:rPr>
          <w:rFonts w:cs="Calibri"/>
          <w:b/>
          <w:bCs/>
          <w:sz w:val="24"/>
        </w:rPr>
      </w:pPr>
      <w:r>
        <w:rPr>
          <w:rFonts w:cs="Calibri"/>
          <w:b/>
          <w:bCs/>
          <w:sz w:val="24"/>
        </w:rPr>
        <w:t xml:space="preserve">Povećana difuzija </w:t>
      </w:r>
      <w:r w:rsidR="000F53EB">
        <w:rPr>
          <w:rFonts w:cs="Calibri"/>
          <w:b/>
          <w:bCs/>
          <w:sz w:val="24"/>
        </w:rPr>
        <w:t>z</w:t>
      </w:r>
      <w:r>
        <w:rPr>
          <w:rFonts w:cs="Calibri"/>
          <w:b/>
          <w:bCs/>
          <w:sz w:val="24"/>
        </w:rPr>
        <w:t>eleni</w:t>
      </w:r>
      <w:r w:rsidR="000F53EB">
        <w:rPr>
          <w:rFonts w:cs="Calibri"/>
          <w:b/>
          <w:bCs/>
          <w:sz w:val="24"/>
        </w:rPr>
        <w:t>h</w:t>
      </w:r>
      <w:r>
        <w:rPr>
          <w:rFonts w:cs="Calibri"/>
          <w:b/>
          <w:bCs/>
          <w:sz w:val="24"/>
        </w:rPr>
        <w:t xml:space="preserve"> proizvoda</w:t>
      </w:r>
      <w:r w:rsidR="000F53EB">
        <w:rPr>
          <w:rFonts w:cs="Calibri"/>
          <w:b/>
          <w:bCs/>
          <w:sz w:val="24"/>
        </w:rPr>
        <w:t xml:space="preserve"> dovodi do</w:t>
      </w:r>
      <w:r>
        <w:rPr>
          <w:rFonts w:cs="Calibri"/>
          <w:b/>
          <w:bCs/>
          <w:sz w:val="24"/>
        </w:rPr>
        <w:t xml:space="preserve"> smanjenj</w:t>
      </w:r>
      <w:r w:rsidR="000F53EB">
        <w:rPr>
          <w:rFonts w:cs="Calibri"/>
          <w:b/>
          <w:bCs/>
          <w:sz w:val="24"/>
        </w:rPr>
        <w:t>a</w:t>
      </w:r>
      <w:r>
        <w:rPr>
          <w:rFonts w:cs="Calibri"/>
          <w:b/>
          <w:bCs/>
          <w:sz w:val="24"/>
        </w:rPr>
        <w:t xml:space="preserve"> društvenih uticaja</w:t>
      </w:r>
    </w:p>
    <w:p w14:paraId="4869ED5F" w14:textId="4DDA6D31" w:rsidR="006833F9" w:rsidRDefault="006833F9" w:rsidP="006833F9">
      <w:pPr>
        <w:jc w:val="both"/>
        <w:rPr>
          <w:rFonts w:cs="Calibri"/>
          <w:sz w:val="24"/>
        </w:rPr>
      </w:pPr>
      <w:r>
        <w:rPr>
          <w:rFonts w:cs="Calibri"/>
          <w:sz w:val="24"/>
        </w:rPr>
        <w:t xml:space="preserve">Procjenjuje se da će javni </w:t>
      </w:r>
      <w:r w:rsidR="004A1C16">
        <w:rPr>
          <w:rFonts w:cs="Calibri"/>
          <w:sz w:val="24"/>
        </w:rPr>
        <w:t>sek</w:t>
      </w:r>
      <w:r w:rsidR="000F53EB">
        <w:rPr>
          <w:rFonts w:cs="Calibri"/>
          <w:sz w:val="24"/>
        </w:rPr>
        <w:t>tor EU</w:t>
      </w:r>
      <w:r>
        <w:rPr>
          <w:rFonts w:cs="Calibri"/>
          <w:sz w:val="24"/>
        </w:rPr>
        <w:t xml:space="preserve"> godišnje kupovati približno 150.000 GWh električne energije, što predstavlja oko 6 do 7 % tržišta. Ako bi se, teoretski, ovo tržište prebacilo na zelenu električnu energiju, to bi moglo uštedjeti do 60 </w:t>
      </w:r>
      <w:r w:rsidR="00D80A2D">
        <w:rPr>
          <w:rFonts w:cs="Calibri"/>
          <w:sz w:val="24"/>
        </w:rPr>
        <w:t xml:space="preserve">miliona tona emisije </w:t>
      </w:r>
      <w:r w:rsidR="00E377CE">
        <w:rPr>
          <w:rFonts w:cs="Calibri"/>
          <w:sz w:val="24"/>
        </w:rPr>
        <w:t>CO</w:t>
      </w:r>
      <w:r w:rsidR="00E377CE">
        <w:rPr>
          <w:rFonts w:cs="Calibri"/>
          <w:sz w:val="24"/>
          <w:vertAlign w:val="subscript"/>
        </w:rPr>
        <w:t>2</w:t>
      </w:r>
      <w:r w:rsidR="00D80A2D">
        <w:rPr>
          <w:rFonts w:cs="Calibri"/>
          <w:sz w:val="24"/>
        </w:rPr>
        <w:t xml:space="preserve"> ili 18</w:t>
      </w:r>
      <w:r>
        <w:rPr>
          <w:rFonts w:cs="Calibri"/>
          <w:sz w:val="24"/>
        </w:rPr>
        <w:t>% obaveza EU Kioto Protokola. Javne nabavke predstavljaju</w:t>
      </w:r>
      <w:r w:rsidR="00D80A2D">
        <w:rPr>
          <w:rFonts w:cs="Calibri"/>
          <w:sz w:val="24"/>
        </w:rPr>
        <w:t xml:space="preserve"> oko 33</w:t>
      </w:r>
      <w:r>
        <w:rPr>
          <w:rFonts w:cs="Calibri"/>
          <w:sz w:val="24"/>
        </w:rPr>
        <w:t>% godišnjeg evropskog tržišta autobusa.</w:t>
      </w:r>
      <w:r w:rsidR="00D80A2D">
        <w:rPr>
          <w:rFonts w:cs="Calibri"/>
          <w:sz w:val="24"/>
        </w:rPr>
        <w:t xml:space="preserve"> </w:t>
      </w:r>
      <w:r>
        <w:rPr>
          <w:rFonts w:cs="Calibri"/>
          <w:sz w:val="24"/>
        </w:rPr>
        <w:t xml:space="preserve"> ZJN bi ovo tržište mogao usmjeriti ka autobusima </w:t>
      </w:r>
      <w:r w:rsidR="00CF712D">
        <w:rPr>
          <w:rFonts w:cs="Calibri"/>
          <w:sz w:val="24"/>
        </w:rPr>
        <w:t xml:space="preserve">koji manje zagađuju </w:t>
      </w:r>
      <w:r w:rsidR="00D80A2D">
        <w:rPr>
          <w:rFonts w:cs="Calibri"/>
          <w:sz w:val="24"/>
        </w:rPr>
        <w:t>i</w:t>
      </w:r>
      <w:r w:rsidR="00CF712D">
        <w:rPr>
          <w:rFonts w:cs="Calibri"/>
          <w:sz w:val="24"/>
        </w:rPr>
        <w:t xml:space="preserve"> koji su </w:t>
      </w:r>
      <w:r>
        <w:rPr>
          <w:rFonts w:cs="Calibri"/>
          <w:sz w:val="24"/>
        </w:rPr>
        <w:t>energetski efikasniji. Građevinski sektor čini 40% energetskih potreba EU i nudi najveći pojedinačni potencijal za energetsku efikasnost. Istraživanja pokazuju da se više od jedne petine sadašnje potrošnje energije moglo uštedjeti od 2010. godine primjenom ambicioznijih standarda na nove i rekonstruisane zgrada. Javne zgrade koje pokrivaju značajan dio tih zgrada dovode do toga da je javni sektor identifikovan kao lider u ovoj oblasti.</w:t>
      </w:r>
    </w:p>
    <w:p w14:paraId="22C43413" w14:textId="77777777" w:rsidR="006833F9" w:rsidRDefault="006833F9" w:rsidP="006833F9">
      <w:pPr>
        <w:jc w:val="both"/>
        <w:rPr>
          <w:rFonts w:cs="Calibri"/>
        </w:rPr>
      </w:pPr>
    </w:p>
    <w:p w14:paraId="5C0E7938" w14:textId="77777777" w:rsidR="006833F9" w:rsidRDefault="006833F9" w:rsidP="006833F9">
      <w:pPr>
        <w:jc w:val="both"/>
        <w:rPr>
          <w:rFonts w:cs="Calibri"/>
          <w:b/>
          <w:bCs/>
          <w:sz w:val="24"/>
        </w:rPr>
      </w:pPr>
      <w:r>
        <w:rPr>
          <w:rFonts w:cs="Calibri"/>
          <w:b/>
          <w:bCs/>
          <w:sz w:val="24"/>
        </w:rPr>
        <w:t>Promocija novo održivih poslovnih modela</w:t>
      </w:r>
    </w:p>
    <w:p w14:paraId="324D3BA7" w14:textId="77777777" w:rsidR="006833F9" w:rsidRDefault="006833F9" w:rsidP="006833F9">
      <w:pPr>
        <w:jc w:val="both"/>
        <w:rPr>
          <w:rFonts w:cs="Calibri"/>
          <w:sz w:val="24"/>
        </w:rPr>
      </w:pPr>
      <w:r>
        <w:rPr>
          <w:rFonts w:cs="Calibri"/>
          <w:sz w:val="24"/>
        </w:rPr>
        <w:t xml:space="preserve">ZJN može promovisati poslovne modele za uštedu resursa: npr. u slučaju čišćenja, upotreba uređaja za doziranje mogla bi dovesti do odgovarajuće, manje doze sredstava za čišćenje, smanjenja količine hemikalija koje se ispuštaju u kanalizacionom sistemu i smanjenja količine kupljenih proizvoda. </w:t>
      </w:r>
    </w:p>
    <w:p w14:paraId="57F63522" w14:textId="305D740B" w:rsidR="006833F9" w:rsidRDefault="006833F9" w:rsidP="006833F9">
      <w:pPr>
        <w:jc w:val="both"/>
        <w:rPr>
          <w:rFonts w:cs="Calibri"/>
          <w:sz w:val="24"/>
        </w:rPr>
      </w:pPr>
      <w:r>
        <w:rPr>
          <w:rFonts w:cs="Calibri"/>
          <w:sz w:val="24"/>
        </w:rPr>
        <w:t xml:space="preserve">U Barseloni je tender za kupovinu 500 novih autobuskih stanica i adaptaciju svih 1200 postojećih autobuskih stanica doveo do razvoja jedinstvenog prototipa autobuskog </w:t>
      </w:r>
      <w:r w:rsidR="00CF712D">
        <w:rPr>
          <w:rFonts w:cs="Calibri"/>
          <w:sz w:val="24"/>
        </w:rPr>
        <w:t>stanica</w:t>
      </w:r>
      <w:r>
        <w:rPr>
          <w:rFonts w:cs="Calibri"/>
          <w:sz w:val="24"/>
        </w:rPr>
        <w:t>, koji se naziva „model autobuskog stajališta u Barseloni“. Firma koja je pobijedila na tenderu na osnovu paketa instalacije i održavanja</w:t>
      </w:r>
      <w:r w:rsidR="00CF712D">
        <w:rPr>
          <w:rFonts w:cs="Calibri"/>
          <w:sz w:val="24"/>
        </w:rPr>
        <w:t xml:space="preserve"> stanica</w:t>
      </w:r>
      <w:r>
        <w:rPr>
          <w:rFonts w:cs="Calibri"/>
          <w:sz w:val="24"/>
        </w:rPr>
        <w:t xml:space="preserve"> proširila je ponudu tog uspešnog </w:t>
      </w:r>
      <w:r w:rsidR="00CF712D">
        <w:rPr>
          <w:rFonts w:cs="Calibri"/>
          <w:sz w:val="24"/>
        </w:rPr>
        <w:t xml:space="preserve">modela </w:t>
      </w:r>
      <w:r>
        <w:rPr>
          <w:rFonts w:cs="Calibri"/>
          <w:sz w:val="24"/>
        </w:rPr>
        <w:t>i na druge opštine.</w:t>
      </w:r>
    </w:p>
    <w:p w14:paraId="1B612D6C" w14:textId="77777777" w:rsidR="006833F9" w:rsidRDefault="006833F9" w:rsidP="006833F9">
      <w:pPr>
        <w:jc w:val="both"/>
        <w:rPr>
          <w:rFonts w:cs="Calibri"/>
          <w:sz w:val="24"/>
        </w:rPr>
      </w:pPr>
    </w:p>
    <w:p w14:paraId="7A185A6D" w14:textId="77777777" w:rsidR="006833F9" w:rsidRDefault="006833F9" w:rsidP="006833F9">
      <w:pPr>
        <w:jc w:val="both"/>
        <w:rPr>
          <w:rFonts w:cs="Calibri"/>
          <w:b/>
          <w:bCs/>
          <w:sz w:val="24"/>
        </w:rPr>
      </w:pPr>
      <w:r>
        <w:rPr>
          <w:rFonts w:cs="Calibri"/>
          <w:b/>
          <w:bCs/>
          <w:sz w:val="24"/>
        </w:rPr>
        <w:t>ZJN omogućava javnim vlastima da postignu ekološke ciljeve</w:t>
      </w:r>
    </w:p>
    <w:p w14:paraId="135211C5" w14:textId="77777777" w:rsidR="006833F9" w:rsidRDefault="006833F9" w:rsidP="006C33A4">
      <w:pPr>
        <w:contextualSpacing/>
        <w:jc w:val="both"/>
        <w:rPr>
          <w:rFonts w:cs="Calibri"/>
          <w:sz w:val="24"/>
        </w:rPr>
      </w:pPr>
      <w:r>
        <w:rPr>
          <w:rFonts w:cs="Calibri"/>
          <w:sz w:val="24"/>
        </w:rPr>
        <w:t>Javne nabavke mogu biti od pomoći u rješavanju ekoloških problema, kao što su:</w:t>
      </w:r>
    </w:p>
    <w:p w14:paraId="4E8063F2" w14:textId="77777777" w:rsidR="006833F9" w:rsidRDefault="006833F9" w:rsidP="006C33A4">
      <w:pPr>
        <w:pStyle w:val="ListParagraph"/>
        <w:numPr>
          <w:ilvl w:val="0"/>
          <w:numId w:val="19"/>
        </w:numPr>
        <w:spacing w:after="100"/>
        <w:contextualSpacing/>
        <w:jc w:val="both"/>
        <w:rPr>
          <w:rFonts w:cs="Calibri"/>
          <w:sz w:val="24"/>
        </w:rPr>
      </w:pPr>
      <w:r w:rsidRPr="00FD3B11">
        <w:rPr>
          <w:rFonts w:cs="Calibri"/>
          <w:sz w:val="24"/>
        </w:rPr>
        <w:t>Krčenje šuma (npr. kupovinom drva i proizvoda od drveta iz legalno posječenih i održivo upravljanih šuma)</w:t>
      </w:r>
    </w:p>
    <w:p w14:paraId="2E87094A" w14:textId="2501FB0A" w:rsidR="006833F9" w:rsidRPr="00FD3B11" w:rsidRDefault="006833F9" w:rsidP="006C33A4">
      <w:pPr>
        <w:pStyle w:val="ListParagraph"/>
        <w:numPr>
          <w:ilvl w:val="0"/>
          <w:numId w:val="19"/>
        </w:numPr>
        <w:spacing w:after="100"/>
        <w:contextualSpacing/>
        <w:jc w:val="both"/>
        <w:rPr>
          <w:rFonts w:cs="Calibri"/>
          <w:sz w:val="24"/>
        </w:rPr>
      </w:pPr>
      <w:r w:rsidRPr="00FD3B11">
        <w:rPr>
          <w:rFonts w:cs="Calibri"/>
          <w:sz w:val="24"/>
        </w:rPr>
        <w:t xml:space="preserve">Emisije gasova </w:t>
      </w:r>
      <w:r>
        <w:rPr>
          <w:rFonts w:cs="Calibri"/>
          <w:sz w:val="24"/>
        </w:rPr>
        <w:t xml:space="preserve">sa efektom </w:t>
      </w:r>
      <w:r w:rsidRPr="00FD3B11">
        <w:rPr>
          <w:rFonts w:cs="Calibri"/>
          <w:sz w:val="24"/>
        </w:rPr>
        <w:t xml:space="preserve">staklene bašte (npr. kupovinom proizvoda i usluga sa nižim otiskom </w:t>
      </w:r>
      <w:r w:rsidR="00E377CE">
        <w:rPr>
          <w:rFonts w:cs="Calibri"/>
          <w:sz w:val="24"/>
        </w:rPr>
        <w:t>CO</w:t>
      </w:r>
      <w:r w:rsidR="00E377CE">
        <w:rPr>
          <w:rFonts w:cs="Calibri"/>
          <w:sz w:val="24"/>
          <w:vertAlign w:val="subscript"/>
        </w:rPr>
        <w:t>2</w:t>
      </w:r>
      <w:r w:rsidRPr="00FD3B11">
        <w:rPr>
          <w:rFonts w:cs="Calibri"/>
          <w:sz w:val="24"/>
        </w:rPr>
        <w:t xml:space="preserve"> tokom njihovog životnog ciklusa)</w:t>
      </w:r>
    </w:p>
    <w:p w14:paraId="0D7C3593" w14:textId="77777777" w:rsidR="006833F9" w:rsidRPr="00FD3B11" w:rsidRDefault="006833F9" w:rsidP="006C33A4">
      <w:pPr>
        <w:pStyle w:val="ListParagraph"/>
        <w:numPr>
          <w:ilvl w:val="0"/>
          <w:numId w:val="19"/>
        </w:numPr>
        <w:spacing w:after="100"/>
        <w:contextualSpacing/>
        <w:jc w:val="both"/>
        <w:rPr>
          <w:rFonts w:cs="Calibri"/>
          <w:sz w:val="24"/>
        </w:rPr>
      </w:pPr>
      <w:r w:rsidRPr="00FD3B11">
        <w:rPr>
          <w:rFonts w:cs="Calibri"/>
          <w:sz w:val="24"/>
        </w:rPr>
        <w:t>Upotreba vode (npr. odabirom vodootpornijih armatura)</w:t>
      </w:r>
    </w:p>
    <w:p w14:paraId="71200C23" w14:textId="77777777" w:rsidR="006833F9" w:rsidRPr="00FD3B11" w:rsidRDefault="006833F9" w:rsidP="006C33A4">
      <w:pPr>
        <w:pStyle w:val="ListParagraph"/>
        <w:numPr>
          <w:ilvl w:val="0"/>
          <w:numId w:val="19"/>
        </w:numPr>
        <w:spacing w:after="100"/>
        <w:contextualSpacing/>
        <w:jc w:val="both"/>
        <w:rPr>
          <w:rFonts w:cs="Calibri"/>
          <w:sz w:val="24"/>
        </w:rPr>
      </w:pPr>
      <w:r w:rsidRPr="00FD3B11">
        <w:rPr>
          <w:rFonts w:cs="Calibri"/>
          <w:sz w:val="24"/>
        </w:rPr>
        <w:lastRenderedPageBreak/>
        <w:t>Energetska efikasnost i korišćenje resursa (odabirom proizvoda koji su efikasniji i primjenom principa dizajna koji vode računa o životnoj sredini</w:t>
      </w:r>
    </w:p>
    <w:p w14:paraId="757E7C58" w14:textId="77777777" w:rsidR="006833F9" w:rsidRPr="00FD3B11" w:rsidRDefault="006833F9" w:rsidP="006C33A4">
      <w:pPr>
        <w:pStyle w:val="ListParagraph"/>
        <w:numPr>
          <w:ilvl w:val="0"/>
          <w:numId w:val="19"/>
        </w:numPr>
        <w:spacing w:after="100"/>
        <w:contextualSpacing/>
        <w:jc w:val="both"/>
        <w:rPr>
          <w:rFonts w:cs="Calibri"/>
          <w:sz w:val="24"/>
        </w:rPr>
      </w:pPr>
      <w:r w:rsidRPr="00FD3B11">
        <w:rPr>
          <w:rFonts w:cs="Calibri"/>
          <w:sz w:val="24"/>
        </w:rPr>
        <w:t>Zagađenje vazduha, vode i zemljišta (kontrolom hemikalija i ograničenje upotrebe opasnih materija)</w:t>
      </w:r>
    </w:p>
    <w:p w14:paraId="10752FE3" w14:textId="77777777" w:rsidR="006833F9" w:rsidRPr="00FD3B11" w:rsidRDefault="006833F9" w:rsidP="006C33A4">
      <w:pPr>
        <w:pStyle w:val="ListParagraph"/>
        <w:numPr>
          <w:ilvl w:val="0"/>
          <w:numId w:val="19"/>
        </w:numPr>
        <w:spacing w:after="100"/>
        <w:contextualSpacing/>
        <w:jc w:val="both"/>
        <w:rPr>
          <w:rFonts w:cs="Calibri"/>
          <w:sz w:val="24"/>
        </w:rPr>
      </w:pPr>
      <w:r w:rsidRPr="00FD3B11">
        <w:rPr>
          <w:rFonts w:cs="Calibri"/>
          <w:sz w:val="24"/>
        </w:rPr>
        <w:t>Otpad (određivanjem procesa ili ambalaže koji stvaraju manje otpada ili podsticanjem ponovne upotrebe i recikliranja materijala)</w:t>
      </w:r>
    </w:p>
    <w:p w14:paraId="7ABACAF0" w14:textId="77777777" w:rsidR="006833F9" w:rsidRPr="00FD3B11" w:rsidRDefault="006833F9" w:rsidP="006C33A4">
      <w:pPr>
        <w:pStyle w:val="ListParagraph"/>
        <w:numPr>
          <w:ilvl w:val="0"/>
          <w:numId w:val="19"/>
        </w:numPr>
        <w:spacing w:after="100"/>
        <w:contextualSpacing/>
        <w:jc w:val="both"/>
        <w:rPr>
          <w:rFonts w:cs="Calibri"/>
          <w:sz w:val="24"/>
        </w:rPr>
      </w:pPr>
      <w:r w:rsidRPr="00FD3B11">
        <w:rPr>
          <w:rFonts w:cs="Calibri"/>
          <w:sz w:val="24"/>
        </w:rPr>
        <w:t>Održiva poljoprivreda (npr. kupovinom organski proizvedene hrane)</w:t>
      </w:r>
    </w:p>
    <w:p w14:paraId="6B085138" w14:textId="77777777" w:rsidR="006833F9" w:rsidRDefault="006833F9" w:rsidP="006833F9">
      <w:pPr>
        <w:jc w:val="both"/>
        <w:rPr>
          <w:rFonts w:cs="Calibri"/>
        </w:rPr>
      </w:pPr>
    </w:p>
    <w:p w14:paraId="3920D13F" w14:textId="77777777" w:rsidR="006833F9" w:rsidRDefault="006833F9" w:rsidP="006833F9">
      <w:pPr>
        <w:jc w:val="both"/>
        <w:rPr>
          <w:rFonts w:cs="Calibri"/>
          <w:b/>
          <w:bCs/>
          <w:sz w:val="24"/>
        </w:rPr>
      </w:pPr>
      <w:r>
        <w:rPr>
          <w:rFonts w:cs="Calibri"/>
          <w:b/>
          <w:bCs/>
          <w:sz w:val="24"/>
        </w:rPr>
        <w:t>Stimulisanje razvoja i širenja ekološki korisnih tehnologija</w:t>
      </w:r>
    </w:p>
    <w:p w14:paraId="3B083A20" w14:textId="5814DE6B" w:rsidR="006833F9" w:rsidRDefault="006833F9" w:rsidP="006833F9">
      <w:pPr>
        <w:jc w:val="both"/>
        <w:rPr>
          <w:rFonts w:cs="Calibri"/>
          <w:sz w:val="24"/>
        </w:rPr>
      </w:pPr>
      <w:r>
        <w:rPr>
          <w:rFonts w:cs="Calibri"/>
          <w:sz w:val="24"/>
        </w:rPr>
        <w:t xml:space="preserve">Trenutna potrošnja u EU nanosi ekološku štetu po stopama koje su neodržive. </w:t>
      </w:r>
      <w:r w:rsidRPr="00693A91">
        <w:rPr>
          <w:rFonts w:cs="Calibri"/>
          <w:sz w:val="24"/>
          <w:u w:val="single"/>
        </w:rPr>
        <w:t>Ako bi svijet u cjelini slijedio tradicionalne obrasce potrošnje, globalna upotreba resursa mogla bi se učetvorostručiti u roku od 20 godina.</w:t>
      </w:r>
      <w:r>
        <w:rPr>
          <w:rFonts w:cs="Calibri"/>
          <w:sz w:val="24"/>
        </w:rPr>
        <w:t xml:space="preserve"> Stoga je potrebno stimulisati brži razvoj i širenje ekološki </w:t>
      </w:r>
      <w:r w:rsidR="00693A91">
        <w:rPr>
          <w:rFonts w:cs="Calibri"/>
          <w:sz w:val="24"/>
        </w:rPr>
        <w:t>prihvaljivih</w:t>
      </w:r>
      <w:r>
        <w:rPr>
          <w:rFonts w:cs="Calibri"/>
          <w:sz w:val="24"/>
        </w:rPr>
        <w:t xml:space="preserve"> proizvoda. ZJN nagrađuje firme koje razvijaju takvu robu i daje im podsticaj za budući razvoj tehnologija, promovišući inovacije koje podržavaju ekonomiju EU.</w:t>
      </w:r>
    </w:p>
    <w:p w14:paraId="45AAA81B" w14:textId="77777777" w:rsidR="006833F9" w:rsidRDefault="006833F9" w:rsidP="006833F9">
      <w:pPr>
        <w:jc w:val="both"/>
        <w:rPr>
          <w:rFonts w:cs="Calibri"/>
          <w:sz w:val="24"/>
        </w:rPr>
      </w:pPr>
      <w:r>
        <w:rPr>
          <w:rFonts w:cs="Calibri"/>
          <w:sz w:val="24"/>
        </w:rPr>
        <w:t>Postoje dva efekta:</w:t>
      </w:r>
    </w:p>
    <w:p w14:paraId="3EFFDC6A" w14:textId="77777777" w:rsidR="006833F9" w:rsidRDefault="006833F9" w:rsidP="006833F9">
      <w:pPr>
        <w:pStyle w:val="ListParagraph"/>
        <w:numPr>
          <w:ilvl w:val="0"/>
          <w:numId w:val="20"/>
        </w:numPr>
        <w:ind w:left="540"/>
        <w:jc w:val="both"/>
      </w:pPr>
      <w:r>
        <w:rPr>
          <w:rFonts w:cs="Calibri"/>
          <w:sz w:val="24"/>
        </w:rPr>
        <w:t>Ekološki bolja roba često je proizvod u drugom planu, za koji će povećana potražnja dovesti do ekonomije obima, omogućavajući proizvodima da se presele na glavna tržišta. Konačno, ekonomske koristi od smanjenih troškova mogu nastati ne kod javnih nabavljača, već kod drugih kupaca.</w:t>
      </w:r>
    </w:p>
    <w:p w14:paraId="78B7A8B8" w14:textId="0FEABA66" w:rsidR="006833F9" w:rsidRDefault="006833F9" w:rsidP="006833F9">
      <w:pPr>
        <w:pStyle w:val="ListParagraph"/>
        <w:numPr>
          <w:ilvl w:val="0"/>
          <w:numId w:val="20"/>
        </w:numPr>
        <w:ind w:left="540"/>
        <w:jc w:val="both"/>
        <w:rPr>
          <w:rFonts w:cs="Calibri"/>
          <w:sz w:val="24"/>
        </w:rPr>
      </w:pPr>
      <w:r>
        <w:rPr>
          <w:rFonts w:cs="Calibri"/>
          <w:sz w:val="24"/>
        </w:rPr>
        <w:t>Povlačenje javnih nabavki može stimulisati veće i brže tehnološke inovacije ili napredak koji će na kraju dovesti do nižih jediničnih troškova i dostupnosti masovnog tržišta.</w:t>
      </w:r>
    </w:p>
    <w:p w14:paraId="3AFDA755" w14:textId="77777777" w:rsidR="006C33A4" w:rsidRDefault="006C33A4" w:rsidP="006C33A4">
      <w:pPr>
        <w:pStyle w:val="ListParagraph"/>
        <w:ind w:left="540"/>
        <w:jc w:val="both"/>
        <w:rPr>
          <w:rFonts w:cs="Calibri"/>
          <w:sz w:val="24"/>
        </w:rPr>
      </w:pPr>
    </w:p>
    <w:p w14:paraId="38D08F5C" w14:textId="77777777" w:rsidR="006833F9" w:rsidRDefault="006833F9" w:rsidP="006833F9">
      <w:pPr>
        <w:jc w:val="both"/>
        <w:rPr>
          <w:rFonts w:cs="Calibri"/>
          <w:b/>
          <w:bCs/>
          <w:sz w:val="24"/>
        </w:rPr>
      </w:pPr>
      <w:r>
        <w:rPr>
          <w:rFonts w:cs="Calibri"/>
          <w:b/>
          <w:bCs/>
          <w:sz w:val="24"/>
        </w:rPr>
        <w:t>Isplativo postizanje ekoloških ciljeva</w:t>
      </w:r>
    </w:p>
    <w:p w14:paraId="34188148" w14:textId="0510C8E3" w:rsidR="006833F9" w:rsidRDefault="006833F9" w:rsidP="006833F9">
      <w:pPr>
        <w:jc w:val="both"/>
        <w:rPr>
          <w:rFonts w:cs="Calibri"/>
          <w:sz w:val="24"/>
        </w:rPr>
      </w:pPr>
      <w:r>
        <w:rPr>
          <w:rFonts w:cs="Calibri"/>
          <w:sz w:val="24"/>
        </w:rPr>
        <w:t>Tamo gdje ZJN dovodi do kupovine zelenijih proizvoda, smanjeni uticaj ovih proizvoda na životnu sredinu doprinijeće postizanju postojećih ekoloških ciljeva - i mogao bi to učiniti jeftinije od drugih dostupnih</w:t>
      </w:r>
      <w:r w:rsidR="00D80A2D">
        <w:rPr>
          <w:rFonts w:cs="Calibri"/>
          <w:sz w:val="24"/>
        </w:rPr>
        <w:t xml:space="preserve"> poli</w:t>
      </w:r>
      <w:r w:rsidR="00693A91">
        <w:rPr>
          <w:rFonts w:cs="Calibri"/>
          <w:sz w:val="24"/>
        </w:rPr>
        <w:t>tičkih</w:t>
      </w:r>
      <w:r>
        <w:rPr>
          <w:rFonts w:cs="Calibri"/>
          <w:sz w:val="24"/>
        </w:rPr>
        <w:t xml:space="preserve"> instrumenata. To bi dovelo do smanjenja troškova postizanja tih ekoloških ciljeva. Na primjer, može biti jeftinije da nadležni organ ispuni lokalne standarde kvaliteta vazduha kroz dodatne troškove kupovine </w:t>
      </w:r>
      <w:r w:rsidR="00693A91">
        <w:rPr>
          <w:rFonts w:cs="Calibri"/>
          <w:sz w:val="24"/>
        </w:rPr>
        <w:t>“</w:t>
      </w:r>
      <w:r>
        <w:rPr>
          <w:rFonts w:cs="Calibri"/>
          <w:sz w:val="24"/>
        </w:rPr>
        <w:t>čistijih</w:t>
      </w:r>
      <w:r w:rsidR="00693A91">
        <w:rPr>
          <w:rFonts w:cs="Calibri"/>
          <w:sz w:val="24"/>
        </w:rPr>
        <w:t>”</w:t>
      </w:r>
      <w:r>
        <w:rPr>
          <w:rFonts w:cs="Calibri"/>
          <w:sz w:val="24"/>
        </w:rPr>
        <w:t xml:space="preserve"> autobusa nego postavljanjem skupljih ograničenja zagađenja iz domaćih kotlova.</w:t>
      </w:r>
    </w:p>
    <w:p w14:paraId="2B247E39" w14:textId="5E131F38" w:rsidR="006833F9" w:rsidRDefault="006833F9" w:rsidP="006833F9">
      <w:pPr>
        <w:jc w:val="both"/>
        <w:rPr>
          <w:rFonts w:cs="Calibri"/>
          <w:sz w:val="24"/>
        </w:rPr>
      </w:pPr>
      <w:r>
        <w:rPr>
          <w:rFonts w:cs="Calibri"/>
          <w:sz w:val="24"/>
        </w:rPr>
        <w:t>Studija</w:t>
      </w:r>
      <w:r>
        <w:rPr>
          <w:rStyle w:val="FootnoteReference"/>
          <w:rFonts w:cs="Calibri"/>
          <w:sz w:val="24"/>
        </w:rPr>
        <w:footnoteReference w:id="11"/>
      </w:r>
      <w:r>
        <w:rPr>
          <w:rFonts w:cs="Calibri"/>
          <w:sz w:val="24"/>
        </w:rPr>
        <w:t xml:space="preserve"> sprovedena za Komisiju o troškovima/koristima ZJN-a odnosi se na nabavku javnih </w:t>
      </w:r>
      <w:r>
        <w:rPr>
          <w:rFonts w:cs="Calibri"/>
          <w:sz w:val="24"/>
          <w:shd w:val="clear" w:color="auto" w:fill="FFFFFF"/>
        </w:rPr>
        <w:t>željezničkih kola</w:t>
      </w:r>
      <w:r>
        <w:rPr>
          <w:rFonts w:cs="Calibri"/>
          <w:sz w:val="24"/>
        </w:rPr>
        <w:t xml:space="preserve"> o troškovima/koristima ZJN -a u poređenju cijena „zelene“ i „nezelene“ robe u EU i zaključila je da se ne može generalizovati da zeleni proizvodi uvijek imaju veće otkupne cijene nego verzije proizvoda koji nisu zeleni, što sugeriše veliki prostor za isplative akcije za postizanje ciljeva politike putem ZJN-a.</w:t>
      </w:r>
    </w:p>
    <w:p w14:paraId="1EA1841B" w14:textId="35F2AE54" w:rsidR="006C33A4" w:rsidRDefault="006C33A4" w:rsidP="006833F9">
      <w:pPr>
        <w:jc w:val="both"/>
        <w:rPr>
          <w:rFonts w:cs="Calibri"/>
          <w:sz w:val="24"/>
        </w:rPr>
      </w:pPr>
    </w:p>
    <w:p w14:paraId="3A1698A5" w14:textId="77777777" w:rsidR="006C33A4" w:rsidRDefault="006C33A4" w:rsidP="006833F9">
      <w:pPr>
        <w:jc w:val="both"/>
      </w:pPr>
    </w:p>
    <w:p w14:paraId="320B2D18" w14:textId="3195D2D1" w:rsidR="006833F9" w:rsidRPr="006C33A4" w:rsidRDefault="006833F9" w:rsidP="006C33A4">
      <w:pPr>
        <w:pBdr>
          <w:top w:val="single" w:sz="4" w:space="1" w:color="auto"/>
          <w:left w:val="single" w:sz="4" w:space="4" w:color="auto"/>
          <w:bottom w:val="single" w:sz="4" w:space="1" w:color="auto"/>
          <w:right w:val="single" w:sz="4" w:space="4" w:color="auto"/>
        </w:pBdr>
        <w:shd w:val="clear" w:color="auto" w:fill="DEEAF6" w:themeFill="accent1" w:themeFillTint="33"/>
        <w:jc w:val="both"/>
      </w:pPr>
      <w:r w:rsidRPr="006C33A4">
        <w:rPr>
          <w:rFonts w:cs="Calibri"/>
          <w:sz w:val="24"/>
        </w:rPr>
        <w:lastRenderedPageBreak/>
        <w:t>Projekat RELIEF</w:t>
      </w:r>
      <w:r w:rsidRPr="006C33A4">
        <w:rPr>
          <w:rStyle w:val="FootnoteReference"/>
          <w:rFonts w:cs="Calibri"/>
          <w:sz w:val="24"/>
        </w:rPr>
        <w:footnoteReference w:id="12"/>
      </w:r>
      <w:r w:rsidRPr="006C33A4">
        <w:rPr>
          <w:rFonts w:cs="Calibri"/>
          <w:sz w:val="24"/>
        </w:rPr>
        <w:t xml:space="preserve">, koji je mjerio uticaj ZJN na životnu sredinu u EU, je izračunao da bi, ako bi svi javni organi koristili vodokotliće </w:t>
      </w:r>
      <w:r w:rsidR="00693A91" w:rsidRPr="006C33A4">
        <w:rPr>
          <w:rFonts w:cs="Calibri"/>
          <w:sz w:val="24"/>
        </w:rPr>
        <w:t xml:space="preserve">sa efikasnom potrošnjom </w:t>
      </w:r>
      <w:r w:rsidRPr="006C33A4">
        <w:rPr>
          <w:rFonts w:cs="Calibri"/>
          <w:sz w:val="24"/>
        </w:rPr>
        <w:t>vode, to rezultiralo godišnjom uštedom od 190.407.539 m³ vode za piće. Upotreba uređaja za uštedu vode sa slavinom za vodu mogla bi uštedjeti dodatnih 60.639.140 m³ vode za piće. S obzirom na cijene vode, ovo bi, osim toga, omogućilo javnim vlastima da uštede 527.110.000 € godišnje.</w:t>
      </w:r>
    </w:p>
    <w:p w14:paraId="21342B3C" w14:textId="2A34F2C3" w:rsidR="003F7412" w:rsidRDefault="003F7412" w:rsidP="003F7412">
      <w:pPr>
        <w:jc w:val="both"/>
        <w:rPr>
          <w:rFonts w:cs="Calibri"/>
          <w:b/>
          <w:bCs/>
          <w:sz w:val="24"/>
        </w:rPr>
      </w:pPr>
      <w:r>
        <w:rPr>
          <w:rFonts w:cs="Calibri"/>
          <w:b/>
          <w:bCs/>
          <w:sz w:val="24"/>
        </w:rPr>
        <w:t>Uvećavanje društvene koristi od javnih rashoda</w:t>
      </w:r>
    </w:p>
    <w:p w14:paraId="16091425" w14:textId="77777777" w:rsidR="006C33A4" w:rsidRDefault="003F7412" w:rsidP="003F7412">
      <w:pPr>
        <w:jc w:val="both"/>
        <w:rPr>
          <w:rFonts w:cs="Calibri"/>
          <w:sz w:val="24"/>
        </w:rPr>
      </w:pPr>
      <w:r>
        <w:rPr>
          <w:rFonts w:cs="Calibri"/>
          <w:sz w:val="24"/>
        </w:rPr>
        <w:t>Ekološki problemi nameću društvo troškovima, na primjer zbog bolesti, zbog lošeg kvaliteta vazduha ili društvenih troškova od odlaganja otpada. Kako je cilj javne potrošnje poboljšavanje društvene koristi, gdje kupovine doprinose ekološkim problemima, oni smanjuju stvarnu društvenu korist od rashoda. ZJN pomaž</w:t>
      </w:r>
      <w:r w:rsidR="00693A91">
        <w:rPr>
          <w:rFonts w:cs="Calibri"/>
          <w:sz w:val="24"/>
        </w:rPr>
        <w:t>u</w:t>
      </w:r>
      <w:r>
        <w:rPr>
          <w:rFonts w:cs="Calibri"/>
          <w:sz w:val="24"/>
        </w:rPr>
        <w:t xml:space="preserve"> u smanjenju ekoloških problema koji proizilaze iz javnih kupovina, bolje postižući efikasnost javne potrošnje. Rijetke su situacije da rad dobrog </w:t>
      </w:r>
      <w:r w:rsidR="00693A91">
        <w:rPr>
          <w:rFonts w:cs="Calibri"/>
          <w:sz w:val="24"/>
        </w:rPr>
        <w:t xml:space="preserve">sprovođenja </w:t>
      </w:r>
      <w:r w:rsidR="006C33A4">
        <w:rPr>
          <w:rFonts w:cs="Calibri"/>
          <w:sz w:val="24"/>
        </w:rPr>
        <w:t>ZJN</w:t>
      </w:r>
      <w:r>
        <w:rPr>
          <w:rFonts w:cs="Calibri"/>
          <w:sz w:val="24"/>
        </w:rPr>
        <w:t xml:space="preserve"> dovodi do odluke koja ne povećava socijalnu korist. </w:t>
      </w:r>
    </w:p>
    <w:p w14:paraId="696B58F6" w14:textId="3028531C" w:rsidR="003F7412" w:rsidRDefault="003F7412" w:rsidP="006C33A4">
      <w:p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cs="Calibri"/>
          <w:sz w:val="24"/>
        </w:rPr>
      </w:pPr>
      <w:r>
        <w:rPr>
          <w:rFonts w:cs="Calibri"/>
          <w:sz w:val="24"/>
        </w:rPr>
        <w:t xml:space="preserve">Na primjer, nedavno je njemačko istraživanje pokazalo da </w:t>
      </w:r>
      <w:r w:rsidR="008531B6">
        <w:rPr>
          <w:rFonts w:cs="Calibri"/>
          <w:sz w:val="24"/>
        </w:rPr>
        <w:t xml:space="preserve">je „zelena električna energija“ </w:t>
      </w:r>
      <w:r>
        <w:rPr>
          <w:rFonts w:cs="Calibri"/>
          <w:sz w:val="24"/>
        </w:rPr>
        <w:t>koju su proizveli proizvođači električne energije iz obnovljivih izvora, i koji su 2005. godine dobili 2,4 milijarde evra putem njemačkih preferencijalnih tarifa, omogućila izbjegavanje od 2,8 milijardi eura društvenih troškova koji bi nastali da su proizvedeni u elektranama na fosilna goriva.</w:t>
      </w:r>
    </w:p>
    <w:p w14:paraId="58C0EE7A" w14:textId="77777777" w:rsidR="006E43C8" w:rsidRDefault="006E43C8" w:rsidP="003F7412">
      <w:pPr>
        <w:jc w:val="both"/>
        <w:rPr>
          <w:rFonts w:cs="Calibri"/>
          <w:b/>
          <w:bCs/>
          <w:sz w:val="24"/>
        </w:rPr>
      </w:pPr>
    </w:p>
    <w:p w14:paraId="5640D019" w14:textId="061B19FF" w:rsidR="003F7412" w:rsidRDefault="003F7412" w:rsidP="003F7412">
      <w:pPr>
        <w:jc w:val="both"/>
        <w:rPr>
          <w:rFonts w:cs="Calibri"/>
          <w:b/>
          <w:bCs/>
          <w:sz w:val="24"/>
        </w:rPr>
      </w:pPr>
      <w:r>
        <w:rPr>
          <w:rFonts w:cs="Calibri"/>
          <w:b/>
          <w:bCs/>
          <w:sz w:val="24"/>
        </w:rPr>
        <w:t>ZJN podiže svijest o pitanjima životne sredine</w:t>
      </w:r>
    </w:p>
    <w:p w14:paraId="0F7C3D28" w14:textId="6684EF2C" w:rsidR="003F7412" w:rsidRDefault="003F7412" w:rsidP="003F7412">
      <w:pPr>
        <w:jc w:val="both"/>
        <w:rPr>
          <w:rFonts w:cs="Calibri"/>
          <w:sz w:val="24"/>
        </w:rPr>
      </w:pPr>
      <w:r>
        <w:rPr>
          <w:rFonts w:cs="Calibri"/>
          <w:sz w:val="24"/>
        </w:rPr>
        <w:t>ZJN takođe mo</w:t>
      </w:r>
      <w:r w:rsidR="00071B3B">
        <w:rPr>
          <w:rFonts w:cs="Calibri"/>
          <w:sz w:val="24"/>
        </w:rPr>
        <w:t>gu</w:t>
      </w:r>
      <w:r>
        <w:rPr>
          <w:rFonts w:cs="Calibri"/>
          <w:sz w:val="24"/>
        </w:rPr>
        <w:t xml:space="preserve"> djelovati kao koristan kanal za podizanje ekološke svijesti identifikovanjem uticaja određenog proizvoda/usluge na životnu sredinu tokom njegovog životnog ciklusa i pružanjem informacija o prednostima zelenijih alternativa. Na primjer, posluživanje organske i održive hrane u javnoj kantini vjerovatno će povećati svijest među korisnicima i pružaocima usluga.</w:t>
      </w:r>
    </w:p>
    <w:p w14:paraId="2C42D47D" w14:textId="77777777" w:rsidR="003F7412" w:rsidRDefault="003F7412" w:rsidP="003F7412">
      <w:pPr>
        <w:pStyle w:val="Heading2"/>
      </w:pPr>
    </w:p>
    <w:p w14:paraId="1ADE98A7" w14:textId="7674A84A" w:rsidR="003F7412" w:rsidRPr="00A46AC5" w:rsidRDefault="003F7412" w:rsidP="00A46AC5">
      <w:pPr>
        <w:pStyle w:val="Heading2"/>
        <w:numPr>
          <w:ilvl w:val="1"/>
          <w:numId w:val="16"/>
        </w:numPr>
        <w:rPr>
          <w:rFonts w:ascii="Calibri" w:hAnsi="Calibri"/>
          <w:color w:val="171717" w:themeColor="background2" w:themeShade="1A"/>
        </w:rPr>
      </w:pPr>
      <w:bookmarkStart w:id="19" w:name="_Toc82271942"/>
      <w:r w:rsidRPr="00A46AC5">
        <w:rPr>
          <w:rFonts w:ascii="Calibri" w:hAnsi="Calibri"/>
          <w:color w:val="171717" w:themeColor="background2" w:themeShade="1A"/>
        </w:rPr>
        <w:t>Kriterijumi zelenih javnih nabavki</w:t>
      </w:r>
      <w:bookmarkEnd w:id="19"/>
    </w:p>
    <w:p w14:paraId="6892FEF4" w14:textId="77777777" w:rsidR="003F7412" w:rsidRDefault="003F7412" w:rsidP="003F7412">
      <w:pPr>
        <w:rPr>
          <w:rFonts w:cs="Calibri"/>
        </w:rPr>
      </w:pPr>
    </w:p>
    <w:p w14:paraId="6A4BD0FF" w14:textId="15832775" w:rsidR="003F7412" w:rsidRDefault="003F7412" w:rsidP="003F7412">
      <w:pPr>
        <w:jc w:val="both"/>
        <w:rPr>
          <w:rFonts w:cs="Calibri"/>
          <w:sz w:val="24"/>
        </w:rPr>
      </w:pPr>
      <w:r>
        <w:rPr>
          <w:rFonts w:cs="Calibri"/>
          <w:sz w:val="24"/>
        </w:rPr>
        <w:t xml:space="preserve">U mnogim državama članicama nedostaju alati za implementaciju, kao što su slobodno dostupne baze podataka o životnoj sredini za kriterijume, smjernice, službe za pomoć, obuke. Ovo rezultira lošim kvalitetom </w:t>
      </w:r>
      <w:r w:rsidR="00071B3B">
        <w:rPr>
          <w:rFonts w:cs="Calibri"/>
          <w:sz w:val="24"/>
        </w:rPr>
        <w:t>ZJN</w:t>
      </w:r>
      <w:r>
        <w:rPr>
          <w:rFonts w:cs="Calibri"/>
          <w:sz w:val="24"/>
        </w:rPr>
        <w:t xml:space="preserve">, kako u pogledu zakonske usklađenosti tako i kvaliteta ekoloških specifikacija. To dovodi do dodatnih troškova i manje aktivnosti </w:t>
      </w:r>
      <w:r w:rsidR="00D03AB9">
        <w:rPr>
          <w:rFonts w:cs="Calibri"/>
          <w:sz w:val="24"/>
        </w:rPr>
        <w:t>ZJN</w:t>
      </w:r>
      <w:r>
        <w:rPr>
          <w:rFonts w:cs="Calibri"/>
          <w:sz w:val="24"/>
        </w:rPr>
        <w:t>.</w:t>
      </w:r>
    </w:p>
    <w:p w14:paraId="799DB83A" w14:textId="5D2428D3" w:rsidR="003F7412" w:rsidRDefault="003F7412" w:rsidP="003F7412">
      <w:pPr>
        <w:jc w:val="both"/>
        <w:rPr>
          <w:rFonts w:cs="Calibri"/>
          <w:sz w:val="24"/>
        </w:rPr>
      </w:pPr>
      <w:r>
        <w:rPr>
          <w:rFonts w:cs="Calibri"/>
          <w:sz w:val="24"/>
        </w:rPr>
        <w:t xml:space="preserve">Osnovni koncept </w:t>
      </w:r>
      <w:r w:rsidR="00D03AB9">
        <w:rPr>
          <w:rFonts w:cs="Calibri"/>
          <w:sz w:val="24"/>
        </w:rPr>
        <w:t xml:space="preserve">ZJN </w:t>
      </w:r>
      <w:r>
        <w:rPr>
          <w:rFonts w:cs="Calibri"/>
          <w:sz w:val="24"/>
        </w:rPr>
        <w:t>oslanja se na postojanje jasnih, provjerljivih, opravdanih i ambicioznih ekoloških kriterijuma za proizvode i usluge, zasnovanih na pristupu životnog ciklusa i bazi naučnih dokaza. U saopštenju „Javne nabavke za bolje okruženje</w:t>
      </w:r>
      <w:r w:rsidR="00D03AB9">
        <w:rPr>
          <w:rFonts w:cs="Calibri"/>
          <w:sz w:val="24"/>
        </w:rPr>
        <w:t xml:space="preserve">” </w:t>
      </w:r>
      <w:r>
        <w:rPr>
          <w:rFonts w:cs="Calibri"/>
          <w:sz w:val="24"/>
        </w:rPr>
        <w:t xml:space="preserve">Komisija je preporučila stvaranje procesa za postavljanje zajedničkih kriterijuma </w:t>
      </w:r>
      <w:r w:rsidR="00D03AB9">
        <w:rPr>
          <w:rFonts w:cs="Calibri"/>
          <w:sz w:val="24"/>
        </w:rPr>
        <w:t>ZJN.</w:t>
      </w:r>
    </w:p>
    <w:p w14:paraId="32B170FF" w14:textId="26FAF838" w:rsidR="003F7412" w:rsidRDefault="003F7412" w:rsidP="003F7412">
      <w:pPr>
        <w:jc w:val="both"/>
      </w:pPr>
      <w:r>
        <w:rPr>
          <w:rFonts w:cs="Calibri"/>
          <w:sz w:val="24"/>
        </w:rPr>
        <w:lastRenderedPageBreak/>
        <w:t>Kriterijumi</w:t>
      </w:r>
      <w:r>
        <w:rPr>
          <w:rStyle w:val="FootnoteReference"/>
          <w:rFonts w:cs="Calibri"/>
          <w:sz w:val="24"/>
        </w:rPr>
        <w:footnoteReference w:id="13"/>
      </w:r>
      <w:r>
        <w:rPr>
          <w:rFonts w:cs="Calibri"/>
          <w:sz w:val="24"/>
        </w:rPr>
        <w:t xml:space="preserve"> koje koriste države članice trebalo bi da budu slični kako bi se izbjeglo narušavanje jedinstvenog tržišta i smanjenje konkurencije u cijeloj EU. Zajednički kriterijumi značajno smanjuju administrativno opterećenje za ekonomske ope</w:t>
      </w:r>
      <w:r w:rsidR="00D03AB9">
        <w:rPr>
          <w:rFonts w:cs="Calibri"/>
          <w:sz w:val="24"/>
        </w:rPr>
        <w:t>rativce</w:t>
      </w:r>
      <w:r>
        <w:rPr>
          <w:rFonts w:cs="Calibri"/>
          <w:sz w:val="24"/>
        </w:rPr>
        <w:t xml:space="preserve"> i za javne uprave koje sprovode </w:t>
      </w:r>
      <w:r w:rsidR="00D03AB9">
        <w:rPr>
          <w:rFonts w:cs="Calibri"/>
          <w:sz w:val="24"/>
        </w:rPr>
        <w:t>ZJN</w:t>
      </w:r>
      <w:r>
        <w:rPr>
          <w:rFonts w:cs="Calibri"/>
          <w:sz w:val="24"/>
        </w:rPr>
        <w:t xml:space="preserve">. Zajednički kriterijumi </w:t>
      </w:r>
      <w:r w:rsidR="00D03AB9">
        <w:rPr>
          <w:rFonts w:cs="Calibri"/>
          <w:sz w:val="24"/>
        </w:rPr>
        <w:t>ZJN</w:t>
      </w:r>
      <w:r>
        <w:rPr>
          <w:rFonts w:cs="Calibri"/>
          <w:sz w:val="24"/>
        </w:rPr>
        <w:t xml:space="preserve"> imaju posebnu korist za kompanije koje posluju u više od jedne države članice, kao i za mala i srednja preduzeća (čiji su kapaciteti za ovladavanje različitim postupcima nabavke ograničeni).</w:t>
      </w:r>
    </w:p>
    <w:p w14:paraId="5C48BE14" w14:textId="47D48227" w:rsidR="003F7412" w:rsidRDefault="003F7412" w:rsidP="003F7412">
      <w:pPr>
        <w:jc w:val="both"/>
        <w:rPr>
          <w:rFonts w:cs="Calibri"/>
          <w:sz w:val="24"/>
        </w:rPr>
      </w:pPr>
      <w:r>
        <w:rPr>
          <w:rFonts w:cs="Calibri"/>
          <w:sz w:val="24"/>
        </w:rPr>
        <w:t xml:space="preserve">Od 2008. godine, Komisija je razvila više od 20 zajedničkih kriterijuma </w:t>
      </w:r>
      <w:r w:rsidR="00D03AB9">
        <w:rPr>
          <w:rFonts w:cs="Calibri"/>
          <w:sz w:val="24"/>
        </w:rPr>
        <w:t>ZJN</w:t>
      </w:r>
      <w:r>
        <w:rPr>
          <w:rFonts w:cs="Calibri"/>
          <w:sz w:val="24"/>
        </w:rPr>
        <w:t xml:space="preserve">. Prioritetni sektori za implementaciju </w:t>
      </w:r>
      <w:r w:rsidR="00D03AB9">
        <w:rPr>
          <w:rFonts w:cs="Calibri"/>
          <w:sz w:val="24"/>
        </w:rPr>
        <w:t>ZJN</w:t>
      </w:r>
      <w:r>
        <w:rPr>
          <w:rFonts w:cs="Calibri"/>
          <w:sz w:val="24"/>
        </w:rPr>
        <w:t xml:space="preserve"> odabrani su analizom više kriterijuma, uključujući: prostor za poboljšanje životne sredine; javna potrošnja; potencijalni uticaj na dobavljače; potencijal za davanje primjera privatnim ili korporativnim potrošačima; politička osjetljivost; postojanje relevantnih i lakih za korišćenje kriterijuma; dostupnost tržišta i ekonomsku efikasnost. Kriterijumi su redovno ažurirani.</w:t>
      </w:r>
    </w:p>
    <w:p w14:paraId="6DB0DE21" w14:textId="540B08B2" w:rsidR="003F7412" w:rsidRDefault="003F7412" w:rsidP="003F7412">
      <w:pPr>
        <w:jc w:val="both"/>
        <w:rPr>
          <w:rFonts w:cs="Calibri"/>
          <w:sz w:val="24"/>
        </w:rPr>
      </w:pPr>
      <w:r>
        <w:rPr>
          <w:rFonts w:cs="Calibri"/>
          <w:sz w:val="24"/>
        </w:rPr>
        <w:t xml:space="preserve">Kriterijumi </w:t>
      </w:r>
      <w:r w:rsidR="00071B3B">
        <w:rPr>
          <w:rFonts w:cs="Calibri"/>
          <w:sz w:val="24"/>
        </w:rPr>
        <w:t>ZJN</w:t>
      </w:r>
      <w:r>
        <w:rPr>
          <w:rFonts w:cs="Calibri"/>
          <w:sz w:val="24"/>
        </w:rPr>
        <w:t xml:space="preserve"> su zasnovani na podacima iz baze podataka, na postojećim kriterijumima za ekološke oznake i na informacijama prikupljenim od zainteresovanih strana u industriji, civilnom društvu i državama članicama. Baza dokaza koristi dostupne naučne informacije i podatke, usvaja pristup životnog ciklusa i angažuje zainteresovane strane koje se sastaju radi rasprave o pitanjima i postizanje konsenzusa.</w:t>
      </w:r>
    </w:p>
    <w:p w14:paraId="3546822A" w14:textId="77777777" w:rsidR="003F7412" w:rsidRDefault="003F7412" w:rsidP="003F7412">
      <w:pPr>
        <w:jc w:val="both"/>
        <w:rPr>
          <w:rFonts w:cs="Calibri"/>
          <w:sz w:val="24"/>
        </w:rPr>
      </w:pPr>
    </w:p>
    <w:p w14:paraId="6CFC4791" w14:textId="77777777" w:rsidR="003F7412" w:rsidRDefault="003F7412" w:rsidP="003F7412">
      <w:pPr>
        <w:jc w:val="both"/>
      </w:pPr>
      <w:r>
        <w:rPr>
          <w:rFonts w:cs="Calibri"/>
          <w:b/>
          <w:bCs/>
          <w:sz w:val="24"/>
        </w:rPr>
        <w:t>Pristup</w:t>
      </w:r>
    </w:p>
    <w:p w14:paraId="25527C5D" w14:textId="77777777" w:rsidR="003F7412" w:rsidRDefault="003F7412" w:rsidP="003F7412">
      <w:pPr>
        <w:jc w:val="both"/>
        <w:rPr>
          <w:rFonts w:cs="Calibri"/>
          <w:sz w:val="24"/>
        </w:rPr>
      </w:pPr>
      <w:r>
        <w:rPr>
          <w:rFonts w:cs="Calibri"/>
          <w:sz w:val="24"/>
        </w:rPr>
        <w:t>Pristup ZJN je da se predlažu dvije vrste kriterijuma za svaki pokriveni sektor:</w:t>
      </w:r>
    </w:p>
    <w:p w14:paraId="6879CAD5" w14:textId="6FFCEEDA" w:rsidR="003F7412" w:rsidRDefault="003F7412" w:rsidP="003F7412">
      <w:pPr>
        <w:pStyle w:val="ListParagraph"/>
        <w:numPr>
          <w:ilvl w:val="0"/>
          <w:numId w:val="21"/>
        </w:numPr>
        <w:jc w:val="both"/>
      </w:pPr>
      <w:r>
        <w:rPr>
          <w:rFonts w:cs="Calibri"/>
          <w:b/>
          <w:bCs/>
          <w:sz w:val="24"/>
        </w:rPr>
        <w:t>Osnovni kriterijumi</w:t>
      </w:r>
      <w:r>
        <w:rPr>
          <w:rFonts w:cs="Calibri"/>
          <w:sz w:val="24"/>
        </w:rPr>
        <w:t xml:space="preserve"> su oni koji su pogodni za upotrebu od strane bilo kog ugovornog organa u državama članicama</w:t>
      </w:r>
      <w:r w:rsidR="00071B3B">
        <w:rPr>
          <w:rFonts w:cs="Calibri"/>
          <w:sz w:val="24"/>
        </w:rPr>
        <w:t xml:space="preserve"> EU</w:t>
      </w:r>
      <w:r>
        <w:rPr>
          <w:rFonts w:cs="Calibri"/>
          <w:sz w:val="24"/>
        </w:rPr>
        <w:t xml:space="preserve"> i bave se ključnim uticajima na životnu sredinu. Dizajnirani su za upotrebu uz minimalne dodatne napore za verifikaciju ili povećanje troškova.</w:t>
      </w:r>
    </w:p>
    <w:p w14:paraId="23673F6C" w14:textId="77777777" w:rsidR="003F7412" w:rsidRDefault="003F7412" w:rsidP="003F7412">
      <w:pPr>
        <w:pStyle w:val="ListParagraph"/>
        <w:numPr>
          <w:ilvl w:val="0"/>
          <w:numId w:val="21"/>
        </w:numPr>
        <w:jc w:val="both"/>
      </w:pPr>
      <w:r>
        <w:rPr>
          <w:rFonts w:cs="Calibri"/>
          <w:b/>
          <w:bCs/>
          <w:sz w:val="24"/>
        </w:rPr>
        <w:t>Sveobuhvatni kriterijumi</w:t>
      </w:r>
      <w:r>
        <w:rPr>
          <w:rFonts w:cs="Calibri"/>
          <w:sz w:val="24"/>
        </w:rPr>
        <w:t xml:space="preserve"> su za one koji žele da kupe najbolje ekološke proizvode dostupne na tržištu. Ovo može zahtijevati dodatne napore za verifikaciju ili blago povećanje troškova u poređenju sa drugim proizvodima sa istom funkcionalnošću.</w:t>
      </w:r>
    </w:p>
    <w:p w14:paraId="4AF8D73E" w14:textId="05E761EC" w:rsidR="003F7412" w:rsidRDefault="003F7412" w:rsidP="003F7412">
      <w:pPr>
        <w:jc w:val="both"/>
        <w:rPr>
          <w:rFonts w:cs="Calibri"/>
          <w:sz w:val="24"/>
        </w:rPr>
      </w:pPr>
      <w:r>
        <w:rPr>
          <w:rFonts w:cs="Calibri"/>
          <w:sz w:val="24"/>
        </w:rPr>
        <w:t xml:space="preserve">ZJN ne postavlja detalje o svakom aspektu životnog ciklusa proizvoda. Umjesto toga, </w:t>
      </w:r>
      <w:r w:rsidR="00071B3B">
        <w:rPr>
          <w:rFonts w:cs="Calibri"/>
          <w:sz w:val="24"/>
        </w:rPr>
        <w:t>jasnom</w:t>
      </w:r>
      <w:r>
        <w:rPr>
          <w:rFonts w:cs="Calibri"/>
          <w:sz w:val="24"/>
        </w:rPr>
        <w:t xml:space="preserve"> upotrebom objavljenih informacija o ekološkom znaku i/ili podacima o životnom ciklusu, fokusira se na ključne aspekte.</w:t>
      </w:r>
    </w:p>
    <w:p w14:paraId="47664A87" w14:textId="131F4E1D" w:rsidR="003F7412" w:rsidRDefault="003F7412" w:rsidP="003F7412">
      <w:pPr>
        <w:pStyle w:val="Heading2"/>
      </w:pPr>
    </w:p>
    <w:p w14:paraId="3A45F130" w14:textId="77777777" w:rsidR="003F7412" w:rsidRPr="00A46AC5" w:rsidRDefault="003F7412" w:rsidP="003F7412">
      <w:pPr>
        <w:pStyle w:val="Heading2"/>
        <w:numPr>
          <w:ilvl w:val="1"/>
          <w:numId w:val="16"/>
        </w:numPr>
        <w:rPr>
          <w:rFonts w:ascii="Calibri" w:hAnsi="Calibri"/>
          <w:color w:val="171717" w:themeColor="background2" w:themeShade="1A"/>
        </w:rPr>
      </w:pPr>
      <w:bookmarkStart w:id="20" w:name="_Toc81476887"/>
      <w:bookmarkStart w:id="21" w:name="_Toc81481274"/>
      <w:bookmarkStart w:id="22" w:name="_Toc82271943"/>
      <w:r w:rsidRPr="00A46AC5">
        <w:rPr>
          <w:rFonts w:ascii="Calibri" w:hAnsi="Calibri"/>
          <w:color w:val="171717" w:themeColor="background2" w:themeShade="1A"/>
        </w:rPr>
        <w:t>Izgradnja modela uticaja na osnovu pretpostavke</w:t>
      </w:r>
      <w:bookmarkEnd w:id="20"/>
      <w:bookmarkEnd w:id="21"/>
      <w:bookmarkEnd w:id="22"/>
    </w:p>
    <w:p w14:paraId="2842979B" w14:textId="77777777" w:rsidR="003F7412" w:rsidRDefault="003F7412" w:rsidP="003F7412">
      <w:pPr>
        <w:rPr>
          <w:rFonts w:cs="Calibri"/>
          <w:lang w:eastAsia="hr-HR"/>
        </w:rPr>
      </w:pPr>
    </w:p>
    <w:p w14:paraId="1DBECEA2" w14:textId="5BC55E3C" w:rsidR="003F7412" w:rsidRDefault="003F7412" w:rsidP="003F7412">
      <w:pPr>
        <w:jc w:val="both"/>
        <w:rPr>
          <w:rFonts w:cs="Calibri"/>
          <w:sz w:val="24"/>
        </w:rPr>
      </w:pPr>
      <w:r>
        <w:rPr>
          <w:rFonts w:cs="Calibri"/>
          <w:sz w:val="24"/>
        </w:rPr>
        <w:t>U septembru 2008. godine, Evropski savet je pozvao Evropsku komisiju da razvije praktičnu metodologiju oc</w:t>
      </w:r>
      <w:r w:rsidR="00ED7E74">
        <w:rPr>
          <w:rFonts w:cs="Calibri"/>
          <w:sz w:val="24"/>
        </w:rPr>
        <w:t>j</w:t>
      </w:r>
      <w:r>
        <w:rPr>
          <w:rFonts w:cs="Calibri"/>
          <w:sz w:val="24"/>
        </w:rPr>
        <w:t>enjivanja za mjerenje napretka u zelenim nabavkama do 2010. godine i nakon toga.</w:t>
      </w:r>
    </w:p>
    <w:p w14:paraId="3C09CE9B" w14:textId="736A5300" w:rsidR="003F7412" w:rsidRDefault="003F7412" w:rsidP="003F7412">
      <w:pPr>
        <w:jc w:val="both"/>
        <w:rPr>
          <w:rFonts w:cs="Calibri"/>
          <w:sz w:val="24"/>
        </w:rPr>
      </w:pPr>
      <w:r>
        <w:rPr>
          <w:rFonts w:cs="Calibri"/>
          <w:sz w:val="24"/>
        </w:rPr>
        <w:t xml:space="preserve">Studija je odabrala deset grupa proizvoda koje često nabavljaju javne institucije u sedam zemalja EU, na osnovu sofisticiranosti prikupljanja podataka zemalja. Od ispitanika se tražilo da naznače da li su njihovi nedavno zaključeni kupoprodajni ugovori u skladu sa određenim </w:t>
      </w:r>
      <w:r>
        <w:rPr>
          <w:rFonts w:cs="Calibri"/>
          <w:sz w:val="24"/>
        </w:rPr>
        <w:lastRenderedPageBreak/>
        <w:t>zelenim kriterijumima, koji su definisani studijom. Studija je povezala ove kriterijume sa ključnim uticajima na životnu sredinu tokom faza proizvodnje i potrošnje proizvoda. Dalje, kriterijumi su pod</w:t>
      </w:r>
      <w:r w:rsidR="00071B3B">
        <w:rPr>
          <w:rFonts w:cs="Calibri"/>
          <w:sz w:val="24"/>
        </w:rPr>
        <w:t>ij</w:t>
      </w:r>
      <w:r>
        <w:rPr>
          <w:rFonts w:cs="Calibri"/>
          <w:sz w:val="24"/>
        </w:rPr>
        <w:t>eljeni na „osnovno zeleno“ (koje se bavi najznačajnijim uticajima na životnu sredinu) i „sveobuhvatno zeleno“ (kriterijumi za sveukupno najbolje ekološke proizvode). Studija je sagledala u kojoj mjeri su kriterijumi korišćeni za kupovinu, a onda je korišćen za stvaranje pretpostavki o uticaju proizvoda na životnu sredinu. Konačno, studija je identifikovala nezelene i zelene proizvode koji ispunjavaju kriterijume za svaku grupu proizvoda.</w:t>
      </w:r>
    </w:p>
    <w:p w14:paraId="5F47DB29" w14:textId="77777777" w:rsidR="003F7412" w:rsidRDefault="003F7412" w:rsidP="003F7412">
      <w:pPr>
        <w:jc w:val="both"/>
        <w:rPr>
          <w:rFonts w:cs="Calibri"/>
          <w:sz w:val="24"/>
        </w:rPr>
      </w:pPr>
      <w:r>
        <w:rPr>
          <w:rFonts w:cs="Calibri"/>
          <w:sz w:val="24"/>
        </w:rPr>
        <w:t>Studija je zatim izračunala finansijski uticaj primjene zelenih kriterijuma poređenjem troškova zelenog proizvoda sa troškovima nezelenog proizvoda. Analiza se zasnivala, što je više moguće, na konceptu obračuna troškova životnog ciklusa, što znači da su svi troškovi nabavke, rada i odlaganja uzeti u obzir. U svakoj fazi studija je utvrđivala „odnos troškova“ za svaki proizvod, što znači odnos troškova zelenog proizvoda u poređenju sa troškovima nezelenog proizvoda. To je urađeno i za osnovne i za sveobuhvatne zelene kriterijume.</w:t>
      </w:r>
    </w:p>
    <w:p w14:paraId="62AF9F57" w14:textId="571861C7" w:rsidR="003F7412" w:rsidRDefault="003F7412" w:rsidP="003F7412">
      <w:pPr>
        <w:jc w:val="both"/>
        <w:sectPr w:rsidR="003F7412" w:rsidSect="003E3117">
          <w:headerReference w:type="default" r:id="rId10"/>
          <w:footerReference w:type="default" r:id="rId11"/>
          <w:pgSz w:w="11906" w:h="16838"/>
          <w:pgMar w:top="1440" w:right="1440" w:bottom="1440" w:left="1440" w:header="720" w:footer="720" w:gutter="0"/>
          <w:cols w:space="720"/>
          <w:titlePg/>
          <w:docGrid w:linePitch="299"/>
        </w:sectPr>
      </w:pPr>
      <w:r>
        <w:rPr>
          <w:rFonts w:cs="Calibri"/>
          <w:sz w:val="24"/>
        </w:rPr>
        <w:t xml:space="preserve">Metodologija koja se koristi u ovoj studiji pravi generalizacije; stoga postoje ograničenja u rezultatima. Na primjer, studija ne uključuje potpunu analizu troškova za čitav životni ciklus svake od grupa proizvoda, što bi omogućilo procjenu šireg spektra ekoloških aspekata. Umjesto toga, ograničenja podataka značila su da se studija posebno fokusirala na emisije </w:t>
      </w:r>
      <w:r w:rsidR="00E377CE">
        <w:rPr>
          <w:rFonts w:cs="Calibri"/>
          <w:sz w:val="24"/>
        </w:rPr>
        <w:t>CO</w:t>
      </w:r>
      <w:r w:rsidR="00E377CE">
        <w:rPr>
          <w:rFonts w:cs="Calibri"/>
          <w:sz w:val="24"/>
          <w:vertAlign w:val="subscript"/>
        </w:rPr>
        <w:t>2</w:t>
      </w:r>
      <w:r>
        <w:rPr>
          <w:rFonts w:cs="Calibri"/>
          <w:sz w:val="24"/>
        </w:rPr>
        <w:t>. Rezultati dobijeni studijom oslanjali su se na ove pretpostavke kako bi dali ocjenu upotrebe i učinka zelenih javnih nabavki. Kratak rezime je dat u nastavku</w:t>
      </w:r>
      <w:r>
        <w:rPr>
          <w:rStyle w:val="FootnoteReference"/>
          <w:rFonts w:cs="Calibri"/>
          <w:sz w:val="24"/>
        </w:rPr>
        <w:footnoteReference w:id="14"/>
      </w:r>
      <w:r w:rsidR="00272E32">
        <w:rPr>
          <w:rFonts w:cs="Calibri"/>
          <w:sz w:val="24"/>
        </w:rPr>
        <w:t xml:space="preserve"> u tabeli</w:t>
      </w:r>
      <w:r w:rsidR="00071B3B">
        <w:rPr>
          <w:rFonts w:cs="Calibri"/>
          <w:sz w:val="24"/>
        </w:rPr>
        <w:t xml:space="preserve"> 2</w:t>
      </w:r>
      <w:r>
        <w:rPr>
          <w:rFonts w:cs="Calibri"/>
          <w:sz w:val="24"/>
        </w:rPr>
        <w:t>.</w:t>
      </w:r>
    </w:p>
    <w:tbl>
      <w:tblPr>
        <w:tblStyle w:val="GridTable1Light-Accent51"/>
        <w:tblpPr w:leftFromText="180" w:rightFromText="180" w:tblpY="9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6"/>
        <w:gridCol w:w="1701"/>
        <w:gridCol w:w="2246"/>
        <w:gridCol w:w="994"/>
        <w:gridCol w:w="1755"/>
        <w:gridCol w:w="1800"/>
        <w:gridCol w:w="1635"/>
        <w:gridCol w:w="2331"/>
      </w:tblGrid>
      <w:tr w:rsidR="003F7412" w14:paraId="2D9FA711" w14:textId="77777777" w:rsidTr="0091029E">
        <w:trPr>
          <w:trHeight w:val="1188"/>
        </w:trPr>
        <w:tc>
          <w:tcPr>
            <w:tcW w:w="1484" w:type="dxa"/>
            <w:shd w:val="clear" w:color="auto" w:fill="2E74B5" w:themeFill="accent1" w:themeFillShade="BF"/>
            <w:noWrap/>
          </w:tcPr>
          <w:p w14:paraId="0680B895" w14:textId="77777777" w:rsidR="003F7412" w:rsidRDefault="003F7412" w:rsidP="004D3395">
            <w:pPr>
              <w:suppressAutoHyphens w:val="0"/>
              <w:textAlignment w:val="auto"/>
              <w:rPr>
                <w:rFonts w:eastAsia="Times New Roman" w:cs="Calibri"/>
                <w:sz w:val="24"/>
                <w:szCs w:val="24"/>
                <w:lang w:eastAsia="en-GB"/>
              </w:rPr>
            </w:pPr>
          </w:p>
        </w:tc>
        <w:tc>
          <w:tcPr>
            <w:tcW w:w="4943" w:type="dxa"/>
            <w:gridSpan w:val="3"/>
            <w:shd w:val="clear" w:color="auto" w:fill="2E74B5" w:themeFill="accent1" w:themeFillShade="BF"/>
          </w:tcPr>
          <w:p w14:paraId="1335D5CB" w14:textId="77777777" w:rsidR="003F7412" w:rsidRPr="0091029E" w:rsidRDefault="003F7412" w:rsidP="004D3395">
            <w:pPr>
              <w:suppressAutoHyphens w:val="0"/>
              <w:jc w:val="center"/>
              <w:textAlignment w:val="auto"/>
              <w:rPr>
                <w:rFonts w:eastAsia="Times New Roman" w:cs="Calibri"/>
                <w:b/>
                <w:bCs/>
                <w:i/>
                <w:color w:val="FFFFFF" w:themeColor="background1"/>
                <w:lang w:eastAsia="en-GB"/>
              </w:rPr>
            </w:pPr>
            <w:r w:rsidRPr="0091029E">
              <w:rPr>
                <w:rFonts w:eastAsia="Times New Roman" w:cs="Calibri"/>
                <w:b/>
                <w:bCs/>
                <w:i/>
                <w:color w:val="FFFFFF" w:themeColor="background1"/>
                <w:lang w:eastAsia="en-GB"/>
              </w:rPr>
              <w:t>% ukupne vrijednosti nabavke korišćenjem zelenih kriterijuma</w:t>
            </w:r>
          </w:p>
        </w:tc>
        <w:tc>
          <w:tcPr>
            <w:tcW w:w="3555" w:type="dxa"/>
            <w:gridSpan w:val="2"/>
            <w:shd w:val="clear" w:color="auto" w:fill="2E74B5" w:themeFill="accent1" w:themeFillShade="BF"/>
          </w:tcPr>
          <w:p w14:paraId="13577FED" w14:textId="533351E3" w:rsidR="003F7412" w:rsidRPr="0091029E" w:rsidRDefault="003F7412" w:rsidP="004D3395">
            <w:pPr>
              <w:suppressAutoHyphens w:val="0"/>
              <w:jc w:val="center"/>
              <w:textAlignment w:val="auto"/>
              <w:rPr>
                <w:rFonts w:eastAsia="Times New Roman" w:cs="Calibri"/>
                <w:b/>
                <w:bCs/>
                <w:i/>
                <w:color w:val="FFFFFF" w:themeColor="background1"/>
                <w:lang w:eastAsia="en-GB"/>
              </w:rPr>
            </w:pPr>
            <w:r w:rsidRPr="00E377CE">
              <w:rPr>
                <w:rFonts w:eastAsia="Times New Roman" w:cs="Calibri"/>
                <w:b/>
                <w:bCs/>
                <w:i/>
                <w:color w:val="FFFFFF" w:themeColor="background1"/>
                <w:lang w:eastAsia="en-GB"/>
              </w:rPr>
              <w:t xml:space="preserve">Uticaj </w:t>
            </w:r>
            <w:r w:rsidR="00E377CE" w:rsidRPr="00E377CE">
              <w:rPr>
                <w:rFonts w:cs="Calibri"/>
                <w:color w:val="FFFFFF" w:themeColor="background1"/>
                <w:sz w:val="24"/>
              </w:rPr>
              <w:t xml:space="preserve"> CO</w:t>
            </w:r>
            <w:r w:rsidR="00E377CE" w:rsidRPr="00E377CE">
              <w:rPr>
                <w:rFonts w:cs="Calibri"/>
                <w:color w:val="FFFFFF" w:themeColor="background1"/>
                <w:sz w:val="24"/>
                <w:vertAlign w:val="subscript"/>
              </w:rPr>
              <w:t>2</w:t>
            </w:r>
            <w:r w:rsidRPr="00E377CE">
              <w:rPr>
                <w:rFonts w:eastAsia="Times New Roman" w:cs="Calibri"/>
                <w:b/>
                <w:bCs/>
                <w:i/>
                <w:color w:val="FFFFFF" w:themeColor="background1"/>
                <w:lang w:eastAsia="en-GB"/>
              </w:rPr>
              <w:t xml:space="preserve"> na zeleni pristup po funkcionalnoj jedinici (negativni brojevi ukazuju na smanjenje emisije </w:t>
            </w:r>
            <w:r w:rsidR="00E377CE" w:rsidRPr="00E377CE">
              <w:rPr>
                <w:rFonts w:cs="Calibri"/>
                <w:color w:val="FFFFFF" w:themeColor="background1"/>
                <w:sz w:val="24"/>
              </w:rPr>
              <w:t xml:space="preserve"> CO</w:t>
            </w:r>
            <w:r w:rsidR="00E377CE" w:rsidRPr="00E377CE">
              <w:rPr>
                <w:rFonts w:cs="Calibri"/>
                <w:color w:val="FFFFFF" w:themeColor="background1"/>
                <w:sz w:val="24"/>
                <w:vertAlign w:val="subscript"/>
              </w:rPr>
              <w:t>2</w:t>
            </w:r>
            <w:r w:rsidRPr="00E377CE">
              <w:rPr>
                <w:rFonts w:eastAsia="Times New Roman" w:cs="Calibri"/>
                <w:b/>
                <w:bCs/>
                <w:i/>
                <w:color w:val="FFFFFF" w:themeColor="background1"/>
                <w:lang w:eastAsia="en-GB"/>
              </w:rPr>
              <w:t>)</w:t>
            </w:r>
          </w:p>
        </w:tc>
        <w:tc>
          <w:tcPr>
            <w:tcW w:w="3966" w:type="dxa"/>
            <w:gridSpan w:val="2"/>
            <w:shd w:val="clear" w:color="auto" w:fill="2E74B5" w:themeFill="accent1" w:themeFillShade="BF"/>
          </w:tcPr>
          <w:p w14:paraId="1ED35CE6" w14:textId="77777777" w:rsidR="003F7412" w:rsidRPr="0091029E" w:rsidRDefault="003F7412" w:rsidP="004D3395">
            <w:pPr>
              <w:suppressAutoHyphens w:val="0"/>
              <w:jc w:val="center"/>
              <w:textAlignment w:val="auto"/>
              <w:rPr>
                <w:rFonts w:eastAsia="Times New Roman" w:cs="Calibri"/>
                <w:b/>
                <w:bCs/>
                <w:i/>
                <w:color w:val="FFFFFF" w:themeColor="background1"/>
                <w:lang w:eastAsia="en-GB"/>
              </w:rPr>
            </w:pPr>
            <w:r w:rsidRPr="0091029E">
              <w:rPr>
                <w:rFonts w:eastAsia="Times New Roman" w:cs="Calibri"/>
                <w:b/>
                <w:bCs/>
                <w:i/>
                <w:color w:val="FFFFFF" w:themeColor="background1"/>
                <w:lang w:eastAsia="en-GB"/>
              </w:rPr>
              <w:t>Finansijski uticaj zelenog pristupa po funkcionalnoj jedinici (negativni brojevi ukazuju na smanjenje troškova)</w:t>
            </w:r>
          </w:p>
        </w:tc>
      </w:tr>
      <w:tr w:rsidR="003F7412" w14:paraId="114DCC80" w14:textId="77777777" w:rsidTr="0091029E">
        <w:trPr>
          <w:trHeight w:val="552"/>
        </w:trPr>
        <w:tc>
          <w:tcPr>
            <w:tcW w:w="1484" w:type="dxa"/>
            <w:shd w:val="clear" w:color="auto" w:fill="2E74B5" w:themeFill="accent1" w:themeFillShade="BF"/>
          </w:tcPr>
          <w:p w14:paraId="60D903E7" w14:textId="77777777" w:rsidR="003F7412" w:rsidRPr="0091029E" w:rsidRDefault="003F7412" w:rsidP="00A107BF">
            <w:pPr>
              <w:suppressAutoHyphens w:val="0"/>
              <w:textAlignment w:val="auto"/>
              <w:rPr>
                <w:rFonts w:eastAsia="Times New Roman" w:cs="Calibri"/>
                <w:b/>
                <w:bCs/>
                <w:i/>
                <w:color w:val="FFFFFF" w:themeColor="background1"/>
                <w:szCs w:val="20"/>
                <w:lang w:eastAsia="en-GB"/>
              </w:rPr>
            </w:pPr>
            <w:r w:rsidRPr="0091029E">
              <w:rPr>
                <w:rFonts w:eastAsia="Times New Roman" w:cs="Calibri"/>
                <w:b/>
                <w:bCs/>
                <w:i/>
                <w:color w:val="FFFFFF" w:themeColor="background1"/>
                <w:szCs w:val="20"/>
                <w:lang w:eastAsia="en-GB"/>
              </w:rPr>
              <w:t>Kategorije</w:t>
            </w:r>
          </w:p>
        </w:tc>
        <w:tc>
          <w:tcPr>
            <w:tcW w:w="1702" w:type="dxa"/>
          </w:tcPr>
          <w:p w14:paraId="00778EC3" w14:textId="77777777" w:rsidR="003F7412" w:rsidRDefault="003F7412" w:rsidP="004D3395">
            <w:pPr>
              <w:suppressAutoHyphens w:val="0"/>
              <w:jc w:val="center"/>
              <w:textAlignment w:val="auto"/>
              <w:rPr>
                <w:rFonts w:eastAsia="Times New Roman" w:cs="Calibri"/>
                <w:b/>
                <w:bCs/>
                <w:color w:val="000000"/>
                <w:sz w:val="20"/>
                <w:szCs w:val="20"/>
                <w:lang w:eastAsia="en-GB"/>
              </w:rPr>
            </w:pPr>
            <w:r>
              <w:rPr>
                <w:rFonts w:eastAsia="Times New Roman" w:cs="Calibri"/>
                <w:b/>
                <w:bCs/>
                <w:color w:val="000000"/>
                <w:sz w:val="20"/>
                <w:szCs w:val="20"/>
                <w:lang w:eastAsia="en-GB"/>
              </w:rPr>
              <w:t>Osnovno zeleno</w:t>
            </w:r>
          </w:p>
        </w:tc>
        <w:tc>
          <w:tcPr>
            <w:tcW w:w="2247" w:type="dxa"/>
          </w:tcPr>
          <w:p w14:paraId="05AC7A27" w14:textId="77777777" w:rsidR="003F7412" w:rsidRDefault="003F7412" w:rsidP="004D3395">
            <w:pPr>
              <w:suppressAutoHyphens w:val="0"/>
              <w:jc w:val="center"/>
              <w:textAlignment w:val="auto"/>
              <w:rPr>
                <w:rFonts w:eastAsia="Times New Roman" w:cs="Calibri"/>
                <w:b/>
                <w:bCs/>
                <w:color w:val="000000"/>
                <w:sz w:val="20"/>
                <w:szCs w:val="20"/>
                <w:lang w:eastAsia="en-GB"/>
              </w:rPr>
            </w:pPr>
            <w:r>
              <w:rPr>
                <w:rFonts w:eastAsia="Times New Roman" w:cs="Calibri"/>
                <w:b/>
                <w:bCs/>
                <w:color w:val="000000"/>
                <w:sz w:val="20"/>
                <w:szCs w:val="20"/>
                <w:lang w:eastAsia="en-GB"/>
              </w:rPr>
              <w:t>Sveobuhvatno zeleno</w:t>
            </w:r>
          </w:p>
        </w:tc>
        <w:tc>
          <w:tcPr>
            <w:tcW w:w="994" w:type="dxa"/>
          </w:tcPr>
          <w:p w14:paraId="44D6DD32" w14:textId="77777777" w:rsidR="003F7412" w:rsidRDefault="003F7412" w:rsidP="004D3395">
            <w:pPr>
              <w:suppressAutoHyphens w:val="0"/>
              <w:jc w:val="center"/>
              <w:textAlignment w:val="auto"/>
              <w:rPr>
                <w:rFonts w:eastAsia="Times New Roman" w:cs="Calibri"/>
                <w:b/>
                <w:bCs/>
                <w:color w:val="000000"/>
                <w:sz w:val="20"/>
                <w:szCs w:val="20"/>
                <w:lang w:eastAsia="en-GB"/>
              </w:rPr>
            </w:pPr>
            <w:r>
              <w:rPr>
                <w:rFonts w:eastAsia="Times New Roman" w:cs="Calibri"/>
                <w:b/>
                <w:bCs/>
                <w:color w:val="000000"/>
                <w:sz w:val="20"/>
                <w:szCs w:val="20"/>
                <w:lang w:eastAsia="en-GB"/>
              </w:rPr>
              <w:t>Nezeleno</w:t>
            </w:r>
          </w:p>
        </w:tc>
        <w:tc>
          <w:tcPr>
            <w:tcW w:w="1755" w:type="dxa"/>
          </w:tcPr>
          <w:p w14:paraId="01F0A0E4" w14:textId="77777777" w:rsidR="003F7412" w:rsidRDefault="003F7412" w:rsidP="004D3395">
            <w:pPr>
              <w:suppressAutoHyphens w:val="0"/>
              <w:jc w:val="center"/>
              <w:textAlignment w:val="auto"/>
              <w:rPr>
                <w:rFonts w:eastAsia="Times New Roman" w:cs="Calibri"/>
                <w:b/>
                <w:bCs/>
                <w:color w:val="000000"/>
                <w:sz w:val="20"/>
                <w:szCs w:val="20"/>
                <w:lang w:eastAsia="en-GB"/>
              </w:rPr>
            </w:pPr>
            <w:r>
              <w:rPr>
                <w:rFonts w:eastAsia="Times New Roman" w:cs="Calibri"/>
                <w:b/>
                <w:bCs/>
                <w:color w:val="000000"/>
                <w:sz w:val="20"/>
                <w:szCs w:val="20"/>
                <w:lang w:eastAsia="en-GB"/>
              </w:rPr>
              <w:t>Osnovno zeleno</w:t>
            </w:r>
          </w:p>
        </w:tc>
        <w:tc>
          <w:tcPr>
            <w:tcW w:w="1800" w:type="dxa"/>
          </w:tcPr>
          <w:p w14:paraId="0758F744" w14:textId="77777777" w:rsidR="003F7412" w:rsidRDefault="003F7412" w:rsidP="004D3395">
            <w:pPr>
              <w:suppressAutoHyphens w:val="0"/>
              <w:jc w:val="center"/>
              <w:textAlignment w:val="auto"/>
              <w:rPr>
                <w:rFonts w:eastAsia="Times New Roman" w:cs="Calibri"/>
                <w:b/>
                <w:bCs/>
                <w:color w:val="000000"/>
                <w:sz w:val="20"/>
                <w:szCs w:val="20"/>
                <w:lang w:eastAsia="en-GB"/>
              </w:rPr>
            </w:pPr>
            <w:r>
              <w:rPr>
                <w:rFonts w:eastAsia="Times New Roman" w:cs="Calibri"/>
                <w:b/>
                <w:bCs/>
                <w:color w:val="000000"/>
                <w:sz w:val="20"/>
                <w:szCs w:val="20"/>
                <w:lang w:eastAsia="en-GB"/>
              </w:rPr>
              <w:t>Sveobuhvatno zeleno</w:t>
            </w:r>
          </w:p>
        </w:tc>
        <w:tc>
          <w:tcPr>
            <w:tcW w:w="1635" w:type="dxa"/>
          </w:tcPr>
          <w:p w14:paraId="7B12942A" w14:textId="77777777" w:rsidR="003F7412" w:rsidRDefault="003F7412" w:rsidP="004D3395">
            <w:pPr>
              <w:suppressAutoHyphens w:val="0"/>
              <w:jc w:val="center"/>
              <w:textAlignment w:val="auto"/>
              <w:rPr>
                <w:rFonts w:eastAsia="Times New Roman" w:cs="Calibri"/>
                <w:b/>
                <w:bCs/>
                <w:color w:val="000000"/>
                <w:sz w:val="20"/>
                <w:szCs w:val="20"/>
                <w:lang w:eastAsia="en-GB"/>
              </w:rPr>
            </w:pPr>
            <w:r>
              <w:rPr>
                <w:rFonts w:eastAsia="Times New Roman" w:cs="Calibri"/>
                <w:b/>
                <w:bCs/>
                <w:color w:val="000000"/>
                <w:sz w:val="20"/>
                <w:szCs w:val="20"/>
                <w:lang w:eastAsia="en-GB"/>
              </w:rPr>
              <w:t>Osnovno zeleno</w:t>
            </w:r>
          </w:p>
        </w:tc>
        <w:tc>
          <w:tcPr>
            <w:tcW w:w="2331" w:type="dxa"/>
          </w:tcPr>
          <w:p w14:paraId="12CB0364" w14:textId="77777777" w:rsidR="003F7412" w:rsidRDefault="003F7412" w:rsidP="004D3395">
            <w:pPr>
              <w:suppressAutoHyphens w:val="0"/>
              <w:jc w:val="center"/>
              <w:textAlignment w:val="auto"/>
              <w:rPr>
                <w:rFonts w:eastAsia="Times New Roman" w:cs="Calibri"/>
                <w:b/>
                <w:bCs/>
                <w:color w:val="000000"/>
                <w:sz w:val="20"/>
                <w:szCs w:val="20"/>
                <w:lang w:eastAsia="en-GB"/>
              </w:rPr>
            </w:pPr>
            <w:r>
              <w:rPr>
                <w:rFonts w:eastAsia="Times New Roman" w:cs="Calibri"/>
                <w:b/>
                <w:bCs/>
                <w:color w:val="000000"/>
                <w:sz w:val="20"/>
                <w:szCs w:val="20"/>
                <w:lang w:eastAsia="en-GB"/>
              </w:rPr>
              <w:t>Sveobuhvatno zeleno</w:t>
            </w:r>
          </w:p>
        </w:tc>
      </w:tr>
      <w:tr w:rsidR="003F7412" w14:paraId="41DC25C5" w14:textId="77777777" w:rsidTr="0091029E">
        <w:trPr>
          <w:trHeight w:val="300"/>
        </w:trPr>
        <w:tc>
          <w:tcPr>
            <w:tcW w:w="1484" w:type="dxa"/>
            <w:shd w:val="clear" w:color="auto" w:fill="2E74B5" w:themeFill="accent1" w:themeFillShade="BF"/>
          </w:tcPr>
          <w:p w14:paraId="70AB14AD" w14:textId="77777777" w:rsidR="003F7412" w:rsidRPr="0091029E" w:rsidRDefault="003F7412" w:rsidP="00A107BF">
            <w:pPr>
              <w:suppressAutoHyphens w:val="0"/>
              <w:textAlignment w:val="auto"/>
              <w:rPr>
                <w:rFonts w:eastAsia="Times New Roman" w:cs="Calibri"/>
                <w:b/>
                <w:i/>
                <w:color w:val="FFFFFF" w:themeColor="background1"/>
                <w:szCs w:val="20"/>
                <w:lang w:eastAsia="en-GB"/>
              </w:rPr>
            </w:pPr>
            <w:r w:rsidRPr="0091029E">
              <w:rPr>
                <w:rFonts w:eastAsia="Times New Roman" w:cs="Calibri"/>
                <w:b/>
                <w:i/>
                <w:color w:val="FFFFFF" w:themeColor="background1"/>
                <w:szCs w:val="20"/>
                <w:lang w:eastAsia="en-GB"/>
              </w:rPr>
              <w:t>Čišćenje</w:t>
            </w:r>
          </w:p>
        </w:tc>
        <w:tc>
          <w:tcPr>
            <w:tcW w:w="1702" w:type="dxa"/>
          </w:tcPr>
          <w:p w14:paraId="6E452A4E"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15%</w:t>
            </w:r>
          </w:p>
        </w:tc>
        <w:tc>
          <w:tcPr>
            <w:tcW w:w="2247" w:type="dxa"/>
          </w:tcPr>
          <w:p w14:paraId="6E74DD1B"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33%</w:t>
            </w:r>
          </w:p>
        </w:tc>
        <w:tc>
          <w:tcPr>
            <w:tcW w:w="994" w:type="dxa"/>
          </w:tcPr>
          <w:p w14:paraId="14534EDF"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52%</w:t>
            </w:r>
          </w:p>
        </w:tc>
        <w:tc>
          <w:tcPr>
            <w:tcW w:w="1755" w:type="dxa"/>
          </w:tcPr>
          <w:p w14:paraId="5B057071"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0%</w:t>
            </w:r>
          </w:p>
        </w:tc>
        <w:tc>
          <w:tcPr>
            <w:tcW w:w="1800" w:type="dxa"/>
          </w:tcPr>
          <w:p w14:paraId="7AB77810"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-100%</w:t>
            </w:r>
          </w:p>
        </w:tc>
        <w:tc>
          <w:tcPr>
            <w:tcW w:w="1635" w:type="dxa"/>
          </w:tcPr>
          <w:p w14:paraId="6B85F5EC"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w:t>
            </w:r>
          </w:p>
        </w:tc>
        <w:tc>
          <w:tcPr>
            <w:tcW w:w="2331" w:type="dxa"/>
          </w:tcPr>
          <w:p w14:paraId="0D383F2C"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-9%</w:t>
            </w:r>
          </w:p>
        </w:tc>
      </w:tr>
      <w:tr w:rsidR="003F7412" w14:paraId="76D14483" w14:textId="77777777" w:rsidTr="0091029E">
        <w:trPr>
          <w:trHeight w:val="300"/>
        </w:trPr>
        <w:tc>
          <w:tcPr>
            <w:tcW w:w="1484" w:type="dxa"/>
            <w:shd w:val="clear" w:color="auto" w:fill="2E74B5" w:themeFill="accent1" w:themeFillShade="BF"/>
          </w:tcPr>
          <w:p w14:paraId="35A1C58B" w14:textId="77777777" w:rsidR="003F7412" w:rsidRPr="0091029E" w:rsidRDefault="003F7412" w:rsidP="00A107BF">
            <w:pPr>
              <w:suppressAutoHyphens w:val="0"/>
              <w:textAlignment w:val="auto"/>
              <w:rPr>
                <w:rFonts w:eastAsia="Times New Roman" w:cs="Calibri"/>
                <w:b/>
                <w:i/>
                <w:color w:val="FFFFFF" w:themeColor="background1"/>
                <w:szCs w:val="20"/>
                <w:lang w:eastAsia="en-GB"/>
              </w:rPr>
            </w:pPr>
            <w:r w:rsidRPr="0091029E">
              <w:rPr>
                <w:rFonts w:eastAsia="Times New Roman" w:cs="Calibri"/>
                <w:b/>
                <w:i/>
                <w:color w:val="FFFFFF" w:themeColor="background1"/>
                <w:szCs w:val="20"/>
                <w:lang w:eastAsia="en-GB"/>
              </w:rPr>
              <w:t>Izgradnja</w:t>
            </w:r>
          </w:p>
        </w:tc>
        <w:tc>
          <w:tcPr>
            <w:tcW w:w="1702" w:type="dxa"/>
          </w:tcPr>
          <w:p w14:paraId="1A242A35"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19%</w:t>
            </w:r>
          </w:p>
        </w:tc>
        <w:tc>
          <w:tcPr>
            <w:tcW w:w="2247" w:type="dxa"/>
          </w:tcPr>
          <w:p w14:paraId="7873FC61"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18%</w:t>
            </w:r>
          </w:p>
        </w:tc>
        <w:tc>
          <w:tcPr>
            <w:tcW w:w="994" w:type="dxa"/>
          </w:tcPr>
          <w:p w14:paraId="14A6203C"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63%</w:t>
            </w:r>
          </w:p>
        </w:tc>
        <w:tc>
          <w:tcPr>
            <w:tcW w:w="1755" w:type="dxa"/>
          </w:tcPr>
          <w:p w14:paraId="442F4F2D"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-69%</w:t>
            </w:r>
          </w:p>
        </w:tc>
        <w:tc>
          <w:tcPr>
            <w:tcW w:w="1800" w:type="dxa"/>
          </w:tcPr>
          <w:p w14:paraId="65FD3FB8"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-70%</w:t>
            </w:r>
          </w:p>
        </w:tc>
        <w:tc>
          <w:tcPr>
            <w:tcW w:w="1635" w:type="dxa"/>
          </w:tcPr>
          <w:p w14:paraId="3F8275E6"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-10%</w:t>
            </w:r>
          </w:p>
        </w:tc>
        <w:tc>
          <w:tcPr>
            <w:tcW w:w="2331" w:type="dxa"/>
          </w:tcPr>
          <w:p w14:paraId="0AF1BC4B"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-10%</w:t>
            </w:r>
          </w:p>
        </w:tc>
      </w:tr>
      <w:tr w:rsidR="003F7412" w14:paraId="6D743E4B" w14:textId="77777777" w:rsidTr="0091029E">
        <w:trPr>
          <w:trHeight w:val="564"/>
        </w:trPr>
        <w:tc>
          <w:tcPr>
            <w:tcW w:w="1484" w:type="dxa"/>
            <w:shd w:val="clear" w:color="auto" w:fill="2E74B5" w:themeFill="accent1" w:themeFillShade="BF"/>
          </w:tcPr>
          <w:p w14:paraId="553E496E" w14:textId="77777777" w:rsidR="003F7412" w:rsidRPr="0091029E" w:rsidRDefault="003F7412" w:rsidP="00A107BF">
            <w:pPr>
              <w:suppressAutoHyphens w:val="0"/>
              <w:textAlignment w:val="auto"/>
              <w:rPr>
                <w:rFonts w:eastAsia="Times New Roman" w:cs="Calibri"/>
                <w:b/>
                <w:i/>
                <w:color w:val="FFFFFF" w:themeColor="background1"/>
                <w:szCs w:val="20"/>
                <w:lang w:eastAsia="en-GB"/>
              </w:rPr>
            </w:pPr>
            <w:r w:rsidRPr="0091029E">
              <w:rPr>
                <w:rFonts w:eastAsia="Times New Roman" w:cs="Calibri"/>
                <w:b/>
                <w:i/>
                <w:color w:val="FFFFFF" w:themeColor="background1"/>
                <w:szCs w:val="20"/>
                <w:lang w:eastAsia="en-GB"/>
              </w:rPr>
              <w:t>Električna energija</w:t>
            </w:r>
          </w:p>
        </w:tc>
        <w:tc>
          <w:tcPr>
            <w:tcW w:w="1702" w:type="dxa"/>
          </w:tcPr>
          <w:p w14:paraId="5193D3E8"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63%</w:t>
            </w:r>
          </w:p>
        </w:tc>
        <w:tc>
          <w:tcPr>
            <w:tcW w:w="2247" w:type="dxa"/>
          </w:tcPr>
          <w:p w14:paraId="2F35480B"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17%</w:t>
            </w:r>
          </w:p>
        </w:tc>
        <w:tc>
          <w:tcPr>
            <w:tcW w:w="994" w:type="dxa"/>
          </w:tcPr>
          <w:p w14:paraId="2A19A2E4"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20%</w:t>
            </w:r>
          </w:p>
        </w:tc>
        <w:tc>
          <w:tcPr>
            <w:tcW w:w="1755" w:type="dxa"/>
          </w:tcPr>
          <w:p w14:paraId="348AD6F3"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-26%</w:t>
            </w:r>
          </w:p>
        </w:tc>
        <w:tc>
          <w:tcPr>
            <w:tcW w:w="1800" w:type="dxa"/>
          </w:tcPr>
          <w:p w14:paraId="4D65051D"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-100%</w:t>
            </w:r>
          </w:p>
        </w:tc>
        <w:tc>
          <w:tcPr>
            <w:tcW w:w="1635" w:type="dxa"/>
          </w:tcPr>
          <w:p w14:paraId="37820566"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w:t>
            </w:r>
          </w:p>
        </w:tc>
        <w:tc>
          <w:tcPr>
            <w:tcW w:w="2331" w:type="dxa"/>
          </w:tcPr>
          <w:p w14:paraId="1215E80F"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3%</w:t>
            </w:r>
          </w:p>
        </w:tc>
      </w:tr>
      <w:tr w:rsidR="003F7412" w14:paraId="3A833075" w14:textId="77777777" w:rsidTr="0091029E">
        <w:trPr>
          <w:trHeight w:val="564"/>
        </w:trPr>
        <w:tc>
          <w:tcPr>
            <w:tcW w:w="1484" w:type="dxa"/>
            <w:shd w:val="clear" w:color="auto" w:fill="2E74B5" w:themeFill="accent1" w:themeFillShade="BF"/>
          </w:tcPr>
          <w:p w14:paraId="1F86C1F4" w14:textId="77777777" w:rsidR="003F7412" w:rsidRPr="0091029E" w:rsidRDefault="003F7412" w:rsidP="00A107BF">
            <w:pPr>
              <w:suppressAutoHyphens w:val="0"/>
              <w:textAlignment w:val="auto"/>
              <w:rPr>
                <w:rFonts w:eastAsia="Times New Roman" w:cs="Calibri"/>
                <w:b/>
                <w:i/>
                <w:color w:val="FFFFFF" w:themeColor="background1"/>
                <w:szCs w:val="20"/>
                <w:lang w:eastAsia="en-GB"/>
              </w:rPr>
            </w:pPr>
            <w:r w:rsidRPr="0091029E">
              <w:rPr>
                <w:rFonts w:eastAsia="Times New Roman" w:cs="Calibri"/>
                <w:b/>
                <w:i/>
                <w:color w:val="FFFFFF" w:themeColor="background1"/>
                <w:szCs w:val="20"/>
                <w:lang w:eastAsia="en-GB"/>
              </w:rPr>
              <w:t>Ugostiteljstvo</w:t>
            </w:r>
          </w:p>
        </w:tc>
        <w:tc>
          <w:tcPr>
            <w:tcW w:w="1702" w:type="dxa"/>
          </w:tcPr>
          <w:p w14:paraId="0FCB671D"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43%</w:t>
            </w:r>
          </w:p>
        </w:tc>
        <w:tc>
          <w:tcPr>
            <w:tcW w:w="2247" w:type="dxa"/>
          </w:tcPr>
          <w:p w14:paraId="093F833A"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0%</w:t>
            </w:r>
          </w:p>
        </w:tc>
        <w:tc>
          <w:tcPr>
            <w:tcW w:w="994" w:type="dxa"/>
          </w:tcPr>
          <w:p w14:paraId="649A0AAE"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57%</w:t>
            </w:r>
          </w:p>
        </w:tc>
        <w:tc>
          <w:tcPr>
            <w:tcW w:w="1755" w:type="dxa"/>
          </w:tcPr>
          <w:p w14:paraId="0498A169"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0%</w:t>
            </w:r>
          </w:p>
        </w:tc>
        <w:tc>
          <w:tcPr>
            <w:tcW w:w="1800" w:type="dxa"/>
          </w:tcPr>
          <w:p w14:paraId="6E74F7B5"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n/a</w:t>
            </w:r>
          </w:p>
        </w:tc>
        <w:tc>
          <w:tcPr>
            <w:tcW w:w="1635" w:type="dxa"/>
          </w:tcPr>
          <w:p w14:paraId="184FCE4C"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2%</w:t>
            </w:r>
          </w:p>
        </w:tc>
        <w:tc>
          <w:tcPr>
            <w:tcW w:w="2331" w:type="dxa"/>
          </w:tcPr>
          <w:p w14:paraId="48A9F0AE"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n/a</w:t>
            </w:r>
          </w:p>
        </w:tc>
      </w:tr>
      <w:tr w:rsidR="003F7412" w14:paraId="4F121B27" w14:textId="77777777" w:rsidTr="0091029E">
        <w:trPr>
          <w:trHeight w:val="564"/>
        </w:trPr>
        <w:tc>
          <w:tcPr>
            <w:tcW w:w="1484" w:type="dxa"/>
            <w:shd w:val="clear" w:color="auto" w:fill="2E74B5" w:themeFill="accent1" w:themeFillShade="BF"/>
          </w:tcPr>
          <w:p w14:paraId="55E6CBE6" w14:textId="77777777" w:rsidR="003F7412" w:rsidRPr="0091029E" w:rsidRDefault="003F7412" w:rsidP="00A107BF">
            <w:pPr>
              <w:suppressAutoHyphens w:val="0"/>
              <w:textAlignment w:val="auto"/>
              <w:rPr>
                <w:rFonts w:eastAsia="Times New Roman" w:cs="Calibri"/>
                <w:b/>
                <w:i/>
                <w:color w:val="FFFFFF" w:themeColor="background1"/>
                <w:szCs w:val="20"/>
                <w:lang w:eastAsia="en-GB"/>
              </w:rPr>
            </w:pPr>
            <w:r w:rsidRPr="0091029E">
              <w:rPr>
                <w:rFonts w:eastAsia="Times New Roman" w:cs="Calibri"/>
                <w:b/>
                <w:i/>
                <w:color w:val="FFFFFF" w:themeColor="background1"/>
                <w:szCs w:val="20"/>
                <w:lang w:eastAsia="en-GB"/>
              </w:rPr>
              <w:t>Baštovanstvo</w:t>
            </w:r>
          </w:p>
        </w:tc>
        <w:tc>
          <w:tcPr>
            <w:tcW w:w="1702" w:type="dxa"/>
          </w:tcPr>
          <w:p w14:paraId="122916C4"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12%</w:t>
            </w:r>
          </w:p>
        </w:tc>
        <w:tc>
          <w:tcPr>
            <w:tcW w:w="2247" w:type="dxa"/>
          </w:tcPr>
          <w:p w14:paraId="4D5B195F"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14%</w:t>
            </w:r>
          </w:p>
        </w:tc>
        <w:tc>
          <w:tcPr>
            <w:tcW w:w="994" w:type="dxa"/>
          </w:tcPr>
          <w:p w14:paraId="3AE925E2"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74%</w:t>
            </w:r>
          </w:p>
        </w:tc>
        <w:tc>
          <w:tcPr>
            <w:tcW w:w="1755" w:type="dxa"/>
          </w:tcPr>
          <w:p w14:paraId="1D5F16CF"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-100%</w:t>
            </w:r>
          </w:p>
        </w:tc>
        <w:tc>
          <w:tcPr>
            <w:tcW w:w="1800" w:type="dxa"/>
          </w:tcPr>
          <w:p w14:paraId="63FAD685"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-100%</w:t>
            </w:r>
          </w:p>
        </w:tc>
        <w:tc>
          <w:tcPr>
            <w:tcW w:w="1635" w:type="dxa"/>
          </w:tcPr>
          <w:p w14:paraId="2904858F"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2%</w:t>
            </w:r>
          </w:p>
        </w:tc>
        <w:tc>
          <w:tcPr>
            <w:tcW w:w="2331" w:type="dxa"/>
          </w:tcPr>
          <w:p w14:paraId="2D847F3D"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2%</w:t>
            </w:r>
          </w:p>
        </w:tc>
      </w:tr>
      <w:tr w:rsidR="003F7412" w14:paraId="4B982498" w14:textId="77777777" w:rsidTr="0091029E">
        <w:trPr>
          <w:trHeight w:val="300"/>
        </w:trPr>
        <w:tc>
          <w:tcPr>
            <w:tcW w:w="1484" w:type="dxa"/>
            <w:shd w:val="clear" w:color="auto" w:fill="2E74B5" w:themeFill="accent1" w:themeFillShade="BF"/>
          </w:tcPr>
          <w:p w14:paraId="04A898C3" w14:textId="77777777" w:rsidR="003F7412" w:rsidRPr="0091029E" w:rsidRDefault="003F7412" w:rsidP="00A107BF">
            <w:pPr>
              <w:suppressAutoHyphens w:val="0"/>
              <w:textAlignment w:val="auto"/>
              <w:rPr>
                <w:rFonts w:eastAsia="Times New Roman" w:cs="Calibri"/>
                <w:b/>
                <w:i/>
                <w:color w:val="FFFFFF" w:themeColor="background1"/>
                <w:szCs w:val="20"/>
                <w:lang w:eastAsia="en-GB"/>
              </w:rPr>
            </w:pPr>
            <w:r w:rsidRPr="0091029E">
              <w:rPr>
                <w:rFonts w:eastAsia="Times New Roman" w:cs="Calibri"/>
                <w:b/>
                <w:i/>
                <w:color w:val="FFFFFF" w:themeColor="background1"/>
                <w:szCs w:val="20"/>
                <w:lang w:eastAsia="en-GB"/>
              </w:rPr>
              <w:t>Office IT</w:t>
            </w:r>
          </w:p>
        </w:tc>
        <w:tc>
          <w:tcPr>
            <w:tcW w:w="1702" w:type="dxa"/>
          </w:tcPr>
          <w:p w14:paraId="52F93267"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57%</w:t>
            </w:r>
          </w:p>
        </w:tc>
        <w:tc>
          <w:tcPr>
            <w:tcW w:w="2247" w:type="dxa"/>
          </w:tcPr>
          <w:p w14:paraId="3D0F70C9"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3%</w:t>
            </w:r>
          </w:p>
        </w:tc>
        <w:tc>
          <w:tcPr>
            <w:tcW w:w="994" w:type="dxa"/>
          </w:tcPr>
          <w:p w14:paraId="1466A0EB"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41%</w:t>
            </w:r>
          </w:p>
        </w:tc>
        <w:tc>
          <w:tcPr>
            <w:tcW w:w="1755" w:type="dxa"/>
          </w:tcPr>
          <w:p w14:paraId="40381F4D"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-24%</w:t>
            </w:r>
          </w:p>
        </w:tc>
        <w:tc>
          <w:tcPr>
            <w:tcW w:w="1800" w:type="dxa"/>
          </w:tcPr>
          <w:p w14:paraId="4415B533"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-24%</w:t>
            </w:r>
          </w:p>
        </w:tc>
        <w:tc>
          <w:tcPr>
            <w:tcW w:w="1635" w:type="dxa"/>
          </w:tcPr>
          <w:p w14:paraId="0FD53268"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w:t>
            </w:r>
          </w:p>
        </w:tc>
        <w:tc>
          <w:tcPr>
            <w:tcW w:w="2331" w:type="dxa"/>
          </w:tcPr>
          <w:p w14:paraId="00FB8133"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w:t>
            </w:r>
          </w:p>
        </w:tc>
      </w:tr>
      <w:tr w:rsidR="003F7412" w14:paraId="5550A52C" w14:textId="77777777" w:rsidTr="0091029E">
        <w:trPr>
          <w:trHeight w:val="300"/>
        </w:trPr>
        <w:tc>
          <w:tcPr>
            <w:tcW w:w="1484" w:type="dxa"/>
            <w:shd w:val="clear" w:color="auto" w:fill="2E74B5" w:themeFill="accent1" w:themeFillShade="BF"/>
          </w:tcPr>
          <w:p w14:paraId="26C0B55C" w14:textId="77777777" w:rsidR="003F7412" w:rsidRPr="0091029E" w:rsidRDefault="003F7412" w:rsidP="00A107BF">
            <w:pPr>
              <w:suppressAutoHyphens w:val="0"/>
              <w:textAlignment w:val="auto"/>
              <w:rPr>
                <w:rFonts w:eastAsia="Times New Roman" w:cs="Calibri"/>
                <w:b/>
                <w:i/>
                <w:color w:val="FFFFFF" w:themeColor="background1"/>
                <w:szCs w:val="20"/>
                <w:lang w:eastAsia="en-GB"/>
              </w:rPr>
            </w:pPr>
            <w:r w:rsidRPr="0091029E">
              <w:rPr>
                <w:rFonts w:eastAsia="Times New Roman" w:cs="Calibri"/>
                <w:b/>
                <w:i/>
                <w:color w:val="FFFFFF" w:themeColor="background1"/>
                <w:szCs w:val="20"/>
                <w:lang w:eastAsia="en-GB"/>
              </w:rPr>
              <w:t>Papir</w:t>
            </w:r>
          </w:p>
        </w:tc>
        <w:tc>
          <w:tcPr>
            <w:tcW w:w="1702" w:type="dxa"/>
          </w:tcPr>
          <w:p w14:paraId="49FA5D11"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5%</w:t>
            </w:r>
          </w:p>
        </w:tc>
        <w:tc>
          <w:tcPr>
            <w:tcW w:w="2247" w:type="dxa"/>
          </w:tcPr>
          <w:p w14:paraId="24D13C6E"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72%</w:t>
            </w:r>
          </w:p>
        </w:tc>
        <w:tc>
          <w:tcPr>
            <w:tcW w:w="994" w:type="dxa"/>
          </w:tcPr>
          <w:p w14:paraId="0A0806FB"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23%</w:t>
            </w:r>
          </w:p>
        </w:tc>
        <w:tc>
          <w:tcPr>
            <w:tcW w:w="1755" w:type="dxa"/>
          </w:tcPr>
          <w:p w14:paraId="71007571"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-97%</w:t>
            </w:r>
          </w:p>
        </w:tc>
        <w:tc>
          <w:tcPr>
            <w:tcW w:w="1800" w:type="dxa"/>
          </w:tcPr>
          <w:p w14:paraId="39A65AF9"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-89%</w:t>
            </w:r>
          </w:p>
        </w:tc>
        <w:tc>
          <w:tcPr>
            <w:tcW w:w="1635" w:type="dxa"/>
          </w:tcPr>
          <w:p w14:paraId="3DFCE417"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15%</w:t>
            </w:r>
          </w:p>
        </w:tc>
        <w:tc>
          <w:tcPr>
            <w:tcW w:w="2331" w:type="dxa"/>
          </w:tcPr>
          <w:p w14:paraId="29C713D5"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19%</w:t>
            </w:r>
          </w:p>
        </w:tc>
      </w:tr>
      <w:tr w:rsidR="003F7412" w14:paraId="2B431D25" w14:textId="77777777" w:rsidTr="0091029E">
        <w:trPr>
          <w:trHeight w:val="300"/>
        </w:trPr>
        <w:tc>
          <w:tcPr>
            <w:tcW w:w="1484" w:type="dxa"/>
            <w:shd w:val="clear" w:color="auto" w:fill="2E74B5" w:themeFill="accent1" w:themeFillShade="BF"/>
          </w:tcPr>
          <w:p w14:paraId="11DD7E2D" w14:textId="77777777" w:rsidR="003F7412" w:rsidRPr="0091029E" w:rsidRDefault="003F7412" w:rsidP="00A107BF">
            <w:pPr>
              <w:suppressAutoHyphens w:val="0"/>
              <w:textAlignment w:val="auto"/>
              <w:rPr>
                <w:rFonts w:eastAsia="Times New Roman" w:cs="Calibri"/>
                <w:b/>
                <w:i/>
                <w:color w:val="FFFFFF" w:themeColor="background1"/>
                <w:szCs w:val="20"/>
                <w:lang w:eastAsia="en-GB"/>
              </w:rPr>
            </w:pPr>
            <w:r w:rsidRPr="0091029E">
              <w:rPr>
                <w:rFonts w:eastAsia="Times New Roman" w:cs="Calibri"/>
                <w:b/>
                <w:i/>
                <w:color w:val="FFFFFF" w:themeColor="background1"/>
                <w:szCs w:val="20"/>
                <w:lang w:eastAsia="en-GB"/>
              </w:rPr>
              <w:t>Tekstil</w:t>
            </w:r>
          </w:p>
        </w:tc>
        <w:tc>
          <w:tcPr>
            <w:tcW w:w="1702" w:type="dxa"/>
          </w:tcPr>
          <w:p w14:paraId="793E3B1E"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40%</w:t>
            </w:r>
          </w:p>
        </w:tc>
        <w:tc>
          <w:tcPr>
            <w:tcW w:w="2247" w:type="dxa"/>
          </w:tcPr>
          <w:p w14:paraId="636EE5A2"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7%</w:t>
            </w:r>
          </w:p>
        </w:tc>
        <w:tc>
          <w:tcPr>
            <w:tcW w:w="994" w:type="dxa"/>
          </w:tcPr>
          <w:p w14:paraId="306C5BE2"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53%</w:t>
            </w:r>
          </w:p>
        </w:tc>
        <w:tc>
          <w:tcPr>
            <w:tcW w:w="1755" w:type="dxa"/>
          </w:tcPr>
          <w:p w14:paraId="480DB362"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-76%</w:t>
            </w:r>
          </w:p>
        </w:tc>
        <w:tc>
          <w:tcPr>
            <w:tcW w:w="1800" w:type="dxa"/>
          </w:tcPr>
          <w:p w14:paraId="50A79EFA"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-76%</w:t>
            </w:r>
          </w:p>
        </w:tc>
        <w:tc>
          <w:tcPr>
            <w:tcW w:w="1635" w:type="dxa"/>
          </w:tcPr>
          <w:p w14:paraId="498AB7A2"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8%</w:t>
            </w:r>
          </w:p>
        </w:tc>
        <w:tc>
          <w:tcPr>
            <w:tcW w:w="2331" w:type="dxa"/>
          </w:tcPr>
          <w:p w14:paraId="69B3A162"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8%</w:t>
            </w:r>
          </w:p>
        </w:tc>
      </w:tr>
      <w:tr w:rsidR="003F7412" w14:paraId="4F7075C5" w14:textId="77777777" w:rsidTr="0091029E">
        <w:trPr>
          <w:trHeight w:val="300"/>
        </w:trPr>
        <w:tc>
          <w:tcPr>
            <w:tcW w:w="1484" w:type="dxa"/>
            <w:shd w:val="clear" w:color="auto" w:fill="2E74B5" w:themeFill="accent1" w:themeFillShade="BF"/>
          </w:tcPr>
          <w:p w14:paraId="48C1E789" w14:textId="77777777" w:rsidR="003F7412" w:rsidRPr="0091029E" w:rsidRDefault="003F7412" w:rsidP="00A107BF">
            <w:pPr>
              <w:suppressAutoHyphens w:val="0"/>
              <w:textAlignment w:val="auto"/>
              <w:rPr>
                <w:rFonts w:eastAsia="Times New Roman" w:cs="Calibri"/>
                <w:b/>
                <w:i/>
                <w:color w:val="FFFFFF" w:themeColor="background1"/>
                <w:szCs w:val="20"/>
                <w:lang w:eastAsia="en-GB"/>
              </w:rPr>
            </w:pPr>
            <w:r w:rsidRPr="0091029E">
              <w:rPr>
                <w:rFonts w:eastAsia="Times New Roman" w:cs="Calibri"/>
                <w:b/>
                <w:i/>
                <w:color w:val="FFFFFF" w:themeColor="background1"/>
                <w:szCs w:val="20"/>
                <w:lang w:eastAsia="en-GB"/>
              </w:rPr>
              <w:t>Transport</w:t>
            </w:r>
          </w:p>
        </w:tc>
        <w:tc>
          <w:tcPr>
            <w:tcW w:w="1702" w:type="dxa"/>
          </w:tcPr>
          <w:p w14:paraId="51DC5D77"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19%</w:t>
            </w:r>
          </w:p>
        </w:tc>
        <w:tc>
          <w:tcPr>
            <w:tcW w:w="2247" w:type="dxa"/>
          </w:tcPr>
          <w:p w14:paraId="0DFA9140"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0%</w:t>
            </w:r>
          </w:p>
        </w:tc>
        <w:tc>
          <w:tcPr>
            <w:tcW w:w="994" w:type="dxa"/>
          </w:tcPr>
          <w:p w14:paraId="60A2F0C1"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81%</w:t>
            </w:r>
          </w:p>
        </w:tc>
        <w:tc>
          <w:tcPr>
            <w:tcW w:w="1755" w:type="dxa"/>
          </w:tcPr>
          <w:p w14:paraId="65FB1844"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-12%</w:t>
            </w:r>
          </w:p>
        </w:tc>
        <w:tc>
          <w:tcPr>
            <w:tcW w:w="1800" w:type="dxa"/>
          </w:tcPr>
          <w:p w14:paraId="6CDEE814"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n/a</w:t>
            </w:r>
          </w:p>
        </w:tc>
        <w:tc>
          <w:tcPr>
            <w:tcW w:w="1635" w:type="dxa"/>
          </w:tcPr>
          <w:p w14:paraId="3E7A3F60"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-3%</w:t>
            </w:r>
          </w:p>
        </w:tc>
        <w:tc>
          <w:tcPr>
            <w:tcW w:w="2331" w:type="dxa"/>
          </w:tcPr>
          <w:p w14:paraId="72DE264E"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n/a</w:t>
            </w:r>
          </w:p>
        </w:tc>
      </w:tr>
      <w:tr w:rsidR="003F7412" w14:paraId="6A47A8EF" w14:textId="77777777" w:rsidTr="0091029E">
        <w:trPr>
          <w:trHeight w:val="300"/>
        </w:trPr>
        <w:tc>
          <w:tcPr>
            <w:tcW w:w="1484" w:type="dxa"/>
            <w:shd w:val="clear" w:color="auto" w:fill="2E74B5" w:themeFill="accent1" w:themeFillShade="BF"/>
          </w:tcPr>
          <w:p w14:paraId="2862F516" w14:textId="77777777" w:rsidR="003F7412" w:rsidRPr="0091029E" w:rsidRDefault="003F7412" w:rsidP="00A107BF">
            <w:pPr>
              <w:suppressAutoHyphens w:val="0"/>
              <w:textAlignment w:val="auto"/>
              <w:rPr>
                <w:rFonts w:eastAsia="Times New Roman" w:cs="Calibri"/>
                <w:b/>
                <w:i/>
                <w:color w:val="FFFFFF" w:themeColor="background1"/>
                <w:szCs w:val="20"/>
                <w:lang w:eastAsia="en-GB"/>
              </w:rPr>
            </w:pPr>
            <w:r w:rsidRPr="0091029E">
              <w:rPr>
                <w:rFonts w:eastAsia="Times New Roman" w:cs="Calibri"/>
                <w:b/>
                <w:i/>
                <w:color w:val="FFFFFF" w:themeColor="background1"/>
                <w:szCs w:val="20"/>
                <w:lang w:eastAsia="en-GB"/>
              </w:rPr>
              <w:t>Namještaj</w:t>
            </w:r>
          </w:p>
        </w:tc>
        <w:tc>
          <w:tcPr>
            <w:tcW w:w="1702" w:type="dxa"/>
          </w:tcPr>
          <w:p w14:paraId="776123C2"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82%</w:t>
            </w:r>
          </w:p>
        </w:tc>
        <w:tc>
          <w:tcPr>
            <w:tcW w:w="2247" w:type="dxa"/>
          </w:tcPr>
          <w:p w14:paraId="64A5B05A"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0%</w:t>
            </w:r>
          </w:p>
        </w:tc>
        <w:tc>
          <w:tcPr>
            <w:tcW w:w="994" w:type="dxa"/>
          </w:tcPr>
          <w:p w14:paraId="436B55AC"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18%</w:t>
            </w:r>
          </w:p>
        </w:tc>
        <w:tc>
          <w:tcPr>
            <w:tcW w:w="1755" w:type="dxa"/>
          </w:tcPr>
          <w:p w14:paraId="07C26D52"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n/a</w:t>
            </w:r>
          </w:p>
        </w:tc>
        <w:tc>
          <w:tcPr>
            <w:tcW w:w="1800" w:type="dxa"/>
          </w:tcPr>
          <w:p w14:paraId="48E8A15B"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n/a</w:t>
            </w:r>
          </w:p>
        </w:tc>
        <w:tc>
          <w:tcPr>
            <w:tcW w:w="1635" w:type="dxa"/>
          </w:tcPr>
          <w:p w14:paraId="1F82ED3D"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n/a</w:t>
            </w:r>
          </w:p>
        </w:tc>
        <w:tc>
          <w:tcPr>
            <w:tcW w:w="2331" w:type="dxa"/>
          </w:tcPr>
          <w:p w14:paraId="7CD3F414" w14:textId="77777777" w:rsidR="003F7412" w:rsidRDefault="003F7412" w:rsidP="004D3395">
            <w:pPr>
              <w:suppressAutoHyphens w:val="0"/>
              <w:jc w:val="center"/>
              <w:textAlignment w:val="auto"/>
              <w:rPr>
                <w:rFonts w:eastAsia="Times New Roman" w:cs="Calibri"/>
                <w:color w:val="000000"/>
                <w:sz w:val="20"/>
                <w:szCs w:val="20"/>
                <w:lang w:eastAsia="en-GB"/>
              </w:rPr>
            </w:pPr>
            <w:r>
              <w:rPr>
                <w:rFonts w:eastAsia="Times New Roman" w:cs="Calibri"/>
                <w:color w:val="000000"/>
                <w:sz w:val="20"/>
                <w:szCs w:val="20"/>
                <w:lang w:eastAsia="en-GB"/>
              </w:rPr>
              <w:t>n/a</w:t>
            </w:r>
          </w:p>
        </w:tc>
      </w:tr>
    </w:tbl>
    <w:p w14:paraId="050C7F8A" w14:textId="6FEBCF9D" w:rsidR="003A5888" w:rsidRDefault="003A5888" w:rsidP="003A5888"/>
    <w:p w14:paraId="76994008" w14:textId="28098A72" w:rsidR="003A5888" w:rsidRPr="003A5888" w:rsidRDefault="003A5888" w:rsidP="002A6A75">
      <w:pPr>
        <w:pStyle w:val="Caption"/>
        <w:jc w:val="center"/>
        <w:rPr>
          <w:rFonts w:ascii="Calibri" w:hAnsi="Calibri"/>
          <w:sz w:val="22"/>
          <w:szCs w:val="22"/>
        </w:rPr>
      </w:pPr>
      <w:bookmarkStart w:id="25" w:name="_Toc82415535"/>
      <w:r w:rsidRPr="003A5888">
        <w:rPr>
          <w:rFonts w:ascii="Calibri" w:hAnsi="Calibri"/>
          <w:sz w:val="22"/>
          <w:szCs w:val="22"/>
        </w:rPr>
        <w:t xml:space="preserve">Tabela </w:t>
      </w:r>
      <w:r w:rsidRPr="003A5888">
        <w:rPr>
          <w:rFonts w:ascii="Calibri" w:hAnsi="Calibri"/>
          <w:sz w:val="22"/>
          <w:szCs w:val="22"/>
        </w:rPr>
        <w:fldChar w:fldCharType="begin"/>
      </w:r>
      <w:r w:rsidRPr="003A5888">
        <w:rPr>
          <w:rFonts w:ascii="Calibri" w:hAnsi="Calibri"/>
          <w:sz w:val="22"/>
          <w:szCs w:val="22"/>
        </w:rPr>
        <w:instrText xml:space="preserve"> SEQ Table \* ARABIC </w:instrText>
      </w:r>
      <w:r w:rsidRPr="003A5888">
        <w:rPr>
          <w:rFonts w:ascii="Calibri" w:hAnsi="Calibri"/>
          <w:sz w:val="22"/>
          <w:szCs w:val="22"/>
        </w:rPr>
        <w:fldChar w:fldCharType="separate"/>
      </w:r>
      <w:r w:rsidR="002E7036">
        <w:rPr>
          <w:rFonts w:ascii="Calibri" w:hAnsi="Calibri"/>
          <w:noProof/>
          <w:sz w:val="22"/>
          <w:szCs w:val="22"/>
        </w:rPr>
        <w:t>2</w:t>
      </w:r>
      <w:r w:rsidRPr="003A5888">
        <w:rPr>
          <w:rFonts w:ascii="Calibri" w:hAnsi="Calibri"/>
          <w:sz w:val="22"/>
          <w:szCs w:val="22"/>
        </w:rPr>
        <w:fldChar w:fldCharType="end"/>
      </w:r>
      <w:r w:rsidRPr="003A5888">
        <w:rPr>
          <w:rFonts w:ascii="Calibri" w:hAnsi="Calibri"/>
          <w:sz w:val="22"/>
          <w:szCs w:val="22"/>
        </w:rPr>
        <w:t xml:space="preserve"> </w:t>
      </w:r>
      <w:r w:rsidRPr="003A5888">
        <w:rPr>
          <w:rFonts w:ascii="Calibri" w:hAnsi="Calibri" w:cs="Calibri"/>
          <w:sz w:val="22"/>
          <w:szCs w:val="22"/>
        </w:rPr>
        <w:t>Ocjena upotrebe i učinka zelenih javnih nabavki</w:t>
      </w:r>
      <w:bookmarkEnd w:id="25"/>
    </w:p>
    <w:p w14:paraId="394C011C" w14:textId="1F32E49E" w:rsidR="003F7412" w:rsidRPr="003A5888" w:rsidRDefault="00930B67" w:rsidP="003A5888">
      <w:pPr>
        <w:tabs>
          <w:tab w:val="left" w:pos="2340"/>
        </w:tabs>
        <w:sectPr w:rsidR="003F7412" w:rsidRPr="003A5888">
          <w:headerReference w:type="default" r:id="rId12"/>
          <w:pgSz w:w="16838" w:h="11906" w:orient="landscape"/>
          <w:pgMar w:top="1440" w:right="1440" w:bottom="1440" w:left="1440" w:header="720" w:footer="720" w:gutter="0"/>
          <w:cols w:space="720"/>
        </w:sectPr>
      </w:pPr>
      <w:r>
        <w:rPr>
          <w:rFonts w:eastAsia="Times New Roman" w:cs="Calibri"/>
          <w:color w:val="000000"/>
          <w:sz w:val="20"/>
          <w:szCs w:val="20"/>
          <w:lang w:eastAsia="en-GB"/>
        </w:rPr>
        <w:t>Izvor: (PWC, 2009). </w:t>
      </w:r>
      <w:r>
        <w:rPr>
          <w:rFonts w:eastAsia="Times New Roman" w:cs="Calibri"/>
          <w:i/>
          <w:iCs/>
          <w:color w:val="000000"/>
          <w:sz w:val="20"/>
          <w:szCs w:val="20"/>
          <w:lang w:eastAsia="en-GB"/>
        </w:rPr>
        <w:t>Prikupljanje statističkih podataka o zelenim javnim nabavkama u EU</w:t>
      </w:r>
      <w:r w:rsidR="003A5888">
        <w:tab/>
      </w:r>
    </w:p>
    <w:p w14:paraId="067375AF" w14:textId="77777777" w:rsidR="003F7412" w:rsidRDefault="003F7412" w:rsidP="003F7412">
      <w:pPr>
        <w:jc w:val="both"/>
        <w:rPr>
          <w:rFonts w:cs="Calibri"/>
          <w:sz w:val="24"/>
        </w:rPr>
      </w:pPr>
      <w:r>
        <w:rPr>
          <w:rFonts w:cs="Calibri"/>
          <w:sz w:val="24"/>
        </w:rPr>
        <w:lastRenderedPageBreak/>
        <w:t>Svaka zemlja ima svoje institucionalne postavke, ciljeve politike i zakonodavni okvir, što znači da bi bilo koja matrica razvijena za upoređivanje učinka u različitim zemljama zahtijevala značajna upozorenja.</w:t>
      </w:r>
    </w:p>
    <w:p w14:paraId="16765F24" w14:textId="4F97E32F" w:rsidR="003F7412" w:rsidRDefault="003F7412" w:rsidP="003F7412">
      <w:pPr>
        <w:jc w:val="both"/>
        <w:rPr>
          <w:rFonts w:cs="Calibri"/>
          <w:sz w:val="24"/>
        </w:rPr>
      </w:pPr>
      <w:r>
        <w:rPr>
          <w:rFonts w:cs="Calibri"/>
          <w:sz w:val="24"/>
        </w:rPr>
        <w:t xml:space="preserve">Postoje brojne aktivnosti javnih nabavki koje kreatori politike u jednoj zemlji mogu mjeriti i pratiti. Primjenljivost svake mjere u određenoj zemlji zavisi od njene relevantnosti za rad vlade i </w:t>
      </w:r>
      <w:r w:rsidR="006D1E54">
        <w:rPr>
          <w:rFonts w:cs="Calibri"/>
          <w:sz w:val="24"/>
        </w:rPr>
        <w:t>centralnih potrošačkih tijela</w:t>
      </w:r>
      <w:r>
        <w:rPr>
          <w:rFonts w:cs="Calibri"/>
          <w:sz w:val="24"/>
        </w:rPr>
        <w:t xml:space="preserve"> kao i dostupnosti podataka.</w:t>
      </w:r>
    </w:p>
    <w:p w14:paraId="562CB421" w14:textId="2B610726" w:rsidR="003F7412" w:rsidRDefault="003F7412" w:rsidP="003F7412">
      <w:pPr>
        <w:jc w:val="both"/>
      </w:pPr>
      <w:r>
        <w:rPr>
          <w:rFonts w:cs="Calibri"/>
          <w:sz w:val="24"/>
        </w:rPr>
        <w:t xml:space="preserve">Na sledećem linku: </w:t>
      </w:r>
      <w:hyperlink r:id="rId13" w:history="1">
        <w:r>
          <w:rPr>
            <w:rStyle w:val="Hyperlink"/>
            <w:rFonts w:cs="Calibri"/>
            <w:sz w:val="24"/>
            <w:lang w:eastAsia="en-GB"/>
          </w:rPr>
          <w:t>https://www.oecd-ilibrary.org/sites/5d89ab8b-en/index.html?itemId=/content/com</w:t>
        </w:r>
        <w:bookmarkStart w:id="26" w:name="_Hlt81218500"/>
        <w:bookmarkStart w:id="27" w:name="_Hlt81218501"/>
        <w:r>
          <w:rPr>
            <w:rStyle w:val="Hyperlink"/>
            <w:rFonts w:cs="Calibri"/>
            <w:sz w:val="24"/>
            <w:lang w:eastAsia="en-GB"/>
          </w:rPr>
          <w:t>p</w:t>
        </w:r>
        <w:bookmarkEnd w:id="26"/>
        <w:bookmarkEnd w:id="27"/>
        <w:r>
          <w:rPr>
            <w:rStyle w:val="Hyperlink"/>
            <w:rFonts w:cs="Calibri"/>
            <w:sz w:val="24"/>
            <w:lang w:eastAsia="en-GB"/>
          </w:rPr>
          <w:t>onent/5d89ab8b-en</w:t>
        </w:r>
      </w:hyperlink>
      <w:r>
        <w:rPr>
          <w:rFonts w:cs="Calibri"/>
          <w:sz w:val="24"/>
        </w:rPr>
        <w:t xml:space="preserve">  javni službenici mogu pronaći načine na koje javne nabavke mogu direktno ili indirektno uticati na pružanje javnih usluga, ekonomski rast i društveno blagostanje mjereni korišćenjem </w:t>
      </w:r>
      <w:r w:rsidR="006D1E54">
        <w:rPr>
          <w:rFonts w:cs="Calibri"/>
          <w:sz w:val="24"/>
        </w:rPr>
        <w:t xml:space="preserve">metodlogije </w:t>
      </w:r>
      <w:r>
        <w:rPr>
          <w:rFonts w:cs="Calibri"/>
          <w:sz w:val="24"/>
        </w:rPr>
        <w:t>OECD</w:t>
      </w:r>
      <w:r w:rsidR="006D1E54">
        <w:rPr>
          <w:rFonts w:cs="Calibri"/>
          <w:sz w:val="24"/>
        </w:rPr>
        <w:t xml:space="preserve"> za procjenu</w:t>
      </w:r>
      <w:r>
        <w:rPr>
          <w:rFonts w:cs="Calibri"/>
          <w:sz w:val="24"/>
        </w:rPr>
        <w:t xml:space="preserve"> blagostanja. Na ovoj </w:t>
      </w:r>
      <w:r w:rsidR="00E35DB8">
        <w:rPr>
          <w:rFonts w:cs="Calibri"/>
          <w:sz w:val="24"/>
        </w:rPr>
        <w:t>internet</w:t>
      </w:r>
      <w:r>
        <w:rPr>
          <w:rFonts w:cs="Calibri"/>
          <w:sz w:val="24"/>
        </w:rPr>
        <w:t xml:space="preserve"> stranici se takođe mogu pronaći studije slučaja u određenim zemljama koje ilustruju kako je mjerenje izvršeno u svakoj od oblasti ekonomskog, prirodnog, društvenog i ljudskog kapitala. Različiti pristupi izračunavanju uticaja mogu se objediniti kroz okvir mjerenja.</w:t>
      </w:r>
    </w:p>
    <w:p w14:paraId="0C073DD8" w14:textId="72791653" w:rsidR="003F7412" w:rsidRDefault="003F7412" w:rsidP="003F7412">
      <w:pPr>
        <w:jc w:val="both"/>
        <w:sectPr w:rsidR="003F7412">
          <w:headerReference w:type="default" r:id="rId14"/>
          <w:pgSz w:w="11906" w:h="16838"/>
          <w:pgMar w:top="1440" w:right="1440" w:bottom="1440" w:left="1440" w:header="720" w:footer="720" w:gutter="0"/>
          <w:cols w:space="720"/>
        </w:sectPr>
      </w:pPr>
      <w:r>
        <w:rPr>
          <w:rFonts w:cs="Calibri"/>
          <w:sz w:val="24"/>
        </w:rPr>
        <w:t>Korišćenjem pokazatelja navedenih u razvijenim Matricama za mjerenje ciljeva nabavke na različitim nivoima državnih službenika, javni službenici mogu mjeriti nabavke s</w:t>
      </w:r>
      <w:r w:rsidR="003A7398">
        <w:rPr>
          <w:rFonts w:cs="Calibri"/>
          <w:sz w:val="24"/>
        </w:rPr>
        <w:t>a aspekata</w:t>
      </w:r>
      <w:r>
        <w:rPr>
          <w:rFonts w:cs="Calibri"/>
          <w:sz w:val="24"/>
        </w:rPr>
        <w:t xml:space="preserve">, </w:t>
      </w:r>
      <w:r w:rsidR="003A7398">
        <w:rPr>
          <w:rFonts w:cs="Calibri"/>
          <w:sz w:val="24"/>
        </w:rPr>
        <w:t xml:space="preserve">ekoloških, </w:t>
      </w:r>
      <w:r>
        <w:rPr>
          <w:rFonts w:cs="Calibri"/>
          <w:sz w:val="24"/>
        </w:rPr>
        <w:t>ljudski</w:t>
      </w:r>
      <w:r w:rsidR="003A7398">
        <w:rPr>
          <w:rFonts w:cs="Calibri"/>
          <w:sz w:val="24"/>
        </w:rPr>
        <w:t>h</w:t>
      </w:r>
      <w:r>
        <w:rPr>
          <w:rFonts w:cs="Calibri"/>
          <w:sz w:val="24"/>
        </w:rPr>
        <w:t>, ekonomski</w:t>
      </w:r>
      <w:r w:rsidR="003A7398">
        <w:rPr>
          <w:rFonts w:cs="Calibri"/>
          <w:sz w:val="24"/>
        </w:rPr>
        <w:t>h</w:t>
      </w:r>
      <w:r>
        <w:rPr>
          <w:rFonts w:cs="Calibri"/>
          <w:sz w:val="24"/>
        </w:rPr>
        <w:t xml:space="preserve"> i društveni</w:t>
      </w:r>
      <w:r w:rsidR="003A7398">
        <w:rPr>
          <w:rFonts w:cs="Calibri"/>
          <w:sz w:val="24"/>
        </w:rPr>
        <w:t>h</w:t>
      </w:r>
      <w:r>
        <w:rPr>
          <w:rFonts w:cs="Calibri"/>
          <w:sz w:val="24"/>
        </w:rPr>
        <w:t xml:space="preserve"> </w:t>
      </w:r>
      <w:r w:rsidR="003A7398">
        <w:rPr>
          <w:rFonts w:cs="Calibri"/>
          <w:sz w:val="24"/>
        </w:rPr>
        <w:t>koristi</w:t>
      </w:r>
      <w:r>
        <w:rPr>
          <w:rStyle w:val="FootnoteReference"/>
          <w:rFonts w:cs="Calibri"/>
          <w:color w:val="333333"/>
          <w:sz w:val="24"/>
          <w:shd w:val="clear" w:color="auto" w:fill="FFFFFF"/>
        </w:rPr>
        <w:footnoteReference w:id="15"/>
      </w:r>
      <w:r>
        <w:rPr>
          <w:rFonts w:cs="Calibri"/>
          <w:sz w:val="24"/>
        </w:rPr>
        <w:t>. U sledećoj tabeli dat je prim</w:t>
      </w:r>
      <w:r w:rsidR="008531B6">
        <w:rPr>
          <w:rFonts w:cs="Calibri"/>
          <w:sz w:val="24"/>
        </w:rPr>
        <w:t>j</w:t>
      </w:r>
      <w:r>
        <w:rPr>
          <w:rFonts w:cs="Calibri"/>
          <w:sz w:val="24"/>
        </w:rPr>
        <w:t>er rezultata primjene navedene matrice za Finsku.</w:t>
      </w:r>
    </w:p>
    <w:tbl>
      <w:tblPr>
        <w:tblpPr w:leftFromText="180" w:rightFromText="180" w:horzAnchor="margin" w:tblpY="615"/>
        <w:tblW w:w="5000" w:type="pct"/>
        <w:tblCellMar>
          <w:left w:w="10" w:type="dxa"/>
          <w:right w:w="10" w:type="dxa"/>
        </w:tblCellMar>
        <w:tblLook w:val="0000" w:firstRow="0" w:lastRow="0" w:firstColumn="0" w:lastColumn="0" w:noHBand="0" w:noVBand="0"/>
      </w:tblPr>
      <w:tblGrid>
        <w:gridCol w:w="1631"/>
        <w:gridCol w:w="2849"/>
        <w:gridCol w:w="3379"/>
        <w:gridCol w:w="1265"/>
        <w:gridCol w:w="4818"/>
      </w:tblGrid>
      <w:tr w:rsidR="003F7412" w14:paraId="32527075" w14:textId="77777777" w:rsidTr="00C3473B">
        <w:tc>
          <w:tcPr>
            <w:tcW w:w="1631" w:type="dxa"/>
            <w:tcBorders>
              <w:top w:val="single" w:sz="6" w:space="0" w:color="ECEBEB"/>
              <w:left w:val="single" w:sz="6" w:space="0" w:color="ECEBEB"/>
              <w:bottom w:val="single" w:sz="6" w:space="0" w:color="ECEBEB"/>
              <w:right w:val="single" w:sz="6" w:space="0" w:color="ECEBEB"/>
            </w:tcBorders>
            <w:shd w:val="clear" w:color="auto" w:fill="2E74B5" w:themeFill="accent1" w:themeFillShade="BF"/>
            <w:tcMar>
              <w:top w:w="72" w:type="dxa"/>
              <w:left w:w="24" w:type="dxa"/>
              <w:bottom w:w="72" w:type="dxa"/>
              <w:right w:w="24" w:type="dxa"/>
            </w:tcMar>
          </w:tcPr>
          <w:p w14:paraId="742960A8" w14:textId="77777777" w:rsidR="003F7412" w:rsidRDefault="003F7412" w:rsidP="00C3473B">
            <w:pPr>
              <w:spacing w:after="0"/>
              <w:jc w:val="both"/>
              <w:rPr>
                <w:rFonts w:eastAsia="Times New Roman" w:cs="Calibri"/>
                <w:b/>
                <w:bCs/>
                <w:color w:val="000000"/>
                <w:lang w:eastAsia="en-GB"/>
              </w:rPr>
            </w:pPr>
          </w:p>
        </w:tc>
        <w:tc>
          <w:tcPr>
            <w:tcW w:w="2849" w:type="dxa"/>
            <w:tcBorders>
              <w:top w:val="single" w:sz="6" w:space="0" w:color="ECEBEB"/>
              <w:left w:val="single" w:sz="6" w:space="0" w:color="ECEBEB"/>
              <w:bottom w:val="single" w:sz="6" w:space="0" w:color="ECEBEB"/>
              <w:right w:val="single" w:sz="6" w:space="0" w:color="ECEBEB"/>
            </w:tcBorders>
            <w:shd w:val="clear" w:color="auto" w:fill="2E74B5" w:themeFill="accent1" w:themeFillShade="BF"/>
            <w:tcMar>
              <w:top w:w="72" w:type="dxa"/>
              <w:left w:w="24" w:type="dxa"/>
              <w:bottom w:w="72" w:type="dxa"/>
              <w:right w:w="24" w:type="dxa"/>
            </w:tcMar>
            <w:vAlign w:val="center"/>
          </w:tcPr>
          <w:p w14:paraId="726DF8DA" w14:textId="77777777" w:rsidR="003F7412" w:rsidRPr="0091029E" w:rsidRDefault="003F7412" w:rsidP="00C3473B">
            <w:pPr>
              <w:spacing w:before="168" w:after="48"/>
              <w:jc w:val="both"/>
              <w:rPr>
                <w:rFonts w:eastAsia="Times New Roman" w:cs="Calibri"/>
                <w:b/>
                <w:bCs/>
                <w:i/>
                <w:color w:val="FFFFFF" w:themeColor="background1"/>
                <w:lang w:eastAsia="en-GB"/>
              </w:rPr>
            </w:pPr>
            <w:r w:rsidRPr="0091029E">
              <w:rPr>
                <w:rFonts w:eastAsia="Times New Roman" w:cs="Calibri"/>
                <w:b/>
                <w:bCs/>
                <w:i/>
                <w:color w:val="FFFFFF" w:themeColor="background1"/>
                <w:lang w:eastAsia="en-GB"/>
              </w:rPr>
              <w:t>Cilj</w:t>
            </w:r>
          </w:p>
        </w:tc>
        <w:tc>
          <w:tcPr>
            <w:tcW w:w="3379" w:type="dxa"/>
            <w:tcBorders>
              <w:top w:val="single" w:sz="6" w:space="0" w:color="ECEBEB"/>
              <w:left w:val="single" w:sz="6" w:space="0" w:color="ECEBEB"/>
              <w:bottom w:val="single" w:sz="6" w:space="0" w:color="ECEBEB"/>
              <w:right w:val="single" w:sz="6" w:space="0" w:color="ECEBEB"/>
            </w:tcBorders>
            <w:shd w:val="clear" w:color="auto" w:fill="2E74B5" w:themeFill="accent1" w:themeFillShade="BF"/>
            <w:tcMar>
              <w:top w:w="72" w:type="dxa"/>
              <w:left w:w="24" w:type="dxa"/>
              <w:bottom w:w="72" w:type="dxa"/>
              <w:right w:w="24" w:type="dxa"/>
            </w:tcMar>
            <w:vAlign w:val="center"/>
          </w:tcPr>
          <w:p w14:paraId="7FF0ABB7" w14:textId="77777777" w:rsidR="003F7412" w:rsidRPr="0091029E" w:rsidRDefault="003F7412" w:rsidP="00C3473B">
            <w:pPr>
              <w:spacing w:before="168" w:after="48"/>
              <w:jc w:val="both"/>
              <w:rPr>
                <w:rFonts w:eastAsia="Times New Roman" w:cs="Calibri"/>
                <w:b/>
                <w:bCs/>
                <w:i/>
                <w:color w:val="FFFFFF" w:themeColor="background1"/>
                <w:lang w:eastAsia="en-GB"/>
              </w:rPr>
            </w:pPr>
            <w:r w:rsidRPr="0091029E">
              <w:rPr>
                <w:rFonts w:eastAsia="Times New Roman" w:cs="Calibri"/>
                <w:b/>
                <w:bCs/>
                <w:i/>
                <w:color w:val="FFFFFF" w:themeColor="background1"/>
                <w:lang w:eastAsia="en-GB"/>
              </w:rPr>
              <w:t>Potrebni podaci</w:t>
            </w:r>
          </w:p>
        </w:tc>
        <w:tc>
          <w:tcPr>
            <w:tcW w:w="6083" w:type="dxa"/>
            <w:gridSpan w:val="2"/>
            <w:tcBorders>
              <w:top w:val="single" w:sz="6" w:space="0" w:color="ECEBEB"/>
              <w:left w:val="single" w:sz="6" w:space="0" w:color="ECEBEB"/>
              <w:bottom w:val="single" w:sz="6" w:space="0" w:color="ECEBEB"/>
              <w:right w:val="single" w:sz="6" w:space="0" w:color="ECEBEB"/>
            </w:tcBorders>
            <w:shd w:val="clear" w:color="auto" w:fill="2E74B5" w:themeFill="accent1" w:themeFillShade="BF"/>
            <w:tcMar>
              <w:top w:w="72" w:type="dxa"/>
              <w:left w:w="24" w:type="dxa"/>
              <w:bottom w:w="72" w:type="dxa"/>
              <w:right w:w="24" w:type="dxa"/>
            </w:tcMar>
            <w:vAlign w:val="center"/>
          </w:tcPr>
          <w:p w14:paraId="4EF89AAB" w14:textId="77777777" w:rsidR="003F7412" w:rsidRPr="0091029E" w:rsidRDefault="003F7412" w:rsidP="00C3473B">
            <w:pPr>
              <w:spacing w:before="168" w:after="48"/>
              <w:jc w:val="both"/>
              <w:rPr>
                <w:rFonts w:eastAsia="Times New Roman" w:cs="Calibri"/>
                <w:b/>
                <w:bCs/>
                <w:i/>
                <w:color w:val="FFFFFF" w:themeColor="background1"/>
                <w:lang w:eastAsia="en-GB"/>
              </w:rPr>
            </w:pPr>
            <w:r w:rsidRPr="0091029E">
              <w:rPr>
                <w:rFonts w:eastAsia="Times New Roman" w:cs="Calibri"/>
                <w:b/>
                <w:bCs/>
                <w:i/>
                <w:color w:val="FFFFFF" w:themeColor="background1"/>
                <w:lang w:eastAsia="en-GB"/>
              </w:rPr>
              <w:t>Primjenljivo u Finskoj</w:t>
            </w:r>
          </w:p>
        </w:tc>
      </w:tr>
      <w:tr w:rsidR="003F7412" w14:paraId="05455C7C" w14:textId="77777777" w:rsidTr="00C3473B">
        <w:tc>
          <w:tcPr>
            <w:tcW w:w="1631" w:type="dxa"/>
            <w:vMerge w:val="restart"/>
            <w:tcBorders>
              <w:top w:val="single" w:sz="6" w:space="0" w:color="ECEBEB"/>
              <w:left w:val="single" w:sz="6" w:space="0" w:color="ECEBEB"/>
              <w:bottom w:val="single" w:sz="6" w:space="0" w:color="ECEBEB"/>
              <w:right w:val="single" w:sz="6" w:space="0" w:color="ECEBEB"/>
            </w:tcBorders>
            <w:shd w:val="clear" w:color="auto" w:fill="2E74B5" w:themeFill="accent1" w:themeFillShade="BF"/>
            <w:tcMar>
              <w:top w:w="72" w:type="dxa"/>
              <w:left w:w="24" w:type="dxa"/>
              <w:bottom w:w="72" w:type="dxa"/>
              <w:right w:w="24" w:type="dxa"/>
            </w:tcMar>
          </w:tcPr>
          <w:p w14:paraId="1FB10648" w14:textId="77777777" w:rsidR="003F7412" w:rsidRPr="0091029E" w:rsidRDefault="003F7412" w:rsidP="00C3473B">
            <w:pPr>
              <w:spacing w:before="168" w:after="48"/>
              <w:jc w:val="both"/>
              <w:rPr>
                <w:rFonts w:eastAsia="Times New Roman" w:cs="Calibri"/>
                <w:b/>
                <w:i/>
                <w:color w:val="FFFFFF" w:themeColor="background1"/>
                <w:lang w:eastAsia="en-GB"/>
              </w:rPr>
            </w:pPr>
            <w:r w:rsidRPr="0091029E">
              <w:rPr>
                <w:rFonts w:eastAsia="Times New Roman" w:cs="Calibri"/>
                <w:b/>
                <w:i/>
                <w:color w:val="FFFFFF" w:themeColor="background1"/>
                <w:lang w:eastAsia="en-GB"/>
              </w:rPr>
              <w:t>Ekonomski uticaj</w:t>
            </w:r>
          </w:p>
        </w:tc>
        <w:tc>
          <w:tcPr>
            <w:tcW w:w="2849"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tcPr>
          <w:p w14:paraId="654AC076" w14:textId="77777777" w:rsidR="003F7412" w:rsidRDefault="003F7412" w:rsidP="00C3473B">
            <w:pPr>
              <w:spacing w:before="168" w:after="48"/>
              <w:jc w:val="both"/>
              <w:rPr>
                <w:rFonts w:eastAsia="Times New Roman" w:cs="Calibri"/>
                <w:color w:val="333333"/>
                <w:lang w:eastAsia="en-GB"/>
              </w:rPr>
            </w:pPr>
            <w:r>
              <w:rPr>
                <w:rFonts w:eastAsia="Times New Roman" w:cs="Calibri"/>
                <w:color w:val="333333"/>
                <w:lang w:eastAsia="en-GB"/>
              </w:rPr>
              <w:t>Ušteda vremena u okviru okvirnog sporazuma (</w:t>
            </w:r>
            <w:r w:rsidRPr="003A7398">
              <w:rPr>
                <w:rFonts w:eastAsia="Times New Roman" w:cs="Calibri"/>
                <w:b/>
                <w:bCs/>
                <w:color w:val="333333"/>
                <w:lang w:eastAsia="en-GB"/>
              </w:rPr>
              <w:t>OS</w:t>
            </w:r>
            <w:r>
              <w:rPr>
                <w:rFonts w:eastAsia="Times New Roman" w:cs="Calibri"/>
                <w:color w:val="333333"/>
                <w:lang w:eastAsia="en-GB"/>
              </w:rPr>
              <w:t>)</w:t>
            </w:r>
          </w:p>
        </w:tc>
        <w:tc>
          <w:tcPr>
            <w:tcW w:w="3379"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tcPr>
          <w:p w14:paraId="7FC65391" w14:textId="77777777" w:rsidR="003F7412" w:rsidRDefault="003F7412" w:rsidP="00C3473B">
            <w:pPr>
              <w:spacing w:before="168" w:after="48"/>
              <w:jc w:val="both"/>
            </w:pPr>
            <w:r>
              <w:rPr>
                <w:rFonts w:eastAsia="Times New Roman" w:cs="Calibri"/>
                <w:color w:val="333333"/>
                <w:lang w:eastAsia="en-GB"/>
              </w:rPr>
              <w:t>Prosječno vrijeme koje je potrošeno od strane zaposlenih na sklapanju ugovora za relevantnu robu ili uslugu</w:t>
            </w:r>
          </w:p>
        </w:tc>
        <w:tc>
          <w:tcPr>
            <w:tcW w:w="1265"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vAlign w:val="center"/>
          </w:tcPr>
          <w:p w14:paraId="7680E6AC" w14:textId="77777777" w:rsidR="003F7412" w:rsidRDefault="003F7412" w:rsidP="00C3473B">
            <w:pPr>
              <w:spacing w:before="168" w:after="48"/>
              <w:jc w:val="center"/>
            </w:pPr>
            <w:r>
              <w:rPr>
                <w:rFonts w:eastAsia="Times New Roman" w:cs="Calibri"/>
                <w:noProof/>
                <w:color w:val="333333"/>
                <w:lang w:val="en-US"/>
              </w:rPr>
              <w:drawing>
                <wp:inline distT="0" distB="0" distL="0" distR="0" wp14:anchorId="1AE848D2" wp14:editId="5C3E5AE2">
                  <wp:extent cx="283546" cy="343302"/>
                  <wp:effectExtent l="0" t="0" r="2204" b="0"/>
                  <wp:docPr id="2" name="Picture 7" descr="pictur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283546" cy="343302"/>
                          </a:xfrm>
                          <a:prstGeom prst="rect">
                            <a:avLst/>
                          </a:prstGeom>
                          <a:noFill/>
                          <a:ln>
                            <a:noFill/>
                            <a:prstDash/>
                          </a:ln>
                        </pic:spPr>
                      </pic:pic>
                    </a:graphicData>
                  </a:graphic>
                </wp:inline>
              </w:drawing>
            </w:r>
          </w:p>
        </w:tc>
        <w:tc>
          <w:tcPr>
            <w:tcW w:w="4818"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tcPr>
          <w:p w14:paraId="4A1E3E35" w14:textId="77777777" w:rsidR="003F7412" w:rsidRDefault="003F7412" w:rsidP="00C3473B">
            <w:pPr>
              <w:spacing w:before="168" w:after="48"/>
              <w:jc w:val="both"/>
              <w:rPr>
                <w:rFonts w:eastAsia="Times New Roman" w:cs="Calibri"/>
                <w:color w:val="333333"/>
                <w:lang w:eastAsia="en-GB"/>
              </w:rPr>
            </w:pPr>
            <w:r>
              <w:rPr>
                <w:rFonts w:eastAsia="Times New Roman" w:cs="Calibri"/>
                <w:color w:val="333333"/>
                <w:lang w:eastAsia="en-GB"/>
              </w:rPr>
              <w:t>Vrijeme koje je potrošeno od strane zaposlenih sprovodeći tendere utvrđene akademskim radom u 2009. godini; baza bi se mogla ažurirati kako bi se uzele u obzir tehnološke promjene</w:t>
            </w:r>
          </w:p>
        </w:tc>
      </w:tr>
      <w:tr w:rsidR="003F7412" w14:paraId="57458B11" w14:textId="77777777" w:rsidTr="00C3473B">
        <w:tc>
          <w:tcPr>
            <w:tcW w:w="1631" w:type="dxa"/>
            <w:vMerge/>
            <w:tcBorders>
              <w:top w:val="single" w:sz="6" w:space="0" w:color="ECEBEB"/>
              <w:left w:val="single" w:sz="6" w:space="0" w:color="ECEBEB"/>
              <w:bottom w:val="single" w:sz="6" w:space="0" w:color="ECEBEB"/>
              <w:right w:val="single" w:sz="6" w:space="0" w:color="ECEBEB"/>
            </w:tcBorders>
            <w:shd w:val="clear" w:color="auto" w:fill="2E74B5" w:themeFill="accent1" w:themeFillShade="BF"/>
            <w:tcMar>
              <w:top w:w="72" w:type="dxa"/>
              <w:left w:w="24" w:type="dxa"/>
              <w:bottom w:w="72" w:type="dxa"/>
              <w:right w:w="24" w:type="dxa"/>
            </w:tcMar>
          </w:tcPr>
          <w:p w14:paraId="50F9C3BB" w14:textId="77777777" w:rsidR="003F7412" w:rsidRPr="0091029E" w:rsidRDefault="003F7412" w:rsidP="00C3473B">
            <w:pPr>
              <w:spacing w:after="0"/>
              <w:jc w:val="both"/>
              <w:rPr>
                <w:rFonts w:eastAsia="Times New Roman" w:cs="Calibri"/>
                <w:b/>
                <w:i/>
                <w:color w:val="FFFFFF" w:themeColor="background1"/>
                <w:lang w:eastAsia="en-GB"/>
              </w:rPr>
            </w:pPr>
          </w:p>
        </w:tc>
        <w:tc>
          <w:tcPr>
            <w:tcW w:w="2849"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tcPr>
          <w:p w14:paraId="18D6D01A" w14:textId="77777777" w:rsidR="003F7412" w:rsidRDefault="003F7412" w:rsidP="00C3473B">
            <w:pPr>
              <w:spacing w:before="168" w:after="48"/>
              <w:jc w:val="both"/>
            </w:pPr>
            <w:r>
              <w:rPr>
                <w:rFonts w:eastAsia="Times New Roman" w:cs="Calibri"/>
                <w:color w:val="333333"/>
                <w:lang w:eastAsia="en-GB"/>
              </w:rPr>
              <w:t>Efikasnost u drugoj fazi OS procesa, kao i kroz dinamički sistem kupovine (</w:t>
            </w:r>
            <w:r>
              <w:rPr>
                <w:rFonts w:eastAsia="Times New Roman" w:cs="Calibri"/>
                <w:b/>
                <w:bCs/>
                <w:color w:val="333333"/>
                <w:lang w:eastAsia="en-GB"/>
              </w:rPr>
              <w:t>DPS</w:t>
            </w:r>
            <w:r>
              <w:rPr>
                <w:rFonts w:eastAsia="Times New Roman" w:cs="Calibri"/>
                <w:color w:val="333333"/>
                <w:lang w:eastAsia="en-GB"/>
              </w:rPr>
              <w:t>) i druge instrumente poslovanja</w:t>
            </w:r>
          </w:p>
        </w:tc>
        <w:tc>
          <w:tcPr>
            <w:tcW w:w="3379"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tcPr>
          <w:p w14:paraId="03FA2FE5" w14:textId="77777777" w:rsidR="003F7412" w:rsidRDefault="003F7412" w:rsidP="00C3473B">
            <w:pPr>
              <w:spacing w:before="168" w:after="48"/>
              <w:jc w:val="both"/>
              <w:rPr>
                <w:rFonts w:eastAsia="Times New Roman" w:cs="Calibri"/>
                <w:color w:val="333333"/>
                <w:lang w:eastAsia="en-GB"/>
              </w:rPr>
            </w:pPr>
            <w:r>
              <w:rPr>
                <w:rFonts w:eastAsia="Times New Roman" w:cs="Calibri"/>
                <w:color w:val="333333"/>
                <w:lang w:eastAsia="en-GB"/>
              </w:rPr>
              <w:t>Procjena vremena koje je preduzećima potrebno (prosečno za nekoliko poslovnih profila) da se takmiče u početnim i otkaznim fazama tendera sa i bez alata za efikasnost kao što je DPS</w:t>
            </w:r>
          </w:p>
        </w:tc>
        <w:tc>
          <w:tcPr>
            <w:tcW w:w="1265"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vAlign w:val="center"/>
          </w:tcPr>
          <w:p w14:paraId="300C0B61" w14:textId="77777777" w:rsidR="003F7412" w:rsidRDefault="003F7412" w:rsidP="00C3473B">
            <w:pPr>
              <w:spacing w:before="168" w:after="48"/>
              <w:jc w:val="center"/>
            </w:pPr>
            <w:r>
              <w:rPr>
                <w:rFonts w:eastAsia="Times New Roman" w:cs="Calibri"/>
                <w:noProof/>
                <w:color w:val="333333"/>
                <w:lang w:val="en-US"/>
              </w:rPr>
              <w:drawing>
                <wp:inline distT="0" distB="0" distL="0" distR="0" wp14:anchorId="5F316B96" wp14:editId="05F95162">
                  <wp:extent cx="274146" cy="305318"/>
                  <wp:effectExtent l="0" t="0" r="0" b="0"/>
                  <wp:docPr id="3" name="Picture 8" descr="pictur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274146" cy="305318"/>
                          </a:xfrm>
                          <a:prstGeom prst="rect">
                            <a:avLst/>
                          </a:prstGeom>
                          <a:noFill/>
                          <a:ln>
                            <a:noFill/>
                            <a:prstDash/>
                          </a:ln>
                        </pic:spPr>
                      </pic:pic>
                    </a:graphicData>
                  </a:graphic>
                </wp:inline>
              </w:drawing>
            </w:r>
          </w:p>
        </w:tc>
        <w:tc>
          <w:tcPr>
            <w:tcW w:w="4818"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tcPr>
          <w:p w14:paraId="591D6200" w14:textId="77777777" w:rsidR="003F7412" w:rsidRDefault="003F7412" w:rsidP="00C3473B">
            <w:pPr>
              <w:spacing w:before="168" w:after="48"/>
              <w:jc w:val="both"/>
              <w:rPr>
                <w:rFonts w:eastAsia="Times New Roman" w:cs="Calibri"/>
                <w:color w:val="333333"/>
                <w:lang w:eastAsia="en-GB"/>
              </w:rPr>
            </w:pPr>
            <w:r>
              <w:rPr>
                <w:rFonts w:eastAsia="Times New Roman" w:cs="Calibri"/>
                <w:color w:val="333333"/>
                <w:lang w:eastAsia="en-GB"/>
              </w:rPr>
              <w:t>Trenutno se ne čuvaju tj obrađuju podaci o vremenu koje je preduzećima potrebno za odgovaranje na tendere OS ili za korišćenje DPS -a ili drugih alata za efikasnost</w:t>
            </w:r>
          </w:p>
        </w:tc>
      </w:tr>
      <w:tr w:rsidR="003F7412" w14:paraId="2D8DB820" w14:textId="77777777" w:rsidTr="00C3473B">
        <w:tc>
          <w:tcPr>
            <w:tcW w:w="1631" w:type="dxa"/>
            <w:tcBorders>
              <w:top w:val="single" w:sz="6" w:space="0" w:color="ECEBEB"/>
              <w:left w:val="single" w:sz="6" w:space="0" w:color="ECEBEB"/>
              <w:bottom w:val="single" w:sz="6" w:space="0" w:color="ECEBEB"/>
              <w:right w:val="single" w:sz="6" w:space="0" w:color="ECEBEB"/>
            </w:tcBorders>
            <w:shd w:val="clear" w:color="auto" w:fill="2E74B5" w:themeFill="accent1" w:themeFillShade="BF"/>
            <w:tcMar>
              <w:top w:w="72" w:type="dxa"/>
              <w:left w:w="24" w:type="dxa"/>
              <w:bottom w:w="72" w:type="dxa"/>
              <w:right w:w="24" w:type="dxa"/>
            </w:tcMar>
          </w:tcPr>
          <w:p w14:paraId="21F4E8B0" w14:textId="77777777" w:rsidR="003F7412" w:rsidRPr="0091029E" w:rsidRDefault="003F7412" w:rsidP="00C3473B">
            <w:pPr>
              <w:spacing w:before="168" w:after="48"/>
              <w:jc w:val="both"/>
              <w:rPr>
                <w:rFonts w:eastAsia="Times New Roman" w:cs="Calibri"/>
                <w:b/>
                <w:i/>
                <w:color w:val="FFFFFF" w:themeColor="background1"/>
                <w:lang w:eastAsia="en-GB"/>
              </w:rPr>
            </w:pPr>
            <w:r w:rsidRPr="0091029E">
              <w:rPr>
                <w:rFonts w:eastAsia="Times New Roman" w:cs="Calibri"/>
                <w:b/>
                <w:i/>
                <w:color w:val="FFFFFF" w:themeColor="background1"/>
                <w:lang w:eastAsia="en-GB"/>
              </w:rPr>
              <w:t>Uticaj na životnu sredinu</w:t>
            </w:r>
          </w:p>
        </w:tc>
        <w:tc>
          <w:tcPr>
            <w:tcW w:w="2849"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tcPr>
          <w:p w14:paraId="4B8F75CA" w14:textId="72FB6605" w:rsidR="003F7412" w:rsidRDefault="003F7412" w:rsidP="00C3473B">
            <w:pPr>
              <w:spacing w:before="168" w:after="48"/>
              <w:jc w:val="both"/>
              <w:rPr>
                <w:rFonts w:eastAsia="Times New Roman" w:cs="Calibri"/>
                <w:color w:val="333333"/>
                <w:lang w:eastAsia="en-GB"/>
              </w:rPr>
            </w:pPr>
            <w:r>
              <w:rPr>
                <w:rFonts w:eastAsia="Times New Roman" w:cs="Calibri"/>
                <w:color w:val="333333"/>
                <w:lang w:eastAsia="en-GB"/>
              </w:rPr>
              <w:t xml:space="preserve">Smanjenje emisije </w:t>
            </w:r>
            <w:r w:rsidR="00E377CE">
              <w:rPr>
                <w:rFonts w:cs="Calibri"/>
                <w:sz w:val="24"/>
              </w:rPr>
              <w:t xml:space="preserve"> CO</w:t>
            </w:r>
            <w:r w:rsidR="00E377CE">
              <w:rPr>
                <w:rFonts w:cs="Calibri"/>
                <w:sz w:val="24"/>
                <w:vertAlign w:val="subscript"/>
              </w:rPr>
              <w:t>2</w:t>
            </w:r>
          </w:p>
        </w:tc>
        <w:tc>
          <w:tcPr>
            <w:tcW w:w="3379"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tcPr>
          <w:p w14:paraId="59A695A8" w14:textId="77777777" w:rsidR="003F7412" w:rsidRDefault="003F7412" w:rsidP="00C3473B">
            <w:pPr>
              <w:spacing w:before="168" w:after="48"/>
              <w:jc w:val="both"/>
              <w:rPr>
                <w:rFonts w:eastAsia="Times New Roman" w:cs="Calibri"/>
                <w:color w:val="333333"/>
                <w:lang w:eastAsia="en-GB"/>
              </w:rPr>
            </w:pPr>
            <w:r>
              <w:rPr>
                <w:rFonts w:eastAsia="Times New Roman" w:cs="Calibri"/>
                <w:color w:val="333333"/>
                <w:lang w:eastAsia="en-GB"/>
              </w:rPr>
              <w:t>Poređenje između emisija C02 iz prethodnih roba i usluga iz OS i novih roba i usluga odabranih korišćenjem emisija kao kriterijuma.</w:t>
            </w:r>
          </w:p>
        </w:tc>
        <w:tc>
          <w:tcPr>
            <w:tcW w:w="1265"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vAlign w:val="center"/>
          </w:tcPr>
          <w:p w14:paraId="66C82E9D" w14:textId="77777777" w:rsidR="003F7412" w:rsidRDefault="003F7412" w:rsidP="00C3473B">
            <w:pPr>
              <w:spacing w:before="168" w:after="48"/>
              <w:jc w:val="center"/>
            </w:pPr>
            <w:r>
              <w:rPr>
                <w:rFonts w:eastAsia="Times New Roman" w:cs="Calibri"/>
                <w:noProof/>
                <w:color w:val="333333"/>
                <w:lang w:val="en-US"/>
              </w:rPr>
              <w:drawing>
                <wp:inline distT="0" distB="0" distL="0" distR="0" wp14:anchorId="48B3C1B1" wp14:editId="331A79C5">
                  <wp:extent cx="274329" cy="289572"/>
                  <wp:effectExtent l="0" t="0" r="0" b="0"/>
                  <wp:docPr id="4" name="Picture 9" descr="pictur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274329" cy="289572"/>
                          </a:xfrm>
                          <a:prstGeom prst="rect">
                            <a:avLst/>
                          </a:prstGeom>
                          <a:noFill/>
                          <a:ln>
                            <a:noFill/>
                            <a:prstDash/>
                          </a:ln>
                        </pic:spPr>
                      </pic:pic>
                    </a:graphicData>
                  </a:graphic>
                </wp:inline>
              </w:drawing>
            </w:r>
          </w:p>
        </w:tc>
        <w:tc>
          <w:tcPr>
            <w:tcW w:w="4818"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tcPr>
          <w:p w14:paraId="28B11C0C" w14:textId="77777777" w:rsidR="003F7412" w:rsidRDefault="003F7412" w:rsidP="00C3473B">
            <w:pPr>
              <w:spacing w:before="168" w:after="48"/>
              <w:jc w:val="both"/>
            </w:pPr>
            <w:r>
              <w:rPr>
                <w:rFonts w:eastAsia="Times New Roman" w:cs="Calibri"/>
                <w:color w:val="333333"/>
                <w:lang w:eastAsia="en-GB"/>
              </w:rPr>
              <w:t>Zahtijeva razumevanje emisija C02 prethodnih roba i usluga tokom životnog ciklusa, kao i emisije tekućih roba i usluga (npr. Emisije iz prethodnog voznog parka u poređenju sa trenutnim voznim parkom). Sadašnje mjerenje uključuje samo proračun potrošnje putem „zelenih“ ugovora.</w:t>
            </w:r>
          </w:p>
        </w:tc>
      </w:tr>
      <w:tr w:rsidR="003F7412" w14:paraId="61BFC979" w14:textId="77777777" w:rsidTr="00C3473B">
        <w:tc>
          <w:tcPr>
            <w:tcW w:w="1631" w:type="dxa"/>
            <w:tcBorders>
              <w:top w:val="single" w:sz="6" w:space="0" w:color="ECEBEB"/>
              <w:left w:val="single" w:sz="6" w:space="0" w:color="ECEBEB"/>
              <w:bottom w:val="single" w:sz="6" w:space="0" w:color="ECEBEB"/>
              <w:right w:val="single" w:sz="6" w:space="0" w:color="ECEBEB"/>
            </w:tcBorders>
            <w:shd w:val="clear" w:color="auto" w:fill="2E74B5" w:themeFill="accent1" w:themeFillShade="BF"/>
            <w:tcMar>
              <w:top w:w="72" w:type="dxa"/>
              <w:left w:w="24" w:type="dxa"/>
              <w:bottom w:w="72" w:type="dxa"/>
              <w:right w:w="24" w:type="dxa"/>
            </w:tcMar>
          </w:tcPr>
          <w:p w14:paraId="30DD6D35" w14:textId="77777777" w:rsidR="003F7412" w:rsidRPr="0091029E" w:rsidRDefault="003F7412" w:rsidP="00C3473B">
            <w:pPr>
              <w:spacing w:before="168" w:after="48"/>
              <w:jc w:val="both"/>
              <w:rPr>
                <w:rFonts w:eastAsia="Times New Roman" w:cs="Calibri"/>
                <w:b/>
                <w:i/>
                <w:color w:val="FFFFFF" w:themeColor="background1"/>
                <w:lang w:eastAsia="en-GB"/>
              </w:rPr>
            </w:pPr>
            <w:r w:rsidRPr="0091029E">
              <w:rPr>
                <w:rFonts w:eastAsia="Times New Roman" w:cs="Calibri"/>
                <w:b/>
                <w:i/>
                <w:color w:val="FFFFFF" w:themeColor="background1"/>
                <w:lang w:eastAsia="en-GB"/>
              </w:rPr>
              <w:t>Socijalni uticaj</w:t>
            </w:r>
          </w:p>
        </w:tc>
        <w:tc>
          <w:tcPr>
            <w:tcW w:w="2849"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tcPr>
          <w:p w14:paraId="39B34BF7" w14:textId="171586C5" w:rsidR="003F7412" w:rsidRDefault="003F7412" w:rsidP="00A87FFD">
            <w:pPr>
              <w:spacing w:before="168" w:after="48"/>
            </w:pPr>
            <w:r>
              <w:rPr>
                <w:rFonts w:eastAsia="Times New Roman" w:cs="Calibri"/>
                <w:color w:val="333333"/>
                <w:lang w:eastAsia="en-GB"/>
              </w:rPr>
              <w:t>Upotreba</w:t>
            </w:r>
            <w:r w:rsidR="00A87FFD">
              <w:rPr>
                <w:rFonts w:eastAsia="Times New Roman" w:cs="Calibri"/>
                <w:color w:val="333333"/>
                <w:lang w:eastAsia="en-GB"/>
              </w:rPr>
              <w:t xml:space="preserve"> </w:t>
            </w:r>
            <w:r>
              <w:rPr>
                <w:rFonts w:eastAsia="Times New Roman" w:cs="Calibri"/>
                <w:color w:val="333333"/>
                <w:lang w:eastAsia="en-GB"/>
              </w:rPr>
              <w:t>društvenih kriterijuma u ​​OS</w:t>
            </w:r>
          </w:p>
        </w:tc>
        <w:tc>
          <w:tcPr>
            <w:tcW w:w="3379"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tcPr>
          <w:p w14:paraId="2E762809" w14:textId="77777777" w:rsidR="003F7412" w:rsidRDefault="003F7412" w:rsidP="00C3473B">
            <w:pPr>
              <w:spacing w:before="168" w:after="48"/>
              <w:jc w:val="both"/>
              <w:rPr>
                <w:rFonts w:eastAsia="Times New Roman" w:cs="Calibri"/>
                <w:color w:val="333333"/>
                <w:lang w:eastAsia="en-GB"/>
              </w:rPr>
            </w:pPr>
            <w:r>
              <w:rPr>
                <w:rFonts w:eastAsia="Times New Roman" w:cs="Calibri"/>
                <w:color w:val="333333"/>
                <w:lang w:eastAsia="en-GB"/>
              </w:rPr>
              <w:t>Odnos  OS koji slijede socijalne ciljeve (i gdje je to moguće, zbir društvenih ishoda osiguranih putem OS)</w:t>
            </w:r>
          </w:p>
        </w:tc>
        <w:tc>
          <w:tcPr>
            <w:tcW w:w="1265"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vAlign w:val="center"/>
          </w:tcPr>
          <w:p w14:paraId="05EAAAEE" w14:textId="77777777" w:rsidR="003F7412" w:rsidRDefault="003F7412" w:rsidP="00C3473B">
            <w:pPr>
              <w:spacing w:before="168" w:after="48"/>
              <w:jc w:val="center"/>
            </w:pPr>
            <w:r>
              <w:rPr>
                <w:rFonts w:eastAsia="Times New Roman" w:cs="Calibri"/>
                <w:noProof/>
                <w:color w:val="333333"/>
                <w:lang w:val="en-US"/>
              </w:rPr>
              <w:drawing>
                <wp:inline distT="0" distB="0" distL="0" distR="0" wp14:anchorId="19BE4593" wp14:editId="337FC510">
                  <wp:extent cx="357411" cy="357411"/>
                  <wp:effectExtent l="0" t="0" r="4539" b="4539"/>
                  <wp:docPr id="5" name="Picture 10" descr="pictur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357411" cy="357411"/>
                          </a:xfrm>
                          <a:prstGeom prst="rect">
                            <a:avLst/>
                          </a:prstGeom>
                          <a:noFill/>
                          <a:ln>
                            <a:noFill/>
                            <a:prstDash/>
                          </a:ln>
                        </pic:spPr>
                      </pic:pic>
                    </a:graphicData>
                  </a:graphic>
                </wp:inline>
              </w:drawing>
            </w:r>
          </w:p>
        </w:tc>
        <w:tc>
          <w:tcPr>
            <w:tcW w:w="4818" w:type="dxa"/>
            <w:tcBorders>
              <w:top w:val="single" w:sz="6" w:space="0" w:color="ECEBEB"/>
              <w:left w:val="single" w:sz="6" w:space="0" w:color="ECEBEB"/>
              <w:bottom w:val="single" w:sz="6" w:space="0" w:color="ECEBEB"/>
              <w:right w:val="single" w:sz="6" w:space="0" w:color="ECEBEB"/>
            </w:tcBorders>
            <w:shd w:val="clear" w:color="auto" w:fill="auto"/>
            <w:tcMar>
              <w:top w:w="72" w:type="dxa"/>
              <w:left w:w="24" w:type="dxa"/>
              <w:bottom w:w="72" w:type="dxa"/>
              <w:right w:w="24" w:type="dxa"/>
            </w:tcMar>
          </w:tcPr>
          <w:p w14:paraId="16AC0EC8" w14:textId="77777777" w:rsidR="003F7412" w:rsidRDefault="003F7412" w:rsidP="00C3473B">
            <w:pPr>
              <w:spacing w:before="168" w:after="48"/>
              <w:jc w:val="both"/>
              <w:rPr>
                <w:rFonts w:eastAsia="Times New Roman" w:cs="Calibri"/>
                <w:color w:val="333333"/>
                <w:lang w:eastAsia="en-GB"/>
              </w:rPr>
            </w:pPr>
            <w:r>
              <w:rPr>
                <w:rFonts w:eastAsia="Times New Roman" w:cs="Calibri"/>
                <w:color w:val="333333"/>
                <w:lang w:eastAsia="en-GB"/>
              </w:rPr>
              <w:t>Dostupne informacije o tome koji trenutni OS sadrže klauzule ili kriterijume koji se odnose na postizanje društvenih rezultata.</w:t>
            </w:r>
          </w:p>
        </w:tc>
      </w:tr>
      <w:tr w:rsidR="003F7412" w14:paraId="60099CDA" w14:textId="77777777" w:rsidTr="00C3473B">
        <w:tc>
          <w:tcPr>
            <w:tcW w:w="13942" w:type="dxa"/>
            <w:gridSpan w:val="5"/>
            <w:shd w:val="clear" w:color="auto" w:fill="auto"/>
            <w:tcMar>
              <w:top w:w="0" w:type="dxa"/>
              <w:left w:w="0" w:type="dxa"/>
              <w:bottom w:w="0" w:type="dxa"/>
              <w:right w:w="0" w:type="dxa"/>
            </w:tcMar>
            <w:vAlign w:val="center"/>
          </w:tcPr>
          <w:p w14:paraId="15A1175A" w14:textId="77777777" w:rsidR="003F7412" w:rsidRDefault="003F7412" w:rsidP="00C3473B">
            <w:pPr>
              <w:spacing w:before="120" w:after="0"/>
              <w:jc w:val="both"/>
            </w:pPr>
            <w:r>
              <w:rPr>
                <w:rFonts w:eastAsia="Times New Roman" w:cs="Calibri"/>
                <w:color w:val="333333"/>
                <w:lang w:eastAsia="en-GB"/>
              </w:rPr>
              <w:t>Izvor: </w:t>
            </w:r>
            <w:r>
              <w:rPr>
                <w:rFonts w:eastAsia="Times New Roman" w:cs="Calibri"/>
                <w:color w:val="0068B6"/>
                <w:lang w:eastAsia="en-GB"/>
              </w:rPr>
              <w:t>(OECD, 2019)</w:t>
            </w:r>
            <w:r>
              <w:rPr>
                <w:rFonts w:eastAsia="Times New Roman" w:cs="Calibri"/>
                <w:color w:val="333333"/>
                <w:lang w:eastAsia="en-GB"/>
              </w:rPr>
              <w:t>, </w:t>
            </w:r>
            <w:r>
              <w:rPr>
                <w:rFonts w:eastAsia="Times New Roman" w:cs="Calibri"/>
                <w:i/>
                <w:iCs/>
                <w:color w:val="333333"/>
                <w:lang w:eastAsia="en-GB"/>
              </w:rPr>
              <w:t>Produktivnost u javnim nabavkama</w:t>
            </w:r>
          </w:p>
        </w:tc>
      </w:tr>
    </w:tbl>
    <w:p w14:paraId="6BD34A22" w14:textId="18CF9F83" w:rsidR="003A5888" w:rsidRPr="00C25F77" w:rsidRDefault="00C3473B" w:rsidP="002A6A75">
      <w:pPr>
        <w:jc w:val="center"/>
        <w:rPr>
          <w:i/>
        </w:rPr>
      </w:pPr>
      <w:bookmarkStart w:id="28" w:name="_Toc82415536"/>
      <w:r w:rsidRPr="00C25F77">
        <w:rPr>
          <w:i/>
        </w:rPr>
        <w:t xml:space="preserve">Tabela </w:t>
      </w:r>
      <w:r w:rsidRPr="00C25F77">
        <w:rPr>
          <w:i/>
        </w:rPr>
        <w:fldChar w:fldCharType="begin"/>
      </w:r>
      <w:r w:rsidRPr="00C25F77">
        <w:rPr>
          <w:i/>
        </w:rPr>
        <w:instrText xml:space="preserve"> SEQ Table \* ARABIC </w:instrText>
      </w:r>
      <w:r w:rsidRPr="00C25F77">
        <w:rPr>
          <w:i/>
        </w:rPr>
        <w:fldChar w:fldCharType="separate"/>
      </w:r>
      <w:r w:rsidR="002E7036">
        <w:rPr>
          <w:i/>
          <w:noProof/>
        </w:rPr>
        <w:t>3</w:t>
      </w:r>
      <w:r w:rsidRPr="00C25F77">
        <w:rPr>
          <w:i/>
        </w:rPr>
        <w:fldChar w:fldCharType="end"/>
      </w:r>
      <w:r w:rsidRPr="00C25F77">
        <w:rPr>
          <w:i/>
        </w:rPr>
        <w:t xml:space="preserve"> </w:t>
      </w:r>
      <w:r w:rsidRPr="00C25F77">
        <w:rPr>
          <w:rFonts w:cs="Calibri"/>
          <w:bCs/>
          <w:i/>
          <w:color w:val="000000"/>
          <w:lang w:eastAsia="en-GB"/>
        </w:rPr>
        <w:t>Izvod ocjene indikatora na osnovu dostupnosti podataka u Finskoj</w:t>
      </w:r>
      <w:bookmarkEnd w:id="28"/>
    </w:p>
    <w:p w14:paraId="087837FE" w14:textId="7D8FF6C1" w:rsidR="003F7412" w:rsidRPr="003A5888" w:rsidRDefault="003A5888" w:rsidP="003A5888">
      <w:pPr>
        <w:pStyle w:val="Caption"/>
        <w:rPr>
          <w:rFonts w:ascii="Calibri" w:hAnsi="Calibri"/>
          <w:sz w:val="22"/>
          <w:szCs w:val="22"/>
        </w:rPr>
        <w:sectPr w:rsidR="003F7412" w:rsidRPr="003A5888">
          <w:headerReference w:type="default" r:id="rId18"/>
          <w:pgSz w:w="16838" w:h="11906" w:orient="landscape"/>
          <w:pgMar w:top="1440" w:right="1440" w:bottom="1440" w:left="1440" w:header="720" w:footer="720" w:gutter="0"/>
          <w:cols w:space="720"/>
        </w:sectPr>
      </w:pPr>
      <w:r>
        <w:tab/>
      </w:r>
    </w:p>
    <w:p w14:paraId="23CFEC9F" w14:textId="77777777" w:rsidR="003F7412" w:rsidRPr="00A46AC5" w:rsidRDefault="003F7412" w:rsidP="003F7412">
      <w:pPr>
        <w:pStyle w:val="Heading2"/>
        <w:numPr>
          <w:ilvl w:val="1"/>
          <w:numId w:val="16"/>
        </w:numPr>
        <w:rPr>
          <w:rFonts w:ascii="Calibri" w:hAnsi="Calibri"/>
          <w:color w:val="171717" w:themeColor="background2" w:themeShade="1A"/>
          <w:sz w:val="32"/>
        </w:rPr>
      </w:pPr>
      <w:bookmarkStart w:id="29" w:name="_Toc81476888"/>
      <w:bookmarkStart w:id="30" w:name="_Toc81481275"/>
      <w:bookmarkStart w:id="31" w:name="_Toc82271944"/>
      <w:r w:rsidRPr="00A46AC5">
        <w:rPr>
          <w:rFonts w:ascii="Calibri" w:hAnsi="Calibri"/>
          <w:color w:val="171717" w:themeColor="background2" w:themeShade="1A"/>
          <w:sz w:val="32"/>
        </w:rPr>
        <w:lastRenderedPageBreak/>
        <w:t>Problem dostupnosti podataka</w:t>
      </w:r>
      <w:bookmarkEnd w:id="29"/>
      <w:bookmarkEnd w:id="30"/>
      <w:bookmarkEnd w:id="31"/>
    </w:p>
    <w:p w14:paraId="7AB54362" w14:textId="77777777" w:rsidR="003F7412" w:rsidRDefault="003F7412" w:rsidP="003F7412">
      <w:pPr>
        <w:shd w:val="clear" w:color="auto" w:fill="FFFFFF"/>
        <w:suppressAutoHyphens w:val="0"/>
        <w:spacing w:before="168" w:after="168"/>
        <w:textAlignment w:val="auto"/>
        <w:rPr>
          <w:rFonts w:eastAsia="Times New Roman" w:cs="Calibri"/>
          <w:color w:val="333333"/>
          <w:sz w:val="24"/>
          <w:szCs w:val="24"/>
          <w:lang w:eastAsia="en-GB"/>
        </w:rPr>
      </w:pPr>
    </w:p>
    <w:p w14:paraId="16E70C94" w14:textId="77777777" w:rsidR="003F7412" w:rsidRDefault="003F7412" w:rsidP="003F7412">
      <w:pPr>
        <w:jc w:val="both"/>
        <w:rPr>
          <w:rFonts w:cs="Calibri"/>
          <w:sz w:val="24"/>
        </w:rPr>
      </w:pPr>
      <w:r>
        <w:rPr>
          <w:rFonts w:cs="Calibri"/>
          <w:sz w:val="24"/>
        </w:rPr>
        <w:t>U većini slučajeva vlade ne posjeduju podatke koji su potrebni za adekvatnu procjenu efikasnosti i efektivnosti javne potrošnje. Tamo gdje postoji, kvalitet možda neće biti dovoljan za donošenje čvrstih zaključaka. To može biti zato što prikupljanje podataka nije uvijek zasnovano na jasnoj i dosljednoj metodologiji.</w:t>
      </w:r>
    </w:p>
    <w:p w14:paraId="38DA348D" w14:textId="77777777" w:rsidR="003F7412" w:rsidRDefault="003F7412" w:rsidP="003F7412">
      <w:pPr>
        <w:shd w:val="clear" w:color="auto" w:fill="FFFFFF"/>
        <w:suppressAutoHyphens w:val="0"/>
        <w:spacing w:before="168" w:after="168"/>
        <w:jc w:val="both"/>
        <w:textAlignment w:val="auto"/>
        <w:rPr>
          <w:rFonts w:cs="Calibri"/>
          <w:sz w:val="24"/>
        </w:rPr>
      </w:pPr>
      <w:r w:rsidRPr="00BF0C18">
        <w:rPr>
          <w:rFonts w:cs="Calibri"/>
          <w:sz w:val="24"/>
          <w:u w:val="single"/>
        </w:rPr>
        <w:t>Dostupnost visokokvalitetnih podataka je problem za Vlade, posebno u oblasti javnih nabavki.</w:t>
      </w:r>
      <w:r>
        <w:rPr>
          <w:rFonts w:cs="Calibri"/>
          <w:sz w:val="24"/>
        </w:rPr>
        <w:t xml:space="preserve"> Ovo često sprečava sprovođenje pouzdanih procjena uticaja. Osim toga, često ne postoji standardizovan pristup prikupljanju i korišćenju podataka koji se koriste u cijelom sistemu nabavki. Štaviše, često ne postoji zajednička metodologija u više sistema koja bi omogućila međunarodna poređenja. Ovdje su različite definicije podataka i javnih nabavki u središtu preovlađujućeg izazova upoređivanja i suprotstavljanja rezultata proizašlih iz različitih metodologija. Konačno, vremenski zastoji u implementaciji su uobičajeni tokom procesa nabavke. Zbog toga bi trebalo primijeniti temeljnu metodologiju procjene u različitim fazama ciklusa nabavke.</w:t>
      </w:r>
    </w:p>
    <w:p w14:paraId="261ED433" w14:textId="77777777" w:rsidR="003F7412" w:rsidRDefault="003F7412" w:rsidP="003F7412">
      <w:pPr>
        <w:shd w:val="clear" w:color="auto" w:fill="FFFFFF"/>
        <w:suppressAutoHyphens w:val="0"/>
        <w:spacing w:before="168" w:after="168"/>
        <w:jc w:val="both"/>
        <w:textAlignment w:val="auto"/>
        <w:rPr>
          <w:rFonts w:cs="Calibri"/>
          <w:sz w:val="24"/>
        </w:rPr>
      </w:pPr>
      <w:r>
        <w:rPr>
          <w:rFonts w:cs="Calibri"/>
          <w:sz w:val="24"/>
        </w:rPr>
        <w:t>Politike mogu omogućiti ili ometati prikupljanje podataka o javnim nabavkama. Ovo je posebno jasno u Evropskoj uniji (EU), gdje pravni okvir u cijeloj EU zahtijeva strogo prikupljanje podataka. Dosljedan pravni okvir koji postoji u EU teoretski bi trebalo da omogući poređenja među državama. Međutim, različita tumačenja u vezi sa implementacijom ovih pravila mogu omesti ovaj cilj.</w:t>
      </w:r>
    </w:p>
    <w:p w14:paraId="07BF6D3E" w14:textId="645CAC58" w:rsidR="003F7412" w:rsidRDefault="003F7412" w:rsidP="003F7412">
      <w:pPr>
        <w:shd w:val="clear" w:color="auto" w:fill="FFFFFF"/>
        <w:suppressAutoHyphens w:val="0"/>
        <w:spacing w:before="168" w:after="168"/>
        <w:jc w:val="both"/>
        <w:textAlignment w:val="auto"/>
        <w:rPr>
          <w:rFonts w:cs="Calibri"/>
          <w:sz w:val="24"/>
        </w:rPr>
      </w:pPr>
      <w:r>
        <w:rPr>
          <w:rFonts w:cs="Calibri"/>
          <w:sz w:val="24"/>
        </w:rPr>
        <w:t>Bez rigoroznog pravnog okvira i dosljednog pristupa prikupljanju podataka, države propuštaju važnu priliku za povećanje performansi svojih sistema nabavki. Konkretne mogućnosti za poboljšanje možda neće biti vidljive jer nedostatak kvalitetnih podataka ne dozvoljava smisleno praćenje. Za sveukupno kreiranje politike i strateško odlučivanje, ovaj nedostatak analize podataka znači da se odluke moraju zasnivati na kvalitativnim dokazima. Dok uvidi zasnovani na kvalitativnim dokazima mogu pružiti razumnu osnovu za donošenje odluka, kvantitativni dokazi, kada se rigorozno prikupe, pružili bi sveobuhvatniju analizu. Sistemsko prikupljanje podataka povećalo bi sposobnost zemalja da procijene indirektne uticaje ili kompromise koji proističu iz politika.</w:t>
      </w:r>
      <w:r w:rsidR="00BF0C18">
        <w:rPr>
          <w:rFonts w:cs="Calibri"/>
          <w:sz w:val="24"/>
        </w:rPr>
        <w:t xml:space="preserve"> </w:t>
      </w:r>
    </w:p>
    <w:p w14:paraId="524C94B8" w14:textId="12602B91" w:rsidR="00BF0C18" w:rsidRDefault="008C296D" w:rsidP="003F7412">
      <w:pPr>
        <w:shd w:val="clear" w:color="auto" w:fill="FFFFFF"/>
        <w:suppressAutoHyphens w:val="0"/>
        <w:spacing w:before="168" w:after="168"/>
        <w:jc w:val="both"/>
        <w:textAlignment w:val="auto"/>
        <w:rPr>
          <w:rFonts w:cs="Calibri"/>
          <w:sz w:val="24"/>
        </w:rPr>
      </w:pPr>
      <w:r>
        <w:rPr>
          <w:rFonts w:cs="Calibri"/>
          <w:sz w:val="24"/>
        </w:rPr>
        <w:t>Sve gore navedeno</w:t>
      </w:r>
      <w:r w:rsidR="00BF0C18">
        <w:rPr>
          <w:rFonts w:cs="Calibri"/>
          <w:sz w:val="24"/>
        </w:rPr>
        <w:t xml:space="preserve"> svakako važi i za Crnu Goru. </w:t>
      </w:r>
    </w:p>
    <w:p w14:paraId="55CE864A" w14:textId="77777777" w:rsidR="003F7412" w:rsidRDefault="003F7412" w:rsidP="003F7412">
      <w:pPr>
        <w:shd w:val="clear" w:color="auto" w:fill="FFFFFF"/>
        <w:suppressAutoHyphens w:val="0"/>
        <w:spacing w:before="168" w:after="168"/>
        <w:jc w:val="both"/>
        <w:textAlignment w:val="auto"/>
        <w:rPr>
          <w:rFonts w:eastAsia="Times New Roman" w:cs="Calibri"/>
          <w:color w:val="333333"/>
          <w:lang w:eastAsia="en-GB"/>
        </w:rPr>
      </w:pPr>
    </w:p>
    <w:p w14:paraId="6F02A982" w14:textId="77777777" w:rsidR="003F7412" w:rsidRPr="000142CE" w:rsidRDefault="003F7412" w:rsidP="002270C1">
      <w:pPr>
        <w:pStyle w:val="Heading2"/>
        <w:numPr>
          <w:ilvl w:val="1"/>
          <w:numId w:val="16"/>
        </w:numPr>
        <w:rPr>
          <w:rFonts w:ascii="Calibri" w:hAnsi="Calibri"/>
          <w:color w:val="171717" w:themeColor="background2" w:themeShade="1A"/>
        </w:rPr>
      </w:pPr>
      <w:bookmarkStart w:id="32" w:name="_Toc80181916"/>
      <w:bookmarkStart w:id="33" w:name="_Toc82271945"/>
      <w:r w:rsidRPr="000142CE">
        <w:rPr>
          <w:rFonts w:ascii="Calibri" w:hAnsi="Calibri"/>
          <w:color w:val="171717" w:themeColor="background2" w:themeShade="1A"/>
        </w:rPr>
        <w:t>Javne nabavke i kriterijumi energetske efikasnosti</w:t>
      </w:r>
      <w:bookmarkEnd w:id="32"/>
      <w:bookmarkEnd w:id="33"/>
      <w:r w:rsidRPr="000142CE">
        <w:rPr>
          <w:rFonts w:ascii="Calibri" w:hAnsi="Calibri"/>
          <w:color w:val="171717" w:themeColor="background2" w:themeShade="1A"/>
        </w:rPr>
        <w:t xml:space="preserve"> </w:t>
      </w:r>
    </w:p>
    <w:p w14:paraId="542DDE41" w14:textId="77777777" w:rsidR="003F7412" w:rsidRDefault="003F7412" w:rsidP="003F7412">
      <w:pPr>
        <w:tabs>
          <w:tab w:val="left" w:pos="244"/>
          <w:tab w:val="left" w:pos="5040"/>
          <w:tab w:val="right" w:pos="8504"/>
        </w:tabs>
        <w:spacing w:after="20"/>
        <w:jc w:val="both"/>
        <w:rPr>
          <w:rFonts w:cs="Calibri"/>
          <w:sz w:val="24"/>
          <w:szCs w:val="24"/>
          <w:lang w:eastAsia="de-DE"/>
        </w:rPr>
      </w:pPr>
    </w:p>
    <w:p w14:paraId="7EB45188" w14:textId="3E4F0AD6" w:rsidR="003F7412" w:rsidRDefault="003F7412" w:rsidP="003F7412">
      <w:pPr>
        <w:tabs>
          <w:tab w:val="left" w:pos="244"/>
          <w:tab w:val="left" w:pos="5040"/>
          <w:tab w:val="right" w:pos="8504"/>
        </w:tabs>
        <w:jc w:val="both"/>
      </w:pPr>
      <w:r>
        <w:rPr>
          <w:rFonts w:cs="Calibri"/>
          <w:sz w:val="24"/>
          <w:szCs w:val="24"/>
          <w:lang w:eastAsia="de-DE"/>
        </w:rPr>
        <w:t xml:space="preserve">Akcioni plan energetske efikasnosti prepoznaje energetsku efikasnost u javnim nabavkama kao jednu od ključnih mjera za unapređenje energetske efikasnosti u javnom sektoru. Mjera APEE pod nazivom  </w:t>
      </w:r>
      <w:r w:rsidR="00624A1A">
        <w:rPr>
          <w:rFonts w:cs="Calibri"/>
          <w:sz w:val="24"/>
          <w:szCs w:val="24"/>
          <w:lang w:eastAsia="de-DE"/>
        </w:rPr>
        <w:t>“</w:t>
      </w:r>
      <w:r>
        <w:rPr>
          <w:rFonts w:cs="Calibri"/>
          <w:i/>
          <w:iCs/>
          <w:sz w:val="24"/>
          <w:szCs w:val="24"/>
          <w:lang w:eastAsia="de-DE"/>
        </w:rPr>
        <w:t>Uspostavljanje i primjena EE kriterijuma u javnim nabavkama roba, vozila i usluga, kao i kod kupovine i zakupa zgrada</w:t>
      </w:r>
      <w:r w:rsidR="00624A1A">
        <w:rPr>
          <w:rFonts w:cs="Calibri"/>
          <w:i/>
          <w:iCs/>
          <w:sz w:val="24"/>
          <w:szCs w:val="24"/>
          <w:lang w:eastAsia="de-DE"/>
        </w:rPr>
        <w:t xml:space="preserve">” </w:t>
      </w:r>
      <w:r>
        <w:rPr>
          <w:rFonts w:cs="Calibri"/>
          <w:sz w:val="24"/>
          <w:szCs w:val="24"/>
          <w:lang w:eastAsia="de-DE"/>
        </w:rPr>
        <w:t xml:space="preserve"> ima za cilj uspostavljanje sistemskih mehanizama za  uvođenje kriterijuma energetske efikasnosti u postupku javnih nabavki, kako bi se na taj način postigle značajne uštede energije i ostvarili ekonomski i drugi benefiti. Realizacija ove mjere predstavlja jedan od preduslova za ispunjenje zahtjeva za očuvanje životne sredine.</w:t>
      </w:r>
    </w:p>
    <w:p w14:paraId="66A8BA27" w14:textId="7BFF2919" w:rsidR="003F7412" w:rsidRDefault="003F7412" w:rsidP="003F7412">
      <w:pPr>
        <w:tabs>
          <w:tab w:val="left" w:pos="244"/>
          <w:tab w:val="left" w:pos="5040"/>
          <w:tab w:val="right" w:pos="8504"/>
        </w:tabs>
        <w:jc w:val="both"/>
        <w:rPr>
          <w:rFonts w:cs="Calibri"/>
          <w:sz w:val="24"/>
          <w:szCs w:val="24"/>
        </w:rPr>
      </w:pPr>
      <w:r>
        <w:rPr>
          <w:rFonts w:cs="Calibri"/>
          <w:sz w:val="24"/>
          <w:szCs w:val="24"/>
        </w:rPr>
        <w:lastRenderedPageBreak/>
        <w:t xml:space="preserve">Izvršena je preliminarna procjena efekata implementacije primjene EE kriterijuma u javnim nabavkama na bazi sljedećih pretpostavki. </w:t>
      </w:r>
      <w:r w:rsidRPr="00BF0C18">
        <w:rPr>
          <w:rFonts w:cs="Calibri"/>
          <w:sz w:val="24"/>
          <w:szCs w:val="24"/>
          <w:u w:val="single"/>
        </w:rPr>
        <w:t>Pretpostavljeno je da novi grijani prostor na godišnjem nivou iznosi 5.000 m</w:t>
      </w:r>
      <w:r w:rsidR="00BF0C18">
        <w:rPr>
          <w:rFonts w:cs="Calibri"/>
          <w:sz w:val="24"/>
          <w:szCs w:val="24"/>
          <w:u w:val="single"/>
          <w:vertAlign w:val="superscript"/>
        </w:rPr>
        <w:t>2</w:t>
      </w:r>
      <w:r w:rsidRPr="00BF0C18">
        <w:rPr>
          <w:rFonts w:cs="Calibri"/>
          <w:sz w:val="24"/>
          <w:szCs w:val="24"/>
          <w:u w:val="single"/>
        </w:rPr>
        <w:t>, da će se novi efikasni split sistemi nabaviti za 10.000 m</w:t>
      </w:r>
      <w:r w:rsidR="00BF0C18">
        <w:rPr>
          <w:rFonts w:cs="Calibri"/>
          <w:sz w:val="24"/>
          <w:szCs w:val="24"/>
          <w:u w:val="single"/>
          <w:vertAlign w:val="superscript"/>
        </w:rPr>
        <w:t>2</w:t>
      </w:r>
      <w:r w:rsidRPr="00BF0C18">
        <w:rPr>
          <w:rFonts w:cs="Calibri"/>
          <w:sz w:val="24"/>
          <w:szCs w:val="24"/>
          <w:u w:val="single"/>
        </w:rPr>
        <w:t xml:space="preserve"> hlađenog prostora u javnim zgradama, te da je na godišnjem nivou nabavljena sljedeća kancelarijska oprema: 300 desktop računara, 500 laptop računara i 300 LCD monitora. Efekti uštede od instalacije novih split sistema procijenjeni su na bazi pretpostavke o rashladnom opterećenju prostora od 35 W/m</w:t>
      </w:r>
      <w:r w:rsidR="00BF0C18">
        <w:rPr>
          <w:rFonts w:cs="Calibri"/>
          <w:sz w:val="24"/>
          <w:szCs w:val="24"/>
          <w:u w:val="single"/>
          <w:vertAlign w:val="superscript"/>
        </w:rPr>
        <w:t>3</w:t>
      </w:r>
      <w:r w:rsidRPr="00BF0C18">
        <w:rPr>
          <w:rFonts w:cs="Calibri"/>
          <w:sz w:val="24"/>
          <w:szCs w:val="24"/>
          <w:u w:val="single"/>
        </w:rPr>
        <w:t>.</w:t>
      </w:r>
      <w:r>
        <w:rPr>
          <w:rFonts w:cs="Calibri"/>
          <w:sz w:val="24"/>
          <w:szCs w:val="24"/>
        </w:rPr>
        <w:t xml:space="preserve"> Uz pretpostavljenu kupovinu split sistema koji će pokriti potrebe za rashladnom energijom u 10.000 m</w:t>
      </w:r>
      <w:r w:rsidR="003D4AF8">
        <w:rPr>
          <w:rFonts w:cs="Calibri"/>
          <w:sz w:val="24"/>
          <w:szCs w:val="24"/>
          <w:vertAlign w:val="superscript"/>
        </w:rPr>
        <w:t>2</w:t>
      </w:r>
      <w:r w:rsidR="003D4AF8">
        <w:rPr>
          <w:rFonts w:cs="Calibri"/>
          <w:sz w:val="24"/>
          <w:szCs w:val="24"/>
        </w:rPr>
        <w:t xml:space="preserve"> </w:t>
      </w:r>
      <w:r>
        <w:rPr>
          <w:rFonts w:cs="Calibri"/>
          <w:sz w:val="24"/>
          <w:szCs w:val="24"/>
        </w:rPr>
        <w:t>prostora, ukupne uštede finalne energije na godišnjem nivou su za pomenute kategorije javnih nabavki 1.1. GWh (0.095 ktoe). Treba naglasiti da je kod preračunavanja finalne u korigovanu potrošnju energije korišćen pristup da se za uređaje koji troše električnu energiju uštede finalne energije množe sa 2,5 dok je kod ušteda koji dolaze od novog grijanog prostora uzet u obzir udio električne energije od 38,25%. Rezultujuće uštede preračunate po opisanom pristupu iznose 0,178 ktoe na godišnjem nivou, odnosno 0,534 ktoe u trogodišnjem periodu.</w:t>
      </w:r>
    </w:p>
    <w:p w14:paraId="71FA4BCC" w14:textId="77777777" w:rsidR="003F7412" w:rsidRDefault="003F7412" w:rsidP="003F7412">
      <w:pPr>
        <w:tabs>
          <w:tab w:val="left" w:pos="244"/>
          <w:tab w:val="left" w:pos="5040"/>
          <w:tab w:val="right" w:pos="8504"/>
        </w:tabs>
        <w:jc w:val="both"/>
        <w:rPr>
          <w:rFonts w:cs="Calibri"/>
          <w:sz w:val="24"/>
          <w:szCs w:val="24"/>
          <w:lang w:eastAsia="de-DE"/>
        </w:rPr>
      </w:pPr>
      <w:r>
        <w:rPr>
          <w:rFonts w:cs="Calibri"/>
          <w:sz w:val="24"/>
          <w:szCs w:val="24"/>
          <w:lang w:eastAsia="de-DE"/>
        </w:rPr>
        <w:t xml:space="preserve">S obzirom da je javni sektor izuzetno značajan naručilac roba i usluga relevantnih sa aspekta potrošnje energije, uspješna realizacija ove mjere može bitno uticati na transformisanju tržišta ka energetski efikasnijim rješenjima, smanjivanju cijena novih tehnologija i njihovoj široj upotrebi. </w:t>
      </w:r>
    </w:p>
    <w:p w14:paraId="2A3AC4F3" w14:textId="77777777" w:rsidR="003F7412" w:rsidRDefault="003F7412" w:rsidP="003F7412">
      <w:pPr>
        <w:tabs>
          <w:tab w:val="left" w:pos="244"/>
          <w:tab w:val="left" w:pos="5040"/>
          <w:tab w:val="right" w:pos="8504"/>
        </w:tabs>
        <w:jc w:val="both"/>
        <w:rPr>
          <w:rFonts w:cs="Calibri"/>
          <w:sz w:val="24"/>
          <w:szCs w:val="24"/>
          <w:lang w:eastAsia="de-DE"/>
        </w:rPr>
      </w:pPr>
      <w:r>
        <w:rPr>
          <w:rFonts w:cs="Calibri"/>
          <w:sz w:val="24"/>
          <w:szCs w:val="24"/>
          <w:lang w:eastAsia="de-DE"/>
        </w:rPr>
        <w:t>Zakonom o javnim nabavkama koji se primjenjuje od 1. januara 2013. godine data je mogućnost da u postupku javne nabavke energetska efikasnost bude obavezujući tehnički zahtjev u specifikaciji robe/usluge ili jedan od podkriterijuma u okviru kriterijuma ekonomski najpovoljnije ponude.</w:t>
      </w:r>
    </w:p>
    <w:p w14:paraId="2BA27139" w14:textId="7C9DDB50" w:rsidR="003F7412" w:rsidRDefault="003F7412" w:rsidP="003F7412">
      <w:pPr>
        <w:jc w:val="both"/>
        <w:rPr>
          <w:rFonts w:cs="Calibri"/>
          <w:sz w:val="24"/>
          <w:szCs w:val="24"/>
        </w:rPr>
      </w:pPr>
      <w:r>
        <w:rPr>
          <w:rFonts w:cs="Calibri"/>
          <w:sz w:val="24"/>
          <w:szCs w:val="24"/>
        </w:rPr>
        <w:t>Inoviranim zakonskim rješenjem u oblasti energetske efikasnosti iz 2019. godine predviđena je mogućnost da energetska efikasnost osim kao kriterijum ekonomski najpovoljnije ponude bude uvedena i kao obavezan tehnički zahtjev. Ovim je otklonjen nedostatak ranijeg zakonskog rješenja da energetska efikasnost ne može biti obavezujući tehnički zahtjev u postupku javne nabavke.</w:t>
      </w:r>
    </w:p>
    <w:p w14:paraId="11DE7479" w14:textId="4D2A6336" w:rsidR="003F7412" w:rsidRDefault="003F7412" w:rsidP="003F7412">
      <w:pPr>
        <w:jc w:val="both"/>
        <w:rPr>
          <w:rFonts w:cs="Calibri"/>
          <w:sz w:val="24"/>
          <w:szCs w:val="24"/>
        </w:rPr>
      </w:pPr>
      <w:r>
        <w:rPr>
          <w:rFonts w:cs="Calibri"/>
          <w:sz w:val="24"/>
          <w:szCs w:val="24"/>
        </w:rPr>
        <w:t xml:space="preserve">Shodno zakonu ocjena stepena energetske efikasnosti vrši se u skladu sa metodologijom za utvrđivanje stepena energetske efikasnosti. Ministarstvo kapitalnih investicija je u februaru 2016. godine donijelo </w:t>
      </w:r>
      <w:r w:rsidR="00603942">
        <w:rPr>
          <w:rFonts w:cs="Calibri"/>
          <w:sz w:val="24"/>
          <w:szCs w:val="24"/>
        </w:rPr>
        <w:t>“</w:t>
      </w:r>
      <w:r>
        <w:rPr>
          <w:rFonts w:cs="Calibri"/>
          <w:sz w:val="24"/>
          <w:szCs w:val="24"/>
        </w:rPr>
        <w:t>Pravilnik o metodologiji za utvrđivanje stepena energetske efikasnosti u postupku javne nabavke ("Sl. list Crne Gore", br. 09/16 od 11. februara 2016. godine)</w:t>
      </w:r>
      <w:r w:rsidR="00603942">
        <w:rPr>
          <w:rFonts w:cs="Calibri"/>
          <w:sz w:val="24"/>
          <w:szCs w:val="24"/>
        </w:rPr>
        <w:t>”</w:t>
      </w:r>
      <w:r>
        <w:rPr>
          <w:rFonts w:cs="Calibri"/>
          <w:sz w:val="24"/>
          <w:szCs w:val="24"/>
        </w:rPr>
        <w:t>. Pravilnik je pripremljen uz okviru "Regionalnog programa energetske efikasnosti u zemljama zapadnog Balkana" (REEP) koji se finansira od strane Evropske banke za rekonstrukciju i razvoj (EBRD). Trenutnim pravilnikom su pored zgrada obuhvaćene sljedeće vrste roba:  informatička kancelarijska oprema, uređaji za domaćinstvo, vozila u drumskom saobraćaju i spoljna rasvjeta. Za punu primjenu izmijenjene odredbe Zakona u pogledu uvođenja energetske efikasnosti kao obavezujućeg tehničkog zahtjeva, neophodno je izvršiti i izmjene i dopune navedenog pravilnika.</w:t>
      </w:r>
    </w:p>
    <w:p w14:paraId="1E26F47D" w14:textId="77777777" w:rsidR="003F7412" w:rsidRPr="003D4AF8" w:rsidRDefault="003F7412" w:rsidP="003D4AF8">
      <w:pPr>
        <w:pBdr>
          <w:top w:val="single" w:sz="4" w:space="1" w:color="auto"/>
          <w:left w:val="single" w:sz="4" w:space="4" w:color="auto"/>
          <w:bottom w:val="single" w:sz="4" w:space="1" w:color="auto"/>
          <w:right w:val="single" w:sz="4" w:space="4" w:color="auto"/>
        </w:pBdr>
        <w:shd w:val="clear" w:color="auto" w:fill="EDEDED" w:themeFill="accent3" w:themeFillTint="33"/>
        <w:jc w:val="both"/>
        <w:rPr>
          <w:rFonts w:cs="Calibri"/>
          <w:i/>
          <w:iCs/>
          <w:sz w:val="24"/>
          <w:szCs w:val="24"/>
        </w:rPr>
      </w:pPr>
      <w:r w:rsidRPr="003D4AF8">
        <w:rPr>
          <w:rFonts w:cs="Calibri"/>
          <w:i/>
          <w:iCs/>
          <w:sz w:val="24"/>
          <w:szCs w:val="24"/>
        </w:rPr>
        <w:t xml:space="preserve">I pored uspostavljenog regulatornog okvira za primjenu EE kriterijuma u postupcima javnih nabavki u prethodnom periodu su napravljeni samo inicijalni koraci u primjeni i nije se krenulo sa intenzivnijom obukom službenika zaduženih za javne nabavke za primjenu metodologije za utvrđivanje stepena energetske efikasnosti u postupku javne nabavke. </w:t>
      </w:r>
    </w:p>
    <w:p w14:paraId="577E3188" w14:textId="77777777" w:rsidR="002270C1" w:rsidRDefault="002270C1" w:rsidP="003F7412">
      <w:pPr>
        <w:jc w:val="both"/>
        <w:rPr>
          <w:rFonts w:cs="Calibri"/>
          <w:sz w:val="24"/>
          <w:szCs w:val="24"/>
        </w:rPr>
      </w:pPr>
    </w:p>
    <w:p w14:paraId="74B324F0" w14:textId="5EB14763" w:rsidR="002270C1" w:rsidRPr="000142CE" w:rsidRDefault="002270C1" w:rsidP="002270C1">
      <w:pPr>
        <w:pStyle w:val="Heading2"/>
        <w:numPr>
          <w:ilvl w:val="1"/>
          <w:numId w:val="16"/>
        </w:numPr>
        <w:rPr>
          <w:rFonts w:ascii="Calibri" w:hAnsi="Calibri"/>
          <w:color w:val="171717" w:themeColor="background2" w:themeShade="1A"/>
        </w:rPr>
      </w:pPr>
      <w:bookmarkStart w:id="34" w:name="_Toc82271946"/>
      <w:r w:rsidRPr="000142CE">
        <w:rPr>
          <w:rFonts w:ascii="Calibri" w:hAnsi="Calibri"/>
          <w:color w:val="171717" w:themeColor="background2" w:themeShade="1A"/>
        </w:rPr>
        <w:lastRenderedPageBreak/>
        <w:t>Analiza troškova za mat</w:t>
      </w:r>
      <w:r w:rsidR="00BB3BFF">
        <w:rPr>
          <w:rFonts w:ascii="Calibri" w:hAnsi="Calibri"/>
          <w:color w:val="171717" w:themeColor="background2" w:themeShade="1A"/>
        </w:rPr>
        <w:t>erijal u j</w:t>
      </w:r>
      <w:r w:rsidRPr="000142CE">
        <w:rPr>
          <w:rFonts w:ascii="Calibri" w:hAnsi="Calibri"/>
          <w:color w:val="171717" w:themeColor="background2" w:themeShade="1A"/>
        </w:rPr>
        <w:t>avnoj upravi</w:t>
      </w:r>
      <w:bookmarkEnd w:id="34"/>
      <w:r w:rsidRPr="000142CE">
        <w:rPr>
          <w:rFonts w:ascii="Calibri" w:hAnsi="Calibri"/>
          <w:color w:val="171717" w:themeColor="background2" w:themeShade="1A"/>
        </w:rPr>
        <w:t xml:space="preserve"> </w:t>
      </w:r>
    </w:p>
    <w:p w14:paraId="7E914FA8" w14:textId="77777777" w:rsidR="002270C1" w:rsidRPr="002270C1" w:rsidRDefault="002270C1" w:rsidP="002270C1"/>
    <w:p w14:paraId="27A9EC73" w14:textId="4F2985B3" w:rsidR="002270C1" w:rsidRPr="002270C1" w:rsidRDefault="002270C1" w:rsidP="002270C1">
      <w:pPr>
        <w:jc w:val="both"/>
        <w:rPr>
          <w:sz w:val="24"/>
        </w:rPr>
      </w:pPr>
      <w:r w:rsidRPr="002270C1">
        <w:rPr>
          <w:sz w:val="24"/>
        </w:rPr>
        <w:t>Tekući izdaci su redovni izdaci koje lokalne samouprave upotrebljavaju za vršenje redovnih poslova iz sopstvene nadležnosti i odnose se na izdatke koji se ponavljaju, a vezuju se za jednu fiskalnu godinu. Ovi izdaci obuhvataju izda</w:t>
      </w:r>
      <w:r w:rsidR="00331B8C">
        <w:rPr>
          <w:sz w:val="24"/>
        </w:rPr>
        <w:t>tke za: bruto zarade i doprinose</w:t>
      </w:r>
      <w:r w:rsidRPr="002270C1">
        <w:rPr>
          <w:sz w:val="24"/>
        </w:rPr>
        <w:t xml:space="preserve"> na teret poslodavaca, ostala lična primanja zaposlenih, materijal i usluge, tekuće održavanje, kamate, rente, subvencije i ostale izdatke.</w:t>
      </w:r>
      <w:r w:rsidR="00FB3C24">
        <w:rPr>
          <w:sz w:val="24"/>
        </w:rPr>
        <w:t xml:space="preserve"> Izvor podatka za ovaj dio analize su godišnji budžeti Crne Gore za prethodnih 5 godina. </w:t>
      </w:r>
    </w:p>
    <w:p w14:paraId="3CE0BA8A" w14:textId="06FB0CC8" w:rsidR="002270C1" w:rsidRPr="002270C1" w:rsidRDefault="002270C1" w:rsidP="002270C1">
      <w:pPr>
        <w:jc w:val="both"/>
        <w:rPr>
          <w:sz w:val="24"/>
        </w:rPr>
      </w:pPr>
      <w:r w:rsidRPr="002270C1">
        <w:rPr>
          <w:sz w:val="24"/>
        </w:rPr>
        <w:t>U dijelu rashoda materijala klasifikuju se izdaci za:</w:t>
      </w:r>
    </w:p>
    <w:p w14:paraId="146113E8" w14:textId="77777777" w:rsidR="002270C1" w:rsidRPr="002270C1" w:rsidRDefault="002270C1" w:rsidP="00FB3C24">
      <w:pPr>
        <w:numPr>
          <w:ilvl w:val="0"/>
          <w:numId w:val="31"/>
        </w:numPr>
        <w:suppressAutoHyphens w:val="0"/>
        <w:autoSpaceDN/>
        <w:ind w:left="714" w:hanging="357"/>
        <w:contextualSpacing/>
        <w:jc w:val="both"/>
        <w:textAlignment w:val="auto"/>
        <w:rPr>
          <w:sz w:val="24"/>
        </w:rPr>
      </w:pPr>
      <w:r w:rsidRPr="002270C1">
        <w:rPr>
          <w:sz w:val="24"/>
        </w:rPr>
        <w:t>administrativni materijal,</w:t>
      </w:r>
    </w:p>
    <w:p w14:paraId="6B45619A" w14:textId="77777777" w:rsidR="002270C1" w:rsidRPr="002270C1" w:rsidRDefault="002270C1" w:rsidP="00FB3C24">
      <w:pPr>
        <w:numPr>
          <w:ilvl w:val="0"/>
          <w:numId w:val="31"/>
        </w:numPr>
        <w:suppressAutoHyphens w:val="0"/>
        <w:autoSpaceDN/>
        <w:ind w:left="714" w:hanging="357"/>
        <w:contextualSpacing/>
        <w:jc w:val="both"/>
        <w:textAlignment w:val="auto"/>
        <w:rPr>
          <w:sz w:val="24"/>
        </w:rPr>
      </w:pPr>
      <w:r w:rsidRPr="002270C1">
        <w:rPr>
          <w:sz w:val="24"/>
        </w:rPr>
        <w:t>materijal za zdravstvenu zaštitu,</w:t>
      </w:r>
    </w:p>
    <w:p w14:paraId="5FBE453B" w14:textId="77777777" w:rsidR="002270C1" w:rsidRPr="002270C1" w:rsidRDefault="002270C1" w:rsidP="00FB3C24">
      <w:pPr>
        <w:numPr>
          <w:ilvl w:val="0"/>
          <w:numId w:val="31"/>
        </w:numPr>
        <w:suppressAutoHyphens w:val="0"/>
        <w:autoSpaceDN/>
        <w:ind w:left="714" w:hanging="357"/>
        <w:contextualSpacing/>
        <w:jc w:val="both"/>
        <w:textAlignment w:val="auto"/>
        <w:rPr>
          <w:sz w:val="24"/>
        </w:rPr>
      </w:pPr>
      <w:r w:rsidRPr="002270C1">
        <w:rPr>
          <w:sz w:val="24"/>
        </w:rPr>
        <w:t>materijal za posebne namjene,</w:t>
      </w:r>
    </w:p>
    <w:p w14:paraId="2172E50B" w14:textId="77777777" w:rsidR="002270C1" w:rsidRPr="002270C1" w:rsidRDefault="002270C1" w:rsidP="00FB3C24">
      <w:pPr>
        <w:numPr>
          <w:ilvl w:val="0"/>
          <w:numId w:val="31"/>
        </w:numPr>
        <w:suppressAutoHyphens w:val="0"/>
        <w:autoSpaceDN/>
        <w:ind w:left="714" w:hanging="357"/>
        <w:contextualSpacing/>
        <w:jc w:val="both"/>
        <w:textAlignment w:val="auto"/>
        <w:rPr>
          <w:sz w:val="24"/>
        </w:rPr>
      </w:pPr>
      <w:r w:rsidRPr="002270C1">
        <w:rPr>
          <w:sz w:val="24"/>
        </w:rPr>
        <w:t>rashodi za energiju,</w:t>
      </w:r>
    </w:p>
    <w:p w14:paraId="4FC98D18" w14:textId="77777777" w:rsidR="002270C1" w:rsidRPr="002270C1" w:rsidRDefault="002270C1" w:rsidP="00FB3C24">
      <w:pPr>
        <w:numPr>
          <w:ilvl w:val="0"/>
          <w:numId w:val="31"/>
        </w:numPr>
        <w:suppressAutoHyphens w:val="0"/>
        <w:autoSpaceDN/>
        <w:ind w:left="714" w:hanging="357"/>
        <w:contextualSpacing/>
        <w:jc w:val="both"/>
        <w:textAlignment w:val="auto"/>
        <w:rPr>
          <w:sz w:val="24"/>
        </w:rPr>
      </w:pPr>
      <w:r w:rsidRPr="002270C1">
        <w:rPr>
          <w:sz w:val="24"/>
        </w:rPr>
        <w:t>rashodi za gorivo,</w:t>
      </w:r>
    </w:p>
    <w:p w14:paraId="0236B11B" w14:textId="1A481115" w:rsidR="002270C1" w:rsidRDefault="002270C1" w:rsidP="00FB3C24">
      <w:pPr>
        <w:numPr>
          <w:ilvl w:val="0"/>
          <w:numId w:val="31"/>
        </w:numPr>
        <w:suppressAutoHyphens w:val="0"/>
        <w:autoSpaceDN/>
        <w:ind w:left="714" w:hanging="357"/>
        <w:contextualSpacing/>
        <w:jc w:val="both"/>
        <w:textAlignment w:val="auto"/>
        <w:rPr>
          <w:sz w:val="24"/>
        </w:rPr>
      </w:pPr>
      <w:r w:rsidRPr="002270C1">
        <w:rPr>
          <w:sz w:val="24"/>
        </w:rPr>
        <w:t>i ostali rashodi za materijal.</w:t>
      </w:r>
    </w:p>
    <w:p w14:paraId="59C405F4" w14:textId="77777777" w:rsidR="00FB3C24" w:rsidRPr="002270C1" w:rsidRDefault="00FB3C24" w:rsidP="00FB3C24">
      <w:pPr>
        <w:suppressAutoHyphens w:val="0"/>
        <w:autoSpaceDN/>
        <w:ind w:left="714"/>
        <w:contextualSpacing/>
        <w:jc w:val="both"/>
        <w:textAlignment w:val="auto"/>
        <w:rPr>
          <w:sz w:val="24"/>
        </w:rPr>
      </w:pPr>
    </w:p>
    <w:p w14:paraId="0735150E" w14:textId="77777777" w:rsidR="002270C1" w:rsidRPr="002270C1" w:rsidRDefault="002270C1" w:rsidP="002270C1">
      <w:pPr>
        <w:jc w:val="both"/>
        <w:rPr>
          <w:sz w:val="24"/>
        </w:rPr>
      </w:pPr>
      <w:r w:rsidRPr="002270C1">
        <w:rPr>
          <w:sz w:val="24"/>
        </w:rPr>
        <w:t>U svrhu ove analize, upoređivani su navedeni rashodi za period od 2016. do 2020. godine i prikazani su u narednom dijelu.</w:t>
      </w:r>
      <w:r w:rsidRPr="002270C1">
        <w:rPr>
          <w:sz w:val="24"/>
          <w:vertAlign w:val="superscript"/>
        </w:rPr>
        <w:footnoteReference w:id="16"/>
      </w:r>
    </w:p>
    <w:p w14:paraId="569D1867" w14:textId="661A7DC1" w:rsidR="00DD4F2D" w:rsidRPr="00DD4F2D" w:rsidRDefault="00C25F77" w:rsidP="00C25F77">
      <w:pPr>
        <w:pStyle w:val="Caption"/>
        <w:jc w:val="center"/>
        <w:rPr>
          <w:rFonts w:ascii="Calibri" w:hAnsi="Calibri"/>
          <w:sz w:val="22"/>
          <w:szCs w:val="22"/>
        </w:rPr>
      </w:pPr>
      <w:bookmarkStart w:id="35" w:name="_Toc81994490"/>
      <w:bookmarkStart w:id="36" w:name="_Toc82087077"/>
      <w:r w:rsidRPr="00C25F77">
        <w:rPr>
          <w:rFonts w:ascii="Calibri" w:hAnsi="Calibri"/>
          <w:sz w:val="22"/>
          <w:szCs w:val="22"/>
        </w:rPr>
        <w:t xml:space="preserve">Grafik </w:t>
      </w:r>
      <w:r w:rsidRPr="00C25F77">
        <w:rPr>
          <w:rFonts w:ascii="Calibri" w:hAnsi="Calibri"/>
          <w:sz w:val="22"/>
          <w:szCs w:val="22"/>
        </w:rPr>
        <w:fldChar w:fldCharType="begin"/>
      </w:r>
      <w:r w:rsidRPr="00C25F77">
        <w:rPr>
          <w:rFonts w:ascii="Calibri" w:hAnsi="Calibri"/>
          <w:sz w:val="22"/>
          <w:szCs w:val="22"/>
        </w:rPr>
        <w:instrText xml:space="preserve"> SEQ Figure \* ARABIC </w:instrText>
      </w:r>
      <w:r w:rsidRPr="00C25F77">
        <w:rPr>
          <w:rFonts w:ascii="Calibri" w:hAnsi="Calibri"/>
          <w:sz w:val="22"/>
          <w:szCs w:val="22"/>
        </w:rPr>
        <w:fldChar w:fldCharType="separate"/>
      </w:r>
      <w:r w:rsidR="008531B6">
        <w:rPr>
          <w:rFonts w:ascii="Calibri" w:hAnsi="Calibri"/>
          <w:noProof/>
          <w:sz w:val="22"/>
          <w:szCs w:val="22"/>
        </w:rPr>
        <w:t>1</w:t>
      </w:r>
      <w:r w:rsidRPr="00C25F77">
        <w:rPr>
          <w:rFonts w:ascii="Calibri" w:hAnsi="Calibri"/>
          <w:sz w:val="22"/>
          <w:szCs w:val="22"/>
        </w:rPr>
        <w:fldChar w:fldCharType="end"/>
      </w:r>
      <w:r w:rsidRPr="00C25F77">
        <w:rPr>
          <w:rFonts w:ascii="Calibri" w:hAnsi="Calibri"/>
          <w:sz w:val="22"/>
          <w:szCs w:val="22"/>
        </w:rPr>
        <w:t xml:space="preserve"> </w:t>
      </w:r>
      <w:r w:rsidR="00DD4F2D" w:rsidRPr="00DD4F2D">
        <w:rPr>
          <w:rFonts w:ascii="Calibri" w:hAnsi="Calibri"/>
          <w:sz w:val="22"/>
          <w:szCs w:val="22"/>
        </w:rPr>
        <w:t>Rashodi za materijal, % učešće, 2020. godina</w:t>
      </w:r>
      <w:bookmarkEnd w:id="35"/>
      <w:bookmarkEnd w:id="36"/>
    </w:p>
    <w:p w14:paraId="26329365" w14:textId="77777777" w:rsidR="002270C1" w:rsidRPr="002270C1" w:rsidRDefault="002270C1" w:rsidP="002270C1">
      <w:pPr>
        <w:jc w:val="both"/>
        <w:rPr>
          <w:sz w:val="24"/>
        </w:rPr>
      </w:pPr>
      <w:r w:rsidRPr="002270C1">
        <w:rPr>
          <w:rFonts w:asciiTheme="minorHAnsi" w:eastAsiaTheme="minorHAnsi" w:hAnsiTheme="minorHAnsi" w:cstheme="minorBidi"/>
          <w:noProof/>
          <w:lang w:val="en-US"/>
        </w:rPr>
        <w:drawing>
          <wp:inline distT="0" distB="0" distL="0" distR="0" wp14:anchorId="47B7B42E" wp14:editId="6D88197B">
            <wp:extent cx="588645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D4D4512" w14:textId="2E8CEBFF" w:rsidR="002270C1" w:rsidRPr="002270C1" w:rsidRDefault="00DD4F2D" w:rsidP="002270C1">
      <w:pPr>
        <w:jc w:val="both"/>
        <w:rPr>
          <w:sz w:val="24"/>
        </w:rPr>
      </w:pPr>
      <w:r>
        <w:rPr>
          <w:sz w:val="24"/>
        </w:rPr>
        <w:t>Na grafiku 1</w:t>
      </w:r>
      <w:r w:rsidR="002270C1" w:rsidRPr="002270C1">
        <w:rPr>
          <w:sz w:val="24"/>
        </w:rPr>
        <w:t xml:space="preserve"> je prikazano učešće administrativnog materijala, materijala za zdravstvenu zaštitu, materijala za posebne namjene, rashoda za energiju, rashoda za gorivo, i ostalih rashoda za materijal u ukupnim rashodima za materijal, za 2020. godinu.</w:t>
      </w:r>
    </w:p>
    <w:p w14:paraId="185FAEA7" w14:textId="6E2CE83B" w:rsidR="002270C1" w:rsidRDefault="002270C1" w:rsidP="002270C1">
      <w:pPr>
        <w:jc w:val="both"/>
        <w:rPr>
          <w:sz w:val="24"/>
        </w:rPr>
      </w:pPr>
      <w:r w:rsidRPr="002270C1">
        <w:rPr>
          <w:sz w:val="24"/>
        </w:rPr>
        <w:t>Posmatrajući grafik</w:t>
      </w:r>
      <w:r w:rsidR="00DD4F2D">
        <w:rPr>
          <w:sz w:val="24"/>
        </w:rPr>
        <w:t xml:space="preserve"> 2</w:t>
      </w:r>
      <w:r w:rsidRPr="002270C1">
        <w:rPr>
          <w:sz w:val="24"/>
        </w:rPr>
        <w:t xml:space="preserve"> vidimo da rashodi za gorivo i rashodi za energiju, imaju najveće učešće u ukupnim rashodima za materijal, i to 26% i 24 %.</w:t>
      </w:r>
      <w:r w:rsidR="00FB3C24">
        <w:rPr>
          <w:sz w:val="24"/>
        </w:rPr>
        <w:t xml:space="preserve"> </w:t>
      </w:r>
    </w:p>
    <w:p w14:paraId="4BD60290" w14:textId="77777777" w:rsidR="00B11DFD" w:rsidRPr="002270C1" w:rsidRDefault="00B11DFD" w:rsidP="002270C1">
      <w:pPr>
        <w:jc w:val="both"/>
        <w:rPr>
          <w:sz w:val="24"/>
        </w:rPr>
      </w:pPr>
    </w:p>
    <w:p w14:paraId="4DB4A41B" w14:textId="7172611A" w:rsidR="00DD4F2D" w:rsidRPr="00DD4F2D" w:rsidRDefault="00C25F77" w:rsidP="00C25F77">
      <w:pPr>
        <w:pStyle w:val="Caption"/>
        <w:jc w:val="center"/>
        <w:rPr>
          <w:rFonts w:ascii="Calibri" w:hAnsi="Calibri"/>
          <w:sz w:val="22"/>
          <w:szCs w:val="22"/>
        </w:rPr>
      </w:pPr>
      <w:bookmarkStart w:id="37" w:name="_Toc81994491"/>
      <w:bookmarkStart w:id="38" w:name="_Toc82087078"/>
      <w:r w:rsidRPr="00C25F77">
        <w:rPr>
          <w:rFonts w:ascii="Calibri" w:hAnsi="Calibri"/>
          <w:sz w:val="22"/>
          <w:szCs w:val="22"/>
        </w:rPr>
        <w:lastRenderedPageBreak/>
        <w:t xml:space="preserve">Grafik </w:t>
      </w:r>
      <w:r w:rsidRPr="00C25F77">
        <w:rPr>
          <w:rFonts w:ascii="Calibri" w:hAnsi="Calibri"/>
          <w:sz w:val="22"/>
          <w:szCs w:val="22"/>
        </w:rPr>
        <w:fldChar w:fldCharType="begin"/>
      </w:r>
      <w:r w:rsidRPr="00C25F77">
        <w:rPr>
          <w:rFonts w:ascii="Calibri" w:hAnsi="Calibri"/>
          <w:sz w:val="22"/>
          <w:szCs w:val="22"/>
        </w:rPr>
        <w:instrText xml:space="preserve"> SEQ Figure \* ARABIC </w:instrText>
      </w:r>
      <w:r w:rsidRPr="00C25F77">
        <w:rPr>
          <w:rFonts w:ascii="Calibri" w:hAnsi="Calibri"/>
          <w:sz w:val="22"/>
          <w:szCs w:val="22"/>
        </w:rPr>
        <w:fldChar w:fldCharType="separate"/>
      </w:r>
      <w:r w:rsidR="008531B6">
        <w:rPr>
          <w:rFonts w:ascii="Calibri" w:hAnsi="Calibri"/>
          <w:noProof/>
          <w:sz w:val="22"/>
          <w:szCs w:val="22"/>
        </w:rPr>
        <w:t>2</w:t>
      </w:r>
      <w:r w:rsidRPr="00C25F77">
        <w:rPr>
          <w:rFonts w:ascii="Calibri" w:hAnsi="Calibri"/>
          <w:sz w:val="22"/>
          <w:szCs w:val="22"/>
        </w:rPr>
        <w:fldChar w:fldCharType="end"/>
      </w:r>
      <w:r w:rsidRPr="00C25F77">
        <w:rPr>
          <w:rFonts w:ascii="Calibri" w:hAnsi="Calibri"/>
          <w:sz w:val="22"/>
          <w:szCs w:val="22"/>
        </w:rPr>
        <w:t xml:space="preserve"> </w:t>
      </w:r>
      <w:r w:rsidR="00DD4F2D" w:rsidRPr="00DD4F2D">
        <w:rPr>
          <w:rFonts w:ascii="Calibri" w:hAnsi="Calibri"/>
          <w:sz w:val="22"/>
          <w:szCs w:val="22"/>
        </w:rPr>
        <w:t>Rashodi za gorivo i energiju, u Eur, 2016-2020. godina</w:t>
      </w:r>
      <w:bookmarkEnd w:id="37"/>
      <w:bookmarkEnd w:id="38"/>
    </w:p>
    <w:p w14:paraId="354B822E" w14:textId="41D7734B" w:rsidR="002270C1" w:rsidRPr="002270C1" w:rsidRDefault="002270C1" w:rsidP="00FB3C24">
      <w:pPr>
        <w:jc w:val="center"/>
        <w:rPr>
          <w:sz w:val="24"/>
        </w:rPr>
      </w:pPr>
      <w:r w:rsidRPr="002270C1">
        <w:rPr>
          <w:rFonts w:asciiTheme="minorHAnsi" w:eastAsiaTheme="minorHAnsi" w:hAnsiTheme="minorHAnsi" w:cstheme="minorBidi"/>
          <w:noProof/>
          <w:lang w:val="en-US"/>
        </w:rPr>
        <w:drawing>
          <wp:inline distT="0" distB="0" distL="0" distR="0" wp14:anchorId="19467C8C" wp14:editId="0FDAE421">
            <wp:extent cx="5943600" cy="241935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CDE48C" w14:textId="4B345FD6" w:rsidR="002270C1" w:rsidRPr="002270C1" w:rsidRDefault="00CD4FDC" w:rsidP="002270C1">
      <w:pPr>
        <w:jc w:val="both"/>
        <w:rPr>
          <w:rFonts w:eastAsiaTheme="minorHAnsi" w:cstheme="minorBidi"/>
          <w:sz w:val="24"/>
          <w:szCs w:val="24"/>
          <w:lang w:val="en-US"/>
        </w:rPr>
      </w:pPr>
      <w:r>
        <w:rPr>
          <w:sz w:val="24"/>
        </w:rPr>
        <w:t xml:space="preserve">Upoređujući podatke iz </w:t>
      </w:r>
      <w:r w:rsidR="00716BC5">
        <w:rPr>
          <w:sz w:val="24"/>
        </w:rPr>
        <w:t>g</w:t>
      </w:r>
      <w:r>
        <w:rPr>
          <w:sz w:val="24"/>
        </w:rPr>
        <w:t>rafika 2</w:t>
      </w:r>
      <w:r w:rsidR="002270C1" w:rsidRPr="002270C1">
        <w:rPr>
          <w:sz w:val="24"/>
        </w:rPr>
        <w:t xml:space="preserve">, za period 2016-2020. godine, gdje su prikazani rashodi za gorivo i električnu energiju, </w:t>
      </w:r>
      <w:r w:rsidR="002270C1" w:rsidRPr="002270C1">
        <w:rPr>
          <w:rFonts w:eastAsiaTheme="minorHAnsi" w:cstheme="minorBidi"/>
          <w:sz w:val="24"/>
          <w:szCs w:val="24"/>
          <w:lang w:val="en-US"/>
        </w:rPr>
        <w:t xml:space="preserve">vidimo da se rashodi za energiju kreću u prosjeku od 8 miliona, dok se rashodi za gorivo kreću u prosjeku od oko 9 miliona. </w:t>
      </w:r>
      <w:r w:rsidR="00FB3C24">
        <w:rPr>
          <w:rFonts w:eastAsiaTheme="minorHAnsi" w:cstheme="minorBidi"/>
          <w:sz w:val="24"/>
          <w:szCs w:val="24"/>
          <w:lang w:val="en-US"/>
        </w:rPr>
        <w:t>Na grafiku 2 se vidi tendencija konstantnog povećanja izdataka za energiju koja dominan</w:t>
      </w:r>
      <w:r>
        <w:rPr>
          <w:rFonts w:eastAsiaTheme="minorHAnsi" w:cstheme="minorBidi"/>
          <w:sz w:val="24"/>
          <w:szCs w:val="24"/>
          <w:lang w:val="en-US"/>
        </w:rPr>
        <w:t>tno podrazumijeva potrošnju elekt</w:t>
      </w:r>
      <w:r w:rsidR="00FB3C24">
        <w:rPr>
          <w:rFonts w:eastAsiaTheme="minorHAnsi" w:cstheme="minorBidi"/>
          <w:sz w:val="24"/>
          <w:szCs w:val="24"/>
          <w:lang w:val="en-US"/>
        </w:rPr>
        <w:t xml:space="preserve">rične energije. Uzmajući to u obzir, može se zaključiti da </w:t>
      </w:r>
      <w:r w:rsidR="00705D8D">
        <w:rPr>
          <w:rFonts w:eastAsiaTheme="minorHAnsi" w:cstheme="minorBidi"/>
          <w:sz w:val="24"/>
          <w:szCs w:val="24"/>
          <w:lang w:val="en-US"/>
        </w:rPr>
        <w:t>mjere energetske efikasnosti u javnim zgrada</w:t>
      </w:r>
      <w:r w:rsidR="00716BC5">
        <w:rPr>
          <w:rFonts w:eastAsiaTheme="minorHAnsi" w:cstheme="minorBidi"/>
          <w:sz w:val="24"/>
          <w:szCs w:val="24"/>
          <w:lang w:val="en-US"/>
        </w:rPr>
        <w:t>ma</w:t>
      </w:r>
      <w:r w:rsidR="00705D8D">
        <w:rPr>
          <w:rFonts w:eastAsiaTheme="minorHAnsi" w:cstheme="minorBidi"/>
          <w:sz w:val="24"/>
          <w:szCs w:val="24"/>
          <w:lang w:val="en-US"/>
        </w:rPr>
        <w:t xml:space="preserve"> jos ne daju adekvatne rezultate i da </w:t>
      </w:r>
      <w:r w:rsidR="00716BC5">
        <w:rPr>
          <w:rFonts w:eastAsiaTheme="minorHAnsi" w:cstheme="minorBidi"/>
          <w:sz w:val="24"/>
          <w:szCs w:val="24"/>
          <w:lang w:val="en-US"/>
        </w:rPr>
        <w:t xml:space="preserve">se </w:t>
      </w:r>
      <w:r w:rsidR="00705D8D">
        <w:rPr>
          <w:rFonts w:eastAsiaTheme="minorHAnsi" w:cstheme="minorBidi"/>
          <w:sz w:val="24"/>
          <w:szCs w:val="24"/>
          <w:lang w:val="en-US"/>
        </w:rPr>
        <w:t>u narednom periodu mora posvetiti još jača podrška rekonstrukciji javnih zgrada u cilju uštede električne energije. Za razliku od energije, ostvaren je trend</w:t>
      </w:r>
      <w:r w:rsidR="00716BC5">
        <w:rPr>
          <w:rFonts w:eastAsiaTheme="minorHAnsi" w:cstheme="minorBidi"/>
          <w:sz w:val="24"/>
          <w:szCs w:val="24"/>
          <w:lang w:val="en-US"/>
        </w:rPr>
        <w:t xml:space="preserve"> pada potrošnje naftnih derivata</w:t>
      </w:r>
      <w:r w:rsidR="00705D8D">
        <w:rPr>
          <w:rFonts w:eastAsiaTheme="minorHAnsi" w:cstheme="minorBidi"/>
          <w:sz w:val="24"/>
          <w:szCs w:val="24"/>
          <w:lang w:val="en-US"/>
        </w:rPr>
        <w:t xml:space="preserve">. </w:t>
      </w:r>
    </w:p>
    <w:p w14:paraId="5F6839B7" w14:textId="3434D704" w:rsidR="00DD4F2D" w:rsidRPr="00DD4F2D" w:rsidRDefault="00C25F77" w:rsidP="00C25F77">
      <w:pPr>
        <w:pStyle w:val="Caption"/>
        <w:jc w:val="center"/>
        <w:rPr>
          <w:rFonts w:ascii="Calibri" w:hAnsi="Calibri"/>
          <w:sz w:val="22"/>
          <w:szCs w:val="22"/>
        </w:rPr>
      </w:pPr>
      <w:bookmarkStart w:id="39" w:name="_Toc81994492"/>
      <w:bookmarkStart w:id="40" w:name="_Toc82087079"/>
      <w:r w:rsidRPr="00C25F77">
        <w:rPr>
          <w:rFonts w:ascii="Calibri" w:hAnsi="Calibri"/>
          <w:sz w:val="22"/>
          <w:szCs w:val="22"/>
        </w:rPr>
        <w:t xml:space="preserve">Grafik </w:t>
      </w:r>
      <w:r w:rsidRPr="00C25F77">
        <w:rPr>
          <w:rFonts w:ascii="Calibri" w:hAnsi="Calibri"/>
          <w:sz w:val="22"/>
          <w:szCs w:val="22"/>
        </w:rPr>
        <w:fldChar w:fldCharType="begin"/>
      </w:r>
      <w:r w:rsidRPr="00C25F77">
        <w:rPr>
          <w:rFonts w:ascii="Calibri" w:hAnsi="Calibri"/>
          <w:sz w:val="22"/>
          <w:szCs w:val="22"/>
        </w:rPr>
        <w:instrText xml:space="preserve"> SEQ Figure \* ARABIC </w:instrText>
      </w:r>
      <w:r w:rsidRPr="00C25F77">
        <w:rPr>
          <w:rFonts w:ascii="Calibri" w:hAnsi="Calibri"/>
          <w:sz w:val="22"/>
          <w:szCs w:val="22"/>
        </w:rPr>
        <w:fldChar w:fldCharType="separate"/>
      </w:r>
      <w:r w:rsidR="008531B6">
        <w:rPr>
          <w:rFonts w:ascii="Calibri" w:hAnsi="Calibri"/>
          <w:noProof/>
          <w:sz w:val="22"/>
          <w:szCs w:val="22"/>
        </w:rPr>
        <w:t>3</w:t>
      </w:r>
      <w:r w:rsidRPr="00C25F77">
        <w:rPr>
          <w:rFonts w:ascii="Calibri" w:hAnsi="Calibri"/>
          <w:sz w:val="22"/>
          <w:szCs w:val="22"/>
        </w:rPr>
        <w:fldChar w:fldCharType="end"/>
      </w:r>
      <w:r w:rsidRPr="00C25F77">
        <w:rPr>
          <w:rFonts w:ascii="Calibri" w:hAnsi="Calibri"/>
          <w:sz w:val="22"/>
          <w:szCs w:val="22"/>
        </w:rPr>
        <w:t xml:space="preserve"> </w:t>
      </w:r>
      <w:r w:rsidR="00DD4F2D" w:rsidRPr="00DD4F2D">
        <w:rPr>
          <w:rFonts w:ascii="Calibri" w:hAnsi="Calibri"/>
          <w:sz w:val="22"/>
          <w:szCs w:val="22"/>
        </w:rPr>
        <w:t xml:space="preserve">Učešće </w:t>
      </w:r>
      <w:r w:rsidR="00073E3D">
        <w:rPr>
          <w:rFonts w:ascii="Calibri" w:hAnsi="Calibri"/>
          <w:sz w:val="22"/>
          <w:szCs w:val="22"/>
        </w:rPr>
        <w:t xml:space="preserve">rashoda </w:t>
      </w:r>
      <w:r w:rsidR="00DD4F2D" w:rsidRPr="00DD4F2D">
        <w:rPr>
          <w:rFonts w:ascii="Calibri" w:hAnsi="Calibri"/>
          <w:sz w:val="22"/>
          <w:szCs w:val="22"/>
        </w:rPr>
        <w:t>za materijal i rashoda za gorivo u BDP</w:t>
      </w:r>
      <w:r w:rsidR="00DD4F2D" w:rsidRPr="00C25F77">
        <w:rPr>
          <w:rFonts w:ascii="Calibri" w:hAnsi="Calibri"/>
          <w:sz w:val="22"/>
          <w:szCs w:val="22"/>
        </w:rPr>
        <w:footnoteReference w:id="17"/>
      </w:r>
      <w:r w:rsidR="00DD4F2D" w:rsidRPr="00DD4F2D">
        <w:rPr>
          <w:rFonts w:ascii="Calibri" w:hAnsi="Calibri"/>
          <w:sz w:val="22"/>
          <w:szCs w:val="22"/>
        </w:rPr>
        <w:t>, 2016-2019. godina</w:t>
      </w:r>
      <w:r w:rsidR="00DD4F2D" w:rsidRPr="00C25F77">
        <w:rPr>
          <w:rFonts w:ascii="Calibri" w:hAnsi="Calibri"/>
          <w:sz w:val="22"/>
          <w:szCs w:val="22"/>
          <w:vertAlign w:val="superscript"/>
        </w:rPr>
        <w:footnoteReference w:id="18"/>
      </w:r>
      <w:r w:rsidR="00DD4F2D" w:rsidRPr="00DD4F2D">
        <w:rPr>
          <w:rFonts w:ascii="Calibri" w:hAnsi="Calibri"/>
          <w:sz w:val="22"/>
          <w:szCs w:val="22"/>
        </w:rPr>
        <w:t>, %</w:t>
      </w:r>
      <w:bookmarkEnd w:id="39"/>
      <w:bookmarkEnd w:id="40"/>
    </w:p>
    <w:p w14:paraId="71C58D6C" w14:textId="50B05251" w:rsidR="002270C1" w:rsidRPr="002270C1" w:rsidRDefault="002270C1" w:rsidP="002270C1">
      <w:pPr>
        <w:jc w:val="both"/>
        <w:rPr>
          <w:sz w:val="24"/>
        </w:rPr>
      </w:pPr>
      <w:r w:rsidRPr="002270C1">
        <w:rPr>
          <w:rFonts w:asciiTheme="minorHAnsi" w:eastAsiaTheme="minorHAnsi" w:hAnsiTheme="minorHAnsi" w:cstheme="minorBidi"/>
          <w:noProof/>
          <w:lang w:val="en-US"/>
        </w:rPr>
        <w:drawing>
          <wp:inline distT="0" distB="0" distL="0" distR="0" wp14:anchorId="5BFC07B0" wp14:editId="38980351">
            <wp:extent cx="5943600" cy="253365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B98C2F9" w14:textId="17BD7D22" w:rsidR="00521B77" w:rsidRDefault="002270C1" w:rsidP="002270C1">
      <w:pPr>
        <w:jc w:val="both"/>
        <w:rPr>
          <w:sz w:val="24"/>
        </w:rPr>
      </w:pPr>
      <w:r w:rsidRPr="002270C1">
        <w:rPr>
          <w:sz w:val="24"/>
        </w:rPr>
        <w:t>Učešće rashoda za materijal u Bruto društvenom proizvodu Crne Gore, posmatrajući period od 2016 do 2019. godine pokazuje veliki stepen učešća od oko 0,8% u prosjeku. Takođe učešće rashoda za tečna goriva, gas, čvrsta goriva kao i ostale vrste goriva iznosi 0,2% za cijeli posmatrani period.</w:t>
      </w:r>
      <w:r w:rsidR="00521B77">
        <w:rPr>
          <w:sz w:val="24"/>
        </w:rPr>
        <w:t xml:space="preserve"> </w:t>
      </w:r>
    </w:p>
    <w:p w14:paraId="5B764948" w14:textId="77777777" w:rsidR="00365C42" w:rsidRDefault="00365C42" w:rsidP="00365C42">
      <w:pPr>
        <w:spacing w:after="60"/>
        <w:jc w:val="both"/>
        <w:rPr>
          <w:sz w:val="24"/>
        </w:rPr>
      </w:pPr>
    </w:p>
    <w:p w14:paraId="05DA8822" w14:textId="75AF359A" w:rsidR="007864DD" w:rsidRPr="00DD4F2D" w:rsidRDefault="007864DD" w:rsidP="00365C42">
      <w:pPr>
        <w:pStyle w:val="Caption"/>
        <w:jc w:val="center"/>
        <w:rPr>
          <w:rFonts w:ascii="Calibri" w:hAnsi="Calibri"/>
          <w:sz w:val="22"/>
          <w:szCs w:val="22"/>
        </w:rPr>
      </w:pPr>
      <w:bookmarkStart w:id="41" w:name="_Toc82087080"/>
      <w:r w:rsidRPr="00C25F77">
        <w:rPr>
          <w:rFonts w:ascii="Calibri" w:hAnsi="Calibri"/>
          <w:sz w:val="22"/>
          <w:szCs w:val="22"/>
        </w:rPr>
        <w:t xml:space="preserve">Grafik </w:t>
      </w:r>
      <w:r w:rsidRPr="00C25F77">
        <w:rPr>
          <w:rFonts w:ascii="Calibri" w:hAnsi="Calibri"/>
          <w:sz w:val="22"/>
          <w:szCs w:val="22"/>
        </w:rPr>
        <w:fldChar w:fldCharType="begin"/>
      </w:r>
      <w:r w:rsidRPr="00C25F77">
        <w:rPr>
          <w:rFonts w:ascii="Calibri" w:hAnsi="Calibri"/>
          <w:sz w:val="22"/>
          <w:szCs w:val="22"/>
        </w:rPr>
        <w:instrText xml:space="preserve"> SEQ Figure \* ARABIC </w:instrText>
      </w:r>
      <w:r w:rsidRPr="00C25F77">
        <w:rPr>
          <w:rFonts w:ascii="Calibri" w:hAnsi="Calibri"/>
          <w:sz w:val="22"/>
          <w:szCs w:val="22"/>
        </w:rPr>
        <w:fldChar w:fldCharType="separate"/>
      </w:r>
      <w:r>
        <w:rPr>
          <w:rFonts w:ascii="Calibri" w:hAnsi="Calibri"/>
          <w:noProof/>
          <w:sz w:val="22"/>
          <w:szCs w:val="22"/>
        </w:rPr>
        <w:t>4</w:t>
      </w:r>
      <w:r w:rsidRPr="00C25F77">
        <w:rPr>
          <w:rFonts w:ascii="Calibri" w:hAnsi="Calibri"/>
          <w:sz w:val="22"/>
          <w:szCs w:val="22"/>
        </w:rPr>
        <w:fldChar w:fldCharType="end"/>
      </w:r>
      <w:r w:rsidRPr="00C25F77">
        <w:rPr>
          <w:rFonts w:ascii="Calibri" w:hAnsi="Calibri"/>
          <w:sz w:val="22"/>
          <w:szCs w:val="22"/>
        </w:rPr>
        <w:t xml:space="preserve"> </w:t>
      </w:r>
      <w:r w:rsidR="00EE578D">
        <w:rPr>
          <w:rFonts w:ascii="Calibri" w:hAnsi="Calibri"/>
          <w:sz w:val="22"/>
          <w:szCs w:val="22"/>
        </w:rPr>
        <w:t>Rashodi za materijal i administrativni materijal</w:t>
      </w:r>
      <w:r w:rsidRPr="00DD4F2D">
        <w:rPr>
          <w:rFonts w:ascii="Calibri" w:hAnsi="Calibri"/>
          <w:sz w:val="22"/>
          <w:szCs w:val="22"/>
        </w:rPr>
        <w:t>, u Eur, 2016-2020. godina</w:t>
      </w:r>
      <w:bookmarkEnd w:id="41"/>
    </w:p>
    <w:p w14:paraId="36B7241C" w14:textId="5E7CB30E" w:rsidR="007864DD" w:rsidRDefault="000C55FA" w:rsidP="00365C42">
      <w:pPr>
        <w:spacing w:after="60"/>
        <w:jc w:val="both"/>
        <w:rPr>
          <w:sz w:val="24"/>
        </w:rPr>
      </w:pPr>
      <w:r>
        <w:rPr>
          <w:noProof/>
          <w:lang w:val="en-US"/>
        </w:rPr>
        <w:drawing>
          <wp:inline distT="0" distB="0" distL="0" distR="0" wp14:anchorId="28C63C55" wp14:editId="3612C7DE">
            <wp:extent cx="577215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C266211" w14:textId="0D544B50" w:rsidR="00001DE2" w:rsidRDefault="00BB3BFF" w:rsidP="00365C42">
      <w:pPr>
        <w:spacing w:before="225" w:after="60"/>
        <w:jc w:val="both"/>
        <w:rPr>
          <w:rFonts w:eastAsia="Times New Roman"/>
          <w:color w:val="333333"/>
          <w:sz w:val="24"/>
          <w:szCs w:val="24"/>
        </w:rPr>
      </w:pPr>
      <w:r>
        <w:rPr>
          <w:rFonts w:eastAsia="Times New Roman"/>
          <w:color w:val="333333"/>
          <w:sz w:val="24"/>
          <w:szCs w:val="24"/>
        </w:rPr>
        <w:t>Troškovi administrativnog</w:t>
      </w:r>
      <w:r w:rsidR="000C55FA">
        <w:rPr>
          <w:rFonts w:eastAsia="Times New Roman"/>
          <w:color w:val="333333"/>
          <w:sz w:val="24"/>
          <w:szCs w:val="24"/>
        </w:rPr>
        <w:t xml:space="preserve"> materi</w:t>
      </w:r>
      <w:r>
        <w:rPr>
          <w:rFonts w:eastAsia="Times New Roman"/>
          <w:color w:val="333333"/>
          <w:sz w:val="24"/>
          <w:szCs w:val="24"/>
        </w:rPr>
        <w:t>j</w:t>
      </w:r>
      <w:r w:rsidR="000C55FA">
        <w:rPr>
          <w:rFonts w:eastAsia="Times New Roman"/>
          <w:color w:val="333333"/>
          <w:sz w:val="24"/>
          <w:szCs w:val="24"/>
        </w:rPr>
        <w:t>al</w:t>
      </w:r>
      <w:r>
        <w:rPr>
          <w:rFonts w:eastAsia="Times New Roman"/>
          <w:color w:val="333333"/>
          <w:sz w:val="24"/>
          <w:szCs w:val="24"/>
        </w:rPr>
        <w:t>a</w:t>
      </w:r>
      <w:r w:rsidR="000C55FA">
        <w:rPr>
          <w:rFonts w:eastAsia="Times New Roman"/>
          <w:color w:val="333333"/>
          <w:sz w:val="24"/>
          <w:szCs w:val="24"/>
        </w:rPr>
        <w:t xml:space="preserve"> predstavalja</w:t>
      </w:r>
      <w:r>
        <w:rPr>
          <w:rFonts w:eastAsia="Times New Roman"/>
          <w:color w:val="333333"/>
          <w:sz w:val="24"/>
          <w:szCs w:val="24"/>
        </w:rPr>
        <w:t>ju</w:t>
      </w:r>
      <w:r w:rsidR="000C55FA">
        <w:rPr>
          <w:rFonts w:eastAsia="Times New Roman"/>
          <w:color w:val="333333"/>
          <w:sz w:val="24"/>
          <w:szCs w:val="24"/>
        </w:rPr>
        <w:t xml:space="preserve"> p</w:t>
      </w:r>
      <w:r w:rsidR="000C55FA" w:rsidRPr="000C55FA">
        <w:rPr>
          <w:rFonts w:eastAsia="Times New Roman"/>
          <w:color w:val="333333"/>
          <w:sz w:val="24"/>
          <w:szCs w:val="24"/>
        </w:rPr>
        <w:t>laćanja koja se odnose na: kancelarijski materijal, sitan inventar, sredstva higijene, rezervne dijelove, radnu odjeću i ostali administrativni materijal.</w:t>
      </w:r>
      <w:r w:rsidR="000C55FA">
        <w:rPr>
          <w:rFonts w:eastAsia="Times New Roman"/>
          <w:color w:val="333333"/>
          <w:sz w:val="24"/>
          <w:szCs w:val="24"/>
        </w:rPr>
        <w:t xml:space="preserve"> Najveća vrijednost troškova administrativnog materijala u poslednjih pet godina je ostvarena 2016. godine, i to 8,6</w:t>
      </w:r>
      <w:r w:rsidR="00D60BBC">
        <w:rPr>
          <w:rFonts w:eastAsia="Times New Roman"/>
          <w:color w:val="333333"/>
          <w:sz w:val="24"/>
          <w:szCs w:val="24"/>
        </w:rPr>
        <w:t xml:space="preserve"> miliona eura. U 2020. godini vrijednost troškova za administrativni materijal iznosi 6,7 miliona, i </w:t>
      </w:r>
      <w:r w:rsidR="00D836D6">
        <w:rPr>
          <w:rFonts w:eastAsia="Times New Roman"/>
          <w:color w:val="333333"/>
          <w:sz w:val="24"/>
          <w:szCs w:val="24"/>
        </w:rPr>
        <w:t>sam</w:t>
      </w:r>
      <w:r w:rsidR="00716BC5">
        <w:rPr>
          <w:rFonts w:eastAsia="Times New Roman"/>
          <w:color w:val="333333"/>
          <w:sz w:val="24"/>
          <w:szCs w:val="24"/>
        </w:rPr>
        <w:t>im tim i</w:t>
      </w:r>
      <w:r w:rsidR="00D836D6">
        <w:rPr>
          <w:rFonts w:eastAsia="Times New Roman"/>
          <w:color w:val="333333"/>
          <w:sz w:val="24"/>
          <w:szCs w:val="24"/>
        </w:rPr>
        <w:t xml:space="preserve"> dalje </w:t>
      </w:r>
      <w:r w:rsidR="00D60BBC">
        <w:rPr>
          <w:rFonts w:eastAsia="Times New Roman"/>
          <w:color w:val="333333"/>
          <w:sz w:val="24"/>
          <w:szCs w:val="24"/>
        </w:rPr>
        <w:t>predstavlja veliki dio ukupnih rashoda za materijal s obzirom da njeno učešće iznosi 18,8%.</w:t>
      </w:r>
    </w:p>
    <w:p w14:paraId="2E3ED39C" w14:textId="127765F2" w:rsidR="00365C42" w:rsidRDefault="00001DE2" w:rsidP="00365C42">
      <w:pPr>
        <w:spacing w:after="60" w:line="276" w:lineRule="auto"/>
        <w:jc w:val="both"/>
        <w:rPr>
          <w:sz w:val="24"/>
          <w:szCs w:val="24"/>
        </w:rPr>
      </w:pPr>
      <w:r>
        <w:rPr>
          <w:sz w:val="24"/>
          <w:szCs w:val="24"/>
        </w:rPr>
        <w:t xml:space="preserve">U </w:t>
      </w:r>
      <w:r w:rsidR="00365C42" w:rsidRPr="00365C42">
        <w:rPr>
          <w:sz w:val="24"/>
          <w:szCs w:val="24"/>
        </w:rPr>
        <w:t>tabeli 4</w:t>
      </w:r>
      <w:r>
        <w:rPr>
          <w:sz w:val="24"/>
          <w:szCs w:val="24"/>
        </w:rPr>
        <w:t xml:space="preserve"> prikazane su količine papira koje dio institucija javne uprave, nevladinih organizacija i privatnih lica (ukupno 26 aktera) prikupio od 2012 do maja 2021.godine.  </w:t>
      </w:r>
    </w:p>
    <w:p w14:paraId="2FFD2127" w14:textId="2E15449E" w:rsidR="002E7036" w:rsidRPr="00365C42" w:rsidRDefault="001F4AEC" w:rsidP="00365C42">
      <w:pPr>
        <w:spacing w:after="60" w:line="276" w:lineRule="auto"/>
        <w:jc w:val="center"/>
        <w:rPr>
          <w:i/>
          <w:szCs w:val="20"/>
        </w:rPr>
      </w:pPr>
      <w:bookmarkStart w:id="42" w:name="_Toc82415537"/>
      <w:r>
        <w:rPr>
          <w:i/>
          <w:szCs w:val="20"/>
        </w:rPr>
        <w:t>Tab</w:t>
      </w:r>
      <w:r w:rsidR="002E7036" w:rsidRPr="00365C42">
        <w:rPr>
          <w:i/>
          <w:szCs w:val="20"/>
        </w:rPr>
        <w:t>e</w:t>
      </w:r>
      <w:r>
        <w:rPr>
          <w:i/>
          <w:szCs w:val="20"/>
        </w:rPr>
        <w:t>la</w:t>
      </w:r>
      <w:r w:rsidR="002E7036" w:rsidRPr="00365C42">
        <w:rPr>
          <w:i/>
          <w:szCs w:val="20"/>
        </w:rPr>
        <w:t xml:space="preserve"> </w:t>
      </w:r>
      <w:r w:rsidR="002E7036" w:rsidRPr="00365C42">
        <w:rPr>
          <w:i/>
          <w:szCs w:val="20"/>
        </w:rPr>
        <w:fldChar w:fldCharType="begin"/>
      </w:r>
      <w:r w:rsidR="002E7036" w:rsidRPr="00365C42">
        <w:rPr>
          <w:i/>
          <w:szCs w:val="20"/>
        </w:rPr>
        <w:instrText xml:space="preserve"> SEQ Table \* ARABIC </w:instrText>
      </w:r>
      <w:r w:rsidR="002E7036" w:rsidRPr="00365C42">
        <w:rPr>
          <w:i/>
          <w:szCs w:val="20"/>
        </w:rPr>
        <w:fldChar w:fldCharType="separate"/>
      </w:r>
      <w:r w:rsidR="002E7036" w:rsidRPr="00365C42">
        <w:rPr>
          <w:i/>
          <w:noProof/>
          <w:szCs w:val="20"/>
        </w:rPr>
        <w:t>4</w:t>
      </w:r>
      <w:r w:rsidR="002E7036" w:rsidRPr="00365C42">
        <w:rPr>
          <w:i/>
          <w:szCs w:val="20"/>
        </w:rPr>
        <w:fldChar w:fldCharType="end"/>
      </w:r>
      <w:r w:rsidR="002E7036" w:rsidRPr="00365C42">
        <w:rPr>
          <w:i/>
          <w:szCs w:val="20"/>
        </w:rPr>
        <w:t xml:space="preserve"> Akcije reciklaže 2012-2021 (izvor: MEPU, Odjeljenje za održivi razvoj)</w:t>
      </w:r>
      <w:bookmarkEnd w:id="42"/>
    </w:p>
    <w:tbl>
      <w:tblPr>
        <w:tblStyle w:val="TableGrid"/>
        <w:tblW w:w="5000" w:type="pct"/>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shd w:val="clear" w:color="auto" w:fill="5B9BD5" w:themeFill="accent1"/>
        <w:tblLook w:val="04A0" w:firstRow="1" w:lastRow="0" w:firstColumn="1" w:lastColumn="0" w:noHBand="0" w:noVBand="1"/>
      </w:tblPr>
      <w:tblGrid>
        <w:gridCol w:w="1635"/>
        <w:gridCol w:w="703"/>
        <w:gridCol w:w="703"/>
        <w:gridCol w:w="702"/>
        <w:gridCol w:w="702"/>
        <w:gridCol w:w="702"/>
        <w:gridCol w:w="702"/>
        <w:gridCol w:w="702"/>
        <w:gridCol w:w="702"/>
        <w:gridCol w:w="1036"/>
        <w:gridCol w:w="691"/>
      </w:tblGrid>
      <w:tr w:rsidR="00001DE2" w:rsidRPr="00365C42" w14:paraId="137E8DEF" w14:textId="77777777" w:rsidTr="002E7036">
        <w:trPr>
          <w:trHeight w:val="238"/>
        </w:trPr>
        <w:tc>
          <w:tcPr>
            <w:tcW w:w="5000" w:type="pct"/>
            <w:gridSpan w:val="11"/>
            <w:tcBorders>
              <w:top w:val="single" w:sz="18" w:space="0" w:color="auto"/>
              <w:bottom w:val="single" w:sz="4" w:space="0" w:color="auto"/>
            </w:tcBorders>
            <w:shd w:val="clear" w:color="auto" w:fill="5B9BD5" w:themeFill="accent1"/>
            <w:hideMark/>
          </w:tcPr>
          <w:p w14:paraId="7D301259" w14:textId="4344CF1E" w:rsidR="00001DE2" w:rsidRPr="00365C42" w:rsidRDefault="00001DE2" w:rsidP="00715D7C">
            <w:pPr>
              <w:jc w:val="center"/>
              <w:rPr>
                <w:b/>
                <w:bCs/>
                <w:sz w:val="18"/>
                <w:szCs w:val="18"/>
              </w:rPr>
            </w:pPr>
            <w:r w:rsidRPr="00365C42">
              <w:rPr>
                <w:b/>
                <w:bCs/>
                <w:sz w:val="18"/>
                <w:szCs w:val="18"/>
              </w:rPr>
              <w:t>AKCIJA RECIKLAŽE</w:t>
            </w:r>
          </w:p>
          <w:p w14:paraId="383CE734" w14:textId="77777777" w:rsidR="00001DE2" w:rsidRPr="00365C42" w:rsidRDefault="00001DE2" w:rsidP="002E7036">
            <w:pPr>
              <w:rPr>
                <w:b/>
                <w:bCs/>
                <w:sz w:val="18"/>
                <w:szCs w:val="18"/>
              </w:rPr>
            </w:pPr>
          </w:p>
        </w:tc>
      </w:tr>
      <w:tr w:rsidR="00001DE2" w:rsidRPr="00365C42" w14:paraId="2A123370" w14:textId="77777777" w:rsidTr="002E7036">
        <w:trPr>
          <w:trHeight w:val="234"/>
        </w:trPr>
        <w:tc>
          <w:tcPr>
            <w:tcW w:w="910" w:type="pct"/>
            <w:tcBorders>
              <w:top w:val="single" w:sz="4" w:space="0" w:color="auto"/>
              <w:left w:val="single" w:sz="4" w:space="0" w:color="auto"/>
              <w:bottom w:val="single" w:sz="4" w:space="0" w:color="auto"/>
              <w:right w:val="single" w:sz="4" w:space="0" w:color="auto"/>
            </w:tcBorders>
            <w:shd w:val="clear" w:color="auto" w:fill="5B9BD5" w:themeFill="accent1"/>
            <w:hideMark/>
          </w:tcPr>
          <w:p w14:paraId="7917CDB5" w14:textId="55B26050" w:rsidR="00001DE2" w:rsidRPr="00365C42" w:rsidRDefault="00001DE2" w:rsidP="002E7036">
            <w:pPr>
              <w:rPr>
                <w:b/>
                <w:bCs/>
                <w:sz w:val="18"/>
                <w:szCs w:val="18"/>
              </w:rPr>
            </w:pPr>
            <w:r w:rsidRPr="00365C42">
              <w:rPr>
                <w:b/>
                <w:bCs/>
                <w:sz w:val="18"/>
                <w:szCs w:val="18"/>
              </w:rPr>
              <w:t>Mjesec</w:t>
            </w:r>
            <w:r w:rsidR="002E7036" w:rsidRPr="00365C42">
              <w:rPr>
                <w:b/>
                <w:bCs/>
                <w:sz w:val="18"/>
                <w:szCs w:val="18"/>
              </w:rPr>
              <w:t>/Godina</w:t>
            </w:r>
          </w:p>
        </w:tc>
        <w:tc>
          <w:tcPr>
            <w:tcW w:w="391" w:type="pct"/>
            <w:tcBorders>
              <w:top w:val="single" w:sz="4" w:space="0" w:color="auto"/>
              <w:left w:val="single" w:sz="4" w:space="0" w:color="auto"/>
              <w:bottom w:val="single" w:sz="4" w:space="0" w:color="auto"/>
              <w:right w:val="single" w:sz="4" w:space="0" w:color="auto"/>
            </w:tcBorders>
            <w:shd w:val="clear" w:color="auto" w:fill="5B9BD5" w:themeFill="accent1"/>
            <w:hideMark/>
          </w:tcPr>
          <w:p w14:paraId="213B8853" w14:textId="77777777" w:rsidR="00001DE2" w:rsidRPr="00365C42" w:rsidRDefault="00001DE2" w:rsidP="002E7036">
            <w:pPr>
              <w:rPr>
                <w:b/>
                <w:bCs/>
                <w:sz w:val="18"/>
                <w:szCs w:val="18"/>
              </w:rPr>
            </w:pPr>
            <w:r w:rsidRPr="00365C42">
              <w:rPr>
                <w:b/>
                <w:bCs/>
                <w:sz w:val="18"/>
                <w:szCs w:val="18"/>
              </w:rPr>
              <w:t>2012</w:t>
            </w:r>
          </w:p>
        </w:tc>
        <w:tc>
          <w:tcPr>
            <w:tcW w:w="391" w:type="pct"/>
            <w:tcBorders>
              <w:top w:val="single" w:sz="4" w:space="0" w:color="auto"/>
              <w:left w:val="single" w:sz="4" w:space="0" w:color="auto"/>
              <w:bottom w:val="single" w:sz="4" w:space="0" w:color="auto"/>
              <w:right w:val="single" w:sz="4" w:space="0" w:color="auto"/>
            </w:tcBorders>
            <w:shd w:val="clear" w:color="auto" w:fill="5B9BD5" w:themeFill="accent1"/>
            <w:hideMark/>
          </w:tcPr>
          <w:p w14:paraId="03E99D77" w14:textId="77777777" w:rsidR="00001DE2" w:rsidRPr="00365C42" w:rsidRDefault="00001DE2" w:rsidP="002E7036">
            <w:pPr>
              <w:rPr>
                <w:b/>
                <w:bCs/>
                <w:sz w:val="18"/>
                <w:szCs w:val="18"/>
              </w:rPr>
            </w:pPr>
            <w:r w:rsidRPr="00365C42">
              <w:rPr>
                <w:b/>
                <w:bCs/>
                <w:sz w:val="18"/>
                <w:szCs w:val="18"/>
              </w:rPr>
              <w:t>2013</w:t>
            </w:r>
          </w:p>
        </w:tc>
        <w:tc>
          <w:tcPr>
            <w:tcW w:w="391" w:type="pct"/>
            <w:tcBorders>
              <w:top w:val="single" w:sz="4" w:space="0" w:color="auto"/>
              <w:left w:val="single" w:sz="4" w:space="0" w:color="auto"/>
              <w:bottom w:val="single" w:sz="4" w:space="0" w:color="auto"/>
              <w:right w:val="single" w:sz="4" w:space="0" w:color="auto"/>
            </w:tcBorders>
            <w:shd w:val="clear" w:color="auto" w:fill="5B9BD5" w:themeFill="accent1"/>
            <w:hideMark/>
          </w:tcPr>
          <w:p w14:paraId="344A9262" w14:textId="77777777" w:rsidR="00001DE2" w:rsidRPr="00365C42" w:rsidRDefault="00001DE2" w:rsidP="002E7036">
            <w:pPr>
              <w:rPr>
                <w:b/>
                <w:bCs/>
                <w:sz w:val="18"/>
                <w:szCs w:val="18"/>
              </w:rPr>
            </w:pPr>
            <w:r w:rsidRPr="00365C42">
              <w:rPr>
                <w:b/>
                <w:bCs/>
                <w:sz w:val="18"/>
                <w:szCs w:val="18"/>
              </w:rPr>
              <w:t>2014</w:t>
            </w:r>
          </w:p>
        </w:tc>
        <w:tc>
          <w:tcPr>
            <w:tcW w:w="391" w:type="pct"/>
            <w:tcBorders>
              <w:top w:val="single" w:sz="4" w:space="0" w:color="auto"/>
              <w:left w:val="single" w:sz="4" w:space="0" w:color="auto"/>
              <w:bottom w:val="single" w:sz="4" w:space="0" w:color="auto"/>
              <w:right w:val="single" w:sz="4" w:space="0" w:color="auto"/>
            </w:tcBorders>
            <w:shd w:val="clear" w:color="auto" w:fill="5B9BD5" w:themeFill="accent1"/>
            <w:hideMark/>
          </w:tcPr>
          <w:p w14:paraId="2BDE7D43" w14:textId="77777777" w:rsidR="00001DE2" w:rsidRPr="00365C42" w:rsidRDefault="00001DE2" w:rsidP="002E7036">
            <w:pPr>
              <w:rPr>
                <w:b/>
                <w:bCs/>
                <w:sz w:val="18"/>
                <w:szCs w:val="18"/>
              </w:rPr>
            </w:pPr>
            <w:r w:rsidRPr="00365C42">
              <w:rPr>
                <w:b/>
                <w:bCs/>
                <w:sz w:val="18"/>
                <w:szCs w:val="18"/>
              </w:rPr>
              <w:t>2015</w:t>
            </w:r>
          </w:p>
        </w:tc>
        <w:tc>
          <w:tcPr>
            <w:tcW w:w="391" w:type="pct"/>
            <w:tcBorders>
              <w:top w:val="single" w:sz="4" w:space="0" w:color="auto"/>
              <w:left w:val="single" w:sz="4" w:space="0" w:color="auto"/>
              <w:bottom w:val="single" w:sz="4" w:space="0" w:color="auto"/>
              <w:right w:val="single" w:sz="4" w:space="0" w:color="auto"/>
            </w:tcBorders>
            <w:shd w:val="clear" w:color="auto" w:fill="5B9BD5" w:themeFill="accent1"/>
            <w:hideMark/>
          </w:tcPr>
          <w:p w14:paraId="11784E02" w14:textId="77777777" w:rsidR="00001DE2" w:rsidRPr="00365C42" w:rsidRDefault="00001DE2" w:rsidP="002E7036">
            <w:pPr>
              <w:rPr>
                <w:b/>
                <w:bCs/>
                <w:sz w:val="18"/>
                <w:szCs w:val="18"/>
              </w:rPr>
            </w:pPr>
            <w:r w:rsidRPr="00365C42">
              <w:rPr>
                <w:b/>
                <w:bCs/>
                <w:sz w:val="18"/>
                <w:szCs w:val="18"/>
              </w:rPr>
              <w:t>2016</w:t>
            </w:r>
          </w:p>
        </w:tc>
        <w:tc>
          <w:tcPr>
            <w:tcW w:w="391" w:type="pct"/>
            <w:tcBorders>
              <w:top w:val="single" w:sz="4" w:space="0" w:color="auto"/>
              <w:left w:val="single" w:sz="4" w:space="0" w:color="auto"/>
              <w:bottom w:val="single" w:sz="4" w:space="0" w:color="auto"/>
              <w:right w:val="single" w:sz="4" w:space="0" w:color="auto"/>
            </w:tcBorders>
            <w:shd w:val="clear" w:color="auto" w:fill="5B9BD5" w:themeFill="accent1"/>
            <w:hideMark/>
          </w:tcPr>
          <w:p w14:paraId="4F554DF6" w14:textId="77777777" w:rsidR="00001DE2" w:rsidRPr="00365C42" w:rsidRDefault="00001DE2" w:rsidP="002E7036">
            <w:pPr>
              <w:rPr>
                <w:b/>
                <w:bCs/>
                <w:sz w:val="18"/>
                <w:szCs w:val="18"/>
              </w:rPr>
            </w:pPr>
            <w:r w:rsidRPr="00365C42">
              <w:rPr>
                <w:b/>
                <w:bCs/>
                <w:sz w:val="18"/>
                <w:szCs w:val="18"/>
              </w:rPr>
              <w:t>2017</w:t>
            </w:r>
          </w:p>
        </w:tc>
        <w:tc>
          <w:tcPr>
            <w:tcW w:w="391" w:type="pct"/>
            <w:tcBorders>
              <w:top w:val="single" w:sz="4" w:space="0" w:color="auto"/>
              <w:left w:val="single" w:sz="4" w:space="0" w:color="auto"/>
              <w:bottom w:val="single" w:sz="4" w:space="0" w:color="auto"/>
              <w:right w:val="single" w:sz="4" w:space="0" w:color="auto"/>
            </w:tcBorders>
            <w:shd w:val="clear" w:color="auto" w:fill="5B9BD5" w:themeFill="accent1"/>
            <w:hideMark/>
          </w:tcPr>
          <w:p w14:paraId="169CA8CB" w14:textId="77777777" w:rsidR="00001DE2" w:rsidRPr="00365C42" w:rsidRDefault="00001DE2" w:rsidP="002E7036">
            <w:pPr>
              <w:rPr>
                <w:b/>
                <w:bCs/>
                <w:sz w:val="18"/>
                <w:szCs w:val="18"/>
              </w:rPr>
            </w:pPr>
            <w:r w:rsidRPr="00365C42">
              <w:rPr>
                <w:b/>
                <w:bCs/>
                <w:sz w:val="18"/>
                <w:szCs w:val="18"/>
              </w:rPr>
              <w:t>2018</w:t>
            </w:r>
          </w:p>
        </w:tc>
        <w:tc>
          <w:tcPr>
            <w:tcW w:w="391" w:type="pct"/>
            <w:tcBorders>
              <w:top w:val="single" w:sz="4" w:space="0" w:color="auto"/>
              <w:left w:val="single" w:sz="4" w:space="0" w:color="auto"/>
              <w:bottom w:val="single" w:sz="4" w:space="0" w:color="auto"/>
              <w:right w:val="single" w:sz="4" w:space="0" w:color="auto"/>
            </w:tcBorders>
            <w:shd w:val="clear" w:color="auto" w:fill="5B9BD5" w:themeFill="accent1"/>
            <w:hideMark/>
          </w:tcPr>
          <w:p w14:paraId="13041FBB" w14:textId="77777777" w:rsidR="00001DE2" w:rsidRPr="00365C42" w:rsidRDefault="00001DE2" w:rsidP="002E7036">
            <w:pPr>
              <w:rPr>
                <w:b/>
                <w:bCs/>
                <w:sz w:val="18"/>
                <w:szCs w:val="18"/>
              </w:rPr>
            </w:pPr>
            <w:r w:rsidRPr="00365C42">
              <w:rPr>
                <w:b/>
                <w:bCs/>
                <w:sz w:val="18"/>
                <w:szCs w:val="18"/>
              </w:rPr>
              <w:t>2019</w:t>
            </w:r>
          </w:p>
        </w:tc>
        <w:tc>
          <w:tcPr>
            <w:tcW w:w="577" w:type="pct"/>
            <w:tcBorders>
              <w:top w:val="single" w:sz="4" w:space="0" w:color="auto"/>
              <w:left w:val="single" w:sz="4" w:space="0" w:color="auto"/>
              <w:bottom w:val="single" w:sz="4" w:space="0" w:color="auto"/>
              <w:right w:val="single" w:sz="4" w:space="0" w:color="auto"/>
            </w:tcBorders>
            <w:shd w:val="clear" w:color="auto" w:fill="5B9BD5" w:themeFill="accent1"/>
            <w:hideMark/>
          </w:tcPr>
          <w:p w14:paraId="20421450" w14:textId="77777777" w:rsidR="00001DE2" w:rsidRPr="00365C42" w:rsidRDefault="00001DE2" w:rsidP="002E7036">
            <w:pPr>
              <w:rPr>
                <w:b/>
                <w:bCs/>
                <w:sz w:val="18"/>
                <w:szCs w:val="18"/>
              </w:rPr>
            </w:pPr>
            <w:r w:rsidRPr="00365C42">
              <w:rPr>
                <w:b/>
                <w:bCs/>
                <w:sz w:val="18"/>
                <w:szCs w:val="18"/>
              </w:rPr>
              <w:t>2020</w:t>
            </w:r>
          </w:p>
        </w:tc>
        <w:tc>
          <w:tcPr>
            <w:tcW w:w="385" w:type="pct"/>
            <w:tcBorders>
              <w:top w:val="single" w:sz="4" w:space="0" w:color="auto"/>
              <w:left w:val="single" w:sz="4" w:space="0" w:color="auto"/>
              <w:bottom w:val="single" w:sz="4" w:space="0" w:color="auto"/>
              <w:right w:val="single" w:sz="4" w:space="0" w:color="auto"/>
            </w:tcBorders>
            <w:shd w:val="clear" w:color="auto" w:fill="5B9BD5" w:themeFill="accent1"/>
            <w:hideMark/>
          </w:tcPr>
          <w:p w14:paraId="22121090" w14:textId="77777777" w:rsidR="00001DE2" w:rsidRPr="00365C42" w:rsidRDefault="00001DE2" w:rsidP="002E7036">
            <w:pPr>
              <w:rPr>
                <w:b/>
                <w:bCs/>
                <w:sz w:val="18"/>
                <w:szCs w:val="18"/>
              </w:rPr>
            </w:pPr>
            <w:r w:rsidRPr="00365C42">
              <w:rPr>
                <w:b/>
                <w:bCs/>
                <w:sz w:val="18"/>
                <w:szCs w:val="18"/>
              </w:rPr>
              <w:t>2021</w:t>
            </w:r>
          </w:p>
        </w:tc>
      </w:tr>
      <w:tr w:rsidR="00001DE2" w:rsidRPr="00365C42" w14:paraId="1A7B967E" w14:textId="77777777" w:rsidTr="002E7036">
        <w:trPr>
          <w:trHeight w:val="307"/>
        </w:trPr>
        <w:tc>
          <w:tcPr>
            <w:tcW w:w="910"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74C2256" w14:textId="77777777" w:rsidR="00001DE2" w:rsidRPr="00365C42" w:rsidRDefault="00001DE2" w:rsidP="002E7036">
            <w:pPr>
              <w:rPr>
                <w:b/>
                <w:bCs/>
                <w:sz w:val="18"/>
                <w:szCs w:val="18"/>
              </w:rPr>
            </w:pPr>
            <w:r w:rsidRPr="00365C42">
              <w:rPr>
                <w:b/>
                <w:bCs/>
                <w:sz w:val="18"/>
                <w:szCs w:val="18"/>
              </w:rPr>
              <w:t>Januar</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ECDFE21" w14:textId="77777777" w:rsidR="00001DE2" w:rsidRPr="00365C42" w:rsidRDefault="00001DE2"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F9B1D5E" w14:textId="77777777" w:rsidR="00001DE2" w:rsidRPr="00365C42" w:rsidRDefault="00001DE2"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CC26FC6" w14:textId="77777777" w:rsidR="00001DE2" w:rsidRPr="00365C42" w:rsidRDefault="00001DE2"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A46C37D" w14:textId="77777777" w:rsidR="00001DE2" w:rsidRPr="00365C42" w:rsidRDefault="00001DE2" w:rsidP="002E7036">
            <w:pPr>
              <w:rPr>
                <w:sz w:val="18"/>
                <w:szCs w:val="18"/>
              </w:rPr>
            </w:pPr>
            <w:r w:rsidRPr="00365C42">
              <w:rPr>
                <w:sz w:val="18"/>
                <w:szCs w:val="18"/>
              </w:rPr>
              <w:t>1120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7C673F8" w14:textId="77777777" w:rsidR="00001DE2" w:rsidRPr="00365C42" w:rsidRDefault="00001DE2" w:rsidP="002E7036">
            <w:pPr>
              <w:rPr>
                <w:sz w:val="18"/>
                <w:szCs w:val="18"/>
              </w:rPr>
            </w:pPr>
            <w:r w:rsidRPr="00365C42">
              <w:rPr>
                <w:sz w:val="18"/>
                <w:szCs w:val="18"/>
              </w:rPr>
              <w:t>1200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35BB79A" w14:textId="77777777" w:rsidR="00001DE2" w:rsidRPr="00365C42" w:rsidRDefault="00001DE2" w:rsidP="002E7036">
            <w:pPr>
              <w:rPr>
                <w:sz w:val="18"/>
                <w:szCs w:val="18"/>
              </w:rPr>
            </w:pPr>
            <w:r w:rsidRPr="00365C42">
              <w:rPr>
                <w:sz w:val="18"/>
                <w:szCs w:val="18"/>
              </w:rPr>
              <w:t>220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09F65DE" w14:textId="77777777" w:rsidR="00001DE2" w:rsidRPr="00365C42" w:rsidRDefault="00001DE2" w:rsidP="002E7036">
            <w:pPr>
              <w:rPr>
                <w:sz w:val="18"/>
                <w:szCs w:val="18"/>
              </w:rPr>
            </w:pPr>
            <w:r w:rsidRPr="00365C42">
              <w:rPr>
                <w:sz w:val="18"/>
                <w:szCs w:val="18"/>
              </w:rPr>
              <w:t>1940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E139DBB" w14:textId="77777777" w:rsidR="00001DE2" w:rsidRPr="00365C42" w:rsidRDefault="00001DE2" w:rsidP="002E7036">
            <w:pPr>
              <w:rPr>
                <w:sz w:val="18"/>
                <w:szCs w:val="18"/>
              </w:rPr>
            </w:pPr>
            <w:r w:rsidRPr="00365C42">
              <w:rPr>
                <w:sz w:val="18"/>
                <w:szCs w:val="18"/>
              </w:rPr>
              <w:t>720</w:t>
            </w:r>
          </w:p>
        </w:tc>
        <w:tc>
          <w:tcPr>
            <w:tcW w:w="57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19715F4" w14:textId="77777777" w:rsidR="00001DE2" w:rsidRPr="00365C42" w:rsidRDefault="00001DE2" w:rsidP="002E7036">
            <w:pPr>
              <w:rPr>
                <w:sz w:val="18"/>
                <w:szCs w:val="18"/>
              </w:rPr>
            </w:pPr>
            <w:r w:rsidRPr="00365C42">
              <w:rPr>
                <w:sz w:val="18"/>
                <w:szCs w:val="18"/>
              </w:rPr>
              <w:t>1120</w:t>
            </w:r>
          </w:p>
        </w:tc>
        <w:tc>
          <w:tcPr>
            <w:tcW w:w="385"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C322329" w14:textId="77777777" w:rsidR="00001DE2" w:rsidRPr="00365C42" w:rsidRDefault="00001DE2" w:rsidP="002E7036">
            <w:pPr>
              <w:rPr>
                <w:sz w:val="18"/>
                <w:szCs w:val="18"/>
              </w:rPr>
            </w:pPr>
            <w:r w:rsidRPr="00365C42">
              <w:rPr>
                <w:sz w:val="18"/>
                <w:szCs w:val="18"/>
              </w:rPr>
              <w:t>260</w:t>
            </w:r>
          </w:p>
        </w:tc>
      </w:tr>
      <w:tr w:rsidR="00001DE2" w:rsidRPr="00365C42" w14:paraId="57E398BC" w14:textId="77777777" w:rsidTr="002E7036">
        <w:trPr>
          <w:trHeight w:val="234"/>
        </w:trPr>
        <w:tc>
          <w:tcPr>
            <w:tcW w:w="910"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24914E7" w14:textId="77777777" w:rsidR="00001DE2" w:rsidRPr="00365C42" w:rsidRDefault="00001DE2" w:rsidP="002E7036">
            <w:pPr>
              <w:rPr>
                <w:b/>
                <w:bCs/>
                <w:sz w:val="18"/>
                <w:szCs w:val="18"/>
              </w:rPr>
            </w:pPr>
            <w:r w:rsidRPr="00365C42">
              <w:rPr>
                <w:b/>
                <w:bCs/>
                <w:sz w:val="18"/>
                <w:szCs w:val="18"/>
              </w:rPr>
              <w:t>Februar</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8B38D14" w14:textId="77777777" w:rsidR="00001DE2" w:rsidRPr="00365C42" w:rsidRDefault="00001DE2" w:rsidP="002E7036">
            <w:pPr>
              <w:rPr>
                <w:sz w:val="18"/>
                <w:szCs w:val="18"/>
              </w:rPr>
            </w:pPr>
            <w:r w:rsidRPr="00365C42">
              <w:rPr>
                <w:sz w:val="18"/>
                <w:szCs w:val="18"/>
              </w:rPr>
              <w:t>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B3803B8" w14:textId="77777777" w:rsidR="00001DE2" w:rsidRPr="00365C42" w:rsidRDefault="00001DE2" w:rsidP="002E7036">
            <w:pPr>
              <w:rPr>
                <w:sz w:val="18"/>
                <w:szCs w:val="18"/>
              </w:rPr>
            </w:pPr>
            <w:r w:rsidRPr="00365C42">
              <w:rPr>
                <w:sz w:val="18"/>
                <w:szCs w:val="18"/>
              </w:rPr>
              <w:t>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EF3804F" w14:textId="77777777" w:rsidR="00001DE2" w:rsidRPr="00365C42" w:rsidRDefault="00001DE2" w:rsidP="002E7036">
            <w:pPr>
              <w:rPr>
                <w:sz w:val="18"/>
                <w:szCs w:val="18"/>
              </w:rPr>
            </w:pPr>
            <w:r w:rsidRPr="00365C42">
              <w:rPr>
                <w:sz w:val="18"/>
                <w:szCs w:val="18"/>
              </w:rPr>
              <w:t>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E8E4812" w14:textId="77777777" w:rsidR="00001DE2" w:rsidRPr="00365C42" w:rsidRDefault="00001DE2" w:rsidP="002E7036">
            <w:pPr>
              <w:rPr>
                <w:sz w:val="18"/>
                <w:szCs w:val="18"/>
              </w:rPr>
            </w:pPr>
            <w:r w:rsidRPr="00365C42">
              <w:rPr>
                <w:sz w:val="18"/>
                <w:szCs w:val="18"/>
              </w:rPr>
              <w:t>340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36F8746" w14:textId="77777777" w:rsidR="00001DE2" w:rsidRPr="00365C42" w:rsidRDefault="00001DE2" w:rsidP="002E7036">
            <w:pPr>
              <w:rPr>
                <w:sz w:val="18"/>
                <w:szCs w:val="18"/>
              </w:rPr>
            </w:pPr>
            <w:r w:rsidRPr="00365C42">
              <w:rPr>
                <w:sz w:val="18"/>
                <w:szCs w:val="18"/>
              </w:rPr>
              <w:t>680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8A54CC3" w14:textId="77777777" w:rsidR="00001DE2" w:rsidRPr="00365C42" w:rsidRDefault="00001DE2" w:rsidP="002E7036">
            <w:pPr>
              <w:rPr>
                <w:sz w:val="18"/>
                <w:szCs w:val="18"/>
              </w:rPr>
            </w:pPr>
            <w:r w:rsidRPr="00365C42">
              <w:rPr>
                <w:sz w:val="18"/>
                <w:szCs w:val="18"/>
              </w:rPr>
              <w:t>620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87EC7DB" w14:textId="77777777" w:rsidR="00001DE2" w:rsidRPr="00365C42" w:rsidRDefault="00001DE2" w:rsidP="002E7036">
            <w:pPr>
              <w:rPr>
                <w:sz w:val="18"/>
                <w:szCs w:val="18"/>
              </w:rPr>
            </w:pPr>
            <w:r w:rsidRPr="00365C42">
              <w:rPr>
                <w:sz w:val="18"/>
                <w:szCs w:val="18"/>
              </w:rPr>
              <w:t>1700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2C5EF6E" w14:textId="77777777" w:rsidR="00001DE2" w:rsidRPr="00365C42" w:rsidRDefault="00001DE2" w:rsidP="002E7036">
            <w:pPr>
              <w:rPr>
                <w:sz w:val="18"/>
                <w:szCs w:val="18"/>
              </w:rPr>
            </w:pPr>
            <w:r w:rsidRPr="00365C42">
              <w:rPr>
                <w:sz w:val="18"/>
                <w:szCs w:val="18"/>
              </w:rPr>
              <w:t>540</w:t>
            </w:r>
          </w:p>
        </w:tc>
        <w:tc>
          <w:tcPr>
            <w:tcW w:w="577"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E7F24C2" w14:textId="77777777" w:rsidR="00001DE2" w:rsidRPr="00365C42" w:rsidRDefault="00001DE2" w:rsidP="002E7036">
            <w:pPr>
              <w:rPr>
                <w:sz w:val="18"/>
                <w:szCs w:val="18"/>
              </w:rPr>
            </w:pPr>
            <w:r w:rsidRPr="00365C42">
              <w:rPr>
                <w:sz w:val="18"/>
                <w:szCs w:val="18"/>
              </w:rPr>
              <w:t> </w:t>
            </w:r>
          </w:p>
        </w:tc>
        <w:tc>
          <w:tcPr>
            <w:tcW w:w="385"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EB1D922" w14:textId="77777777" w:rsidR="00001DE2" w:rsidRPr="00365C42" w:rsidRDefault="00001DE2" w:rsidP="002E7036">
            <w:pPr>
              <w:rPr>
                <w:sz w:val="18"/>
                <w:szCs w:val="18"/>
              </w:rPr>
            </w:pPr>
            <w:r w:rsidRPr="00365C42">
              <w:rPr>
                <w:sz w:val="18"/>
                <w:szCs w:val="18"/>
              </w:rPr>
              <w:t>140</w:t>
            </w:r>
          </w:p>
        </w:tc>
      </w:tr>
      <w:tr w:rsidR="00001DE2" w:rsidRPr="00365C42" w14:paraId="328FF968" w14:textId="77777777" w:rsidTr="002E7036">
        <w:trPr>
          <w:trHeight w:val="238"/>
        </w:trPr>
        <w:tc>
          <w:tcPr>
            <w:tcW w:w="910"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16744A7" w14:textId="77777777" w:rsidR="00001DE2" w:rsidRPr="00365C42" w:rsidRDefault="00001DE2" w:rsidP="002E7036">
            <w:pPr>
              <w:rPr>
                <w:b/>
                <w:bCs/>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1C1AB24"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DCF29D7"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F850BEE"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E276660" w14:textId="77777777" w:rsidR="00001DE2" w:rsidRPr="00365C42" w:rsidRDefault="00001DE2" w:rsidP="002E7036">
            <w:pPr>
              <w:rPr>
                <w:sz w:val="18"/>
                <w:szCs w:val="18"/>
              </w:rPr>
            </w:pP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88F6490" w14:textId="77777777" w:rsidR="00001DE2" w:rsidRPr="00365C42" w:rsidRDefault="00001DE2" w:rsidP="002E7036">
            <w:pPr>
              <w:rPr>
                <w:sz w:val="18"/>
                <w:szCs w:val="18"/>
              </w:rPr>
            </w:pPr>
            <w:r w:rsidRPr="00365C42">
              <w:rPr>
                <w:sz w:val="18"/>
                <w:szCs w:val="18"/>
              </w:rPr>
              <w:t>140</w:t>
            </w: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011D389"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6ED05D7"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E05BF21" w14:textId="77777777" w:rsidR="00001DE2" w:rsidRPr="00365C42" w:rsidRDefault="00001DE2" w:rsidP="002E7036">
            <w:pPr>
              <w:rPr>
                <w:sz w:val="18"/>
                <w:szCs w:val="18"/>
              </w:rPr>
            </w:pPr>
          </w:p>
        </w:tc>
        <w:tc>
          <w:tcPr>
            <w:tcW w:w="577"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D822D67" w14:textId="77777777" w:rsidR="00001DE2" w:rsidRPr="00365C42" w:rsidRDefault="00001DE2" w:rsidP="002E7036">
            <w:pPr>
              <w:rPr>
                <w:sz w:val="18"/>
                <w:szCs w:val="18"/>
              </w:rPr>
            </w:pPr>
          </w:p>
        </w:tc>
        <w:tc>
          <w:tcPr>
            <w:tcW w:w="385"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614AF26" w14:textId="77777777" w:rsidR="00001DE2" w:rsidRPr="00365C42" w:rsidRDefault="00001DE2" w:rsidP="002E7036">
            <w:pPr>
              <w:rPr>
                <w:sz w:val="18"/>
                <w:szCs w:val="18"/>
              </w:rPr>
            </w:pPr>
          </w:p>
        </w:tc>
      </w:tr>
      <w:tr w:rsidR="00001DE2" w:rsidRPr="00365C42" w14:paraId="25B8911F" w14:textId="77777777" w:rsidTr="002E7036">
        <w:trPr>
          <w:trHeight w:val="234"/>
        </w:trPr>
        <w:tc>
          <w:tcPr>
            <w:tcW w:w="910"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85FD1E3" w14:textId="77777777" w:rsidR="00001DE2" w:rsidRPr="00365C42" w:rsidRDefault="00001DE2" w:rsidP="002E7036">
            <w:pPr>
              <w:rPr>
                <w:b/>
                <w:bCs/>
                <w:sz w:val="18"/>
                <w:szCs w:val="18"/>
              </w:rPr>
            </w:pPr>
            <w:r w:rsidRPr="00365C42">
              <w:rPr>
                <w:b/>
                <w:bCs/>
                <w:sz w:val="18"/>
                <w:szCs w:val="18"/>
              </w:rPr>
              <w:t>Mart</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F03D9C3" w14:textId="77777777" w:rsidR="00001DE2" w:rsidRPr="00365C42" w:rsidRDefault="00001DE2" w:rsidP="002E7036">
            <w:pPr>
              <w:rPr>
                <w:sz w:val="18"/>
                <w:szCs w:val="18"/>
              </w:rPr>
            </w:pPr>
            <w:r w:rsidRPr="00365C42">
              <w:rPr>
                <w:sz w:val="18"/>
                <w:szCs w:val="18"/>
              </w:rPr>
              <w:t>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1C6080D" w14:textId="77777777" w:rsidR="00001DE2" w:rsidRPr="00365C42" w:rsidRDefault="00001DE2" w:rsidP="002E7036">
            <w:pPr>
              <w:rPr>
                <w:sz w:val="18"/>
                <w:szCs w:val="18"/>
              </w:rPr>
            </w:pPr>
            <w:r w:rsidRPr="00365C42">
              <w:rPr>
                <w:sz w:val="18"/>
                <w:szCs w:val="18"/>
              </w:rPr>
              <w:t>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52F9817" w14:textId="77777777" w:rsidR="00001DE2" w:rsidRPr="00365C42" w:rsidRDefault="00001DE2" w:rsidP="002E7036">
            <w:pPr>
              <w:rPr>
                <w:sz w:val="18"/>
                <w:szCs w:val="18"/>
              </w:rPr>
            </w:pPr>
            <w:r w:rsidRPr="00365C42">
              <w:rPr>
                <w:sz w:val="18"/>
                <w:szCs w:val="18"/>
              </w:rPr>
              <w:t>1480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DEA7B22" w14:textId="77777777" w:rsidR="00001DE2" w:rsidRPr="00365C42" w:rsidRDefault="00001DE2" w:rsidP="002E7036">
            <w:pPr>
              <w:rPr>
                <w:sz w:val="18"/>
                <w:szCs w:val="18"/>
              </w:rPr>
            </w:pPr>
            <w:r w:rsidRPr="00365C42">
              <w:rPr>
                <w:sz w:val="18"/>
                <w:szCs w:val="18"/>
              </w:rPr>
              <w:t>360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7828A7D" w14:textId="77777777" w:rsidR="00001DE2" w:rsidRPr="00365C42" w:rsidRDefault="00001DE2" w:rsidP="002E7036">
            <w:pPr>
              <w:rPr>
                <w:sz w:val="18"/>
                <w:szCs w:val="18"/>
              </w:rPr>
            </w:pPr>
            <w:r w:rsidRPr="00365C42">
              <w:rPr>
                <w:sz w:val="18"/>
                <w:szCs w:val="18"/>
              </w:rPr>
              <w:t>680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607ADAA" w14:textId="77777777" w:rsidR="00001DE2" w:rsidRPr="00365C42" w:rsidRDefault="00001DE2" w:rsidP="002E7036">
            <w:pPr>
              <w:rPr>
                <w:sz w:val="18"/>
                <w:szCs w:val="18"/>
              </w:rPr>
            </w:pPr>
            <w:r w:rsidRPr="00365C42">
              <w:rPr>
                <w:sz w:val="18"/>
                <w:szCs w:val="18"/>
              </w:rPr>
              <w:t>620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F9DF479" w14:textId="77777777" w:rsidR="00001DE2" w:rsidRPr="00365C42" w:rsidRDefault="00001DE2" w:rsidP="002E7036">
            <w:pPr>
              <w:rPr>
                <w:sz w:val="18"/>
                <w:szCs w:val="18"/>
              </w:rPr>
            </w:pPr>
            <w:r w:rsidRPr="00365C42">
              <w:rPr>
                <w:sz w:val="18"/>
                <w:szCs w:val="18"/>
              </w:rPr>
              <w:t>980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9B8BC1F" w14:textId="77777777" w:rsidR="00001DE2" w:rsidRPr="00365C42" w:rsidRDefault="00001DE2" w:rsidP="002E7036">
            <w:pPr>
              <w:rPr>
                <w:sz w:val="18"/>
                <w:szCs w:val="18"/>
              </w:rPr>
            </w:pPr>
            <w:r w:rsidRPr="00365C42">
              <w:rPr>
                <w:sz w:val="18"/>
                <w:szCs w:val="18"/>
              </w:rPr>
              <w:t>460</w:t>
            </w:r>
          </w:p>
        </w:tc>
        <w:tc>
          <w:tcPr>
            <w:tcW w:w="577"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F15B5F8" w14:textId="77777777" w:rsidR="00001DE2" w:rsidRPr="00365C42" w:rsidRDefault="00001DE2" w:rsidP="002E7036">
            <w:pPr>
              <w:rPr>
                <w:sz w:val="18"/>
                <w:szCs w:val="18"/>
              </w:rPr>
            </w:pPr>
            <w:r w:rsidRPr="00365C42">
              <w:rPr>
                <w:sz w:val="18"/>
                <w:szCs w:val="18"/>
              </w:rPr>
              <w:t>Covid 19</w:t>
            </w:r>
          </w:p>
        </w:tc>
        <w:tc>
          <w:tcPr>
            <w:tcW w:w="385"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EF2DA96" w14:textId="77777777" w:rsidR="00001DE2" w:rsidRPr="00365C42" w:rsidRDefault="00001DE2" w:rsidP="002E7036">
            <w:pPr>
              <w:rPr>
                <w:sz w:val="18"/>
                <w:szCs w:val="18"/>
              </w:rPr>
            </w:pPr>
            <w:r w:rsidRPr="00365C42">
              <w:rPr>
                <w:sz w:val="18"/>
                <w:szCs w:val="18"/>
              </w:rPr>
              <w:t>480</w:t>
            </w:r>
          </w:p>
        </w:tc>
      </w:tr>
      <w:tr w:rsidR="00001DE2" w:rsidRPr="00365C42" w14:paraId="08B40AE9" w14:textId="77777777" w:rsidTr="002E7036">
        <w:trPr>
          <w:trHeight w:val="234"/>
        </w:trPr>
        <w:tc>
          <w:tcPr>
            <w:tcW w:w="910"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4A429EE" w14:textId="77777777" w:rsidR="00001DE2" w:rsidRPr="00365C42" w:rsidRDefault="00001DE2" w:rsidP="002E7036">
            <w:pPr>
              <w:rPr>
                <w:b/>
                <w:bCs/>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8E956DF"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AB66075"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19F523A"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8226039"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9D24CCB" w14:textId="77777777" w:rsidR="00001DE2" w:rsidRPr="00365C42" w:rsidRDefault="00001DE2" w:rsidP="002E7036">
            <w:pPr>
              <w:rPr>
                <w:sz w:val="18"/>
                <w:szCs w:val="18"/>
              </w:rPr>
            </w:pP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3D8B24E" w14:textId="77777777" w:rsidR="00001DE2" w:rsidRPr="00365C42" w:rsidRDefault="00001DE2" w:rsidP="002E7036">
            <w:pPr>
              <w:rPr>
                <w:sz w:val="18"/>
                <w:szCs w:val="18"/>
              </w:rPr>
            </w:pPr>
            <w:r w:rsidRPr="00365C42">
              <w:rPr>
                <w:sz w:val="18"/>
                <w:szCs w:val="18"/>
              </w:rPr>
              <w:t>60x2</w:t>
            </w: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B3D3AC6"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70468A4" w14:textId="77777777" w:rsidR="00001DE2" w:rsidRPr="00365C42" w:rsidRDefault="00001DE2" w:rsidP="002E7036">
            <w:pPr>
              <w:rPr>
                <w:sz w:val="18"/>
                <w:szCs w:val="18"/>
              </w:rPr>
            </w:pPr>
          </w:p>
        </w:tc>
        <w:tc>
          <w:tcPr>
            <w:tcW w:w="577"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F2F2396" w14:textId="77777777" w:rsidR="00001DE2" w:rsidRPr="00365C42" w:rsidRDefault="00001DE2" w:rsidP="002E7036">
            <w:pPr>
              <w:rPr>
                <w:sz w:val="18"/>
                <w:szCs w:val="18"/>
              </w:rPr>
            </w:pPr>
          </w:p>
        </w:tc>
        <w:tc>
          <w:tcPr>
            <w:tcW w:w="385"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E74FA53" w14:textId="77777777" w:rsidR="00001DE2" w:rsidRPr="00365C42" w:rsidRDefault="00001DE2" w:rsidP="002E7036">
            <w:pPr>
              <w:rPr>
                <w:sz w:val="18"/>
                <w:szCs w:val="18"/>
              </w:rPr>
            </w:pPr>
          </w:p>
        </w:tc>
      </w:tr>
      <w:tr w:rsidR="00001DE2" w:rsidRPr="00365C42" w14:paraId="3D0316F2" w14:textId="77777777" w:rsidTr="002E7036">
        <w:trPr>
          <w:trHeight w:val="242"/>
        </w:trPr>
        <w:tc>
          <w:tcPr>
            <w:tcW w:w="910"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E134E6E" w14:textId="77777777" w:rsidR="00001DE2" w:rsidRPr="00365C42" w:rsidRDefault="00001DE2" w:rsidP="002E7036">
            <w:pPr>
              <w:rPr>
                <w:b/>
                <w:bCs/>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5B4BE3B"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1F2C968"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A256ACF"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87F3A61"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3EF510A" w14:textId="77777777" w:rsidR="00001DE2" w:rsidRPr="00365C42" w:rsidRDefault="00001DE2" w:rsidP="002E7036">
            <w:pPr>
              <w:rPr>
                <w:sz w:val="18"/>
                <w:szCs w:val="18"/>
              </w:rPr>
            </w:pP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F04B024" w14:textId="77777777" w:rsidR="00001DE2" w:rsidRPr="00365C42" w:rsidRDefault="00001DE2" w:rsidP="002E7036">
            <w:pPr>
              <w:rPr>
                <w:sz w:val="18"/>
                <w:szCs w:val="18"/>
              </w:rPr>
            </w:pPr>
            <w:r w:rsidRPr="00365C42">
              <w:rPr>
                <w:sz w:val="18"/>
                <w:szCs w:val="18"/>
              </w:rPr>
              <w:t>640</w:t>
            </w: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1E6482A" w14:textId="77777777" w:rsidR="00001DE2" w:rsidRPr="00365C42" w:rsidRDefault="00001DE2"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A6B7376" w14:textId="77777777" w:rsidR="00001DE2" w:rsidRPr="00365C42" w:rsidRDefault="00001DE2" w:rsidP="002E7036">
            <w:pPr>
              <w:rPr>
                <w:sz w:val="18"/>
                <w:szCs w:val="18"/>
              </w:rPr>
            </w:pPr>
          </w:p>
        </w:tc>
        <w:tc>
          <w:tcPr>
            <w:tcW w:w="577"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39479C" w14:textId="77777777" w:rsidR="00001DE2" w:rsidRPr="00365C42" w:rsidRDefault="00001DE2" w:rsidP="002E7036">
            <w:pPr>
              <w:rPr>
                <w:sz w:val="18"/>
                <w:szCs w:val="18"/>
              </w:rPr>
            </w:pPr>
          </w:p>
        </w:tc>
        <w:tc>
          <w:tcPr>
            <w:tcW w:w="385"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B7D3264" w14:textId="77777777" w:rsidR="00001DE2" w:rsidRPr="00365C42" w:rsidRDefault="00001DE2" w:rsidP="002E7036">
            <w:pPr>
              <w:rPr>
                <w:sz w:val="18"/>
                <w:szCs w:val="18"/>
              </w:rPr>
            </w:pPr>
          </w:p>
        </w:tc>
      </w:tr>
      <w:tr w:rsidR="00001DE2" w:rsidRPr="00365C42" w14:paraId="58DE5E83" w14:textId="77777777" w:rsidTr="002E7036">
        <w:trPr>
          <w:trHeight w:val="242"/>
        </w:trPr>
        <w:tc>
          <w:tcPr>
            <w:tcW w:w="910"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A941C0E" w14:textId="77777777" w:rsidR="00001DE2" w:rsidRPr="00365C42" w:rsidRDefault="00001DE2" w:rsidP="002E7036">
            <w:pPr>
              <w:rPr>
                <w:b/>
                <w:bCs/>
                <w:sz w:val="18"/>
                <w:szCs w:val="18"/>
              </w:rPr>
            </w:pPr>
            <w:r w:rsidRPr="00365C42">
              <w:rPr>
                <w:b/>
                <w:bCs/>
                <w:sz w:val="18"/>
                <w:szCs w:val="18"/>
              </w:rPr>
              <w:t>April</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F050C44" w14:textId="77777777" w:rsidR="00001DE2" w:rsidRPr="00365C42" w:rsidRDefault="00001DE2"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FB47BF8" w14:textId="77777777" w:rsidR="00001DE2" w:rsidRPr="00365C42" w:rsidRDefault="00001DE2"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A04CF2F" w14:textId="77777777" w:rsidR="00001DE2" w:rsidRPr="00365C42" w:rsidRDefault="00001DE2"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58CFBBE" w14:textId="77777777" w:rsidR="00001DE2" w:rsidRPr="00365C42" w:rsidRDefault="00001DE2" w:rsidP="002E7036">
            <w:pPr>
              <w:rPr>
                <w:sz w:val="18"/>
                <w:szCs w:val="18"/>
              </w:rPr>
            </w:pPr>
            <w:r w:rsidRPr="00365C42">
              <w:rPr>
                <w:sz w:val="18"/>
                <w:szCs w:val="18"/>
              </w:rPr>
              <w:t>380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CA26E4E" w14:textId="77777777" w:rsidR="00001DE2" w:rsidRPr="00365C42" w:rsidRDefault="00001DE2" w:rsidP="002E7036">
            <w:pPr>
              <w:rPr>
                <w:sz w:val="18"/>
                <w:szCs w:val="18"/>
              </w:rPr>
            </w:pPr>
            <w:r w:rsidRPr="00365C42">
              <w:rPr>
                <w:sz w:val="18"/>
                <w:szCs w:val="18"/>
              </w:rPr>
              <w:t>460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E6E8EB6" w14:textId="77777777" w:rsidR="00001DE2" w:rsidRPr="00365C42" w:rsidRDefault="00001DE2" w:rsidP="002E7036">
            <w:pPr>
              <w:rPr>
                <w:sz w:val="18"/>
                <w:szCs w:val="18"/>
              </w:rPr>
            </w:pPr>
            <w:r w:rsidRPr="00365C42">
              <w:rPr>
                <w:sz w:val="18"/>
                <w:szCs w:val="18"/>
              </w:rPr>
              <w:t>140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265B6EE" w14:textId="77777777" w:rsidR="00001DE2" w:rsidRPr="00365C42" w:rsidRDefault="00001DE2" w:rsidP="002E7036">
            <w:pPr>
              <w:rPr>
                <w:sz w:val="18"/>
                <w:szCs w:val="18"/>
              </w:rPr>
            </w:pPr>
            <w:r w:rsidRPr="00365C42">
              <w:rPr>
                <w:sz w:val="18"/>
                <w:szCs w:val="18"/>
              </w:rPr>
              <w:t>740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327A7FF" w14:textId="77777777" w:rsidR="00001DE2" w:rsidRPr="00365C42" w:rsidRDefault="00001DE2" w:rsidP="002E7036">
            <w:pPr>
              <w:rPr>
                <w:sz w:val="18"/>
                <w:szCs w:val="18"/>
              </w:rPr>
            </w:pPr>
            <w:r w:rsidRPr="00365C42">
              <w:rPr>
                <w:sz w:val="18"/>
                <w:szCs w:val="18"/>
              </w:rPr>
              <w:t>540</w:t>
            </w:r>
          </w:p>
        </w:tc>
        <w:tc>
          <w:tcPr>
            <w:tcW w:w="57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364ABD1" w14:textId="77777777" w:rsidR="00001DE2" w:rsidRPr="00365C42" w:rsidRDefault="00001DE2" w:rsidP="002E7036">
            <w:pPr>
              <w:rPr>
                <w:sz w:val="18"/>
                <w:szCs w:val="18"/>
              </w:rPr>
            </w:pPr>
            <w:r w:rsidRPr="00365C42">
              <w:rPr>
                <w:sz w:val="18"/>
                <w:szCs w:val="18"/>
              </w:rPr>
              <w:t>Covid 19</w:t>
            </w:r>
          </w:p>
        </w:tc>
        <w:tc>
          <w:tcPr>
            <w:tcW w:w="385"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8204406" w14:textId="77777777" w:rsidR="00001DE2" w:rsidRPr="00365C42" w:rsidRDefault="00001DE2" w:rsidP="002E7036">
            <w:pPr>
              <w:rPr>
                <w:sz w:val="18"/>
                <w:szCs w:val="18"/>
              </w:rPr>
            </w:pPr>
            <w:r w:rsidRPr="00365C42">
              <w:rPr>
                <w:sz w:val="18"/>
                <w:szCs w:val="18"/>
              </w:rPr>
              <w:t>760</w:t>
            </w:r>
          </w:p>
        </w:tc>
      </w:tr>
      <w:tr w:rsidR="00001DE2" w:rsidRPr="00365C42" w14:paraId="5AF812D0" w14:textId="77777777" w:rsidTr="002E7036">
        <w:trPr>
          <w:trHeight w:val="242"/>
        </w:trPr>
        <w:tc>
          <w:tcPr>
            <w:tcW w:w="910"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5DCBA9A" w14:textId="77777777" w:rsidR="00001DE2" w:rsidRPr="00365C42" w:rsidRDefault="00001DE2" w:rsidP="002E7036">
            <w:pPr>
              <w:rPr>
                <w:b/>
                <w:bCs/>
                <w:sz w:val="18"/>
                <w:szCs w:val="18"/>
              </w:rPr>
            </w:pPr>
            <w:r w:rsidRPr="00365C42">
              <w:rPr>
                <w:b/>
                <w:bCs/>
                <w:sz w:val="18"/>
                <w:szCs w:val="18"/>
              </w:rPr>
              <w:t>Maj</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FEF9F2D" w14:textId="77777777" w:rsidR="00001DE2" w:rsidRPr="00365C42" w:rsidRDefault="00001DE2"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6BA7D82" w14:textId="77777777" w:rsidR="00001DE2" w:rsidRPr="00365C42" w:rsidRDefault="00001DE2"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B6D96E1" w14:textId="77777777" w:rsidR="00001DE2" w:rsidRPr="00365C42" w:rsidRDefault="00001DE2" w:rsidP="002E7036">
            <w:pPr>
              <w:rPr>
                <w:sz w:val="18"/>
                <w:szCs w:val="18"/>
              </w:rPr>
            </w:pPr>
            <w:r w:rsidRPr="00365C42">
              <w:rPr>
                <w:sz w:val="18"/>
                <w:szCs w:val="18"/>
              </w:rPr>
              <w:t>900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642077B" w14:textId="77777777" w:rsidR="00001DE2" w:rsidRPr="00365C42" w:rsidRDefault="00001DE2" w:rsidP="002E7036">
            <w:pPr>
              <w:rPr>
                <w:sz w:val="18"/>
                <w:szCs w:val="18"/>
              </w:rPr>
            </w:pPr>
            <w:r w:rsidRPr="00365C42">
              <w:rPr>
                <w:sz w:val="18"/>
                <w:szCs w:val="18"/>
              </w:rPr>
              <w:t>340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E260067" w14:textId="77777777" w:rsidR="00001DE2" w:rsidRPr="00365C42" w:rsidRDefault="00001DE2" w:rsidP="002E7036">
            <w:pPr>
              <w:rPr>
                <w:sz w:val="18"/>
                <w:szCs w:val="18"/>
              </w:rPr>
            </w:pPr>
            <w:r w:rsidRPr="00365C42">
              <w:rPr>
                <w:sz w:val="18"/>
                <w:szCs w:val="18"/>
              </w:rPr>
              <w:t>240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2EA6008" w14:textId="77777777" w:rsidR="00001DE2" w:rsidRPr="00365C42" w:rsidRDefault="00001DE2" w:rsidP="002E7036">
            <w:pPr>
              <w:rPr>
                <w:sz w:val="18"/>
                <w:szCs w:val="18"/>
              </w:rPr>
            </w:pPr>
            <w:r w:rsidRPr="00365C42">
              <w:rPr>
                <w:sz w:val="18"/>
                <w:szCs w:val="18"/>
              </w:rPr>
              <w:t>240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4731356" w14:textId="77777777" w:rsidR="00001DE2" w:rsidRPr="00365C42" w:rsidRDefault="00001DE2" w:rsidP="002E7036">
            <w:pPr>
              <w:rPr>
                <w:sz w:val="18"/>
                <w:szCs w:val="18"/>
              </w:rPr>
            </w:pPr>
            <w:r w:rsidRPr="00365C42">
              <w:rPr>
                <w:sz w:val="18"/>
                <w:szCs w:val="18"/>
              </w:rPr>
              <w:t>440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DB98A9A" w14:textId="77777777" w:rsidR="00001DE2" w:rsidRPr="00365C42" w:rsidRDefault="00001DE2" w:rsidP="002E7036">
            <w:pPr>
              <w:rPr>
                <w:sz w:val="18"/>
                <w:szCs w:val="18"/>
              </w:rPr>
            </w:pPr>
            <w:r w:rsidRPr="00365C42">
              <w:rPr>
                <w:sz w:val="18"/>
                <w:szCs w:val="18"/>
              </w:rPr>
              <w:t>780</w:t>
            </w:r>
          </w:p>
        </w:tc>
        <w:tc>
          <w:tcPr>
            <w:tcW w:w="57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2073747" w14:textId="77777777" w:rsidR="00001DE2" w:rsidRPr="00365C42" w:rsidRDefault="00001DE2" w:rsidP="002E7036">
            <w:pPr>
              <w:rPr>
                <w:sz w:val="18"/>
                <w:szCs w:val="18"/>
              </w:rPr>
            </w:pPr>
            <w:r w:rsidRPr="00365C42">
              <w:rPr>
                <w:sz w:val="18"/>
                <w:szCs w:val="18"/>
              </w:rPr>
              <w:t>780</w:t>
            </w:r>
          </w:p>
        </w:tc>
        <w:tc>
          <w:tcPr>
            <w:tcW w:w="385"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9E03FAF" w14:textId="77777777" w:rsidR="00001DE2" w:rsidRPr="00365C42" w:rsidRDefault="00001DE2" w:rsidP="002E7036">
            <w:pPr>
              <w:rPr>
                <w:sz w:val="18"/>
                <w:szCs w:val="18"/>
              </w:rPr>
            </w:pPr>
            <w:r w:rsidRPr="00365C42">
              <w:rPr>
                <w:sz w:val="18"/>
                <w:szCs w:val="18"/>
              </w:rPr>
              <w:t> </w:t>
            </w:r>
          </w:p>
        </w:tc>
      </w:tr>
      <w:tr w:rsidR="002E7036" w:rsidRPr="00365C42" w14:paraId="051B5331" w14:textId="77777777" w:rsidTr="002E7036">
        <w:trPr>
          <w:trHeight w:val="242"/>
        </w:trPr>
        <w:tc>
          <w:tcPr>
            <w:tcW w:w="91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DE88A4" w14:textId="3311FEA6" w:rsidR="002E7036" w:rsidRPr="00365C42" w:rsidRDefault="002E7036" w:rsidP="002E7036">
            <w:pPr>
              <w:rPr>
                <w:b/>
                <w:bCs/>
                <w:sz w:val="18"/>
                <w:szCs w:val="18"/>
              </w:rPr>
            </w:pPr>
            <w:r w:rsidRPr="00365C42">
              <w:rPr>
                <w:b/>
                <w:bCs/>
                <w:sz w:val="18"/>
                <w:szCs w:val="18"/>
              </w:rPr>
              <w:t>Jun</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A2CDE8E" w14:textId="111ABE58" w:rsidR="002E7036" w:rsidRPr="00365C42" w:rsidRDefault="002E7036" w:rsidP="002E7036">
            <w:pPr>
              <w:rPr>
                <w:sz w:val="18"/>
                <w:szCs w:val="18"/>
              </w:rPr>
            </w:pPr>
            <w:r w:rsidRPr="00365C42">
              <w:rPr>
                <w:sz w:val="18"/>
                <w:szCs w:val="18"/>
              </w:rPr>
              <w:t>940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662EBD7" w14:textId="77777777" w:rsidR="002E7036" w:rsidRPr="00365C42" w:rsidRDefault="002E7036" w:rsidP="002E7036">
            <w:pPr>
              <w:rPr>
                <w:sz w:val="18"/>
                <w:szCs w:val="18"/>
              </w:rPr>
            </w:pP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BFE736B" w14:textId="4A04E77F" w:rsidR="002E7036" w:rsidRPr="00365C42" w:rsidRDefault="002E7036" w:rsidP="002E7036">
            <w:pPr>
              <w:rPr>
                <w:sz w:val="18"/>
                <w:szCs w:val="18"/>
              </w:rPr>
            </w:pPr>
            <w:r w:rsidRPr="00365C42">
              <w:rPr>
                <w:sz w:val="18"/>
                <w:szCs w:val="18"/>
              </w:rPr>
              <w:t>900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B9EA151" w14:textId="77777777" w:rsidR="002E7036" w:rsidRPr="00365C42" w:rsidRDefault="002E7036" w:rsidP="002E7036">
            <w:pPr>
              <w:rPr>
                <w:sz w:val="18"/>
                <w:szCs w:val="18"/>
              </w:rPr>
            </w:pP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F9F8B45" w14:textId="3931CF73" w:rsidR="002E7036" w:rsidRPr="00365C42" w:rsidRDefault="002E7036" w:rsidP="002E7036">
            <w:pPr>
              <w:rPr>
                <w:sz w:val="18"/>
                <w:szCs w:val="18"/>
              </w:rPr>
            </w:pPr>
            <w:r w:rsidRPr="00365C42">
              <w:rPr>
                <w:sz w:val="18"/>
                <w:szCs w:val="18"/>
              </w:rPr>
              <w:t>340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6AED704" w14:textId="46F04039" w:rsidR="002E7036" w:rsidRPr="00365C42" w:rsidRDefault="002E7036" w:rsidP="002E7036">
            <w:pPr>
              <w:rPr>
                <w:sz w:val="18"/>
                <w:szCs w:val="18"/>
              </w:rPr>
            </w:pPr>
            <w:r w:rsidRPr="00365C42">
              <w:rPr>
                <w:sz w:val="18"/>
                <w:szCs w:val="18"/>
              </w:rPr>
              <w:t>520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7BA586" w14:textId="09DCB58F" w:rsidR="002E7036" w:rsidRPr="00365C42" w:rsidRDefault="002E7036" w:rsidP="002E7036">
            <w:pPr>
              <w:rPr>
                <w:sz w:val="18"/>
                <w:szCs w:val="18"/>
              </w:rPr>
            </w:pPr>
            <w:r w:rsidRPr="00365C42">
              <w:rPr>
                <w:sz w:val="18"/>
                <w:szCs w:val="18"/>
              </w:rPr>
              <w:t>640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E89BCD3" w14:textId="732DE32C" w:rsidR="002E7036" w:rsidRPr="00365C42" w:rsidRDefault="002E7036" w:rsidP="002E7036">
            <w:pPr>
              <w:rPr>
                <w:sz w:val="18"/>
                <w:szCs w:val="18"/>
              </w:rPr>
            </w:pPr>
            <w:r w:rsidRPr="00365C42">
              <w:rPr>
                <w:sz w:val="18"/>
                <w:szCs w:val="18"/>
              </w:rPr>
              <w:t>300</w:t>
            </w:r>
          </w:p>
        </w:tc>
        <w:tc>
          <w:tcPr>
            <w:tcW w:w="577"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51DDEDF" w14:textId="4270FFFA" w:rsidR="002E7036" w:rsidRPr="00365C42" w:rsidRDefault="002E7036" w:rsidP="002E7036">
            <w:pPr>
              <w:rPr>
                <w:sz w:val="18"/>
                <w:szCs w:val="18"/>
              </w:rPr>
            </w:pPr>
            <w:r w:rsidRPr="00365C42">
              <w:rPr>
                <w:sz w:val="18"/>
                <w:szCs w:val="18"/>
              </w:rPr>
              <w:t>1680</w:t>
            </w:r>
          </w:p>
        </w:tc>
        <w:tc>
          <w:tcPr>
            <w:tcW w:w="38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FBB9FF" w14:textId="77777777" w:rsidR="002E7036" w:rsidRPr="00365C42" w:rsidRDefault="002E7036" w:rsidP="002E7036">
            <w:pPr>
              <w:rPr>
                <w:sz w:val="18"/>
                <w:szCs w:val="18"/>
              </w:rPr>
            </w:pPr>
          </w:p>
        </w:tc>
      </w:tr>
      <w:tr w:rsidR="002E7036" w:rsidRPr="00365C42" w14:paraId="7D012DDA" w14:textId="77777777" w:rsidTr="002E7036">
        <w:trPr>
          <w:trHeight w:val="234"/>
        </w:trPr>
        <w:tc>
          <w:tcPr>
            <w:tcW w:w="910"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26D538D" w14:textId="77777777" w:rsidR="002E7036" w:rsidRPr="00365C42" w:rsidRDefault="002E7036" w:rsidP="002E7036">
            <w:pPr>
              <w:rPr>
                <w:b/>
                <w:bCs/>
                <w:sz w:val="18"/>
                <w:szCs w:val="18"/>
              </w:rPr>
            </w:pPr>
            <w:r w:rsidRPr="00365C42">
              <w:rPr>
                <w:b/>
                <w:bCs/>
                <w:sz w:val="18"/>
                <w:szCs w:val="18"/>
              </w:rPr>
              <w:t>Jul</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72B279B" w14:textId="77777777" w:rsidR="002E7036" w:rsidRPr="00365C42" w:rsidRDefault="002E7036" w:rsidP="002E7036">
            <w:pPr>
              <w:rPr>
                <w:sz w:val="18"/>
                <w:szCs w:val="18"/>
              </w:rPr>
            </w:pPr>
            <w:r w:rsidRPr="00365C42">
              <w:rPr>
                <w:sz w:val="18"/>
                <w:szCs w:val="18"/>
              </w:rPr>
              <w:t>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D9B47EA" w14:textId="77777777" w:rsidR="002E7036" w:rsidRPr="00365C42" w:rsidRDefault="002E7036" w:rsidP="002E7036">
            <w:pPr>
              <w:rPr>
                <w:sz w:val="18"/>
                <w:szCs w:val="18"/>
              </w:rPr>
            </w:pPr>
            <w:r w:rsidRPr="00365C42">
              <w:rPr>
                <w:sz w:val="18"/>
                <w:szCs w:val="18"/>
              </w:rPr>
              <w:t>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922B759" w14:textId="77777777" w:rsidR="002E7036" w:rsidRPr="00365C42" w:rsidRDefault="002E7036" w:rsidP="002E7036">
            <w:pPr>
              <w:rPr>
                <w:sz w:val="18"/>
                <w:szCs w:val="18"/>
              </w:rPr>
            </w:pPr>
            <w:r w:rsidRPr="00365C42">
              <w:rPr>
                <w:sz w:val="18"/>
                <w:szCs w:val="18"/>
              </w:rPr>
              <w:t>450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3E094EB" w14:textId="77777777" w:rsidR="002E7036" w:rsidRPr="00365C42" w:rsidRDefault="002E7036" w:rsidP="002E7036">
            <w:pPr>
              <w:rPr>
                <w:sz w:val="18"/>
                <w:szCs w:val="18"/>
              </w:rPr>
            </w:pPr>
            <w:r w:rsidRPr="00365C42">
              <w:rPr>
                <w:sz w:val="18"/>
                <w:szCs w:val="18"/>
              </w:rPr>
              <w:t>340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9BDCF11" w14:textId="77777777" w:rsidR="002E7036" w:rsidRPr="00365C42" w:rsidRDefault="002E7036" w:rsidP="002E7036">
            <w:pPr>
              <w:rPr>
                <w:sz w:val="18"/>
                <w:szCs w:val="18"/>
              </w:rPr>
            </w:pPr>
            <w:r w:rsidRPr="00365C42">
              <w:rPr>
                <w:sz w:val="18"/>
                <w:szCs w:val="18"/>
              </w:rPr>
              <w:t>895</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1BD94E6" w14:textId="77777777" w:rsidR="002E7036" w:rsidRPr="00365C42" w:rsidRDefault="002E7036" w:rsidP="002E7036">
            <w:pPr>
              <w:rPr>
                <w:sz w:val="18"/>
                <w:szCs w:val="18"/>
              </w:rPr>
            </w:pPr>
            <w:r w:rsidRPr="00365C42">
              <w:rPr>
                <w:sz w:val="18"/>
                <w:szCs w:val="18"/>
              </w:rPr>
              <w:t>1340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105E73D" w14:textId="77777777" w:rsidR="002E7036" w:rsidRPr="00365C42" w:rsidRDefault="002E7036" w:rsidP="002E7036">
            <w:pPr>
              <w:rPr>
                <w:sz w:val="18"/>
                <w:szCs w:val="18"/>
              </w:rPr>
            </w:pPr>
            <w:r w:rsidRPr="00365C42">
              <w:rPr>
                <w:sz w:val="18"/>
                <w:szCs w:val="18"/>
              </w:rPr>
              <w:t>340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A84E507" w14:textId="77777777" w:rsidR="002E7036" w:rsidRPr="00365C42" w:rsidRDefault="002E7036" w:rsidP="002E7036">
            <w:pPr>
              <w:rPr>
                <w:sz w:val="18"/>
                <w:szCs w:val="18"/>
              </w:rPr>
            </w:pPr>
            <w:r w:rsidRPr="00365C42">
              <w:rPr>
                <w:sz w:val="18"/>
                <w:szCs w:val="18"/>
              </w:rPr>
              <w:t>1160</w:t>
            </w:r>
          </w:p>
        </w:tc>
        <w:tc>
          <w:tcPr>
            <w:tcW w:w="577"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7531D86" w14:textId="77777777" w:rsidR="002E7036" w:rsidRPr="00365C42" w:rsidRDefault="002E7036" w:rsidP="002E7036">
            <w:pPr>
              <w:rPr>
                <w:sz w:val="18"/>
                <w:szCs w:val="18"/>
              </w:rPr>
            </w:pPr>
            <w:r w:rsidRPr="00365C42">
              <w:rPr>
                <w:sz w:val="18"/>
                <w:szCs w:val="18"/>
              </w:rPr>
              <w:t> </w:t>
            </w:r>
          </w:p>
        </w:tc>
        <w:tc>
          <w:tcPr>
            <w:tcW w:w="385"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AA091AA" w14:textId="77777777" w:rsidR="002E7036" w:rsidRPr="00365C42" w:rsidRDefault="002E7036" w:rsidP="002E7036">
            <w:pPr>
              <w:rPr>
                <w:sz w:val="18"/>
                <w:szCs w:val="18"/>
              </w:rPr>
            </w:pPr>
            <w:r w:rsidRPr="00365C42">
              <w:rPr>
                <w:sz w:val="18"/>
                <w:szCs w:val="18"/>
              </w:rPr>
              <w:t> </w:t>
            </w:r>
          </w:p>
        </w:tc>
      </w:tr>
      <w:tr w:rsidR="002E7036" w:rsidRPr="00365C42" w14:paraId="0024593D" w14:textId="77777777" w:rsidTr="002E7036">
        <w:trPr>
          <w:trHeight w:val="242"/>
        </w:trPr>
        <w:tc>
          <w:tcPr>
            <w:tcW w:w="910"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148F138" w14:textId="77777777" w:rsidR="002E7036" w:rsidRPr="00365C42" w:rsidRDefault="002E7036" w:rsidP="002E7036">
            <w:pPr>
              <w:rPr>
                <w:b/>
                <w:bCs/>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65AAFE8"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01B4AD1"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2123793"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FEAE1C9"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0E4BEA1"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271DB77" w14:textId="77777777" w:rsidR="002E7036" w:rsidRPr="00365C42" w:rsidRDefault="002E7036" w:rsidP="002E7036">
            <w:pPr>
              <w:rPr>
                <w:sz w:val="18"/>
                <w:szCs w:val="18"/>
              </w:rPr>
            </w:pP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4FD27D0" w14:textId="77777777" w:rsidR="002E7036" w:rsidRPr="00365C42" w:rsidRDefault="002E7036" w:rsidP="002E7036">
            <w:pPr>
              <w:rPr>
                <w:sz w:val="18"/>
                <w:szCs w:val="18"/>
              </w:rPr>
            </w:pPr>
            <w:r w:rsidRPr="00365C42">
              <w:rPr>
                <w:sz w:val="18"/>
                <w:szCs w:val="18"/>
              </w:rPr>
              <w:t>200</w:t>
            </w: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EED509F" w14:textId="77777777" w:rsidR="002E7036" w:rsidRPr="00365C42" w:rsidRDefault="002E7036" w:rsidP="002E7036">
            <w:pPr>
              <w:rPr>
                <w:sz w:val="18"/>
                <w:szCs w:val="18"/>
              </w:rPr>
            </w:pPr>
          </w:p>
        </w:tc>
        <w:tc>
          <w:tcPr>
            <w:tcW w:w="577"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13AD07B" w14:textId="77777777" w:rsidR="002E7036" w:rsidRPr="00365C42" w:rsidRDefault="002E7036" w:rsidP="002E7036">
            <w:pPr>
              <w:rPr>
                <w:sz w:val="18"/>
                <w:szCs w:val="18"/>
              </w:rPr>
            </w:pPr>
          </w:p>
        </w:tc>
        <w:tc>
          <w:tcPr>
            <w:tcW w:w="385"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85CEE07" w14:textId="77777777" w:rsidR="002E7036" w:rsidRPr="00365C42" w:rsidRDefault="002E7036" w:rsidP="002E7036">
            <w:pPr>
              <w:rPr>
                <w:sz w:val="18"/>
                <w:szCs w:val="18"/>
              </w:rPr>
            </w:pPr>
          </w:p>
        </w:tc>
      </w:tr>
      <w:tr w:rsidR="002E7036" w:rsidRPr="00365C42" w14:paraId="114F0DC2" w14:textId="77777777" w:rsidTr="002E7036">
        <w:trPr>
          <w:trHeight w:val="242"/>
        </w:trPr>
        <w:tc>
          <w:tcPr>
            <w:tcW w:w="910"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D8032B5" w14:textId="77777777" w:rsidR="002E7036" w:rsidRPr="00365C42" w:rsidRDefault="002E7036" w:rsidP="002E7036">
            <w:pPr>
              <w:rPr>
                <w:b/>
                <w:bCs/>
                <w:sz w:val="18"/>
                <w:szCs w:val="18"/>
              </w:rPr>
            </w:pPr>
            <w:r w:rsidRPr="00365C42">
              <w:rPr>
                <w:b/>
                <w:bCs/>
                <w:sz w:val="18"/>
                <w:szCs w:val="18"/>
              </w:rPr>
              <w:t>Avgust</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A26106B" w14:textId="77777777" w:rsidR="002E7036" w:rsidRPr="00365C42" w:rsidRDefault="002E7036"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1507F5D" w14:textId="77777777" w:rsidR="002E7036" w:rsidRPr="00365C42" w:rsidRDefault="002E7036"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8330269" w14:textId="77777777" w:rsidR="002E7036" w:rsidRPr="00365C42" w:rsidRDefault="002E7036"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7F04A4B" w14:textId="77777777" w:rsidR="002E7036" w:rsidRPr="00365C42" w:rsidRDefault="002E7036"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85ED20B" w14:textId="77777777" w:rsidR="002E7036" w:rsidRPr="00365C42" w:rsidRDefault="002E7036"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8ACF60A" w14:textId="77777777" w:rsidR="002E7036" w:rsidRPr="00365C42" w:rsidRDefault="002E7036"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E67DC30" w14:textId="77777777" w:rsidR="002E7036" w:rsidRPr="00365C42" w:rsidRDefault="002E7036" w:rsidP="002E7036">
            <w:pPr>
              <w:rPr>
                <w:sz w:val="18"/>
                <w:szCs w:val="18"/>
              </w:rPr>
            </w:pPr>
            <w:r w:rsidRPr="00365C42">
              <w:rPr>
                <w:sz w:val="18"/>
                <w:szCs w:val="18"/>
              </w:rPr>
              <w:t>400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176EF43" w14:textId="77777777" w:rsidR="002E7036" w:rsidRPr="00365C42" w:rsidRDefault="002E7036" w:rsidP="002E7036">
            <w:pPr>
              <w:rPr>
                <w:sz w:val="18"/>
                <w:szCs w:val="18"/>
              </w:rPr>
            </w:pPr>
            <w:r w:rsidRPr="00365C42">
              <w:rPr>
                <w:sz w:val="18"/>
                <w:szCs w:val="18"/>
              </w:rPr>
              <w:t> </w:t>
            </w:r>
          </w:p>
        </w:tc>
        <w:tc>
          <w:tcPr>
            <w:tcW w:w="57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AC59E4D" w14:textId="77777777" w:rsidR="002E7036" w:rsidRPr="00365C42" w:rsidRDefault="002E7036" w:rsidP="002E7036">
            <w:pPr>
              <w:rPr>
                <w:sz w:val="18"/>
                <w:szCs w:val="18"/>
              </w:rPr>
            </w:pPr>
            <w:r w:rsidRPr="00365C42">
              <w:rPr>
                <w:sz w:val="18"/>
                <w:szCs w:val="18"/>
              </w:rPr>
              <w:t> </w:t>
            </w:r>
          </w:p>
        </w:tc>
        <w:tc>
          <w:tcPr>
            <w:tcW w:w="385"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A56DC53" w14:textId="77777777" w:rsidR="002E7036" w:rsidRPr="00365C42" w:rsidRDefault="002E7036" w:rsidP="002E7036">
            <w:pPr>
              <w:rPr>
                <w:sz w:val="18"/>
                <w:szCs w:val="18"/>
              </w:rPr>
            </w:pPr>
            <w:r w:rsidRPr="00365C42">
              <w:rPr>
                <w:sz w:val="18"/>
                <w:szCs w:val="18"/>
              </w:rPr>
              <w:t> </w:t>
            </w:r>
          </w:p>
        </w:tc>
      </w:tr>
      <w:tr w:rsidR="002E7036" w:rsidRPr="00365C42" w14:paraId="6897B63D" w14:textId="77777777" w:rsidTr="002E7036">
        <w:trPr>
          <w:trHeight w:val="242"/>
        </w:trPr>
        <w:tc>
          <w:tcPr>
            <w:tcW w:w="910"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0CF8865" w14:textId="77777777" w:rsidR="002E7036" w:rsidRPr="00365C42" w:rsidRDefault="002E7036" w:rsidP="002E7036">
            <w:pPr>
              <w:rPr>
                <w:b/>
                <w:bCs/>
                <w:sz w:val="18"/>
                <w:szCs w:val="18"/>
              </w:rPr>
            </w:pPr>
            <w:r w:rsidRPr="00365C42">
              <w:rPr>
                <w:b/>
                <w:bCs/>
                <w:sz w:val="18"/>
                <w:szCs w:val="18"/>
              </w:rPr>
              <w:t>Septembar</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4B05804" w14:textId="77777777" w:rsidR="002E7036" w:rsidRPr="00365C42" w:rsidRDefault="002E7036"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C2D7CAE" w14:textId="77777777" w:rsidR="002E7036" w:rsidRPr="00365C42" w:rsidRDefault="002E7036"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814CFEA" w14:textId="77777777" w:rsidR="002E7036" w:rsidRPr="00365C42" w:rsidRDefault="002E7036" w:rsidP="002E7036">
            <w:pPr>
              <w:rPr>
                <w:sz w:val="18"/>
                <w:szCs w:val="18"/>
              </w:rPr>
            </w:pPr>
            <w:r w:rsidRPr="00365C42">
              <w:rPr>
                <w:sz w:val="18"/>
                <w:szCs w:val="18"/>
              </w:rPr>
              <w:t>1080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1792065" w14:textId="77777777" w:rsidR="002E7036" w:rsidRPr="00365C42" w:rsidRDefault="002E7036" w:rsidP="002E7036">
            <w:pPr>
              <w:rPr>
                <w:sz w:val="18"/>
                <w:szCs w:val="18"/>
              </w:rPr>
            </w:pPr>
            <w:r w:rsidRPr="00365C42">
              <w:rPr>
                <w:sz w:val="18"/>
                <w:szCs w:val="18"/>
              </w:rPr>
              <w:t>800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EDC9B1A" w14:textId="77777777" w:rsidR="002E7036" w:rsidRPr="00365C42" w:rsidRDefault="002E7036" w:rsidP="002E7036">
            <w:pPr>
              <w:rPr>
                <w:sz w:val="18"/>
                <w:szCs w:val="18"/>
              </w:rPr>
            </w:pPr>
            <w:r w:rsidRPr="00365C42">
              <w:rPr>
                <w:sz w:val="18"/>
                <w:szCs w:val="18"/>
              </w:rPr>
              <w:t>800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0374188" w14:textId="77777777" w:rsidR="002E7036" w:rsidRPr="00365C42" w:rsidRDefault="002E7036" w:rsidP="002E7036">
            <w:pPr>
              <w:rPr>
                <w:sz w:val="18"/>
                <w:szCs w:val="18"/>
              </w:rPr>
            </w:pPr>
            <w:r w:rsidRPr="00365C42">
              <w:rPr>
                <w:sz w:val="18"/>
                <w:szCs w:val="18"/>
              </w:rPr>
              <w:t>660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2D9FFCF" w14:textId="77777777" w:rsidR="002E7036" w:rsidRPr="00365C42" w:rsidRDefault="002E7036" w:rsidP="002E7036">
            <w:pPr>
              <w:rPr>
                <w:sz w:val="18"/>
                <w:szCs w:val="18"/>
              </w:rPr>
            </w:pPr>
            <w:r w:rsidRPr="00365C42">
              <w:rPr>
                <w:sz w:val="18"/>
                <w:szCs w:val="18"/>
              </w:rPr>
              <w:t>920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0377659" w14:textId="77777777" w:rsidR="002E7036" w:rsidRPr="00365C42" w:rsidRDefault="002E7036" w:rsidP="002E7036">
            <w:pPr>
              <w:rPr>
                <w:sz w:val="18"/>
                <w:szCs w:val="18"/>
              </w:rPr>
            </w:pPr>
            <w:r w:rsidRPr="00365C42">
              <w:rPr>
                <w:sz w:val="18"/>
                <w:szCs w:val="18"/>
              </w:rPr>
              <w:t>480</w:t>
            </w:r>
          </w:p>
        </w:tc>
        <w:tc>
          <w:tcPr>
            <w:tcW w:w="57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AC41F7A" w14:textId="77777777" w:rsidR="002E7036" w:rsidRPr="00365C42" w:rsidRDefault="002E7036" w:rsidP="002E7036">
            <w:pPr>
              <w:rPr>
                <w:sz w:val="18"/>
                <w:szCs w:val="18"/>
              </w:rPr>
            </w:pPr>
            <w:r w:rsidRPr="00365C42">
              <w:rPr>
                <w:sz w:val="18"/>
                <w:szCs w:val="18"/>
              </w:rPr>
              <w:t>560</w:t>
            </w:r>
          </w:p>
        </w:tc>
        <w:tc>
          <w:tcPr>
            <w:tcW w:w="385"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0F881C8" w14:textId="77777777" w:rsidR="002E7036" w:rsidRPr="00365C42" w:rsidRDefault="002E7036" w:rsidP="002E7036">
            <w:pPr>
              <w:rPr>
                <w:sz w:val="18"/>
                <w:szCs w:val="18"/>
              </w:rPr>
            </w:pPr>
            <w:r w:rsidRPr="00365C42">
              <w:rPr>
                <w:sz w:val="18"/>
                <w:szCs w:val="18"/>
              </w:rPr>
              <w:t> </w:t>
            </w:r>
          </w:p>
        </w:tc>
      </w:tr>
      <w:tr w:rsidR="002E7036" w:rsidRPr="00365C42" w14:paraId="277E0A3F" w14:textId="77777777" w:rsidTr="002E7036">
        <w:trPr>
          <w:trHeight w:val="234"/>
        </w:trPr>
        <w:tc>
          <w:tcPr>
            <w:tcW w:w="910"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F37212C" w14:textId="77777777" w:rsidR="002E7036" w:rsidRPr="00365C42" w:rsidRDefault="002E7036" w:rsidP="002E7036">
            <w:pPr>
              <w:rPr>
                <w:b/>
                <w:bCs/>
                <w:sz w:val="18"/>
                <w:szCs w:val="18"/>
              </w:rPr>
            </w:pPr>
            <w:r w:rsidRPr="00365C42">
              <w:rPr>
                <w:b/>
                <w:bCs/>
                <w:sz w:val="18"/>
                <w:szCs w:val="18"/>
              </w:rPr>
              <w:t>Oktobar</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10054C0" w14:textId="77777777" w:rsidR="002E7036" w:rsidRPr="00365C42" w:rsidRDefault="002E7036" w:rsidP="002E7036">
            <w:pPr>
              <w:rPr>
                <w:sz w:val="18"/>
                <w:szCs w:val="18"/>
              </w:rPr>
            </w:pPr>
            <w:r w:rsidRPr="00365C42">
              <w:rPr>
                <w:sz w:val="18"/>
                <w:szCs w:val="18"/>
              </w:rPr>
              <w:t>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4C01355" w14:textId="77777777" w:rsidR="002E7036" w:rsidRPr="00365C42" w:rsidRDefault="002E7036" w:rsidP="002E7036">
            <w:pPr>
              <w:rPr>
                <w:sz w:val="18"/>
                <w:szCs w:val="18"/>
              </w:rPr>
            </w:pPr>
            <w:r w:rsidRPr="00365C42">
              <w:rPr>
                <w:sz w:val="18"/>
                <w:szCs w:val="18"/>
              </w:rPr>
              <w:t>550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B26597" w14:textId="77777777" w:rsidR="002E7036" w:rsidRPr="00365C42" w:rsidRDefault="002E7036" w:rsidP="002E7036">
            <w:pPr>
              <w:rPr>
                <w:sz w:val="18"/>
                <w:szCs w:val="18"/>
              </w:rPr>
            </w:pPr>
            <w:r w:rsidRPr="00365C42">
              <w:rPr>
                <w:sz w:val="18"/>
                <w:szCs w:val="18"/>
              </w:rPr>
              <w:t>460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1F03729" w14:textId="77777777" w:rsidR="002E7036" w:rsidRPr="00365C42" w:rsidRDefault="002E7036" w:rsidP="002E7036">
            <w:pPr>
              <w:rPr>
                <w:sz w:val="18"/>
                <w:szCs w:val="18"/>
              </w:rPr>
            </w:pPr>
            <w:r w:rsidRPr="00365C42">
              <w:rPr>
                <w:sz w:val="18"/>
                <w:szCs w:val="18"/>
              </w:rPr>
              <w:t>660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780E98D" w14:textId="77777777" w:rsidR="002E7036" w:rsidRPr="00365C42" w:rsidRDefault="002E7036" w:rsidP="002E7036">
            <w:pPr>
              <w:rPr>
                <w:sz w:val="18"/>
                <w:szCs w:val="18"/>
              </w:rPr>
            </w:pPr>
            <w:r w:rsidRPr="00365C42">
              <w:rPr>
                <w:sz w:val="18"/>
                <w:szCs w:val="18"/>
              </w:rPr>
              <w:t>560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78C8EE7" w14:textId="77777777" w:rsidR="002E7036" w:rsidRPr="00365C42" w:rsidRDefault="002E7036"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653151A" w14:textId="77777777" w:rsidR="002E7036" w:rsidRPr="00365C42" w:rsidRDefault="002E7036" w:rsidP="002E7036">
            <w:pPr>
              <w:rPr>
                <w:sz w:val="18"/>
                <w:szCs w:val="18"/>
              </w:rPr>
            </w:pPr>
            <w:r w:rsidRPr="00365C42">
              <w:rPr>
                <w:sz w:val="18"/>
                <w:szCs w:val="18"/>
              </w:rPr>
              <w:t>840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C5D5079" w14:textId="77777777" w:rsidR="002E7036" w:rsidRPr="00365C42" w:rsidRDefault="002E7036" w:rsidP="002E7036">
            <w:pPr>
              <w:rPr>
                <w:sz w:val="18"/>
                <w:szCs w:val="18"/>
              </w:rPr>
            </w:pPr>
            <w:r w:rsidRPr="00365C42">
              <w:rPr>
                <w:sz w:val="18"/>
                <w:szCs w:val="18"/>
              </w:rPr>
              <w:t>860</w:t>
            </w:r>
          </w:p>
        </w:tc>
        <w:tc>
          <w:tcPr>
            <w:tcW w:w="577"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2E51D7C" w14:textId="77777777" w:rsidR="002E7036" w:rsidRPr="00365C42" w:rsidRDefault="002E7036" w:rsidP="002E7036">
            <w:pPr>
              <w:rPr>
                <w:sz w:val="18"/>
                <w:szCs w:val="18"/>
              </w:rPr>
            </w:pPr>
            <w:r w:rsidRPr="00365C42">
              <w:rPr>
                <w:sz w:val="18"/>
                <w:szCs w:val="18"/>
              </w:rPr>
              <w:t>600</w:t>
            </w:r>
          </w:p>
        </w:tc>
        <w:tc>
          <w:tcPr>
            <w:tcW w:w="385"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AA8C443" w14:textId="77777777" w:rsidR="002E7036" w:rsidRPr="00365C42" w:rsidRDefault="002E7036" w:rsidP="002E7036">
            <w:pPr>
              <w:rPr>
                <w:sz w:val="18"/>
                <w:szCs w:val="18"/>
              </w:rPr>
            </w:pPr>
            <w:r w:rsidRPr="00365C42">
              <w:rPr>
                <w:sz w:val="18"/>
                <w:szCs w:val="18"/>
              </w:rPr>
              <w:t> </w:t>
            </w:r>
          </w:p>
        </w:tc>
      </w:tr>
      <w:tr w:rsidR="002E7036" w:rsidRPr="00365C42" w14:paraId="41615B37" w14:textId="77777777" w:rsidTr="002E7036">
        <w:trPr>
          <w:trHeight w:val="242"/>
        </w:trPr>
        <w:tc>
          <w:tcPr>
            <w:tcW w:w="910"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95BDD71" w14:textId="77777777" w:rsidR="002E7036" w:rsidRPr="00365C42" w:rsidRDefault="002E7036" w:rsidP="002E7036">
            <w:pPr>
              <w:rPr>
                <w:b/>
                <w:bCs/>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44B07A0"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D705B39"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A6841DF"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CB3C945"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83D644A"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63D270E" w14:textId="77777777" w:rsidR="002E7036" w:rsidRPr="00365C42" w:rsidRDefault="002E7036" w:rsidP="002E7036">
            <w:pPr>
              <w:rPr>
                <w:sz w:val="18"/>
                <w:szCs w:val="18"/>
              </w:rPr>
            </w:pP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30FF217" w14:textId="77777777" w:rsidR="002E7036" w:rsidRPr="00365C42" w:rsidRDefault="002E7036" w:rsidP="002E7036">
            <w:pPr>
              <w:rPr>
                <w:sz w:val="18"/>
                <w:szCs w:val="18"/>
              </w:rPr>
            </w:pPr>
            <w:r w:rsidRPr="00365C42">
              <w:rPr>
                <w:sz w:val="18"/>
                <w:szCs w:val="18"/>
              </w:rPr>
              <w:t>300</w:t>
            </w: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5C74A6D" w14:textId="77777777" w:rsidR="002E7036" w:rsidRPr="00365C42" w:rsidRDefault="002E7036" w:rsidP="002E7036">
            <w:pPr>
              <w:rPr>
                <w:sz w:val="18"/>
                <w:szCs w:val="18"/>
              </w:rPr>
            </w:pPr>
          </w:p>
        </w:tc>
        <w:tc>
          <w:tcPr>
            <w:tcW w:w="577"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97F0AFF" w14:textId="77777777" w:rsidR="002E7036" w:rsidRPr="00365C42" w:rsidRDefault="002E7036" w:rsidP="002E7036">
            <w:pPr>
              <w:rPr>
                <w:sz w:val="18"/>
                <w:szCs w:val="18"/>
              </w:rPr>
            </w:pPr>
          </w:p>
        </w:tc>
        <w:tc>
          <w:tcPr>
            <w:tcW w:w="385"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9D5927B" w14:textId="77777777" w:rsidR="002E7036" w:rsidRPr="00365C42" w:rsidRDefault="002E7036" w:rsidP="002E7036">
            <w:pPr>
              <w:rPr>
                <w:sz w:val="18"/>
                <w:szCs w:val="18"/>
              </w:rPr>
            </w:pPr>
          </w:p>
        </w:tc>
      </w:tr>
      <w:tr w:rsidR="002E7036" w:rsidRPr="00365C42" w14:paraId="4248E235" w14:textId="77777777" w:rsidTr="002E7036">
        <w:trPr>
          <w:trHeight w:val="242"/>
        </w:trPr>
        <w:tc>
          <w:tcPr>
            <w:tcW w:w="910"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EF52159" w14:textId="77777777" w:rsidR="002E7036" w:rsidRPr="00365C42" w:rsidRDefault="002E7036" w:rsidP="002E7036">
            <w:pPr>
              <w:rPr>
                <w:b/>
                <w:bCs/>
                <w:sz w:val="18"/>
                <w:szCs w:val="18"/>
              </w:rPr>
            </w:pPr>
            <w:r w:rsidRPr="00365C42">
              <w:rPr>
                <w:b/>
                <w:bCs/>
                <w:sz w:val="18"/>
                <w:szCs w:val="18"/>
              </w:rPr>
              <w:t>Novembar</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D0D4167" w14:textId="77777777" w:rsidR="002E7036" w:rsidRPr="00365C42" w:rsidRDefault="002E7036" w:rsidP="002E7036">
            <w:pPr>
              <w:rPr>
                <w:sz w:val="18"/>
                <w:szCs w:val="18"/>
              </w:rPr>
            </w:pPr>
            <w:r w:rsidRPr="00365C42">
              <w:rPr>
                <w:sz w:val="18"/>
                <w:szCs w:val="18"/>
              </w:rPr>
              <w:t>260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092DFBC" w14:textId="77777777" w:rsidR="002E7036" w:rsidRPr="00365C42" w:rsidRDefault="002E7036" w:rsidP="002E7036">
            <w:pPr>
              <w:rPr>
                <w:sz w:val="18"/>
                <w:szCs w:val="18"/>
              </w:rPr>
            </w:pPr>
            <w:r w:rsidRPr="00365C42">
              <w:rPr>
                <w:sz w:val="18"/>
                <w:szCs w:val="18"/>
              </w:rPr>
              <w:t> </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D9E2EE6" w14:textId="77777777" w:rsidR="002E7036" w:rsidRPr="00365C42" w:rsidRDefault="002E7036" w:rsidP="002E7036">
            <w:pPr>
              <w:rPr>
                <w:sz w:val="18"/>
                <w:szCs w:val="18"/>
              </w:rPr>
            </w:pPr>
            <w:r w:rsidRPr="00365C42">
              <w:rPr>
                <w:sz w:val="18"/>
                <w:szCs w:val="18"/>
              </w:rPr>
              <w:t>460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87A1448" w14:textId="77777777" w:rsidR="002E7036" w:rsidRPr="00365C42" w:rsidRDefault="002E7036" w:rsidP="002E7036">
            <w:pPr>
              <w:rPr>
                <w:sz w:val="18"/>
                <w:szCs w:val="18"/>
              </w:rPr>
            </w:pPr>
            <w:r w:rsidRPr="00365C42">
              <w:rPr>
                <w:sz w:val="18"/>
                <w:szCs w:val="18"/>
              </w:rPr>
              <w:t>320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E68E91F" w14:textId="77777777" w:rsidR="002E7036" w:rsidRPr="00365C42" w:rsidRDefault="002E7036" w:rsidP="002E7036">
            <w:pPr>
              <w:rPr>
                <w:sz w:val="18"/>
                <w:szCs w:val="18"/>
              </w:rPr>
            </w:pPr>
            <w:r w:rsidRPr="00365C42">
              <w:rPr>
                <w:sz w:val="18"/>
                <w:szCs w:val="18"/>
              </w:rPr>
              <w:t>360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9C4115E" w14:textId="77777777" w:rsidR="002E7036" w:rsidRPr="00365C42" w:rsidRDefault="002E7036" w:rsidP="002E7036">
            <w:pPr>
              <w:rPr>
                <w:sz w:val="18"/>
                <w:szCs w:val="18"/>
              </w:rPr>
            </w:pPr>
            <w:r w:rsidRPr="00365C42">
              <w:rPr>
                <w:sz w:val="18"/>
                <w:szCs w:val="18"/>
              </w:rPr>
              <w:t>780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1DB2B73" w14:textId="77777777" w:rsidR="002E7036" w:rsidRPr="00365C42" w:rsidRDefault="002E7036" w:rsidP="002E7036">
            <w:pPr>
              <w:rPr>
                <w:sz w:val="18"/>
                <w:szCs w:val="18"/>
              </w:rPr>
            </w:pPr>
            <w:r w:rsidRPr="00365C42">
              <w:rPr>
                <w:sz w:val="18"/>
                <w:szCs w:val="18"/>
              </w:rPr>
              <w:t>520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01EAE9F" w14:textId="77777777" w:rsidR="002E7036" w:rsidRPr="00365C42" w:rsidRDefault="002E7036" w:rsidP="002E7036">
            <w:pPr>
              <w:rPr>
                <w:sz w:val="18"/>
                <w:szCs w:val="18"/>
              </w:rPr>
            </w:pPr>
            <w:r w:rsidRPr="00365C42">
              <w:rPr>
                <w:sz w:val="18"/>
                <w:szCs w:val="18"/>
              </w:rPr>
              <w:t> </w:t>
            </w:r>
          </w:p>
        </w:tc>
        <w:tc>
          <w:tcPr>
            <w:tcW w:w="57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41DED6A" w14:textId="77777777" w:rsidR="002E7036" w:rsidRPr="00365C42" w:rsidRDefault="002E7036" w:rsidP="002E7036">
            <w:pPr>
              <w:rPr>
                <w:sz w:val="18"/>
                <w:szCs w:val="18"/>
              </w:rPr>
            </w:pPr>
            <w:r w:rsidRPr="00365C42">
              <w:rPr>
                <w:sz w:val="18"/>
                <w:szCs w:val="18"/>
              </w:rPr>
              <w:t>620</w:t>
            </w:r>
          </w:p>
        </w:tc>
        <w:tc>
          <w:tcPr>
            <w:tcW w:w="385"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B29EBD3" w14:textId="77777777" w:rsidR="002E7036" w:rsidRPr="00365C42" w:rsidRDefault="002E7036" w:rsidP="002E7036">
            <w:pPr>
              <w:rPr>
                <w:sz w:val="18"/>
                <w:szCs w:val="18"/>
              </w:rPr>
            </w:pPr>
            <w:r w:rsidRPr="00365C42">
              <w:rPr>
                <w:sz w:val="18"/>
                <w:szCs w:val="18"/>
              </w:rPr>
              <w:t> </w:t>
            </w:r>
          </w:p>
        </w:tc>
      </w:tr>
      <w:tr w:rsidR="002E7036" w:rsidRPr="00365C42" w14:paraId="68AD1031" w14:textId="77777777" w:rsidTr="002E7036">
        <w:trPr>
          <w:trHeight w:val="234"/>
        </w:trPr>
        <w:tc>
          <w:tcPr>
            <w:tcW w:w="910"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11ADC1B" w14:textId="77777777" w:rsidR="002E7036" w:rsidRPr="00365C42" w:rsidRDefault="002E7036" w:rsidP="002E7036">
            <w:pPr>
              <w:rPr>
                <w:b/>
                <w:bCs/>
                <w:sz w:val="18"/>
                <w:szCs w:val="18"/>
              </w:rPr>
            </w:pPr>
            <w:r w:rsidRPr="00365C42">
              <w:rPr>
                <w:b/>
                <w:bCs/>
                <w:sz w:val="18"/>
                <w:szCs w:val="18"/>
              </w:rPr>
              <w:t>Decembar</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E7AAAE8" w14:textId="77777777" w:rsidR="002E7036" w:rsidRPr="00365C42" w:rsidRDefault="002E7036" w:rsidP="002E7036">
            <w:pPr>
              <w:rPr>
                <w:sz w:val="18"/>
                <w:szCs w:val="18"/>
              </w:rPr>
            </w:pPr>
            <w:r w:rsidRPr="00365C42">
              <w:rPr>
                <w:sz w:val="18"/>
                <w:szCs w:val="18"/>
              </w:rPr>
              <w:t>860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2FB81D7" w14:textId="77777777" w:rsidR="002E7036" w:rsidRPr="00365C42" w:rsidRDefault="002E7036" w:rsidP="002E7036">
            <w:pPr>
              <w:rPr>
                <w:sz w:val="18"/>
                <w:szCs w:val="18"/>
              </w:rPr>
            </w:pPr>
            <w:r w:rsidRPr="00365C42">
              <w:rPr>
                <w:sz w:val="18"/>
                <w:szCs w:val="18"/>
              </w:rPr>
              <w:t>400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5B0E85A" w14:textId="77777777" w:rsidR="002E7036" w:rsidRPr="00365C42" w:rsidRDefault="002E7036" w:rsidP="002E7036">
            <w:pPr>
              <w:rPr>
                <w:sz w:val="18"/>
                <w:szCs w:val="18"/>
              </w:rPr>
            </w:pPr>
            <w:r w:rsidRPr="00365C42">
              <w:rPr>
                <w:sz w:val="18"/>
                <w:szCs w:val="18"/>
              </w:rPr>
              <w:t>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ECE96F8" w14:textId="77777777" w:rsidR="002E7036" w:rsidRPr="00365C42" w:rsidRDefault="002E7036" w:rsidP="002E7036">
            <w:pPr>
              <w:rPr>
                <w:sz w:val="18"/>
                <w:szCs w:val="18"/>
              </w:rPr>
            </w:pPr>
            <w:r w:rsidRPr="00365C42">
              <w:rPr>
                <w:sz w:val="18"/>
                <w:szCs w:val="18"/>
              </w:rPr>
              <w:t>200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6826C81" w14:textId="77777777" w:rsidR="002E7036" w:rsidRPr="00365C42" w:rsidRDefault="002E7036" w:rsidP="002E7036">
            <w:pPr>
              <w:rPr>
                <w:sz w:val="18"/>
                <w:szCs w:val="18"/>
              </w:rPr>
            </w:pPr>
            <w:r w:rsidRPr="00365C42">
              <w:rPr>
                <w:sz w:val="18"/>
                <w:szCs w:val="18"/>
              </w:rPr>
              <w:t>480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489647C" w14:textId="77777777" w:rsidR="002E7036" w:rsidRPr="00365C42" w:rsidRDefault="002E7036" w:rsidP="002E7036">
            <w:pPr>
              <w:rPr>
                <w:sz w:val="18"/>
                <w:szCs w:val="18"/>
              </w:rPr>
            </w:pPr>
            <w:r w:rsidRPr="00365C42">
              <w:rPr>
                <w:sz w:val="18"/>
                <w:szCs w:val="18"/>
              </w:rPr>
              <w:t>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5E0B7CB" w14:textId="77777777" w:rsidR="002E7036" w:rsidRPr="00365C42" w:rsidRDefault="002E7036" w:rsidP="002E7036">
            <w:pPr>
              <w:rPr>
                <w:sz w:val="18"/>
                <w:szCs w:val="18"/>
              </w:rPr>
            </w:pPr>
            <w:r w:rsidRPr="00365C42">
              <w:rPr>
                <w:sz w:val="18"/>
                <w:szCs w:val="18"/>
              </w:rPr>
              <w:t>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8F7E347" w14:textId="77777777" w:rsidR="002E7036" w:rsidRPr="00365C42" w:rsidRDefault="002E7036" w:rsidP="002E7036">
            <w:pPr>
              <w:rPr>
                <w:sz w:val="18"/>
                <w:szCs w:val="18"/>
              </w:rPr>
            </w:pPr>
            <w:r w:rsidRPr="00365C42">
              <w:rPr>
                <w:sz w:val="18"/>
                <w:szCs w:val="18"/>
              </w:rPr>
              <w:t> </w:t>
            </w:r>
          </w:p>
        </w:tc>
        <w:tc>
          <w:tcPr>
            <w:tcW w:w="57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8D6F06F" w14:textId="77777777" w:rsidR="002E7036" w:rsidRPr="00365C42" w:rsidRDefault="002E7036" w:rsidP="002E7036">
            <w:pPr>
              <w:rPr>
                <w:sz w:val="18"/>
                <w:szCs w:val="18"/>
              </w:rPr>
            </w:pPr>
            <w:r w:rsidRPr="00365C42">
              <w:rPr>
                <w:sz w:val="18"/>
                <w:szCs w:val="18"/>
              </w:rPr>
              <w:t>240</w:t>
            </w:r>
          </w:p>
        </w:tc>
        <w:tc>
          <w:tcPr>
            <w:tcW w:w="385"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8D2C3C5" w14:textId="77777777" w:rsidR="002E7036" w:rsidRPr="00365C42" w:rsidRDefault="002E7036" w:rsidP="002E7036">
            <w:pPr>
              <w:rPr>
                <w:sz w:val="18"/>
                <w:szCs w:val="18"/>
              </w:rPr>
            </w:pPr>
            <w:r w:rsidRPr="00365C42">
              <w:rPr>
                <w:sz w:val="18"/>
                <w:szCs w:val="18"/>
              </w:rPr>
              <w:t> </w:t>
            </w:r>
          </w:p>
        </w:tc>
      </w:tr>
      <w:tr w:rsidR="002E7036" w:rsidRPr="00365C42" w14:paraId="492E915B" w14:textId="77777777" w:rsidTr="002E7036">
        <w:trPr>
          <w:trHeight w:val="242"/>
        </w:trPr>
        <w:tc>
          <w:tcPr>
            <w:tcW w:w="910"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2530769" w14:textId="77777777" w:rsidR="002E7036" w:rsidRPr="00365C42" w:rsidRDefault="002E7036" w:rsidP="002E7036">
            <w:pPr>
              <w:rPr>
                <w:b/>
                <w:bCs/>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650184A"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9C0C438"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334836A"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0A26901"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1A309A2"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6B53D28"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1F7EEF0" w14:textId="77777777" w:rsidR="002E7036" w:rsidRPr="00365C42" w:rsidRDefault="002E7036" w:rsidP="002E7036">
            <w:pPr>
              <w:rPr>
                <w:sz w:val="18"/>
                <w:szCs w:val="18"/>
              </w:rPr>
            </w:pPr>
          </w:p>
        </w:tc>
        <w:tc>
          <w:tcPr>
            <w:tcW w:w="39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F964AFF" w14:textId="77777777" w:rsidR="002E7036" w:rsidRPr="00365C42" w:rsidRDefault="002E7036" w:rsidP="002E7036">
            <w:pPr>
              <w:rPr>
                <w:sz w:val="18"/>
                <w:szCs w:val="18"/>
              </w:rPr>
            </w:pPr>
          </w:p>
        </w:tc>
        <w:tc>
          <w:tcPr>
            <w:tcW w:w="577"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3C8025C" w14:textId="77777777" w:rsidR="002E7036" w:rsidRPr="00365C42" w:rsidRDefault="002E7036" w:rsidP="002E7036">
            <w:pPr>
              <w:rPr>
                <w:sz w:val="18"/>
                <w:szCs w:val="18"/>
              </w:rPr>
            </w:pPr>
            <w:r w:rsidRPr="00365C42">
              <w:rPr>
                <w:sz w:val="18"/>
                <w:szCs w:val="18"/>
              </w:rPr>
              <w:t>740</w:t>
            </w:r>
          </w:p>
        </w:tc>
        <w:tc>
          <w:tcPr>
            <w:tcW w:w="385"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B0F68A6" w14:textId="77777777" w:rsidR="002E7036" w:rsidRPr="00365C42" w:rsidRDefault="002E7036" w:rsidP="002E7036">
            <w:pPr>
              <w:rPr>
                <w:sz w:val="18"/>
                <w:szCs w:val="18"/>
              </w:rPr>
            </w:pPr>
          </w:p>
        </w:tc>
      </w:tr>
      <w:tr w:rsidR="002E7036" w:rsidRPr="00365C42" w14:paraId="13F8E0E2" w14:textId="77777777" w:rsidTr="002E7036">
        <w:trPr>
          <w:trHeight w:val="242"/>
        </w:trPr>
        <w:tc>
          <w:tcPr>
            <w:tcW w:w="91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D9FBA2" w14:textId="476774B4" w:rsidR="002E7036" w:rsidRPr="00365C42" w:rsidRDefault="002E7036" w:rsidP="002E7036">
            <w:pPr>
              <w:rPr>
                <w:b/>
                <w:bCs/>
                <w:sz w:val="18"/>
                <w:szCs w:val="18"/>
              </w:rPr>
            </w:pPr>
            <w:r w:rsidRPr="00365C42">
              <w:rPr>
                <w:b/>
                <w:bCs/>
                <w:sz w:val="18"/>
                <w:szCs w:val="18"/>
              </w:rPr>
              <w:t>UKUPNO (u kg)</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972548" w14:textId="66F4E70B" w:rsidR="002E7036" w:rsidRPr="00365C42" w:rsidRDefault="002E7036" w:rsidP="002E7036">
            <w:pPr>
              <w:rPr>
                <w:sz w:val="18"/>
                <w:szCs w:val="18"/>
              </w:rPr>
            </w:pPr>
            <w:r w:rsidRPr="00365C42">
              <w:rPr>
                <w:b/>
                <w:bCs/>
                <w:sz w:val="18"/>
                <w:szCs w:val="18"/>
              </w:rPr>
              <w:t>2060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67E142B" w14:textId="5C50800A" w:rsidR="002E7036" w:rsidRPr="00365C42" w:rsidRDefault="002E7036" w:rsidP="002E7036">
            <w:pPr>
              <w:rPr>
                <w:sz w:val="18"/>
                <w:szCs w:val="18"/>
              </w:rPr>
            </w:pPr>
            <w:r w:rsidRPr="00365C42">
              <w:rPr>
                <w:b/>
                <w:bCs/>
                <w:sz w:val="18"/>
                <w:szCs w:val="18"/>
              </w:rPr>
              <w:t>950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D8ADBB" w14:textId="174CE0D1" w:rsidR="002E7036" w:rsidRPr="00365C42" w:rsidRDefault="002E7036" w:rsidP="002E7036">
            <w:pPr>
              <w:rPr>
                <w:sz w:val="18"/>
                <w:szCs w:val="18"/>
              </w:rPr>
            </w:pPr>
            <w:r w:rsidRPr="00365C42">
              <w:rPr>
                <w:b/>
                <w:bCs/>
                <w:sz w:val="18"/>
                <w:szCs w:val="18"/>
              </w:rPr>
              <w:t>5730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8DBF5D" w14:textId="7B597BF4" w:rsidR="002E7036" w:rsidRPr="00365C42" w:rsidRDefault="002E7036" w:rsidP="002E7036">
            <w:pPr>
              <w:rPr>
                <w:sz w:val="18"/>
                <w:szCs w:val="18"/>
              </w:rPr>
            </w:pPr>
            <w:r w:rsidRPr="00365C42">
              <w:rPr>
                <w:b/>
                <w:bCs/>
                <w:sz w:val="18"/>
                <w:szCs w:val="18"/>
              </w:rPr>
              <w:t>4860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4F34A39" w14:textId="51542CAC" w:rsidR="002E7036" w:rsidRPr="00365C42" w:rsidRDefault="006A3FF1" w:rsidP="002E7036">
            <w:pPr>
              <w:rPr>
                <w:sz w:val="18"/>
                <w:szCs w:val="18"/>
              </w:rPr>
            </w:pPr>
            <w:r>
              <w:rPr>
                <w:b/>
                <w:bCs/>
                <w:sz w:val="18"/>
                <w:szCs w:val="18"/>
              </w:rPr>
              <w:t>7835</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47334B7" w14:textId="0285B6EA" w:rsidR="002E7036" w:rsidRPr="00365C42" w:rsidRDefault="002E7036" w:rsidP="002E7036">
            <w:pPr>
              <w:rPr>
                <w:sz w:val="18"/>
                <w:szCs w:val="18"/>
              </w:rPr>
            </w:pPr>
            <w:r w:rsidRPr="00365C42">
              <w:rPr>
                <w:b/>
                <w:bCs/>
                <w:sz w:val="18"/>
                <w:szCs w:val="18"/>
              </w:rPr>
              <w:t>5900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BA1950" w14:textId="5EC6DB83" w:rsidR="002E7036" w:rsidRPr="00365C42" w:rsidRDefault="002E7036" w:rsidP="002E7036">
            <w:pPr>
              <w:rPr>
                <w:sz w:val="18"/>
                <w:szCs w:val="18"/>
              </w:rPr>
            </w:pPr>
            <w:r w:rsidRPr="00365C42">
              <w:rPr>
                <w:b/>
                <w:bCs/>
                <w:sz w:val="18"/>
                <w:szCs w:val="18"/>
              </w:rPr>
              <w:t>9960</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69DAD2" w14:textId="0DE02CC0" w:rsidR="002E7036" w:rsidRPr="00365C42" w:rsidRDefault="002E7036" w:rsidP="002E7036">
            <w:pPr>
              <w:rPr>
                <w:sz w:val="18"/>
                <w:szCs w:val="18"/>
              </w:rPr>
            </w:pPr>
            <w:r w:rsidRPr="00365C42">
              <w:rPr>
                <w:b/>
                <w:bCs/>
                <w:sz w:val="18"/>
                <w:szCs w:val="18"/>
              </w:rPr>
              <w:t>5840</w:t>
            </w:r>
          </w:p>
        </w:tc>
        <w:tc>
          <w:tcPr>
            <w:tcW w:w="577"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FFC6C13" w14:textId="34A980D2" w:rsidR="002E7036" w:rsidRPr="00365C42" w:rsidRDefault="006A3FF1" w:rsidP="002E7036">
            <w:pPr>
              <w:rPr>
                <w:sz w:val="18"/>
                <w:szCs w:val="18"/>
              </w:rPr>
            </w:pPr>
            <w:r>
              <w:rPr>
                <w:b/>
                <w:bCs/>
                <w:sz w:val="18"/>
                <w:szCs w:val="18"/>
              </w:rPr>
              <w:t>6340</w:t>
            </w:r>
          </w:p>
        </w:tc>
        <w:tc>
          <w:tcPr>
            <w:tcW w:w="38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CB012C" w14:textId="5DEDDD76" w:rsidR="002E7036" w:rsidRPr="00365C42" w:rsidRDefault="002E7036" w:rsidP="002E7036">
            <w:pPr>
              <w:rPr>
                <w:sz w:val="18"/>
                <w:szCs w:val="18"/>
              </w:rPr>
            </w:pPr>
            <w:r w:rsidRPr="00365C42">
              <w:rPr>
                <w:b/>
                <w:bCs/>
                <w:sz w:val="18"/>
                <w:szCs w:val="18"/>
              </w:rPr>
              <w:t>1640</w:t>
            </w:r>
          </w:p>
        </w:tc>
      </w:tr>
    </w:tbl>
    <w:p w14:paraId="1B1008FA" w14:textId="73021047" w:rsidR="00001DE2" w:rsidRDefault="00001DE2" w:rsidP="00001DE2">
      <w:pPr>
        <w:rPr>
          <w:sz w:val="20"/>
          <w:szCs w:val="20"/>
        </w:rPr>
      </w:pPr>
    </w:p>
    <w:p w14:paraId="796B726C" w14:textId="1E85A73B" w:rsidR="00001DE2" w:rsidRPr="00001DE2" w:rsidRDefault="00001DE2" w:rsidP="00001DE2">
      <w:pPr>
        <w:spacing w:line="276" w:lineRule="auto"/>
        <w:rPr>
          <w:sz w:val="24"/>
          <w:szCs w:val="24"/>
        </w:rPr>
      </w:pPr>
      <w:r w:rsidRPr="001137F7">
        <w:rPr>
          <w:sz w:val="24"/>
          <w:szCs w:val="24"/>
        </w:rPr>
        <w:t>Prikazani podaci ukazuju na neophodnost većeg učešća javne uprave u ovom procesu,</w:t>
      </w:r>
      <w:r>
        <w:rPr>
          <w:sz w:val="24"/>
          <w:szCs w:val="24"/>
        </w:rPr>
        <w:t xml:space="preserve"> kao i činjenicu da je neophodno</w:t>
      </w:r>
      <w:r w:rsidRPr="001137F7">
        <w:rPr>
          <w:sz w:val="24"/>
          <w:szCs w:val="24"/>
        </w:rPr>
        <w:t xml:space="preserve"> podizanje svijesti o značaju reciklaže</w:t>
      </w:r>
      <w:r>
        <w:rPr>
          <w:rStyle w:val="FootnoteReference"/>
          <w:sz w:val="24"/>
          <w:szCs w:val="24"/>
        </w:rPr>
        <w:footnoteReference w:id="19"/>
      </w:r>
      <w:r w:rsidRPr="001137F7">
        <w:rPr>
          <w:sz w:val="24"/>
          <w:szCs w:val="24"/>
        </w:rPr>
        <w:t>.</w:t>
      </w:r>
    </w:p>
    <w:p w14:paraId="35037BE6" w14:textId="7E83B941" w:rsidR="00396B7E" w:rsidRDefault="00396B7E" w:rsidP="002270C1">
      <w:pPr>
        <w:jc w:val="both"/>
        <w:rPr>
          <w:sz w:val="24"/>
          <w:szCs w:val="24"/>
        </w:rPr>
      </w:pPr>
      <w:r w:rsidRPr="00396B7E">
        <w:rPr>
          <w:sz w:val="24"/>
          <w:szCs w:val="24"/>
        </w:rPr>
        <w:t>S obzirom da iz gore navedne analize nije mogu</w:t>
      </w:r>
      <w:r w:rsidRPr="00396B7E">
        <w:rPr>
          <w:sz w:val="24"/>
          <w:szCs w:val="24"/>
          <w:lang w:val="sr-Latn-BA"/>
        </w:rPr>
        <w:t xml:space="preserve">će procijenti </w:t>
      </w:r>
      <w:r w:rsidR="00001DE2">
        <w:rPr>
          <w:sz w:val="24"/>
          <w:szCs w:val="24"/>
          <w:lang w:val="sr-Latn-BA"/>
        </w:rPr>
        <w:t xml:space="preserve">tačnu </w:t>
      </w:r>
      <w:r w:rsidRPr="00396B7E">
        <w:rPr>
          <w:sz w:val="24"/>
          <w:szCs w:val="24"/>
          <w:lang w:val="sr-Latn-BA"/>
        </w:rPr>
        <w:t>količinu upotrebljenih plastičnih ambalaža za jednokratnu upotrebu</w:t>
      </w:r>
      <w:r w:rsidR="00001DE2">
        <w:rPr>
          <w:sz w:val="24"/>
          <w:szCs w:val="24"/>
          <w:lang w:val="sr-Latn-BA"/>
        </w:rPr>
        <w:t xml:space="preserve"> i kancelarijskog materijala</w:t>
      </w:r>
      <w:r w:rsidRPr="00396B7E">
        <w:rPr>
          <w:sz w:val="24"/>
          <w:szCs w:val="24"/>
          <w:lang w:val="sr-Latn-BA"/>
        </w:rPr>
        <w:t>, Vlada Crne Gore</w:t>
      </w:r>
      <w:r w:rsidR="00715D7C">
        <w:rPr>
          <w:sz w:val="24"/>
          <w:szCs w:val="24"/>
          <w:lang w:val="sr-Latn-BA"/>
        </w:rPr>
        <w:t xml:space="preserve"> treba</w:t>
      </w:r>
      <w:r w:rsidRPr="00396B7E">
        <w:rPr>
          <w:sz w:val="24"/>
          <w:szCs w:val="24"/>
          <w:lang w:val="sr-Latn-BA"/>
        </w:rPr>
        <w:t xml:space="preserve"> što prije da </w:t>
      </w:r>
      <w:r w:rsidRPr="00396B7E">
        <w:rPr>
          <w:b/>
          <w:bCs/>
          <w:i/>
          <w:iCs/>
          <w:sz w:val="24"/>
          <w:szCs w:val="24"/>
          <w:lang w:val="sr-Latn-BA"/>
        </w:rPr>
        <w:t xml:space="preserve">procijeni </w:t>
      </w:r>
      <w:r w:rsidRPr="00396B7E">
        <w:rPr>
          <w:b/>
          <w:bCs/>
          <w:i/>
          <w:iCs/>
          <w:sz w:val="24"/>
          <w:szCs w:val="24"/>
        </w:rPr>
        <w:t xml:space="preserve">trenutnu situaciju plastike za jednokratnu upotrebu </w:t>
      </w:r>
      <w:r w:rsidR="00001DE2">
        <w:rPr>
          <w:b/>
          <w:bCs/>
          <w:i/>
          <w:iCs/>
          <w:sz w:val="24"/>
          <w:szCs w:val="24"/>
        </w:rPr>
        <w:t xml:space="preserve">i kancelarijskog materijala </w:t>
      </w:r>
      <w:r w:rsidRPr="00396B7E">
        <w:rPr>
          <w:b/>
          <w:bCs/>
          <w:i/>
          <w:iCs/>
          <w:sz w:val="24"/>
          <w:szCs w:val="24"/>
        </w:rPr>
        <w:t>u nabavkama javnih ograna pojedinačno</w:t>
      </w:r>
      <w:r w:rsidRPr="00396B7E">
        <w:rPr>
          <w:sz w:val="24"/>
          <w:szCs w:val="24"/>
        </w:rPr>
        <w:t xml:space="preserve">. </w:t>
      </w:r>
    </w:p>
    <w:p w14:paraId="07CD2AC2" w14:textId="3DBA7C91" w:rsidR="007864DD" w:rsidRPr="00396B7E" w:rsidRDefault="00396B7E" w:rsidP="002270C1">
      <w:pPr>
        <w:jc w:val="both"/>
        <w:rPr>
          <w:sz w:val="24"/>
          <w:szCs w:val="24"/>
        </w:rPr>
      </w:pPr>
      <w:r w:rsidRPr="00396B7E">
        <w:rPr>
          <w:sz w:val="24"/>
          <w:szCs w:val="24"/>
        </w:rPr>
        <w:t xml:space="preserve">S obzirom da svaka organizacija ima svoj način ugovaranja i organizacije isporuke, polazište bi trebalo da bude jasan prikaz o tipu plastike za jednokratnu upotrebu koja se nabavlja, koristi ili kojom se upravlja u radu organizacije, nabavkama i ugovorima. Inicijalno mapiranje i procjena svih plastičnih predmeta i pakovanja koje se koristi ili generiše u nabavkama, uslugama i radovima treba da je urađeno kako bi se identifikovalo prisustvo plastike za jednokratnu upotrebu, od kojih materijala je napravljena, za šta se koristi, kako se njome upravlja i koja je percepcija osoblja i korisnika. U ovom procesu trebaju da budu uključeni promoteri i rukovodioci ugovora i potrošači/ korisnici. Ovo će pomoći da se fokusiraju aktivnosti zainteresovanih strana kako bi se identifikovale moguće alternative, planirale mjere za implementaciju i čak postavio set kvantitativnih ciljeva prevencije i osnov za monitoring progresa. </w:t>
      </w:r>
    </w:p>
    <w:p w14:paraId="1EC1294A" w14:textId="039EEDD8" w:rsidR="000C55FA" w:rsidRDefault="000C55FA" w:rsidP="002270C1">
      <w:pPr>
        <w:jc w:val="both"/>
        <w:rPr>
          <w:sz w:val="24"/>
        </w:rPr>
      </w:pPr>
    </w:p>
    <w:p w14:paraId="03172F5F" w14:textId="2B80EFF5" w:rsidR="000C55FA" w:rsidRDefault="000C55FA" w:rsidP="002270C1">
      <w:pPr>
        <w:jc w:val="both"/>
        <w:rPr>
          <w:sz w:val="24"/>
        </w:rPr>
      </w:pPr>
    </w:p>
    <w:p w14:paraId="39E21508" w14:textId="5B9AA823" w:rsidR="003F7412" w:rsidRDefault="003F7412" w:rsidP="003F7412">
      <w:pPr>
        <w:jc w:val="both"/>
        <w:rPr>
          <w:rFonts w:cs="Calibri"/>
        </w:rPr>
      </w:pPr>
    </w:p>
    <w:p w14:paraId="573133A9" w14:textId="1597B848" w:rsidR="00AE273C" w:rsidRDefault="00AE273C" w:rsidP="003F7412">
      <w:pPr>
        <w:jc w:val="both"/>
        <w:rPr>
          <w:rFonts w:cs="Calibri"/>
        </w:rPr>
      </w:pPr>
    </w:p>
    <w:p w14:paraId="78856C7B" w14:textId="7622E57A" w:rsidR="00AE273C" w:rsidRDefault="00AE273C" w:rsidP="003F7412">
      <w:pPr>
        <w:jc w:val="both"/>
        <w:rPr>
          <w:rFonts w:cs="Calibri"/>
        </w:rPr>
      </w:pPr>
    </w:p>
    <w:p w14:paraId="33CA6764" w14:textId="49A6E40A" w:rsidR="00AE273C" w:rsidRDefault="00AE273C" w:rsidP="003F7412">
      <w:pPr>
        <w:jc w:val="both"/>
        <w:rPr>
          <w:rFonts w:cs="Calibri"/>
        </w:rPr>
      </w:pPr>
    </w:p>
    <w:p w14:paraId="22872801" w14:textId="544FC829" w:rsidR="00AE273C" w:rsidRDefault="00AE273C" w:rsidP="003F7412">
      <w:pPr>
        <w:jc w:val="both"/>
        <w:rPr>
          <w:rFonts w:cs="Calibri"/>
        </w:rPr>
      </w:pPr>
    </w:p>
    <w:p w14:paraId="13BEB38D" w14:textId="1C16EFF3" w:rsidR="00AE273C" w:rsidRDefault="00AE273C" w:rsidP="003F7412">
      <w:pPr>
        <w:jc w:val="both"/>
        <w:rPr>
          <w:rFonts w:cs="Calibri"/>
        </w:rPr>
      </w:pPr>
    </w:p>
    <w:p w14:paraId="36FFEE48" w14:textId="6B8060AD" w:rsidR="00AE273C" w:rsidRDefault="00AE273C" w:rsidP="003F7412">
      <w:pPr>
        <w:jc w:val="both"/>
        <w:rPr>
          <w:rFonts w:cs="Calibri"/>
        </w:rPr>
      </w:pPr>
    </w:p>
    <w:p w14:paraId="3709C017" w14:textId="5142058E" w:rsidR="00AE273C" w:rsidRDefault="00AE273C" w:rsidP="003F7412">
      <w:pPr>
        <w:jc w:val="both"/>
        <w:rPr>
          <w:rFonts w:cs="Calibri"/>
        </w:rPr>
      </w:pPr>
    </w:p>
    <w:p w14:paraId="6CDC06E1" w14:textId="76958A19" w:rsidR="00AE273C" w:rsidRDefault="00AE273C" w:rsidP="003F7412">
      <w:pPr>
        <w:jc w:val="both"/>
        <w:rPr>
          <w:rFonts w:cs="Calibri"/>
        </w:rPr>
      </w:pPr>
    </w:p>
    <w:p w14:paraId="61DFCFC0" w14:textId="036EC15B" w:rsidR="00AC666D" w:rsidRDefault="00AC666D" w:rsidP="003F7412">
      <w:pPr>
        <w:jc w:val="both"/>
        <w:rPr>
          <w:rFonts w:cs="Calibri"/>
        </w:rPr>
      </w:pPr>
    </w:p>
    <w:p w14:paraId="4AFC6B11" w14:textId="08E5FE6A" w:rsidR="00AC666D" w:rsidRDefault="00AC666D" w:rsidP="003F7412">
      <w:pPr>
        <w:jc w:val="both"/>
        <w:rPr>
          <w:rFonts w:cs="Calibri"/>
        </w:rPr>
      </w:pPr>
    </w:p>
    <w:p w14:paraId="7A5DCF2B" w14:textId="77777777" w:rsidR="00AC666D" w:rsidRDefault="00AC666D" w:rsidP="003F7412">
      <w:pPr>
        <w:jc w:val="both"/>
        <w:rPr>
          <w:rFonts w:cs="Calibri"/>
        </w:rPr>
      </w:pPr>
    </w:p>
    <w:p w14:paraId="44B0AF72" w14:textId="6E68F2FC" w:rsidR="00AE273C" w:rsidRDefault="00AE273C" w:rsidP="003F7412">
      <w:pPr>
        <w:jc w:val="both"/>
        <w:rPr>
          <w:rFonts w:cs="Calibri"/>
        </w:rPr>
      </w:pPr>
    </w:p>
    <w:p w14:paraId="68A26666" w14:textId="65BFCD08" w:rsidR="00AE273C" w:rsidRDefault="00AE273C" w:rsidP="003F7412">
      <w:pPr>
        <w:jc w:val="both"/>
        <w:rPr>
          <w:rFonts w:cs="Calibri"/>
        </w:rPr>
      </w:pPr>
    </w:p>
    <w:p w14:paraId="0A299675" w14:textId="77777777" w:rsidR="006A3FF1" w:rsidRDefault="006A3FF1" w:rsidP="003F7412">
      <w:pPr>
        <w:jc w:val="both"/>
        <w:rPr>
          <w:rFonts w:cs="Calibri"/>
        </w:rPr>
      </w:pPr>
    </w:p>
    <w:p w14:paraId="314DA74D" w14:textId="77777777" w:rsidR="003F7412" w:rsidRPr="000142CE" w:rsidRDefault="003F7412" w:rsidP="003F7412">
      <w:pPr>
        <w:pStyle w:val="Heading1"/>
        <w:rPr>
          <w:rFonts w:ascii="Calibri" w:hAnsi="Calibri" w:cs="Calibri"/>
          <w:color w:val="171717" w:themeColor="background2" w:themeShade="1A"/>
        </w:rPr>
      </w:pPr>
      <w:bookmarkStart w:id="43" w:name="_Toc80181917"/>
      <w:bookmarkStart w:id="44" w:name="_Toc82271947"/>
      <w:r w:rsidRPr="000142CE">
        <w:rPr>
          <w:rFonts w:ascii="Calibri" w:hAnsi="Calibri" w:cs="Calibri"/>
          <w:color w:val="171717" w:themeColor="background2" w:themeShade="1A"/>
        </w:rPr>
        <w:lastRenderedPageBreak/>
        <w:t>2. EKONOMSKE KORISTI PRIMJENE CIRKULARNE EKONOMIJE</w:t>
      </w:r>
      <w:bookmarkEnd w:id="43"/>
      <w:bookmarkEnd w:id="44"/>
      <w:r w:rsidRPr="000142CE">
        <w:rPr>
          <w:rFonts w:ascii="Calibri" w:hAnsi="Calibri" w:cs="Calibri"/>
          <w:color w:val="171717" w:themeColor="background2" w:themeShade="1A"/>
        </w:rPr>
        <w:t xml:space="preserve"> </w:t>
      </w:r>
    </w:p>
    <w:p w14:paraId="0B18152F" w14:textId="77777777" w:rsidR="003F7412" w:rsidRDefault="003F7412" w:rsidP="003F7412">
      <w:pPr>
        <w:rPr>
          <w:rFonts w:cs="Calibri"/>
          <w:sz w:val="24"/>
          <w:szCs w:val="24"/>
        </w:rPr>
      </w:pPr>
    </w:p>
    <w:p w14:paraId="35F1683E" w14:textId="77777777" w:rsidR="003F7412" w:rsidRDefault="003F7412" w:rsidP="003F7412">
      <w:pPr>
        <w:jc w:val="both"/>
        <w:rPr>
          <w:rFonts w:cs="Calibri"/>
          <w:sz w:val="24"/>
          <w:szCs w:val="24"/>
        </w:rPr>
      </w:pPr>
      <w:r>
        <w:rPr>
          <w:rFonts w:cs="Calibri"/>
          <w:sz w:val="24"/>
          <w:szCs w:val="24"/>
        </w:rPr>
        <w:t>Da bi se uspostavili ekonomski i ekološki održivi modeli razvoja i na taj način ostvarili ciljevi cirkularne ekonomije, glavni akcenat treba dati inovativnom razmišljanju u svim procesima proizvodnje (design thinking), teoriji sistema (systems thinking), na produžavanje životnog vijeka proizvoda, kao i reciklažu.</w:t>
      </w:r>
    </w:p>
    <w:p w14:paraId="0938E6E5" w14:textId="77777777" w:rsidR="003F7412" w:rsidRDefault="003F7412" w:rsidP="003F7412">
      <w:pPr>
        <w:jc w:val="both"/>
        <w:rPr>
          <w:rFonts w:cs="Calibri"/>
          <w:sz w:val="24"/>
          <w:szCs w:val="24"/>
        </w:rPr>
      </w:pPr>
      <w:r>
        <w:rPr>
          <w:rFonts w:cs="Calibri"/>
          <w:sz w:val="24"/>
          <w:szCs w:val="24"/>
        </w:rPr>
        <w:t>Evropska komisija je 2017. godine objavila dokument nazvan “Manifest za Evropu efikasnih resursa” (Manifesto for a Resource-Efficient Europe) koji jasno naglašava da “u svijetu rastućeg pritiska na prirodne resurse i životnu okolinu, Evropska unija nema drugog izbora nego da krene putem tranzicije ka resursno efikasnom i u krajnjoj liniji regenerativnom modelu cirkularne ekonomije”.</w:t>
      </w:r>
    </w:p>
    <w:p w14:paraId="66FEA6E5" w14:textId="77777777" w:rsidR="003F7412" w:rsidRDefault="003F7412" w:rsidP="003F7412">
      <w:pPr>
        <w:jc w:val="both"/>
        <w:rPr>
          <w:rFonts w:cs="Calibri"/>
          <w:sz w:val="24"/>
          <w:szCs w:val="24"/>
        </w:rPr>
      </w:pPr>
      <w:r>
        <w:rPr>
          <w:rFonts w:cs="Calibri"/>
          <w:sz w:val="24"/>
          <w:szCs w:val="24"/>
        </w:rPr>
        <w:t xml:space="preserve">Najveći napredak u implementaciji cirkularne ekonomije u svijetu do sada su ostvarili NR Kina i Evropska unija. I NR Kina i Evropska unija prihvatile su činjenicu da se tržište samostalno neće prilagoditi ovom konceptu, pa praktičnim aktivnostima donošenja regulativa i podsticajima kreiraju uslove u cilju postepene implementacije cirkularne ekonomije. </w:t>
      </w:r>
    </w:p>
    <w:p w14:paraId="525598E0" w14:textId="77777777" w:rsidR="003F7412" w:rsidRDefault="003F7412" w:rsidP="003F7412">
      <w:pPr>
        <w:spacing w:after="0"/>
        <w:jc w:val="both"/>
        <w:rPr>
          <w:rFonts w:cs="Calibri"/>
          <w:sz w:val="24"/>
          <w:szCs w:val="24"/>
        </w:rPr>
      </w:pPr>
      <w:r>
        <w:rPr>
          <w:rFonts w:cs="Calibri"/>
          <w:sz w:val="24"/>
          <w:szCs w:val="24"/>
        </w:rPr>
        <w:t>U martu 2020. godine, Evropski zeleni dogovor ponudio je novi akcioni plan cirkularne ekonomije fokusiran na održivu upotrebu resursa, posebno u tekstilnoj industriji i građevinarstvu. Primjer Evropske unije treba da bude vodič za Crnu Goru, kako zbog pozitivne prakse, tako i zbog ispunjavanja predpristupnih obaveza i ne manje važno, prilagođavanja i uklapanja u sistem funkcionisanja u sklopu Evropske unije.</w:t>
      </w:r>
    </w:p>
    <w:p w14:paraId="38D6A29E" w14:textId="77777777" w:rsidR="003F7412" w:rsidRDefault="003F7412" w:rsidP="003F7412">
      <w:pPr>
        <w:spacing w:after="0"/>
        <w:jc w:val="both"/>
        <w:rPr>
          <w:rFonts w:cs="Calibri"/>
          <w:sz w:val="24"/>
          <w:szCs w:val="24"/>
        </w:rPr>
      </w:pPr>
    </w:p>
    <w:p w14:paraId="1D2947B0" w14:textId="77777777" w:rsidR="003F7412" w:rsidRDefault="003F7412" w:rsidP="003F7412">
      <w:pPr>
        <w:spacing w:after="0"/>
        <w:jc w:val="both"/>
        <w:rPr>
          <w:rFonts w:cs="Calibri"/>
          <w:sz w:val="24"/>
          <w:szCs w:val="24"/>
        </w:rPr>
      </w:pPr>
      <w:r>
        <w:rPr>
          <w:rFonts w:cs="Calibri"/>
          <w:sz w:val="24"/>
          <w:szCs w:val="24"/>
        </w:rPr>
        <w:t xml:space="preserve">Indikatori kojima EU prati tranziciju ka cirkularnoj ekonomiji podijeljeni su u četiri poglavlja:  </w:t>
      </w:r>
    </w:p>
    <w:p w14:paraId="53AFFEEE" w14:textId="77777777" w:rsidR="003F7412" w:rsidRDefault="003F7412" w:rsidP="003F7412">
      <w:pPr>
        <w:spacing w:after="0"/>
        <w:jc w:val="both"/>
        <w:rPr>
          <w:rFonts w:cs="Calibri"/>
          <w:sz w:val="24"/>
          <w:szCs w:val="24"/>
        </w:rPr>
      </w:pPr>
    </w:p>
    <w:p w14:paraId="21D3E20E" w14:textId="77777777" w:rsidR="003F7412" w:rsidRDefault="003F7412" w:rsidP="003F7412">
      <w:pPr>
        <w:pStyle w:val="ListParagraph"/>
        <w:numPr>
          <w:ilvl w:val="0"/>
          <w:numId w:val="22"/>
        </w:numPr>
        <w:spacing w:after="0"/>
        <w:jc w:val="both"/>
        <w:rPr>
          <w:rFonts w:cs="Calibri"/>
          <w:sz w:val="24"/>
          <w:szCs w:val="24"/>
        </w:rPr>
      </w:pPr>
      <w:r>
        <w:rPr>
          <w:rFonts w:cs="Calibri"/>
          <w:sz w:val="24"/>
          <w:szCs w:val="24"/>
        </w:rPr>
        <w:t>Poglavlje 1 – Proizvodnja i potrošnja Indikatori: Zelene javne nabavke; Otpad od hrane; Sprečavanje nastanka otpada;</w:t>
      </w:r>
    </w:p>
    <w:p w14:paraId="5893F4A6" w14:textId="77777777" w:rsidR="003F7412" w:rsidRDefault="003F7412" w:rsidP="003F7412">
      <w:pPr>
        <w:pStyle w:val="ListParagraph"/>
        <w:numPr>
          <w:ilvl w:val="0"/>
          <w:numId w:val="22"/>
        </w:numPr>
        <w:spacing w:after="0"/>
        <w:jc w:val="both"/>
        <w:rPr>
          <w:rFonts w:cs="Calibri"/>
          <w:sz w:val="24"/>
          <w:szCs w:val="24"/>
        </w:rPr>
      </w:pPr>
      <w:r>
        <w:rPr>
          <w:rFonts w:cs="Calibri"/>
          <w:sz w:val="24"/>
          <w:szCs w:val="24"/>
        </w:rPr>
        <w:t>Poglavlje 2 – Upravljanje otpadom Indikatori: Ukupna stopa recikliranja; Stope recikliranja za posebne tokove otpada;</w:t>
      </w:r>
    </w:p>
    <w:p w14:paraId="3F1D5BAC" w14:textId="5A26CF57" w:rsidR="003F7412" w:rsidRDefault="003F7412" w:rsidP="003F7412">
      <w:pPr>
        <w:pStyle w:val="ListParagraph"/>
        <w:numPr>
          <w:ilvl w:val="0"/>
          <w:numId w:val="22"/>
        </w:numPr>
        <w:spacing w:after="0"/>
        <w:jc w:val="both"/>
        <w:rPr>
          <w:rFonts w:cs="Calibri"/>
          <w:sz w:val="24"/>
          <w:szCs w:val="24"/>
        </w:rPr>
      </w:pPr>
      <w:r>
        <w:rPr>
          <w:rFonts w:cs="Calibri"/>
          <w:sz w:val="24"/>
          <w:szCs w:val="24"/>
        </w:rPr>
        <w:t xml:space="preserve">Poglavlje 3 – Sekundarne sirovine Indikatori: </w:t>
      </w:r>
      <w:r w:rsidR="00C879DD">
        <w:rPr>
          <w:rFonts w:cs="Calibri"/>
          <w:sz w:val="24"/>
          <w:szCs w:val="24"/>
        </w:rPr>
        <w:t xml:space="preserve"> </w:t>
      </w:r>
      <w:r>
        <w:rPr>
          <w:rFonts w:cs="Calibri"/>
          <w:sz w:val="24"/>
          <w:szCs w:val="24"/>
        </w:rPr>
        <w:t xml:space="preserve">Udio recikliranog materijala u potražnji za sirovinama; Trgovina sirovinama koje se mogu reciklirati. </w:t>
      </w:r>
    </w:p>
    <w:p w14:paraId="6452A761" w14:textId="038FEAE9" w:rsidR="003F7412" w:rsidRDefault="003F7412" w:rsidP="003F7412">
      <w:pPr>
        <w:pStyle w:val="ListParagraph"/>
        <w:numPr>
          <w:ilvl w:val="0"/>
          <w:numId w:val="22"/>
        </w:numPr>
        <w:spacing w:after="0"/>
        <w:jc w:val="both"/>
        <w:rPr>
          <w:rFonts w:cs="Calibri"/>
          <w:sz w:val="24"/>
          <w:szCs w:val="24"/>
        </w:rPr>
      </w:pPr>
      <w:r>
        <w:rPr>
          <w:rFonts w:cs="Calibri"/>
          <w:sz w:val="24"/>
          <w:szCs w:val="24"/>
        </w:rPr>
        <w:t>Poglavlje 4 – Konkurentnost i inovacije Indikatori: Privatna ulag</w:t>
      </w:r>
      <w:r w:rsidR="00C879DD">
        <w:rPr>
          <w:rFonts w:cs="Calibri"/>
          <w:sz w:val="24"/>
          <w:szCs w:val="24"/>
        </w:rPr>
        <w:t>anja, radna mjesta i bruto dodat</w:t>
      </w:r>
      <w:r>
        <w:rPr>
          <w:rFonts w:cs="Calibri"/>
          <w:sz w:val="24"/>
          <w:szCs w:val="24"/>
        </w:rPr>
        <w:t>a vrijednost, patenti.</w:t>
      </w:r>
    </w:p>
    <w:p w14:paraId="51EC2288" w14:textId="77777777" w:rsidR="003F7412" w:rsidRDefault="003F7412" w:rsidP="003F7412">
      <w:pPr>
        <w:pStyle w:val="ListParagraph"/>
        <w:spacing w:after="0"/>
        <w:jc w:val="both"/>
        <w:rPr>
          <w:rFonts w:cs="Calibri"/>
          <w:sz w:val="24"/>
          <w:szCs w:val="24"/>
        </w:rPr>
      </w:pPr>
    </w:p>
    <w:p w14:paraId="6AF5A3A1" w14:textId="77777777" w:rsidR="003F7412" w:rsidRDefault="003F7412" w:rsidP="003F7412">
      <w:pPr>
        <w:spacing w:after="0"/>
        <w:jc w:val="both"/>
        <w:rPr>
          <w:rFonts w:cs="Calibri"/>
          <w:sz w:val="24"/>
          <w:szCs w:val="24"/>
        </w:rPr>
      </w:pPr>
      <w:r>
        <w:rPr>
          <w:rFonts w:cs="Calibri"/>
          <w:sz w:val="24"/>
          <w:szCs w:val="24"/>
        </w:rPr>
        <w:t>Cirkularna ekonomija nam nalaže da ponovo preispitamo svoj odnos prema prirodnim resursima. Reciklaža je proces izdvajanja materijala iz otpada i njegovo ponovno korišćenje u iste ili slične svrhe. Proces uključuje sakupljanje, izdvajanje, preradu i izradu novih proizvoda iz iskorišćenih stvari i materijala. Važno je sortirati otpad prema vrsti, jer se mnoge otpadne materije mogu ponovo iskoristiti ako su odvojeno sakupljene. Sve što može ponovo da se iskoristi, a ne da se baci, predstavlja recikliranje.</w:t>
      </w:r>
    </w:p>
    <w:p w14:paraId="6C934ABA" w14:textId="77777777" w:rsidR="003F7412" w:rsidRDefault="003F7412" w:rsidP="003F7412">
      <w:pPr>
        <w:spacing w:after="0"/>
        <w:jc w:val="both"/>
        <w:rPr>
          <w:rFonts w:cs="Calibri"/>
          <w:sz w:val="24"/>
          <w:szCs w:val="24"/>
        </w:rPr>
      </w:pPr>
    </w:p>
    <w:p w14:paraId="69A6A97E" w14:textId="7D0D32AF" w:rsidR="003F7412" w:rsidRPr="00BB3BFF" w:rsidRDefault="003F7412" w:rsidP="003F7412">
      <w:pPr>
        <w:spacing w:after="0"/>
        <w:jc w:val="both"/>
        <w:rPr>
          <w:rFonts w:cs="Calibri"/>
          <w:sz w:val="24"/>
          <w:szCs w:val="24"/>
        </w:rPr>
      </w:pPr>
      <w:r w:rsidRPr="00BB3BFF">
        <w:rPr>
          <w:rFonts w:cs="Calibri"/>
          <w:sz w:val="24"/>
          <w:szCs w:val="24"/>
        </w:rPr>
        <w:t>Reciklažom se postižu sledeći ciljevi:</w:t>
      </w:r>
    </w:p>
    <w:p w14:paraId="7E5E4DBE" w14:textId="77777777" w:rsidR="00B41F72" w:rsidRDefault="00B41F72" w:rsidP="003F7412">
      <w:pPr>
        <w:spacing w:after="0"/>
        <w:jc w:val="both"/>
        <w:rPr>
          <w:rFonts w:cs="Calibri"/>
          <w:sz w:val="24"/>
          <w:szCs w:val="24"/>
        </w:rPr>
      </w:pPr>
    </w:p>
    <w:p w14:paraId="39C14494" w14:textId="433399AD" w:rsidR="003F7412" w:rsidRDefault="003F7412" w:rsidP="003F7412">
      <w:pPr>
        <w:pStyle w:val="ListParagraph"/>
        <w:numPr>
          <w:ilvl w:val="0"/>
          <w:numId w:val="23"/>
        </w:numPr>
        <w:spacing w:after="0"/>
        <w:ind w:left="714" w:hanging="357"/>
        <w:jc w:val="both"/>
        <w:rPr>
          <w:rFonts w:cs="Calibri"/>
          <w:sz w:val="24"/>
          <w:szCs w:val="24"/>
        </w:rPr>
      </w:pPr>
      <w:r>
        <w:rPr>
          <w:rFonts w:cs="Calibri"/>
          <w:sz w:val="24"/>
          <w:szCs w:val="24"/>
        </w:rPr>
        <w:t>štednja sirovinskih resursa (svi materijali su prirodnog por</w:t>
      </w:r>
      <w:r w:rsidR="00C879DD">
        <w:rPr>
          <w:rFonts w:cs="Calibri"/>
          <w:sz w:val="24"/>
          <w:szCs w:val="24"/>
        </w:rPr>
        <w:t>ij</w:t>
      </w:r>
      <w:r>
        <w:rPr>
          <w:rFonts w:cs="Calibri"/>
          <w:sz w:val="24"/>
          <w:szCs w:val="24"/>
        </w:rPr>
        <w:t>ekla i mogu se naći u prirodi u ograničenim količinama);</w:t>
      </w:r>
    </w:p>
    <w:p w14:paraId="4670BAA1" w14:textId="43DC82B9" w:rsidR="003F7412" w:rsidRDefault="003F7412" w:rsidP="003F7412">
      <w:pPr>
        <w:pStyle w:val="ListParagraph"/>
        <w:numPr>
          <w:ilvl w:val="0"/>
          <w:numId w:val="23"/>
        </w:numPr>
        <w:spacing w:after="0"/>
        <w:ind w:left="714" w:hanging="357"/>
        <w:jc w:val="both"/>
        <w:rPr>
          <w:rFonts w:cs="Calibri"/>
          <w:sz w:val="24"/>
          <w:szCs w:val="24"/>
        </w:rPr>
      </w:pPr>
      <w:r>
        <w:rPr>
          <w:rFonts w:cs="Calibri"/>
          <w:sz w:val="24"/>
          <w:szCs w:val="24"/>
        </w:rPr>
        <w:lastRenderedPageBreak/>
        <w:t>štednja energije (nema trošenja energije u primarnim procesima, kao ni u transportu koji te procese prati, dok se sagor</w:t>
      </w:r>
      <w:r w:rsidR="009A60A7">
        <w:rPr>
          <w:rFonts w:cs="Calibri"/>
          <w:sz w:val="24"/>
          <w:szCs w:val="24"/>
        </w:rPr>
        <w:t>ij</w:t>
      </w:r>
      <w:r>
        <w:rPr>
          <w:rFonts w:cs="Calibri"/>
          <w:sz w:val="24"/>
          <w:szCs w:val="24"/>
        </w:rPr>
        <w:t>evanjem materijala koji se ne recikliraju dobija dodatna energija);</w:t>
      </w:r>
    </w:p>
    <w:p w14:paraId="6DB49CA9" w14:textId="77777777" w:rsidR="003F7412" w:rsidRDefault="003F7412" w:rsidP="003F7412">
      <w:pPr>
        <w:pStyle w:val="ListParagraph"/>
        <w:numPr>
          <w:ilvl w:val="0"/>
          <w:numId w:val="23"/>
        </w:numPr>
        <w:spacing w:after="0"/>
        <w:ind w:left="714" w:hanging="357"/>
        <w:jc w:val="both"/>
        <w:rPr>
          <w:rFonts w:cs="Calibri"/>
          <w:sz w:val="24"/>
          <w:szCs w:val="24"/>
        </w:rPr>
      </w:pPr>
      <w:r>
        <w:rPr>
          <w:rFonts w:cs="Calibri"/>
          <w:sz w:val="24"/>
          <w:szCs w:val="24"/>
        </w:rPr>
        <w:t>zaštita životne sredine (otpadni materijali degradiraju životni ambijent, dok se reciklažom štiti životna sredina);</w:t>
      </w:r>
    </w:p>
    <w:p w14:paraId="44EAE7FF" w14:textId="0802F330" w:rsidR="003F7412" w:rsidRDefault="003F7412" w:rsidP="003F7412">
      <w:pPr>
        <w:pStyle w:val="ListParagraph"/>
        <w:numPr>
          <w:ilvl w:val="0"/>
          <w:numId w:val="23"/>
        </w:numPr>
        <w:spacing w:after="0"/>
        <w:ind w:left="714" w:hanging="357"/>
        <w:jc w:val="both"/>
        <w:rPr>
          <w:rFonts w:cs="Calibri"/>
          <w:sz w:val="24"/>
          <w:szCs w:val="24"/>
        </w:rPr>
      </w:pPr>
      <w:r>
        <w:rPr>
          <w:rFonts w:cs="Calibri"/>
          <w:sz w:val="24"/>
          <w:szCs w:val="24"/>
        </w:rPr>
        <w:t>otvaranje zelenih radnih m</w:t>
      </w:r>
      <w:r w:rsidR="00682E13">
        <w:rPr>
          <w:rFonts w:cs="Calibri"/>
          <w:sz w:val="24"/>
          <w:szCs w:val="24"/>
        </w:rPr>
        <w:t>j</w:t>
      </w:r>
      <w:r>
        <w:rPr>
          <w:rFonts w:cs="Calibri"/>
          <w:sz w:val="24"/>
          <w:szCs w:val="24"/>
        </w:rPr>
        <w:t>esta (procesi u reciklaži i eko dizajniranje proizvoda zaht</w:t>
      </w:r>
      <w:r w:rsidR="009A60A7">
        <w:rPr>
          <w:rFonts w:cs="Calibri"/>
          <w:sz w:val="24"/>
          <w:szCs w:val="24"/>
        </w:rPr>
        <w:t>i</w:t>
      </w:r>
      <w:r w:rsidR="00682E13">
        <w:rPr>
          <w:rFonts w:cs="Calibri"/>
          <w:sz w:val="24"/>
          <w:szCs w:val="24"/>
        </w:rPr>
        <w:t>j</w:t>
      </w:r>
      <w:r>
        <w:rPr>
          <w:rFonts w:cs="Calibri"/>
          <w:sz w:val="24"/>
          <w:szCs w:val="24"/>
        </w:rPr>
        <w:t>evaju znan</w:t>
      </w:r>
      <w:r w:rsidR="009A60A7">
        <w:rPr>
          <w:rFonts w:cs="Calibri"/>
          <w:sz w:val="24"/>
          <w:szCs w:val="24"/>
        </w:rPr>
        <w:t xml:space="preserve">je i rad, </w:t>
      </w:r>
      <w:r>
        <w:rPr>
          <w:rFonts w:cs="Calibri"/>
          <w:sz w:val="24"/>
          <w:szCs w:val="24"/>
        </w:rPr>
        <w:t>što stvara potrebu za novim radnim m</w:t>
      </w:r>
      <w:r w:rsidR="009A60A7">
        <w:rPr>
          <w:rFonts w:cs="Calibri"/>
          <w:sz w:val="24"/>
          <w:szCs w:val="24"/>
        </w:rPr>
        <w:t>j</w:t>
      </w:r>
      <w:r>
        <w:rPr>
          <w:rFonts w:cs="Calibri"/>
          <w:sz w:val="24"/>
          <w:szCs w:val="24"/>
        </w:rPr>
        <w:t>estima).</w:t>
      </w:r>
    </w:p>
    <w:p w14:paraId="02D2EAFF" w14:textId="77777777" w:rsidR="003F7412" w:rsidRDefault="003F7412" w:rsidP="003F7412">
      <w:pPr>
        <w:pStyle w:val="ListParagraph"/>
        <w:spacing w:after="0"/>
        <w:ind w:left="714"/>
        <w:jc w:val="both"/>
        <w:rPr>
          <w:rFonts w:cs="Calibri"/>
          <w:sz w:val="24"/>
          <w:szCs w:val="24"/>
        </w:rPr>
      </w:pPr>
    </w:p>
    <w:p w14:paraId="708DE571" w14:textId="02D98111" w:rsidR="003F7412" w:rsidRDefault="003F7412" w:rsidP="003F7412">
      <w:pPr>
        <w:spacing w:after="0"/>
        <w:jc w:val="both"/>
        <w:rPr>
          <w:rFonts w:cs="Calibri"/>
          <w:sz w:val="24"/>
          <w:szCs w:val="24"/>
        </w:rPr>
      </w:pPr>
      <w:r>
        <w:rPr>
          <w:rFonts w:cs="Calibri"/>
          <w:sz w:val="24"/>
          <w:szCs w:val="24"/>
        </w:rPr>
        <w:t>U pogledu mogućnosti ponovnog iskorišćenja materijali mogu biti:</w:t>
      </w:r>
    </w:p>
    <w:p w14:paraId="6D391335" w14:textId="77777777" w:rsidR="00B41F72" w:rsidRDefault="00B41F72" w:rsidP="003F7412">
      <w:pPr>
        <w:spacing w:after="0"/>
        <w:jc w:val="both"/>
        <w:rPr>
          <w:rFonts w:cs="Calibri"/>
          <w:sz w:val="24"/>
          <w:szCs w:val="24"/>
        </w:rPr>
      </w:pPr>
    </w:p>
    <w:p w14:paraId="0EA811B9" w14:textId="77777777" w:rsidR="003F7412" w:rsidRDefault="003F7412" w:rsidP="00552DB4">
      <w:pPr>
        <w:pStyle w:val="ListParagraph"/>
        <w:numPr>
          <w:ilvl w:val="0"/>
          <w:numId w:val="28"/>
        </w:numPr>
        <w:spacing w:after="0"/>
        <w:jc w:val="both"/>
        <w:rPr>
          <w:rFonts w:cs="Calibri"/>
          <w:sz w:val="24"/>
          <w:szCs w:val="24"/>
        </w:rPr>
      </w:pPr>
      <w:r>
        <w:rPr>
          <w:rFonts w:cs="Calibri"/>
          <w:sz w:val="24"/>
          <w:szCs w:val="24"/>
        </w:rPr>
        <w:t>reciklabilni: mogu se iskoristiti ponovnim vraćanjem u proces proizvodnje;</w:t>
      </w:r>
    </w:p>
    <w:p w14:paraId="60BC9F60" w14:textId="7438362D" w:rsidR="003F7412" w:rsidRDefault="003F7412" w:rsidP="00552DB4">
      <w:pPr>
        <w:pStyle w:val="ListParagraph"/>
        <w:numPr>
          <w:ilvl w:val="0"/>
          <w:numId w:val="28"/>
        </w:numPr>
        <w:spacing w:after="0"/>
        <w:jc w:val="both"/>
        <w:rPr>
          <w:rFonts w:cs="Calibri"/>
          <w:sz w:val="24"/>
          <w:szCs w:val="24"/>
        </w:rPr>
      </w:pPr>
      <w:r>
        <w:rPr>
          <w:rFonts w:cs="Calibri"/>
          <w:sz w:val="24"/>
          <w:szCs w:val="24"/>
        </w:rPr>
        <w:t>nereciklabilni: ne mogu se vratiti u proces proizvodnje; koriste se za dobijanje energije spaljivanjem ili se skladište na ekološki bezb</w:t>
      </w:r>
      <w:r w:rsidR="009A60A7">
        <w:rPr>
          <w:rFonts w:cs="Calibri"/>
          <w:sz w:val="24"/>
          <w:szCs w:val="24"/>
        </w:rPr>
        <w:t>j</w:t>
      </w:r>
      <w:r>
        <w:rPr>
          <w:rFonts w:cs="Calibri"/>
          <w:sz w:val="24"/>
          <w:szCs w:val="24"/>
        </w:rPr>
        <w:t xml:space="preserve">edan način. </w:t>
      </w:r>
    </w:p>
    <w:p w14:paraId="3F3B166B" w14:textId="77777777" w:rsidR="003F7412" w:rsidRDefault="003F7412" w:rsidP="003F7412">
      <w:pPr>
        <w:pStyle w:val="ListParagraph"/>
        <w:spacing w:after="0"/>
        <w:jc w:val="both"/>
        <w:rPr>
          <w:rFonts w:cs="Calibri"/>
          <w:sz w:val="24"/>
          <w:szCs w:val="24"/>
        </w:rPr>
      </w:pPr>
    </w:p>
    <w:p w14:paraId="58D7D9F7" w14:textId="2B834FF7" w:rsidR="003F7412" w:rsidRDefault="003F7412" w:rsidP="003F7412">
      <w:pPr>
        <w:spacing w:after="0"/>
        <w:jc w:val="both"/>
        <w:rPr>
          <w:rFonts w:cs="Calibri"/>
          <w:sz w:val="24"/>
          <w:szCs w:val="24"/>
        </w:rPr>
      </w:pPr>
      <w:r>
        <w:rPr>
          <w:rFonts w:cs="Calibri"/>
          <w:sz w:val="24"/>
          <w:szCs w:val="24"/>
        </w:rPr>
        <w:t>Na osnovu dugogodišnjeg iskustva N</w:t>
      </w:r>
      <w:r w:rsidR="009A60A7">
        <w:rPr>
          <w:rFonts w:cs="Calibri"/>
          <w:sz w:val="24"/>
          <w:szCs w:val="24"/>
        </w:rPr>
        <w:t>j</w:t>
      </w:r>
      <w:r>
        <w:rPr>
          <w:rFonts w:cs="Calibri"/>
          <w:sz w:val="24"/>
          <w:szCs w:val="24"/>
        </w:rPr>
        <w:t xml:space="preserve">emačke u uvođenju cirkularne ekonomije, definisano je 5 faza u procesu unapređenja sistema upravljanja otpadom: </w:t>
      </w:r>
    </w:p>
    <w:p w14:paraId="6BD1C36D" w14:textId="77777777" w:rsidR="003F7412" w:rsidRDefault="003F7412" w:rsidP="003F7412">
      <w:pPr>
        <w:spacing w:after="0"/>
        <w:jc w:val="both"/>
        <w:rPr>
          <w:rFonts w:cs="Calibri"/>
          <w:sz w:val="24"/>
          <w:szCs w:val="24"/>
        </w:rPr>
      </w:pPr>
    </w:p>
    <w:p w14:paraId="69431F9C" w14:textId="6C38217B" w:rsidR="003F7412" w:rsidRPr="00552DB4" w:rsidRDefault="003F7412" w:rsidP="00552DB4">
      <w:pPr>
        <w:pStyle w:val="ListParagraph"/>
        <w:numPr>
          <w:ilvl w:val="0"/>
          <w:numId w:val="29"/>
        </w:numPr>
        <w:spacing w:after="0"/>
        <w:jc w:val="both"/>
        <w:rPr>
          <w:rFonts w:cs="Calibri"/>
          <w:sz w:val="24"/>
          <w:szCs w:val="24"/>
        </w:rPr>
      </w:pPr>
      <w:r w:rsidRPr="00552DB4">
        <w:rPr>
          <w:rFonts w:cs="Calibri"/>
          <w:sz w:val="24"/>
          <w:szCs w:val="24"/>
        </w:rPr>
        <w:t>Faza 1 – odlaganje otp</w:t>
      </w:r>
      <w:r w:rsidR="00B41F72">
        <w:rPr>
          <w:rFonts w:cs="Calibri"/>
          <w:sz w:val="24"/>
          <w:szCs w:val="24"/>
        </w:rPr>
        <w:t>ada na nekontrolisana smetlišta,</w:t>
      </w:r>
    </w:p>
    <w:p w14:paraId="4F209CFB" w14:textId="406949DE" w:rsidR="003F7412" w:rsidRPr="00552DB4" w:rsidRDefault="003F7412" w:rsidP="00552DB4">
      <w:pPr>
        <w:pStyle w:val="ListParagraph"/>
        <w:numPr>
          <w:ilvl w:val="0"/>
          <w:numId w:val="29"/>
        </w:numPr>
        <w:spacing w:after="0"/>
        <w:jc w:val="both"/>
        <w:rPr>
          <w:rFonts w:cs="Calibri"/>
          <w:sz w:val="24"/>
          <w:szCs w:val="24"/>
        </w:rPr>
      </w:pPr>
      <w:r w:rsidRPr="00552DB4">
        <w:rPr>
          <w:rFonts w:cs="Calibri"/>
          <w:sz w:val="24"/>
          <w:szCs w:val="24"/>
        </w:rPr>
        <w:t>Faza 2 – pouzdano sakupljanje otpada i unapređenje deponija</w:t>
      </w:r>
      <w:r w:rsidR="00B41F72">
        <w:rPr>
          <w:rFonts w:cs="Calibri"/>
          <w:sz w:val="24"/>
          <w:szCs w:val="24"/>
        </w:rPr>
        <w:t>,</w:t>
      </w:r>
      <w:r w:rsidRPr="00552DB4">
        <w:rPr>
          <w:rFonts w:cs="Calibri"/>
          <w:sz w:val="24"/>
          <w:szCs w:val="24"/>
        </w:rPr>
        <w:t xml:space="preserve"> </w:t>
      </w:r>
    </w:p>
    <w:p w14:paraId="313325F2" w14:textId="2243AFED" w:rsidR="003F7412" w:rsidRPr="00552DB4" w:rsidRDefault="003F7412" w:rsidP="00552DB4">
      <w:pPr>
        <w:pStyle w:val="ListParagraph"/>
        <w:numPr>
          <w:ilvl w:val="0"/>
          <w:numId w:val="29"/>
        </w:numPr>
        <w:spacing w:after="0"/>
        <w:jc w:val="both"/>
        <w:rPr>
          <w:rFonts w:cs="Calibri"/>
          <w:sz w:val="24"/>
          <w:szCs w:val="24"/>
        </w:rPr>
      </w:pPr>
      <w:r w:rsidRPr="00552DB4">
        <w:rPr>
          <w:rFonts w:cs="Calibri"/>
          <w:sz w:val="24"/>
          <w:szCs w:val="24"/>
        </w:rPr>
        <w:t>Faza 3 – uvođenje odvojenog sakupljanja otpada i njegovo razvrstavanje</w:t>
      </w:r>
      <w:r w:rsidR="00B41F72">
        <w:rPr>
          <w:rFonts w:cs="Calibri"/>
          <w:sz w:val="24"/>
          <w:szCs w:val="24"/>
        </w:rPr>
        <w:t>,</w:t>
      </w:r>
    </w:p>
    <w:p w14:paraId="124389D0" w14:textId="3208F411" w:rsidR="003F7412" w:rsidRPr="00552DB4" w:rsidRDefault="003F7412" w:rsidP="00552DB4">
      <w:pPr>
        <w:pStyle w:val="ListParagraph"/>
        <w:numPr>
          <w:ilvl w:val="0"/>
          <w:numId w:val="29"/>
        </w:numPr>
        <w:spacing w:after="0"/>
        <w:jc w:val="both"/>
        <w:rPr>
          <w:rFonts w:cs="Calibri"/>
          <w:sz w:val="24"/>
          <w:szCs w:val="24"/>
        </w:rPr>
      </w:pPr>
      <w:r w:rsidRPr="00552DB4">
        <w:rPr>
          <w:rFonts w:cs="Calibri"/>
          <w:sz w:val="24"/>
          <w:szCs w:val="24"/>
        </w:rPr>
        <w:t>Faza 4 – un</w:t>
      </w:r>
      <w:r w:rsidR="00552DB4">
        <w:rPr>
          <w:rFonts w:cs="Calibri"/>
          <w:sz w:val="24"/>
          <w:szCs w:val="24"/>
        </w:rPr>
        <w:t>apređenje reciklažne industrije</w:t>
      </w:r>
      <w:r w:rsidR="00B41F72">
        <w:rPr>
          <w:rFonts w:cs="Calibri"/>
          <w:sz w:val="24"/>
          <w:szCs w:val="24"/>
        </w:rPr>
        <w:t>,</w:t>
      </w:r>
    </w:p>
    <w:p w14:paraId="440A9C52" w14:textId="198EDCDF" w:rsidR="003F7412" w:rsidRPr="00552DB4" w:rsidRDefault="003F7412" w:rsidP="00552DB4">
      <w:pPr>
        <w:pStyle w:val="ListParagraph"/>
        <w:numPr>
          <w:ilvl w:val="0"/>
          <w:numId w:val="29"/>
        </w:numPr>
        <w:spacing w:after="0"/>
        <w:jc w:val="both"/>
        <w:rPr>
          <w:rFonts w:cs="Calibri"/>
          <w:sz w:val="24"/>
          <w:szCs w:val="24"/>
        </w:rPr>
      </w:pPr>
      <w:r w:rsidRPr="00552DB4">
        <w:rPr>
          <w:rFonts w:cs="Calibri"/>
          <w:sz w:val="24"/>
          <w:szCs w:val="24"/>
        </w:rPr>
        <w:t>Faza 5 – cirkularna ekonomija – otpad kao materijalni i energetski resurs</w:t>
      </w:r>
      <w:r w:rsidR="00B41F72">
        <w:rPr>
          <w:rFonts w:cs="Calibri"/>
          <w:sz w:val="24"/>
          <w:szCs w:val="24"/>
        </w:rPr>
        <w:t>.</w:t>
      </w:r>
    </w:p>
    <w:p w14:paraId="18B9B551" w14:textId="77777777" w:rsidR="00A62473" w:rsidRDefault="00A62473" w:rsidP="00A62473">
      <w:pPr>
        <w:pStyle w:val="Caption"/>
        <w:keepNext/>
      </w:pPr>
    </w:p>
    <w:p w14:paraId="661BD2A0" w14:textId="6D057694" w:rsidR="003F7412" w:rsidRPr="006401E4" w:rsidRDefault="00A62473" w:rsidP="00A62473">
      <w:pPr>
        <w:pStyle w:val="Caption"/>
        <w:keepNext/>
        <w:jc w:val="center"/>
        <w:rPr>
          <w:rFonts w:ascii="Calibri" w:hAnsi="Calibri"/>
          <w:sz w:val="22"/>
          <w:szCs w:val="22"/>
        </w:rPr>
      </w:pPr>
      <w:bookmarkStart w:id="45" w:name="_Toc82415549"/>
      <w:r w:rsidRPr="00A62473">
        <w:rPr>
          <w:rFonts w:ascii="Calibri" w:hAnsi="Calibri"/>
          <w:sz w:val="22"/>
          <w:szCs w:val="22"/>
        </w:rPr>
        <w:t xml:space="preserve">Slika </w:t>
      </w:r>
      <w:r w:rsidRPr="00A62473">
        <w:rPr>
          <w:rFonts w:ascii="Calibri" w:hAnsi="Calibri"/>
          <w:sz w:val="22"/>
          <w:szCs w:val="22"/>
        </w:rPr>
        <w:fldChar w:fldCharType="begin"/>
      </w:r>
      <w:r w:rsidRPr="00A62473">
        <w:rPr>
          <w:rFonts w:ascii="Calibri" w:hAnsi="Calibri"/>
          <w:sz w:val="22"/>
          <w:szCs w:val="22"/>
        </w:rPr>
        <w:instrText xml:space="preserve"> SEQ Equation \* ARABIC </w:instrText>
      </w:r>
      <w:r w:rsidRPr="00A62473">
        <w:rPr>
          <w:rFonts w:ascii="Calibri" w:hAnsi="Calibri"/>
          <w:sz w:val="22"/>
          <w:szCs w:val="22"/>
        </w:rPr>
        <w:fldChar w:fldCharType="separate"/>
      </w:r>
      <w:r w:rsidR="00AC666D">
        <w:rPr>
          <w:rFonts w:ascii="Calibri" w:hAnsi="Calibri"/>
          <w:noProof/>
          <w:sz w:val="22"/>
          <w:szCs w:val="22"/>
        </w:rPr>
        <w:t>2</w:t>
      </w:r>
      <w:r w:rsidRPr="00A62473">
        <w:rPr>
          <w:rFonts w:ascii="Calibri" w:hAnsi="Calibri"/>
          <w:sz w:val="22"/>
          <w:szCs w:val="22"/>
        </w:rPr>
        <w:fldChar w:fldCharType="end"/>
      </w:r>
      <w:r w:rsidRPr="00A62473">
        <w:rPr>
          <w:rFonts w:ascii="Calibri" w:hAnsi="Calibri"/>
          <w:sz w:val="22"/>
          <w:szCs w:val="22"/>
        </w:rPr>
        <w:t xml:space="preserve"> Pet faza u procesu unapređenja Sistema upravljanja otpadom</w:t>
      </w:r>
      <w:bookmarkEnd w:id="45"/>
    </w:p>
    <w:p w14:paraId="546C1FFC" w14:textId="77777777" w:rsidR="003F7412" w:rsidRDefault="003F7412" w:rsidP="003F7412">
      <w:pPr>
        <w:jc w:val="center"/>
      </w:pPr>
      <w:r>
        <w:rPr>
          <w:rFonts w:cs="Calibri"/>
          <w:noProof/>
          <w:lang w:val="en-US"/>
        </w:rPr>
        <w:drawing>
          <wp:inline distT="0" distB="0" distL="0" distR="0" wp14:anchorId="51902E10" wp14:editId="000BBEA4">
            <wp:extent cx="4838700" cy="3063240"/>
            <wp:effectExtent l="0" t="0" r="0" b="3810"/>
            <wp:docPr id="6"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838945" cy="3063395"/>
                    </a:xfrm>
                    <a:prstGeom prst="rect">
                      <a:avLst/>
                    </a:prstGeom>
                    <a:noFill/>
                    <a:ln>
                      <a:noFill/>
                      <a:prstDash/>
                    </a:ln>
                  </pic:spPr>
                </pic:pic>
              </a:graphicData>
            </a:graphic>
          </wp:inline>
        </w:drawing>
      </w:r>
    </w:p>
    <w:p w14:paraId="408D99DB" w14:textId="679F74B2" w:rsidR="003F7412" w:rsidRDefault="003F7412" w:rsidP="003F7412">
      <w:pPr>
        <w:jc w:val="both"/>
        <w:rPr>
          <w:rFonts w:cs="Calibri"/>
          <w:sz w:val="24"/>
          <w:szCs w:val="24"/>
        </w:rPr>
      </w:pPr>
      <w:r>
        <w:rPr>
          <w:rFonts w:cs="Calibri"/>
          <w:sz w:val="24"/>
          <w:szCs w:val="24"/>
        </w:rPr>
        <w:t xml:space="preserve">Trenutna ekonomija je iznenađujuće rasipna u svom modelu stvaranja vrijednosti. U Evropi, recikliranje materijala i energije zasnovane na otpadu obuhvata samo 5% prvobitne vrijednosti sirovina. </w:t>
      </w:r>
      <w:r w:rsidR="009A60A7">
        <w:rPr>
          <w:rFonts w:cs="Calibri"/>
          <w:sz w:val="24"/>
          <w:szCs w:val="24"/>
        </w:rPr>
        <w:t xml:space="preserve"> </w:t>
      </w:r>
      <w:r>
        <w:rPr>
          <w:rFonts w:cs="Calibri"/>
          <w:sz w:val="24"/>
          <w:szCs w:val="24"/>
        </w:rPr>
        <w:t xml:space="preserve">Analiza je takođe otkrila značajan strukturni otpad u sektorima koje bi mnogi smatrali zrelim i optimizovanim. Na primjer, u Evropi je prosječan automobil parkiran </w:t>
      </w:r>
      <w:r>
        <w:rPr>
          <w:rFonts w:cs="Calibri"/>
          <w:sz w:val="24"/>
          <w:szCs w:val="24"/>
        </w:rPr>
        <w:lastRenderedPageBreak/>
        <w:t>92% vremena, 31% hrane se rasipa duž lanca vrijednosti, a prosječna kancelarija se koristi samo 35–50% vremena, čak i tokom radnog vremena.</w:t>
      </w:r>
    </w:p>
    <w:p w14:paraId="13543EE7" w14:textId="61A73141" w:rsidR="003F7412" w:rsidRDefault="003F7412" w:rsidP="003F7412">
      <w:pPr>
        <w:jc w:val="both"/>
        <w:rPr>
          <w:rFonts w:cs="Calibri"/>
          <w:sz w:val="24"/>
          <w:szCs w:val="24"/>
        </w:rPr>
      </w:pPr>
      <w:r>
        <w:rPr>
          <w:rFonts w:cs="Calibri"/>
          <w:sz w:val="24"/>
          <w:szCs w:val="24"/>
        </w:rPr>
        <w:t>Nedavno su mnoge kompanije počele da primjećuju da linearni sistem povećava njihovu izloženost rizicima, prije svega nestabilnim cijenama resursa i prekidima u snabdijevanju. Veća nestabilnost cijena resursa može umanjiti ekonomski rast povećavajući neizvjesnost, obeshrabrujući preduzeća od ulaganja i povećavajući troškove zaštite od rizika povezanih sa resursima. U poslednjoj deceniji došlo je do veće nestabilnosti cijena metala i poljoprivredne proizvodnje nego u bilo kojoj drugoj deceniji u</w:t>
      </w:r>
      <w:r w:rsidR="00682E13">
        <w:rPr>
          <w:rFonts w:cs="Calibri"/>
          <w:sz w:val="24"/>
          <w:szCs w:val="24"/>
        </w:rPr>
        <w:t xml:space="preserve"> XX </w:t>
      </w:r>
      <w:r>
        <w:rPr>
          <w:rFonts w:cs="Calibri"/>
          <w:sz w:val="24"/>
          <w:szCs w:val="24"/>
        </w:rPr>
        <w:t>vijeku.</w:t>
      </w:r>
    </w:p>
    <w:p w14:paraId="21FDDD51" w14:textId="77777777" w:rsidR="003F7412" w:rsidRDefault="003F7412" w:rsidP="003F7412">
      <w:pPr>
        <w:rPr>
          <w:rFonts w:cs="Calibri"/>
          <w:b/>
          <w:bCs/>
          <w:sz w:val="24"/>
        </w:rPr>
      </w:pPr>
      <w:r>
        <w:rPr>
          <w:rFonts w:cs="Calibri"/>
          <w:b/>
          <w:bCs/>
          <w:sz w:val="24"/>
        </w:rPr>
        <w:t>Ekonomske mogućnosti</w:t>
      </w:r>
    </w:p>
    <w:p w14:paraId="23202526" w14:textId="77777777" w:rsidR="003F7412" w:rsidRDefault="003F7412" w:rsidP="003F7412">
      <w:pPr>
        <w:jc w:val="both"/>
      </w:pPr>
      <w:r>
        <w:rPr>
          <w:rFonts w:cs="Calibri"/>
          <w:b/>
          <w:bCs/>
          <w:noProof/>
          <w:sz w:val="24"/>
          <w:lang w:val="en-US"/>
        </w:rPr>
        <w:drawing>
          <wp:anchor distT="0" distB="0" distL="114300" distR="114300" simplePos="0" relativeHeight="251659264" behindDoc="0" locked="0" layoutInCell="1" allowOverlap="1" wp14:anchorId="0247CCEE" wp14:editId="178D6D80">
            <wp:simplePos x="0" y="0"/>
            <wp:positionH relativeFrom="page">
              <wp:posOffset>2978145</wp:posOffset>
            </wp:positionH>
            <wp:positionV relativeFrom="paragraph">
              <wp:posOffset>1293491</wp:posOffset>
            </wp:positionV>
            <wp:extent cx="5731514" cy="2624456"/>
            <wp:effectExtent l="10479" t="8571" r="13015" b="13015"/>
            <wp:wrapThrough wrapText="bothSides">
              <wp:wrapPolygon edited="0">
                <wp:start x="-34" y="21703"/>
                <wp:lineTo x="21585" y="21703"/>
                <wp:lineTo x="21585" y="32"/>
                <wp:lineTo x="-34" y="32"/>
                <wp:lineTo x="-34" y="21703"/>
              </wp:wrapPolygon>
            </wp:wrapThrough>
            <wp:docPr id="7"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rot="5400013">
                      <a:off x="0" y="0"/>
                      <a:ext cx="5731514" cy="2624456"/>
                    </a:xfrm>
                    <a:prstGeom prst="rect">
                      <a:avLst/>
                    </a:prstGeom>
                    <a:noFill/>
                    <a:ln>
                      <a:noFill/>
                      <a:prstDash/>
                    </a:ln>
                  </pic:spPr>
                </pic:pic>
              </a:graphicData>
            </a:graphic>
          </wp:anchor>
        </w:drawing>
      </w:r>
      <w:r>
        <w:rPr>
          <w:rFonts w:cs="Calibri"/>
          <w:b/>
          <w:sz w:val="24"/>
        </w:rPr>
        <w:t>Ekonomski rast.</w:t>
      </w:r>
      <w:r>
        <w:rPr>
          <w:rFonts w:cs="Calibri"/>
          <w:sz w:val="24"/>
        </w:rPr>
        <w:t xml:space="preserve"> Ekonomski rast, kako ga definiše BDP, postigao bi se uglavnom kombinacijom povećanih prihoda od novih cirkularnih aktivnosti i nižih troškova proizvodnje kroz produktivnije korišćenje inputa. Ove promjene u inputima i ​​output-ima ekonomskih proizvodnih aktivnosti utiču na ponudu, potražnju i cijene u cijeloj privredi, šireći se kroz sve sektore privrede i rezultirajući nizom indirektnih efekata koji doprinose ukupnom rastu. Takvi efekti uključuju povećanu potrošnju i uštede proizašle iz povećanja prihoda domaćinstva, što je posljedica veće naknade za rad. Zajedno, ovi efekti doprinose pozitivnoj promeni BDP -a. Na putu razvoja kružne ekonomije, evropski BDP bi mogao da poraste čak 11% do 2030. godine i 27% do 2050. godine, u poređenju sa 4% i 15% u sadašnjem scenariju razvoja. </w:t>
      </w:r>
    </w:p>
    <w:p w14:paraId="233DE98A" w14:textId="60BDC9E7" w:rsidR="003F7412" w:rsidRDefault="003F7412" w:rsidP="003F7412">
      <w:pPr>
        <w:jc w:val="both"/>
        <w:rPr>
          <w:rFonts w:cs="Calibri"/>
          <w:b/>
          <w:sz w:val="24"/>
        </w:rPr>
      </w:pPr>
      <w:r>
        <w:rPr>
          <w:rFonts w:cs="Calibri"/>
          <w:b/>
          <w:sz w:val="24"/>
        </w:rPr>
        <w:t>Značajne materijalne uštede</w:t>
      </w:r>
    </w:p>
    <w:p w14:paraId="19351898" w14:textId="00FDB871" w:rsidR="003F7412" w:rsidRDefault="003F7412" w:rsidP="003F7412">
      <w:pPr>
        <w:jc w:val="both"/>
      </w:pPr>
      <w:r>
        <w:rPr>
          <w:rFonts w:cs="Calibri"/>
          <w:sz w:val="24"/>
        </w:rPr>
        <w:t>Na osnovu detaljnog mode</w:t>
      </w:r>
      <w:r w:rsidR="00F32D1A">
        <w:rPr>
          <w:rFonts w:cs="Calibri"/>
          <w:sz w:val="24"/>
        </w:rPr>
        <w:t>lovanja</w:t>
      </w:r>
      <w:r>
        <w:rPr>
          <w:rFonts w:cs="Calibri"/>
          <w:sz w:val="24"/>
        </w:rPr>
        <w:t xml:space="preserve"> na nivou proizvoda, Fondacija Ellen MacArthur je procijenila da u sektorima složenih proizvoda sa srednjim vijekom trajanja u EU godišnja mogućnost uštede neto materijala iznosi do 630 milijardi USD u scenariju napredne cirkularne ekonomije. Za robe široke potrošnje, identifikovan je dodatni potencijal do 700 milijardi USD na globalnom nivou. Osim toga, sprovedena analiza specifična za sektor pokazuje da bi Velika Britanija mogla uštedjeti 1,1 milijardu USD godišnje na troškovima deponija, isporučiti 2 GVh električne energije i obezbijediti prijeko potrebne obnove zemljišta i posebne hemikalije držeći organski otpad van deponija.</w:t>
      </w:r>
    </w:p>
    <w:p w14:paraId="24FD414F" w14:textId="77777777" w:rsidR="003F7412" w:rsidRDefault="003F7412" w:rsidP="003F7412">
      <w:pPr>
        <w:jc w:val="both"/>
        <w:rPr>
          <w:rFonts w:cs="Calibri"/>
          <w:sz w:val="24"/>
        </w:rPr>
      </w:pPr>
    </w:p>
    <w:p w14:paraId="6B4CB2D1" w14:textId="77777777" w:rsidR="009A60A7" w:rsidRDefault="009A60A7" w:rsidP="003F7412">
      <w:pPr>
        <w:jc w:val="both"/>
        <w:rPr>
          <w:rFonts w:cs="Calibri"/>
          <w:sz w:val="24"/>
        </w:rPr>
      </w:pPr>
    </w:p>
    <w:p w14:paraId="22BF2F1F" w14:textId="50A6EF5A" w:rsidR="003F7412" w:rsidRDefault="003F7412" w:rsidP="003F7412">
      <w:pPr>
        <w:jc w:val="both"/>
        <w:rPr>
          <w:rFonts w:cs="Calibri"/>
          <w:b/>
          <w:sz w:val="24"/>
        </w:rPr>
      </w:pPr>
      <w:r>
        <w:rPr>
          <w:rFonts w:cs="Calibri"/>
          <w:b/>
          <w:sz w:val="24"/>
        </w:rPr>
        <w:lastRenderedPageBreak/>
        <w:t>Potencijal za otvaranje novih radnih m</w:t>
      </w:r>
      <w:r w:rsidR="00331B8C">
        <w:rPr>
          <w:rFonts w:cs="Calibri"/>
          <w:b/>
          <w:sz w:val="24"/>
        </w:rPr>
        <w:t>j</w:t>
      </w:r>
      <w:r>
        <w:rPr>
          <w:rFonts w:cs="Calibri"/>
          <w:b/>
          <w:sz w:val="24"/>
        </w:rPr>
        <w:t>esta</w:t>
      </w:r>
      <w:r w:rsidR="00F32D1A">
        <w:rPr>
          <w:rStyle w:val="FootnoteReference"/>
          <w:rFonts w:cs="Calibri"/>
          <w:b/>
          <w:sz w:val="24"/>
        </w:rPr>
        <w:footnoteReference w:id="20"/>
      </w:r>
      <w:r>
        <w:rPr>
          <w:rFonts w:cs="Calibri"/>
          <w:b/>
          <w:sz w:val="24"/>
        </w:rPr>
        <w:t xml:space="preserve"> </w:t>
      </w:r>
    </w:p>
    <w:p w14:paraId="3E2E23C7" w14:textId="77777777" w:rsidR="00F32D1A" w:rsidRDefault="003F7412" w:rsidP="003F7412">
      <w:pPr>
        <w:jc w:val="both"/>
        <w:rPr>
          <w:rFonts w:cs="Calibri"/>
          <w:sz w:val="24"/>
        </w:rPr>
      </w:pPr>
      <w:r>
        <w:rPr>
          <w:rFonts w:cs="Calibri"/>
          <w:sz w:val="24"/>
        </w:rPr>
        <w:t xml:space="preserve">Fondacija Ellen MacArthur, SUN i McKinsei podržale su do sada najveću uporednu studiju o uticaju tranzicije cirkularne ekonomije na zapošljavanje, sa 65 pregledanih akademskih radova koji ukazuju na to da „postojeće studije ukazuju na pozitivne efekte na zapošljavanje u slučaju da se cirkularna ekonomija sprovodi“. Ovaj uticaj na zaposlenost u velikoj mjeri se može pripisati povećanoj potrošnji podstaknutoj nižim cijenama koje se očekuju u svim sektorima i intenzitetu rada visokokvalitetnih aktivnosti recikliranja i višim kvalifikovanim poslovima u ponovnoj proizvodnji. Mogućnosti zapošljavanja ne bi bile ograničene na ponovnu proizvodnju i rast u velikim korporacijama; priča o zapošljavanju u cirkularnoj ekonomiji je bogata i raznolika. Radna mjesta će se otvarati u svim industrijskim sektorima, kroz razvoj lokalne </w:t>
      </w:r>
      <w:r w:rsidR="00F32D1A">
        <w:rPr>
          <w:rFonts w:cs="Calibri"/>
          <w:sz w:val="24"/>
        </w:rPr>
        <w:t>cirkularne</w:t>
      </w:r>
      <w:r>
        <w:rPr>
          <w:rFonts w:cs="Calibri"/>
          <w:sz w:val="24"/>
        </w:rPr>
        <w:t xml:space="preserve"> logistike, u okviru malih i srednjih preduzeća, kroz povećane inovacije i preduzetništvo, te novu ekonomiju zasnovanu na uslugama. </w:t>
      </w:r>
    </w:p>
    <w:p w14:paraId="1B7F6D50" w14:textId="08ADD5FE" w:rsidR="003F7412" w:rsidRDefault="003F7412" w:rsidP="00F32D1A">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cs="Calibri"/>
          <w:sz w:val="24"/>
        </w:rPr>
      </w:pPr>
      <w:r>
        <w:rPr>
          <w:rFonts w:cs="Calibri"/>
          <w:sz w:val="24"/>
        </w:rPr>
        <w:t>U analizi sprovedenoj u Danskoj, model</w:t>
      </w:r>
      <w:r w:rsidR="00F32D1A">
        <w:rPr>
          <w:rFonts w:cs="Calibri"/>
          <w:sz w:val="24"/>
        </w:rPr>
        <w:t>ovanje</w:t>
      </w:r>
      <w:r>
        <w:rPr>
          <w:rFonts w:cs="Calibri"/>
          <w:sz w:val="24"/>
        </w:rPr>
        <w:t xml:space="preserve"> je pokazalo da bi deset</w:t>
      </w:r>
      <w:r w:rsidR="00F32D1A">
        <w:rPr>
          <w:rFonts w:cs="Calibri"/>
          <w:sz w:val="24"/>
        </w:rPr>
        <w:t xml:space="preserve"> potencijalnih poslova</w:t>
      </w:r>
      <w:r>
        <w:rPr>
          <w:rFonts w:cs="Calibri"/>
          <w:sz w:val="24"/>
        </w:rPr>
        <w:t xml:space="preserve"> cirkularne ekonomije do 2035. moglo otvoriti 7.300 do 13.300 ekvivalenata radnih mjesta ili 0,4–0,6% u odnosu na scenario „uobičajenog poslovanja”. Dugoročno gledano, zaposlenost često korelira sa inovacijama i konkurentnošću, što bi trebalo ojačati u kružnom scenariju.</w:t>
      </w:r>
    </w:p>
    <w:p w14:paraId="1E345CFA" w14:textId="69BDE68D" w:rsidR="003F7412" w:rsidRPr="00505D75" w:rsidRDefault="003F7412" w:rsidP="003F7412">
      <w:pPr>
        <w:jc w:val="both"/>
      </w:pPr>
      <w:r>
        <w:rPr>
          <w:rFonts w:cs="Calibri"/>
          <w:b/>
          <w:sz w:val="24"/>
        </w:rPr>
        <w:t>Inovacije.</w:t>
      </w:r>
      <w:r>
        <w:rPr>
          <w:rFonts w:cs="Calibri"/>
          <w:sz w:val="24"/>
        </w:rPr>
        <w:t xml:space="preserve"> Težnja da se jednosmjerni proizvodi zamijene robom „kružnog dizajna“</w:t>
      </w:r>
      <w:r w:rsidR="00F32D1A">
        <w:rPr>
          <w:rFonts w:cs="Calibri"/>
          <w:sz w:val="24"/>
        </w:rPr>
        <w:t xml:space="preserve"> </w:t>
      </w:r>
      <w:r>
        <w:rPr>
          <w:rFonts w:cs="Calibri"/>
          <w:sz w:val="24"/>
        </w:rPr>
        <w:t>i stvore obrnute logističke mreže i drugi sistemi za podršku cirkularnoj ekonomiji snažan je podstrek novim idejama. Prednosti inovativnije ekonomije uključuju veće stope tehnološkog razvoja, poboljšane materijale, radnu i energetsku efikasnost i više mogućnosti za ostvarenje profita za kompanije.</w:t>
      </w:r>
    </w:p>
    <w:p w14:paraId="59DF928D" w14:textId="77777777" w:rsidR="003F7412" w:rsidRDefault="003F7412" w:rsidP="00F32D1A">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cs="Calibri"/>
          <w:sz w:val="24"/>
        </w:rPr>
      </w:pPr>
      <w:r>
        <w:rPr>
          <w:rFonts w:cs="Calibri"/>
          <w:sz w:val="24"/>
        </w:rPr>
        <w:t>KOJE SU MOGUĆNOSTI ZAŠTITE ŽIVOTNE SREDINE I SISTEMA?</w:t>
      </w:r>
    </w:p>
    <w:p w14:paraId="710610BF" w14:textId="77777777" w:rsidR="003F7412" w:rsidRDefault="003F7412" w:rsidP="00F32D1A">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cs="Calibri"/>
          <w:sz w:val="24"/>
        </w:rPr>
      </w:pPr>
      <w:r>
        <w:rPr>
          <w:rFonts w:cs="Calibri"/>
          <w:sz w:val="24"/>
        </w:rPr>
        <w:t>Smanjene emisije i potrošnja primarnog materijala, očuvana i poboljšana produktivnost zemljišta i smanjenje negativnih eksternalija.</w:t>
      </w:r>
    </w:p>
    <w:p w14:paraId="10BD7450" w14:textId="79F1E9E5" w:rsidR="003F7412" w:rsidRDefault="003F7412" w:rsidP="003F7412">
      <w:pPr>
        <w:jc w:val="both"/>
      </w:pPr>
      <w:r>
        <w:rPr>
          <w:rFonts w:cs="Calibri"/>
          <w:b/>
          <w:sz w:val="24"/>
        </w:rPr>
        <w:t>Emisije ugljen-dioksida</w:t>
      </w:r>
      <w:r>
        <w:rPr>
          <w:rFonts w:cs="Calibri"/>
          <w:sz w:val="24"/>
        </w:rPr>
        <w:t>. Za Evropu, Fondacija Ellen MacArthur otkrila je da bi razvojni put cirkularne ekonomije mogao prepoloviti emisije ugljen -dioksida do 2030. godine, u odnosu na današnje nivoe (smanjenje emisije ugljen -dioksida za 48% do 2030. godine za mobilnost, prehrambene sisteme i izgrađeno okruženje, ili 83% do 2050. godine). Osim toga, sprovedena analiza specifična za sektor pokazuje da bi UK mogla smanjiti emisiju gasova sa efektom staklene bašte za 7,4 miliona tona godišnje držanjem organskog otpada na deponijama.</w:t>
      </w:r>
    </w:p>
    <w:p w14:paraId="4F23DD87" w14:textId="77777777" w:rsidR="003F7412" w:rsidRDefault="003F7412" w:rsidP="003F7412">
      <w:pPr>
        <w:jc w:val="both"/>
      </w:pPr>
      <w:r>
        <w:rPr>
          <w:rFonts w:cs="Calibri"/>
          <w:b/>
          <w:sz w:val="24"/>
        </w:rPr>
        <w:t>Potrošnja primarnog materijala.</w:t>
      </w:r>
      <w:r>
        <w:rPr>
          <w:rFonts w:cs="Calibri"/>
          <w:sz w:val="24"/>
        </w:rPr>
        <w:t xml:space="preserve"> Put razvoja cirkularne ekonomije mogao bi rezultirati smanjenjem potrošnje primarnog materijala (mjereno automobilima i građevinskim materijalima, zemljištem za nekretnine, sintetičkim đubrivom, pesticidima, upotrebom vode u poljoprivredi, gorivima i neobnovljivom električnom energijom) za 32% do 2030. godine i 53% do 2050. godine, u poređenju sa današnjim.</w:t>
      </w:r>
    </w:p>
    <w:p w14:paraId="2DF67449" w14:textId="129816B7" w:rsidR="003F7412" w:rsidRDefault="003F7412" w:rsidP="003F7412">
      <w:pPr>
        <w:jc w:val="both"/>
      </w:pPr>
      <w:r>
        <w:rPr>
          <w:rFonts w:cs="Calibri"/>
          <w:noProof/>
          <w:lang w:val="en-US"/>
        </w:rPr>
        <w:lastRenderedPageBreak/>
        <w:drawing>
          <wp:anchor distT="0" distB="0" distL="114300" distR="114300" simplePos="0" relativeHeight="251660288" behindDoc="0" locked="0" layoutInCell="1" allowOverlap="1" wp14:anchorId="27AE9355" wp14:editId="6F56E776">
            <wp:simplePos x="0" y="0"/>
            <wp:positionH relativeFrom="column">
              <wp:posOffset>-1211590</wp:posOffset>
            </wp:positionH>
            <wp:positionV relativeFrom="paragraph">
              <wp:posOffset>1896720</wp:posOffset>
            </wp:positionV>
            <wp:extent cx="5101593" cy="2602226"/>
            <wp:effectExtent l="11434" t="7616" r="15240" b="15241"/>
            <wp:wrapThrough wrapText="bothSides">
              <wp:wrapPolygon edited="0">
                <wp:start x="21631" y="-98"/>
                <wp:lineTo x="15" y="-98"/>
                <wp:lineTo x="15" y="21571"/>
                <wp:lineTo x="21631" y="21571"/>
                <wp:lineTo x="21631" y="-98"/>
              </wp:wrapPolygon>
            </wp:wrapThrough>
            <wp:docPr id="8"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rot="16200004">
                      <a:off x="0" y="0"/>
                      <a:ext cx="5101593" cy="2602226"/>
                    </a:xfrm>
                    <a:prstGeom prst="rect">
                      <a:avLst/>
                    </a:prstGeom>
                    <a:noFill/>
                    <a:ln>
                      <a:noFill/>
                      <a:prstDash/>
                    </a:ln>
                  </pic:spPr>
                </pic:pic>
              </a:graphicData>
            </a:graphic>
          </wp:anchor>
        </w:drawing>
      </w:r>
      <w:r>
        <w:rPr>
          <w:rFonts w:cs="Calibri"/>
          <w:b/>
          <w:sz w:val="24"/>
        </w:rPr>
        <w:t>Produktivnost</w:t>
      </w:r>
      <w:r w:rsidR="008B489F">
        <w:rPr>
          <w:rFonts w:cs="Calibri"/>
          <w:b/>
          <w:sz w:val="24"/>
        </w:rPr>
        <w:t xml:space="preserve"> i</w:t>
      </w:r>
      <w:r w:rsidR="00505D75">
        <w:rPr>
          <w:rFonts w:cs="Calibri"/>
          <w:b/>
          <w:sz w:val="24"/>
        </w:rPr>
        <w:t xml:space="preserve"> kvalitet</w:t>
      </w:r>
      <w:r>
        <w:rPr>
          <w:rFonts w:cs="Calibri"/>
          <w:b/>
          <w:sz w:val="24"/>
        </w:rPr>
        <w:t xml:space="preserve"> zemljišta.</w:t>
      </w:r>
      <w:r>
        <w:rPr>
          <w:rFonts w:cs="Calibri"/>
          <w:sz w:val="24"/>
        </w:rPr>
        <w:t xml:space="preserve"> Degradacija zemljišta košta oko 40 milijardi USD godišnje širom svijeta, ne uzimajući u obzir skrivene troškove povećane upotrebe đubriva, gubitka biodiverziteta i gubitka jedinstvenih pejzaža. Veća produktivnost zemljišta, manje otpada u lancu vrijednosti hrane i povratak hranljivih materija u tlo povećaće vrijednost zemljišta i tla kao imovine. Cirkularna ekonomija, premještanjem mnogo više biološkog materijala kroz proces anaerobne digestije ili kompostiranja nazad u tlo, smanjiće potrebu za dopunom dodatnih hranljivih materija. Sistematsko korišćenje raspoloživog organskog otpada moglo bi pomoći regeneraciji zemljišta i zamjeni hemijskih đubriva 2,7 puta više. Ako bi Evropa odlučila da pristupi sistemima ishrane sa cirkularnom ekonomijom, potrošnja sintetičkog đubriva mogla bi pasti za čak 80% do 2050. godine. To je princip regeneracije na poslu. Smanjenje negativnih eksternalija npr. vrijeme zagušenja. Cirkularna ekonomija bi upravljala spoljnim faktorima, kao što su upotreba zemljišta, zagađenje vazduha, vode i buke, oslobađanje toksičnih materija i klimatske promjene. Na primjer, kružni model bi bio od koristi domaćinstvima smanjenjem troškova gubitka vremena zbog zagušenja za 16% do 2030. godine, i blizu 60% do 2050. godine.</w:t>
      </w:r>
    </w:p>
    <w:p w14:paraId="56F47486" w14:textId="77777777" w:rsidR="00505D75" w:rsidRDefault="003F7412" w:rsidP="003F7412">
      <w:pPr>
        <w:jc w:val="both"/>
        <w:rPr>
          <w:rFonts w:cs="Calibri"/>
          <w:sz w:val="24"/>
        </w:rPr>
      </w:pPr>
      <w:r>
        <w:rPr>
          <w:rFonts w:cs="Calibri"/>
          <w:sz w:val="24"/>
        </w:rPr>
        <w:t>Izvještaj</w:t>
      </w:r>
      <w:r>
        <w:rPr>
          <w:rStyle w:val="FootnoteReference"/>
          <w:rFonts w:cs="Calibri"/>
          <w:sz w:val="24"/>
        </w:rPr>
        <w:footnoteReference w:id="21"/>
      </w:r>
      <w:r>
        <w:rPr>
          <w:rFonts w:cs="Calibri"/>
          <w:sz w:val="24"/>
        </w:rPr>
        <w:t xml:space="preserve"> o cirkularnoj ekonomiji Fondacije Ellen MacArthur zaključio je sledeće: „Scenario kružne ekonomije mogao bi povećati raspoloživi prihod prosječnog evropskog domaćinstva smanjenjem troškova proizvoda i usluga i pretvaranjem neproduktivnog u produktivno vrijeme (npr. Smanjenje troškova zagušenja). To bi moglo rezultirati povećanjem potrošnje, a time i većim rastom BDP-a. </w:t>
      </w:r>
    </w:p>
    <w:p w14:paraId="743F62DD" w14:textId="77777777" w:rsidR="00505D75" w:rsidRDefault="003F7412" w:rsidP="003F7412">
      <w:pPr>
        <w:jc w:val="both"/>
        <w:rPr>
          <w:rFonts w:cs="Calibri"/>
          <w:sz w:val="24"/>
        </w:rPr>
      </w:pPr>
      <w:r>
        <w:rPr>
          <w:rFonts w:cs="Calibri"/>
          <w:sz w:val="24"/>
        </w:rPr>
        <w:t>Ekonomsko model</w:t>
      </w:r>
      <w:r w:rsidR="00505D75">
        <w:rPr>
          <w:rFonts w:cs="Calibri"/>
          <w:sz w:val="24"/>
        </w:rPr>
        <w:t>ovanje</w:t>
      </w:r>
      <w:r>
        <w:rPr>
          <w:rFonts w:cs="Calibri"/>
          <w:sz w:val="24"/>
        </w:rPr>
        <w:t xml:space="preserve"> u tri sektora istraživanja sugeriše da bi današnji raspoloživi prihod prosječnog evropskog domaćinstva mogao da se poveća čak 18% do 2030. godine i 44% do 2050. godine u kružnom scenariju, u poređenju sa 7% i 24% u sadašnjem razvojnom scenariju koji kaže </w:t>
      </w:r>
      <w:r w:rsidRPr="00505D75">
        <w:rPr>
          <w:rFonts w:cs="Calibri"/>
          <w:sz w:val="24"/>
          <w:u w:val="single"/>
        </w:rPr>
        <w:t>„Evropski BDP mogao bi se povećati do 11% do 2030. godine i 27% do 2050. godine u kružnom scenariju, u poređenju sa 4% i 15% u sadašnjem razvojnom scenariju, vođen povećanom potrošnjom usled korekcije tržišnih i regulatornih zaključaka koji sprečavaju mnoge inherentno profitabilne kružne mogućnosti od materijalizacije.</w:t>
      </w:r>
      <w:r w:rsidR="00505D75" w:rsidRPr="00505D75">
        <w:rPr>
          <w:rFonts w:cs="Calibri"/>
          <w:sz w:val="24"/>
          <w:u w:val="single"/>
        </w:rPr>
        <w:t>”</w:t>
      </w:r>
      <w:r>
        <w:rPr>
          <w:rFonts w:cs="Calibri"/>
          <w:sz w:val="24"/>
        </w:rPr>
        <w:t xml:space="preserve"> </w:t>
      </w:r>
    </w:p>
    <w:p w14:paraId="62D7F21A" w14:textId="7F5BE8A5" w:rsidR="003F7412" w:rsidRDefault="003F7412" w:rsidP="003F7412">
      <w:pPr>
        <w:jc w:val="both"/>
      </w:pPr>
      <w:r>
        <w:rPr>
          <w:rFonts w:cs="Calibri"/>
          <w:sz w:val="24"/>
        </w:rPr>
        <w:t xml:space="preserve">Prema tome, u kružnom scenariju, BDP bi mogao porasti za 7 </w:t>
      </w:r>
      <w:r w:rsidR="00505D75">
        <w:rPr>
          <w:rFonts w:cs="Calibri"/>
          <w:sz w:val="24"/>
        </w:rPr>
        <w:t>%</w:t>
      </w:r>
      <w:r>
        <w:rPr>
          <w:rFonts w:cs="Calibri"/>
          <w:sz w:val="24"/>
        </w:rPr>
        <w:t xml:space="preserve"> više do 2030. godine od sadašnjeg razvojnog puta i mogao bi povećati razliku na 12 procentnih poena do 2050. godine.</w:t>
      </w:r>
    </w:p>
    <w:p w14:paraId="116FCAA1" w14:textId="77777777" w:rsidR="003F7412" w:rsidRDefault="003F7412" w:rsidP="003F7412">
      <w:pPr>
        <w:rPr>
          <w:rFonts w:cs="Calibri"/>
          <w:lang w:val="en-US"/>
        </w:rPr>
      </w:pPr>
    </w:p>
    <w:p w14:paraId="08BD4DA5" w14:textId="77777777" w:rsidR="003F7412" w:rsidRPr="000142CE" w:rsidRDefault="003F7412" w:rsidP="003F7412">
      <w:pPr>
        <w:pStyle w:val="Heading2"/>
        <w:numPr>
          <w:ilvl w:val="1"/>
          <w:numId w:val="25"/>
        </w:numPr>
        <w:rPr>
          <w:rFonts w:ascii="Calibri" w:hAnsi="Calibri"/>
          <w:color w:val="171717" w:themeColor="background2" w:themeShade="1A"/>
        </w:rPr>
      </w:pPr>
      <w:bookmarkStart w:id="46" w:name="_Toc80181918"/>
      <w:bookmarkStart w:id="47" w:name="_Toc82271948"/>
      <w:r w:rsidRPr="000142CE">
        <w:rPr>
          <w:rFonts w:ascii="Calibri" w:hAnsi="Calibri"/>
          <w:color w:val="171717" w:themeColor="background2" w:themeShade="1A"/>
        </w:rPr>
        <w:t>Upravljanje otpadom</w:t>
      </w:r>
      <w:bookmarkEnd w:id="46"/>
      <w:bookmarkEnd w:id="47"/>
    </w:p>
    <w:p w14:paraId="61586D89" w14:textId="77777777" w:rsidR="003F7412" w:rsidRDefault="003F7412" w:rsidP="003F7412">
      <w:pPr>
        <w:rPr>
          <w:rFonts w:cs="Calibri"/>
        </w:rPr>
      </w:pPr>
    </w:p>
    <w:p w14:paraId="186EFC42" w14:textId="77777777" w:rsidR="003F7412" w:rsidRDefault="003F7412" w:rsidP="003F7412">
      <w:pPr>
        <w:jc w:val="both"/>
        <w:rPr>
          <w:rFonts w:cs="Calibri"/>
          <w:sz w:val="24"/>
          <w:szCs w:val="24"/>
        </w:rPr>
      </w:pPr>
      <w:r>
        <w:rPr>
          <w:rFonts w:cs="Calibri"/>
          <w:sz w:val="24"/>
          <w:szCs w:val="24"/>
        </w:rPr>
        <w:t xml:space="preserve">Upravljanje otpadom ima središnju ulogu u cirkularnoj ekonomiji. Njime se određuje način primjene evropske hijerarhije otpada u praksi. Hijerarhijom otpada utvrđuje se redosljed prioriteta od sprečavanja nastanka otpada, njegove pripreme za ponovnu upotrebu, recikliranja do odlaganja na deponije. Posljedice načina na kojima se upravlja otpadom mogu biti visoke stope recikliranja i vraćanja materijala u proces proizvodnje ili pak nedjelotvorni sistem u kojem otpad koji se može reciklirati završava na odlagalištima ili spalionici uz moguće štetne uticaje na životnu sredinu. U cirkularnoj ekonomiji, materijali koji se mogu reciklirati vraćaju se opet u proces proizvodnje, čime se osigurava snabdjevenost resursima i sirovinom a samim tim smanjuje se uticaj na životnu sredinu. Reciklaža je vodeći instrument za prelazak na cirkularnu ekonomiju, s toga je u izmjenama evropskog zakonodavstva iz oblasti upravljanja otpadom upravo dat fokus na povećanju stope reciklaže komunalnog, ambalažnog i građevinskog otpada ali i zabranjivanje odlaganja otpada na deponije. Koncept cirkularne ekonomije kao najveće izazove i probleme prepoznaje upravo plastični otpad i otpad od hrane. </w:t>
      </w:r>
    </w:p>
    <w:p w14:paraId="74D0417F" w14:textId="45D41F46" w:rsidR="003F7412" w:rsidRDefault="003F7412" w:rsidP="003F7412">
      <w:pPr>
        <w:jc w:val="both"/>
        <w:rPr>
          <w:rFonts w:cs="Calibri"/>
          <w:sz w:val="24"/>
          <w:szCs w:val="24"/>
        </w:rPr>
      </w:pPr>
      <w:r>
        <w:rPr>
          <w:rFonts w:cs="Calibri"/>
          <w:sz w:val="24"/>
          <w:szCs w:val="24"/>
        </w:rPr>
        <w:t>S tim u vezi u cilju efikasnog rješavanja problema plastičnog otpada, Evropska komisija izradila je Strategiju za plastiku u cirkularnoj ekonomiji. Strategija definiše nove smjernice za dizajn proizvoda od plastike koji će biti iskoristljivi. U dokumentu definiše se cilj da do 2030.</w:t>
      </w:r>
      <w:r w:rsidR="008B489F">
        <w:rPr>
          <w:rFonts w:cs="Calibri"/>
          <w:sz w:val="24"/>
          <w:szCs w:val="24"/>
        </w:rPr>
        <w:t xml:space="preserve"> godine</w:t>
      </w:r>
      <w:r>
        <w:rPr>
          <w:rFonts w:cs="Calibri"/>
          <w:sz w:val="24"/>
          <w:szCs w:val="24"/>
        </w:rPr>
        <w:t xml:space="preserve"> svi proizvodi od plastike koji su na tržištu EU budu reciklabilni. Prema dostupnim podacima oko 25,8 miliona tona plastičnog otpada se generiše u Evropi svake godine. Manje od 30% je pripremljeno za reciklažu dok se ostatak </w:t>
      </w:r>
      <w:r w:rsidR="00297036">
        <w:rPr>
          <w:rFonts w:cs="Calibri"/>
          <w:sz w:val="24"/>
          <w:szCs w:val="24"/>
        </w:rPr>
        <w:t>izvozi u zemlje trećeg svijeta.</w:t>
      </w:r>
      <w:r>
        <w:rPr>
          <w:rFonts w:cs="Calibri"/>
          <w:sz w:val="24"/>
          <w:szCs w:val="24"/>
        </w:rPr>
        <w:t xml:space="preserve"> Sa druge strane deponovanje i spaljivanje plastičnog otpada i dalje su visoko pozicionirani odnosno 31% deponovanje i 39% spaljivanje. Procjenjuje se da prilikom proizvodnje i spaljivanja plastike emituje se oko 400 miliona tona CO</w:t>
      </w:r>
      <w:r w:rsidR="00E377CE">
        <w:rPr>
          <w:rFonts w:cs="Calibri"/>
          <w:sz w:val="24"/>
          <w:szCs w:val="24"/>
          <w:vertAlign w:val="subscript"/>
        </w:rPr>
        <w:t>2</w:t>
      </w:r>
      <w:r>
        <w:rPr>
          <w:rFonts w:cs="Calibri"/>
          <w:sz w:val="24"/>
          <w:szCs w:val="24"/>
        </w:rPr>
        <w:t xml:space="preserve"> godišnje. Plastika predstavlja 80% otpada koji se nalazi u okeanima i morima. Prema dostupnim po</w:t>
      </w:r>
      <w:r w:rsidR="00297036">
        <w:rPr>
          <w:rFonts w:cs="Calibri"/>
          <w:sz w:val="24"/>
          <w:szCs w:val="24"/>
        </w:rPr>
        <w:t>dacima (Jambeck at all, 2015)</w:t>
      </w:r>
      <w:r>
        <w:rPr>
          <w:rFonts w:cs="Calibri"/>
          <w:sz w:val="24"/>
          <w:szCs w:val="24"/>
        </w:rPr>
        <w:t xml:space="preserve"> svake godine u okeane i mora na globalnom nivou završi između 5 – 13 miliona tona plastike. Prema podacima UNEP – a šteta koju plastični otpad napravi morskim ekosistemima je oko 8 milijardi dolara godišnje. Kada se govori o Evropi procjene su da između 150 – 500,000 tona plastičnog otpada završi u okeanima i morima, što je znatno manje u odnosu na globalnu procjenu ali svakako da ima negativne posljedice po morske ekosisteme posebno ako se govori o Mediteranu kao veoma ranjivom području. </w:t>
      </w:r>
    </w:p>
    <w:p w14:paraId="746D96F3" w14:textId="77777777" w:rsidR="003F7412" w:rsidRDefault="003F7412" w:rsidP="003F7412">
      <w:pPr>
        <w:jc w:val="both"/>
        <w:rPr>
          <w:rFonts w:cs="Calibri"/>
          <w:sz w:val="24"/>
          <w:szCs w:val="24"/>
        </w:rPr>
      </w:pPr>
    </w:p>
    <w:p w14:paraId="2B44E52F" w14:textId="77777777" w:rsidR="003F7412" w:rsidRPr="000142CE" w:rsidRDefault="003F7412" w:rsidP="003F7412">
      <w:pPr>
        <w:pStyle w:val="Heading2"/>
        <w:numPr>
          <w:ilvl w:val="1"/>
          <w:numId w:val="25"/>
        </w:numPr>
        <w:rPr>
          <w:rFonts w:ascii="Calibri" w:hAnsi="Calibri"/>
          <w:color w:val="171717" w:themeColor="background2" w:themeShade="1A"/>
        </w:rPr>
      </w:pPr>
      <w:bookmarkStart w:id="48" w:name="_Toc80181919"/>
      <w:bookmarkStart w:id="49" w:name="_Toc82271949"/>
      <w:r w:rsidRPr="000142CE">
        <w:rPr>
          <w:rFonts w:ascii="Calibri" w:hAnsi="Calibri"/>
          <w:color w:val="171717" w:themeColor="background2" w:themeShade="1A"/>
        </w:rPr>
        <w:t>Upravljanje otpadom u Crnoj Gori</w:t>
      </w:r>
      <w:bookmarkEnd w:id="48"/>
      <w:bookmarkEnd w:id="49"/>
      <w:r w:rsidRPr="000142CE">
        <w:rPr>
          <w:rFonts w:ascii="Calibri" w:hAnsi="Calibri"/>
          <w:color w:val="171717" w:themeColor="background2" w:themeShade="1A"/>
        </w:rPr>
        <w:t xml:space="preserve"> </w:t>
      </w:r>
    </w:p>
    <w:p w14:paraId="0D190E20" w14:textId="77777777" w:rsidR="003F7412" w:rsidRDefault="003F7412" w:rsidP="003F7412">
      <w:pPr>
        <w:rPr>
          <w:rFonts w:cs="Calibri"/>
        </w:rPr>
      </w:pPr>
    </w:p>
    <w:p w14:paraId="153F9122" w14:textId="308A5CC5" w:rsidR="003F7412" w:rsidRDefault="003F7412" w:rsidP="003F7412">
      <w:pPr>
        <w:jc w:val="both"/>
      </w:pPr>
      <w:r>
        <w:rPr>
          <w:rFonts w:cs="Calibri"/>
          <w:sz w:val="24"/>
          <w:szCs w:val="24"/>
        </w:rPr>
        <w:t>Prema Državnom planu za upravljanje otpadom za period 2015 - 2020. godine, planirane investicije u infrastrukturu za upravljanje otpadom u predstojećem periodu iznos</w:t>
      </w:r>
      <w:r w:rsidR="00E70470">
        <w:rPr>
          <w:rFonts w:cs="Calibri"/>
          <w:sz w:val="24"/>
          <w:szCs w:val="24"/>
        </w:rPr>
        <w:t>ile su</w:t>
      </w:r>
      <w:r>
        <w:rPr>
          <w:rFonts w:cs="Calibri"/>
          <w:sz w:val="24"/>
          <w:szCs w:val="24"/>
        </w:rPr>
        <w:t xml:space="preserve"> oko 130 mil. € do 2020. godine, odnosno oko 354,8 mil. € do 2035. godine</w:t>
      </w:r>
      <w:r>
        <w:rPr>
          <w:rStyle w:val="FootnoteReference"/>
          <w:rFonts w:cs="Calibri"/>
          <w:sz w:val="24"/>
          <w:szCs w:val="24"/>
        </w:rPr>
        <w:footnoteReference w:id="22"/>
      </w:r>
      <w:r>
        <w:rPr>
          <w:rFonts w:cs="Calibri"/>
          <w:sz w:val="24"/>
          <w:szCs w:val="24"/>
        </w:rPr>
        <w:t xml:space="preserve">. U maju 2018. godine, </w:t>
      </w:r>
      <w:r>
        <w:rPr>
          <w:rFonts w:cs="Calibri"/>
          <w:sz w:val="24"/>
          <w:szCs w:val="24"/>
        </w:rPr>
        <w:lastRenderedPageBreak/>
        <w:t>u oblasti upravlj</w:t>
      </w:r>
      <w:r w:rsidR="00C20ED6">
        <w:rPr>
          <w:rFonts w:cs="Calibri"/>
          <w:sz w:val="24"/>
          <w:szCs w:val="24"/>
        </w:rPr>
        <w:t xml:space="preserve">anja otpadom donešena je Odluka </w:t>
      </w:r>
      <w:r>
        <w:rPr>
          <w:rFonts w:cs="Calibri"/>
          <w:sz w:val="24"/>
          <w:szCs w:val="24"/>
        </w:rPr>
        <w:t xml:space="preserve">o izboru opcije za upravljanje otpadom što je bila obaveza shodno AP NEAS – a za 2016. Odlukom se definišu četiri regionalna centra za upravljanje otpadom: </w:t>
      </w:r>
      <w:r w:rsidR="00C20ED6">
        <w:rPr>
          <w:rFonts w:cs="Calibri"/>
          <w:sz w:val="24"/>
          <w:szCs w:val="24"/>
        </w:rPr>
        <w:t>Nikšić, Bijelo Polje, Podgorica i</w:t>
      </w:r>
      <w:r>
        <w:rPr>
          <w:rFonts w:cs="Calibri"/>
          <w:sz w:val="24"/>
          <w:szCs w:val="24"/>
        </w:rPr>
        <w:t xml:space="preserve"> Bar. Upravljanje komunalnim otpadom je izvorna nadležnost jedinice lokalne samouprave i obavlja se na način što se komunalni otpad odlaže na sanitarnim deponijima, privremeno skladišti na lokacijama za privremeno skladištenje komunalnog otpada, odlaže se na gradskim neuređenim odlagalištima i manjim dijelom se selektivno odvaja za ponovnu upotrebu i recikliranje. Sakupljanjem otpada, od strane komunalnih preduzeća lokalnih samouprava, u 2018. godini je obuhvaćeno 81,4% stanovništva koje uglavnom živi u gradovima (što je isti procenat pokrivenosti u odnosu na prethodnu godinu), dok se otpad koji se stvara u selima i manjim naseljima uglavnom odlaže na neuređenim odlagalištima, tj. na tzv. „nelegal</w:t>
      </w:r>
      <w:r w:rsidR="00E06D0E">
        <w:rPr>
          <w:rFonts w:cs="Calibri"/>
          <w:sz w:val="24"/>
          <w:szCs w:val="24"/>
        </w:rPr>
        <w:t>nim“</w:t>
      </w:r>
      <w:r w:rsidR="00B11DFD">
        <w:rPr>
          <w:rFonts w:cs="Calibri"/>
          <w:sz w:val="24"/>
          <w:szCs w:val="24"/>
        </w:rPr>
        <w:t xml:space="preserve"> </w:t>
      </w:r>
      <w:r w:rsidR="00E06D0E">
        <w:rPr>
          <w:rFonts w:cs="Calibri"/>
          <w:sz w:val="24"/>
          <w:szCs w:val="24"/>
        </w:rPr>
        <w:t>ili „divljim“ deponijama.</w:t>
      </w:r>
      <w:r>
        <w:rPr>
          <w:rFonts w:cs="Calibri"/>
          <w:sz w:val="24"/>
          <w:szCs w:val="24"/>
        </w:rPr>
        <w:t xml:space="preserve"> </w:t>
      </w:r>
      <w:r w:rsidR="00B9185A">
        <w:rPr>
          <w:rFonts w:cs="Calibri"/>
          <w:sz w:val="24"/>
          <w:szCs w:val="24"/>
        </w:rPr>
        <w:t xml:space="preserve"> </w:t>
      </w:r>
      <w:r>
        <w:rPr>
          <w:rFonts w:cs="Calibri"/>
          <w:sz w:val="24"/>
          <w:szCs w:val="24"/>
        </w:rPr>
        <w:t>Sastav čvrstog komunalnog otpada, odnosno, poznavanje masenog udjela različitih materijala u sastavu čvrstog komunalnog otpada jeste jedan od ključnih podataka za efektivno upravljanje otpadom. Morfološki sastav čvrstog komunalnog otpada je varijabilan i razlikuje se od zemlje do zemlje, zavisi od geografskih karakteristika, godišnjeg doba, gradskih ili seoskih naselja, standarda života i sl. Evidentno je da se jednom opcijom tretmana otpada ne mogu tretirati sve frakcije čvrstog komunalnog otpada na održiv način, već se zahtjeva niz opcija. Upotreba raznih opcija kao što su reciklaža, kompostiranje ili insineracija u velikoj mjeri zavise od sastava otpada kao i ekonomskih, zakonodavnih, socioloških i drugih faktora. Stopa generisanja i sastav otpada u velikoj mjeri varira izmedu regiona, država, gradova pa čak i unutar gradova. Organske frakcije zauzimaju znatno veći udio u zemljama sa srednjim i niskim prihodima, dok u zemljama sa visokim prihodima po stanovniku veliki procenat u komunalnom otpadu zauzima papir i plastika (Hoornweg &amp; Bhada-Tata, 2012). Morfološki sastav otpada u okviru EU se razlikuje među državama članicama, i iz tog razloga je teško odrediti jedinstvenu strukturu otpada na nivou EU. U razvijenijim državama članicama (Njemačka, Francuska, Švedska) u morfološkom sastavu otpada dominiraju plastika, karton i papir, dok je udio organskog otpada nizak. U ostalim državama članicama, između ostalih, Rumunija, Bugarska, koje prema ekonomskim pokazateljima pripadaju državama u razvoju, u morfološkom sastavu otpada, dominira organska frakcija, dok je udio ambalaže i ambalažnog otpada manji.</w:t>
      </w:r>
      <w:r>
        <w:rPr>
          <w:rStyle w:val="FootnoteReference"/>
          <w:rFonts w:cs="Calibri"/>
          <w:sz w:val="24"/>
          <w:szCs w:val="24"/>
        </w:rPr>
        <w:footnoteReference w:id="23"/>
      </w:r>
    </w:p>
    <w:p w14:paraId="42AF7EF9" w14:textId="75B35B7C" w:rsidR="003F7412" w:rsidRDefault="003F7412" w:rsidP="003F7412">
      <w:pPr>
        <w:jc w:val="both"/>
      </w:pPr>
      <w:r>
        <w:rPr>
          <w:rFonts w:cs="Calibri"/>
          <w:sz w:val="24"/>
          <w:szCs w:val="24"/>
        </w:rPr>
        <w:t xml:space="preserve"> </w:t>
      </w:r>
      <w:r>
        <w:rPr>
          <w:rFonts w:cs="Calibri"/>
          <w:sz w:val="24"/>
          <w:szCs w:val="24"/>
          <w:u w:val="single"/>
        </w:rPr>
        <w:t>Analizirajući strateška dokumenta, ali i novousvojena, uočava se jedan veliki problem, a to je nepostojanje pouzdanih i potpunih podataka kada je u pitanju količina i morfološki sastav otpada koji se generiše u crnogorskim domaćinstvima, što je jedan od najvažnijih preduslova za odabir tehnologije obrade otpada i izgradnju odgovarajućih postrojenja za te namjene</w:t>
      </w:r>
      <w:r>
        <w:rPr>
          <w:rFonts w:cs="Calibri"/>
          <w:sz w:val="24"/>
          <w:szCs w:val="24"/>
        </w:rPr>
        <w:t>. Odnosno, to je preduslov za uspostavljanje primjenjivog koncepta upravljanja otpadom u Crnoj Gori, tj. preduslov za određivanje najprihvatljivije od tri predložene opcije u Državnom planu.</w:t>
      </w:r>
    </w:p>
    <w:p w14:paraId="61A6E415" w14:textId="12064E3A" w:rsidR="003F7412" w:rsidRDefault="00B9185A" w:rsidP="003F7412">
      <w:pPr>
        <w:jc w:val="both"/>
        <w:rPr>
          <w:rFonts w:cs="Calibri"/>
          <w:sz w:val="24"/>
          <w:szCs w:val="24"/>
        </w:rPr>
      </w:pPr>
      <w:r>
        <w:rPr>
          <w:rFonts w:cs="Calibri"/>
          <w:sz w:val="24"/>
          <w:szCs w:val="24"/>
        </w:rPr>
        <w:t>U poslednjem izvještaju koji</w:t>
      </w:r>
      <w:r w:rsidR="003F7412">
        <w:rPr>
          <w:rFonts w:cs="Calibri"/>
          <w:sz w:val="24"/>
          <w:szCs w:val="24"/>
        </w:rPr>
        <w:t xml:space="preserve"> je objavio MONSTAT, tokom 2019. godine u Crnoj Gori, stvoreno je 1 276 244,6 t otpada, od čega 753 239,0 t ili 59,0% u sektorima Prerađivačke industrije, rudarstva i vađenja i ostale industrije. </w:t>
      </w:r>
    </w:p>
    <w:p w14:paraId="5A88DA5C" w14:textId="77777777" w:rsidR="003F7412" w:rsidRDefault="003F7412" w:rsidP="003F7412">
      <w:pPr>
        <w:jc w:val="both"/>
        <w:rPr>
          <w:rFonts w:cs="Calibri"/>
          <w:sz w:val="24"/>
          <w:szCs w:val="24"/>
        </w:rPr>
      </w:pPr>
      <w:r>
        <w:rPr>
          <w:rFonts w:cs="Calibri"/>
          <w:sz w:val="24"/>
          <w:szCs w:val="24"/>
        </w:rPr>
        <w:t>Od ukupne količine stvorenog otpada tokom 2019. godine, stvoreno je 328 711,6 t opasnog otpada ili 25,8%.</w:t>
      </w:r>
    </w:p>
    <w:p w14:paraId="4F2DE85E" w14:textId="68100121" w:rsidR="003F7412" w:rsidRDefault="003F7412" w:rsidP="003F7412">
      <w:pPr>
        <w:jc w:val="both"/>
        <w:rPr>
          <w:rFonts w:cs="Calibri"/>
          <w:sz w:val="24"/>
          <w:szCs w:val="24"/>
        </w:rPr>
      </w:pPr>
      <w:r>
        <w:rPr>
          <w:rFonts w:cs="Calibri"/>
          <w:sz w:val="24"/>
          <w:szCs w:val="24"/>
        </w:rPr>
        <w:lastRenderedPageBreak/>
        <w:t>Posmatrano u odnosu na prethodnu godinu, bilježi se rast od 1,2% u odnosu na ukupnu stvorenu ko</w:t>
      </w:r>
      <w:r w:rsidR="007430B4">
        <w:rPr>
          <w:rFonts w:cs="Calibri"/>
          <w:sz w:val="24"/>
          <w:szCs w:val="24"/>
        </w:rPr>
        <w:t>ličinu; dok sektor Poljoprivrede, šumarstva</w:t>
      </w:r>
      <w:r>
        <w:rPr>
          <w:rFonts w:cs="Calibri"/>
          <w:sz w:val="24"/>
          <w:szCs w:val="24"/>
        </w:rPr>
        <w:t xml:space="preserve"> i ribarstv</w:t>
      </w:r>
      <w:r w:rsidR="007430B4">
        <w:rPr>
          <w:rFonts w:cs="Calibri"/>
          <w:sz w:val="24"/>
          <w:szCs w:val="24"/>
        </w:rPr>
        <w:t>a</w:t>
      </w:r>
      <w:r>
        <w:rPr>
          <w:rFonts w:cs="Calibri"/>
          <w:sz w:val="24"/>
          <w:szCs w:val="24"/>
        </w:rPr>
        <w:t xml:space="preserve"> – bilježi pad od 7,3%; sektori Prerađivačke industrije, rudarstva i vađenja i ostale industrije – pad od 0,7%; Građevinarstvo – rast od 2,1%; sektori Uslužnih djelatnosti - rast od 14,4% i domaćinstva - rast od 1,7%. U 2019. godini stvoreno je 340 822,6 t komunalnog otpada ili 5,6% više u odnosu na 2018. godinu. </w:t>
      </w:r>
    </w:p>
    <w:p w14:paraId="2F383C09" w14:textId="77777777" w:rsidR="003F7412" w:rsidRDefault="003F7412" w:rsidP="003F7412">
      <w:pPr>
        <w:jc w:val="both"/>
        <w:rPr>
          <w:rFonts w:cs="Calibri"/>
          <w:sz w:val="24"/>
          <w:szCs w:val="24"/>
        </w:rPr>
      </w:pPr>
      <w:r>
        <w:rPr>
          <w:rFonts w:cs="Calibri"/>
          <w:sz w:val="24"/>
          <w:szCs w:val="24"/>
        </w:rPr>
        <w:t xml:space="preserve">Komunalna preduzeća su sakupila 308 103,6 t što čini 95,5% ukupno sakupljenih količina. Stvoreni komunalni otpad po glavi stanovnika iznosio je 547,9 kg, što je za 5,6% više u odnosu na prethodnu godinu. Ukupna količina obrađenog otpada sa izvozom u 2019. godini, iznosila je 1 169 592,7 t, što je 7,6% više u odnosu na prethodnu godinu. Od ukupno obrađene količine, 633 920,9 t je deponovano/odloženo ili 54,2%. </w:t>
      </w:r>
    </w:p>
    <w:p w14:paraId="1B63EF9A" w14:textId="77777777" w:rsidR="003F7412" w:rsidRDefault="003F7412" w:rsidP="003F7412">
      <w:pPr>
        <w:jc w:val="both"/>
      </w:pPr>
      <w:r>
        <w:rPr>
          <w:rFonts w:cs="Calibri"/>
          <w:sz w:val="24"/>
          <w:szCs w:val="24"/>
        </w:rPr>
        <w:t>Reciklirane količine otpada bilježe rast u odnosu na prethodnu godinu od 74,5%, zbog povećanog recikliranja građevinskog otpada. Ukupna količina obrađenog komunalnog otpada sa izvozom, u 2019. godini iznosila je 324 080,3 t što je 8,6% više u odnosu na 2018. godinu. Od ukupno obrađene količine, 282 384,4 t ili 87,1% je deponovano/odloženo</w:t>
      </w:r>
      <w:r>
        <w:rPr>
          <w:rStyle w:val="FootnoteReference"/>
          <w:rFonts w:cs="Calibri"/>
          <w:sz w:val="24"/>
          <w:szCs w:val="24"/>
        </w:rPr>
        <w:footnoteReference w:id="24"/>
      </w:r>
      <w:r>
        <w:rPr>
          <w:rFonts w:cs="Calibri"/>
          <w:sz w:val="24"/>
          <w:szCs w:val="24"/>
        </w:rPr>
        <w:t>.</w:t>
      </w:r>
    </w:p>
    <w:p w14:paraId="61A3E67D" w14:textId="656892EC" w:rsidR="003F7412" w:rsidRDefault="003F7412" w:rsidP="003F7412">
      <w:pPr>
        <w:jc w:val="both"/>
        <w:rPr>
          <w:rFonts w:cs="Calibri"/>
        </w:rPr>
      </w:pPr>
    </w:p>
    <w:p w14:paraId="77D95F3E" w14:textId="77777777" w:rsidR="00C823A1" w:rsidRDefault="00C823A1" w:rsidP="003F7412">
      <w:pPr>
        <w:jc w:val="both"/>
        <w:rPr>
          <w:rFonts w:cs="Calibri"/>
        </w:rPr>
      </w:pPr>
    </w:p>
    <w:p w14:paraId="67CE3D2C" w14:textId="434EF69D" w:rsidR="003F7412" w:rsidRPr="000142CE" w:rsidRDefault="003F7412" w:rsidP="00762218">
      <w:pPr>
        <w:pStyle w:val="Heading2"/>
        <w:numPr>
          <w:ilvl w:val="1"/>
          <w:numId w:val="25"/>
        </w:numPr>
        <w:jc w:val="both"/>
        <w:rPr>
          <w:rFonts w:ascii="Calibri" w:hAnsi="Calibri"/>
          <w:color w:val="171717" w:themeColor="background2" w:themeShade="1A"/>
        </w:rPr>
      </w:pPr>
      <w:bookmarkStart w:id="52" w:name="_Toc80181920"/>
      <w:bookmarkStart w:id="53" w:name="_Toc82271950"/>
      <w:r w:rsidRPr="000142CE">
        <w:rPr>
          <w:rFonts w:ascii="Calibri" w:hAnsi="Calibri"/>
          <w:color w:val="171717" w:themeColor="background2" w:themeShade="1A"/>
        </w:rPr>
        <w:t>Komparativna analiza upravljanja otpadom u zemljama Zapadnog Balkana</w:t>
      </w:r>
      <w:bookmarkEnd w:id="52"/>
      <w:bookmarkEnd w:id="53"/>
    </w:p>
    <w:p w14:paraId="4757BD86" w14:textId="77777777" w:rsidR="00C823A1" w:rsidRPr="00C823A1" w:rsidRDefault="00C823A1" w:rsidP="00C823A1"/>
    <w:p w14:paraId="6E0DB32C" w14:textId="77777777" w:rsidR="003F7412" w:rsidRDefault="003F7412" w:rsidP="003F7412">
      <w:pPr>
        <w:jc w:val="both"/>
        <w:rPr>
          <w:rFonts w:cs="Calibri"/>
        </w:rPr>
      </w:pPr>
    </w:p>
    <w:p w14:paraId="1E9F984C" w14:textId="0C0EAB61" w:rsidR="003F7412" w:rsidRDefault="003F7412" w:rsidP="003F7412">
      <w:pPr>
        <w:jc w:val="both"/>
        <w:rPr>
          <w:rStyle w:val="mw-headline"/>
          <w:rFonts w:eastAsia="Times New Roman" w:cs="Calibri"/>
          <w:b/>
          <w:sz w:val="24"/>
          <w:szCs w:val="24"/>
          <w:lang w:eastAsia="hr-HR"/>
        </w:rPr>
      </w:pPr>
      <w:r w:rsidRPr="004F3DC4">
        <w:rPr>
          <w:rStyle w:val="mw-headline"/>
          <w:rFonts w:eastAsia="Times New Roman" w:cs="Calibri"/>
          <w:b/>
          <w:sz w:val="24"/>
          <w:szCs w:val="24"/>
          <w:lang w:eastAsia="hr-HR"/>
        </w:rPr>
        <w:t>Komunalni otpad</w:t>
      </w:r>
      <w:r>
        <w:rPr>
          <w:rStyle w:val="FootnoteReference"/>
          <w:rFonts w:cs="Calibri"/>
          <w:sz w:val="24"/>
          <w:szCs w:val="24"/>
        </w:rPr>
        <w:footnoteReference w:id="25"/>
      </w:r>
    </w:p>
    <w:p w14:paraId="29D158B8" w14:textId="77777777" w:rsidR="00C823A1" w:rsidRDefault="00C823A1" w:rsidP="003F7412">
      <w:pPr>
        <w:jc w:val="both"/>
      </w:pPr>
    </w:p>
    <w:p w14:paraId="6BA25214" w14:textId="77777777" w:rsidR="003F7412" w:rsidRDefault="003F7412" w:rsidP="003F7412">
      <w:pPr>
        <w:pStyle w:val="NormalWeb"/>
        <w:shd w:val="clear" w:color="auto" w:fill="FFFFFF"/>
        <w:spacing w:before="0" w:after="105"/>
        <w:jc w:val="both"/>
        <w:rPr>
          <w:rFonts w:ascii="Calibri" w:hAnsi="Calibri" w:cs="Calibri"/>
          <w:color w:val="333333"/>
          <w:szCs w:val="22"/>
        </w:rPr>
      </w:pPr>
      <w:r>
        <w:rPr>
          <w:rFonts w:ascii="Calibri" w:hAnsi="Calibri" w:cs="Calibri"/>
          <w:color w:val="333333"/>
          <w:szCs w:val="22"/>
        </w:rPr>
        <w:t>Komunalni otpad uglavnom proizvode domaćinstva, iako je sličnan otpad iz izvora kao što su distribucija, kancelarije i javne ustanove uključen u predstavljene podatke. Otpad iz poljoprivrede i industrije isključen je iz ovog pokazatelja. Komunalni otpad sastoji se od otpada koji prikupljaju ili u ime opštinskih vlasti i odlažu ga putem sistema upravljanja otpadom. Za područja koja nisu obuhvaćena šemom prikupljanja komunalnog otpada, zemlje izvještajci procjenjuju količinu nastalog otpada.</w:t>
      </w:r>
    </w:p>
    <w:p w14:paraId="30C08985" w14:textId="404129A7" w:rsidR="00C823A1" w:rsidRDefault="003F7412" w:rsidP="003F7412">
      <w:pPr>
        <w:pStyle w:val="NormalWeb"/>
        <w:shd w:val="clear" w:color="auto" w:fill="FFFFFF"/>
        <w:spacing w:before="0" w:after="105"/>
        <w:jc w:val="both"/>
        <w:rPr>
          <w:rFonts w:ascii="Calibri" w:hAnsi="Calibri" w:cs="Calibri"/>
          <w:color w:val="333333"/>
          <w:szCs w:val="22"/>
        </w:rPr>
      </w:pPr>
      <w:r>
        <w:rPr>
          <w:rFonts w:ascii="Calibri" w:hAnsi="Calibri" w:cs="Calibri"/>
          <w:color w:val="333333"/>
          <w:szCs w:val="22"/>
        </w:rPr>
        <w:t>Među zemljama kandidatima i potencijalnim kandidatima, količina generisanog komunalnog otpada kretala se u 2019. godini od 252 kilograma (kg) po stanovniku na Kosovu do 530 kg u Crnoj Gori. Količina proizvedenog komunalnog otpada po stanovniku povećala se od 2009. do 2019. godine u Sjevernoj Makedoniji (25 %) i, neznatno, u Turskoj (1 %), dok je pala u Srbiji (-6 %) i, neznatno, u Bosni i Hercegovini (-1 %). Promjena iz 2009. u 2019. godinu za Crnu Goru, Albaniju i Kosovo ne može se izračunati jer njihovi podaci za 2009. nijesu dostupni. U 2019. godini količina proizvedenog komunalnog otpad</w:t>
      </w:r>
      <w:r w:rsidRPr="00505D75">
        <w:rPr>
          <w:rFonts w:ascii="Calibri" w:hAnsi="Calibri" w:cs="Calibri"/>
          <w:color w:val="333333"/>
          <w:szCs w:val="22"/>
        </w:rPr>
        <w:t xml:space="preserve">a </w:t>
      </w:r>
      <w:hyperlink r:id="rId26" w:history="1">
        <w:r w:rsidRPr="00505D75">
          <w:rPr>
            <w:rStyle w:val="Hyperlink"/>
            <w:rFonts w:ascii="Calibri" w:hAnsi="Calibri" w:cs="Calibri"/>
            <w:color w:val="auto"/>
            <w:szCs w:val="22"/>
            <w:u w:val="none"/>
          </w:rPr>
          <w:t>po stanovniku</w:t>
        </w:r>
      </w:hyperlink>
      <w:r w:rsidRPr="00505D75">
        <w:rPr>
          <w:rFonts w:ascii="Calibri" w:hAnsi="Calibri" w:cs="Calibri"/>
          <w:szCs w:val="22"/>
        </w:rPr>
        <w:t xml:space="preserve"> </w:t>
      </w:r>
      <w:r>
        <w:rPr>
          <w:rFonts w:ascii="Calibri" w:hAnsi="Calibri" w:cs="Calibri"/>
          <w:color w:val="333333"/>
          <w:szCs w:val="22"/>
        </w:rPr>
        <w:t>u EU iznosila je 502 kg. To je bilo nešto manje od količine generisane po osobi u 2009. godini kada je iznosila 510 kg po stanovniku.</w:t>
      </w:r>
    </w:p>
    <w:p w14:paraId="0BB7A794" w14:textId="77777777" w:rsidR="00776A7A" w:rsidRDefault="00776A7A" w:rsidP="003F7412">
      <w:pPr>
        <w:pStyle w:val="NormalWeb"/>
        <w:shd w:val="clear" w:color="auto" w:fill="FFFFFF"/>
        <w:spacing w:before="0" w:after="105"/>
        <w:jc w:val="both"/>
      </w:pPr>
    </w:p>
    <w:p w14:paraId="447190E9" w14:textId="77FC8D94" w:rsidR="00624A1A" w:rsidRPr="00624A1A" w:rsidRDefault="00624A1A" w:rsidP="00BB3BFF">
      <w:pPr>
        <w:pStyle w:val="Caption"/>
        <w:jc w:val="center"/>
      </w:pPr>
      <w:bookmarkStart w:id="54" w:name="_Toc82087081"/>
      <w:r w:rsidRPr="00C25F77">
        <w:rPr>
          <w:rFonts w:ascii="Calibri" w:hAnsi="Calibri"/>
          <w:sz w:val="22"/>
          <w:szCs w:val="22"/>
        </w:rPr>
        <w:lastRenderedPageBreak/>
        <w:t xml:space="preserve">Grafik </w:t>
      </w:r>
      <w:r w:rsidRPr="00C25F77">
        <w:rPr>
          <w:rFonts w:ascii="Calibri" w:hAnsi="Calibri"/>
          <w:sz w:val="22"/>
          <w:szCs w:val="22"/>
        </w:rPr>
        <w:fldChar w:fldCharType="begin"/>
      </w:r>
      <w:r w:rsidRPr="00C25F77">
        <w:rPr>
          <w:rFonts w:ascii="Calibri" w:hAnsi="Calibri"/>
          <w:sz w:val="22"/>
          <w:szCs w:val="22"/>
        </w:rPr>
        <w:instrText xml:space="preserve"> SEQ Figure \* ARABIC </w:instrText>
      </w:r>
      <w:r w:rsidRPr="00C25F77">
        <w:rPr>
          <w:rFonts w:ascii="Calibri" w:hAnsi="Calibri"/>
          <w:sz w:val="22"/>
          <w:szCs w:val="22"/>
        </w:rPr>
        <w:fldChar w:fldCharType="separate"/>
      </w:r>
      <w:r w:rsidR="007864DD">
        <w:rPr>
          <w:rFonts w:ascii="Calibri" w:hAnsi="Calibri"/>
          <w:noProof/>
          <w:sz w:val="22"/>
          <w:szCs w:val="22"/>
        </w:rPr>
        <w:t>5</w:t>
      </w:r>
      <w:r w:rsidRPr="00C25F77">
        <w:rPr>
          <w:rFonts w:ascii="Calibri" w:hAnsi="Calibri"/>
          <w:sz w:val="22"/>
          <w:szCs w:val="22"/>
        </w:rPr>
        <w:fldChar w:fldCharType="end"/>
      </w:r>
      <w:r w:rsidRPr="00C25F77">
        <w:rPr>
          <w:rFonts w:ascii="Calibri" w:hAnsi="Calibri"/>
          <w:sz w:val="22"/>
          <w:szCs w:val="22"/>
        </w:rPr>
        <w:t xml:space="preserve"> </w:t>
      </w:r>
      <w:r w:rsidR="00BB3BFF" w:rsidRPr="00025FD3">
        <w:rPr>
          <w:rFonts w:ascii="Calibri" w:hAnsi="Calibri" w:cs="Calibri"/>
          <w:color w:val="333333"/>
          <w:sz w:val="22"/>
        </w:rPr>
        <w:t>Stvaranje k</w:t>
      </w:r>
      <w:r w:rsidR="00BB3BFF">
        <w:rPr>
          <w:rFonts w:ascii="Calibri" w:hAnsi="Calibri" w:cs="Calibri"/>
          <w:color w:val="333333"/>
          <w:sz w:val="22"/>
        </w:rPr>
        <w:t>omunalnog otpada, 2009 i 2019. g</w:t>
      </w:r>
      <w:r w:rsidR="00BB3BFF" w:rsidRPr="00025FD3">
        <w:rPr>
          <w:rFonts w:ascii="Calibri" w:hAnsi="Calibri" w:cs="Calibri"/>
          <w:color w:val="333333"/>
          <w:sz w:val="22"/>
        </w:rPr>
        <w:t>odina (kilograma po stanovniku)</w:t>
      </w:r>
      <w:bookmarkEnd w:id="54"/>
    </w:p>
    <w:p w14:paraId="7177C090" w14:textId="2F01296E" w:rsidR="00C60A31" w:rsidRPr="00C60A31" w:rsidRDefault="00C60A31" w:rsidP="00C60A31">
      <w:pPr>
        <w:pStyle w:val="Caption"/>
        <w:jc w:val="center"/>
        <w:rPr>
          <w:rFonts w:cs="Calibri"/>
          <w:color w:val="333333"/>
        </w:rPr>
      </w:pPr>
      <w:r w:rsidRPr="00C60A31">
        <w:rPr>
          <w:noProof/>
          <w:lang w:val="en-US" w:eastAsia="en-US"/>
        </w:rPr>
        <w:drawing>
          <wp:inline distT="0" distB="0" distL="0" distR="0" wp14:anchorId="71DA4374" wp14:editId="479B70D5">
            <wp:extent cx="5731510" cy="2766060"/>
            <wp:effectExtent l="0" t="0" r="2540" b="0"/>
            <wp:docPr id="18" name="Chart 18">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24811A9" w14:textId="77777777" w:rsidR="00C60A31" w:rsidRPr="00C60A31" w:rsidRDefault="00C60A31" w:rsidP="00C60A31">
      <w:pPr>
        <w:shd w:val="clear" w:color="auto" w:fill="FFFFFF"/>
        <w:spacing w:after="40" w:line="180" w:lineRule="exact"/>
        <w:rPr>
          <w:rFonts w:cs="Calibri"/>
          <w:i/>
          <w:iCs/>
          <w:color w:val="333333"/>
        </w:rPr>
      </w:pPr>
      <w:r w:rsidRPr="00C60A31">
        <w:rPr>
          <w:rFonts w:cs="Calibri"/>
          <w:i/>
          <w:iCs/>
          <w:color w:val="333333"/>
          <w:sz w:val="18"/>
        </w:rPr>
        <w:t xml:space="preserve">Izvor: Eurostat </w:t>
      </w:r>
      <w:hyperlink r:id="rId28" w:history="1">
        <w:r w:rsidRPr="00C60A31">
          <w:rPr>
            <w:rFonts w:cs="Calibri"/>
            <w:i/>
            <w:color w:val="2873E6"/>
            <w:sz w:val="18"/>
            <w:u w:val="single"/>
          </w:rPr>
          <w:t>(env_wasmun)</w:t>
        </w:r>
      </w:hyperlink>
    </w:p>
    <w:p w14:paraId="16F4FC83" w14:textId="77777777" w:rsidR="00C60A31" w:rsidRDefault="00C60A31" w:rsidP="003F7412">
      <w:pPr>
        <w:pStyle w:val="NormalWeb"/>
        <w:shd w:val="clear" w:color="auto" w:fill="FFFFFF"/>
        <w:spacing w:before="0" w:after="105"/>
        <w:jc w:val="both"/>
        <w:rPr>
          <w:rFonts w:ascii="Calibri" w:hAnsi="Calibri" w:cs="Calibri"/>
          <w:color w:val="333333"/>
          <w:szCs w:val="22"/>
        </w:rPr>
      </w:pPr>
    </w:p>
    <w:p w14:paraId="31173433" w14:textId="342C9D34" w:rsidR="003F7412" w:rsidRDefault="003F7412" w:rsidP="003F7412">
      <w:pPr>
        <w:pStyle w:val="NormalWeb"/>
        <w:shd w:val="clear" w:color="auto" w:fill="FFFFFF"/>
        <w:spacing w:before="0" w:after="105"/>
        <w:jc w:val="both"/>
      </w:pPr>
      <w:r>
        <w:rPr>
          <w:rFonts w:ascii="Calibri" w:hAnsi="Calibri" w:cs="Calibri"/>
          <w:color w:val="333333"/>
          <w:szCs w:val="22"/>
        </w:rPr>
        <w:t xml:space="preserve">Otpad se može tretirati na više načina, pri čemu se procesi tretmana otpada kategorizuju ili kao odlaganje, uključujući </w:t>
      </w:r>
      <w:hyperlink r:id="rId29" w:history="1">
        <w:r w:rsidRPr="00505D75">
          <w:rPr>
            <w:rStyle w:val="Hyperlink"/>
            <w:rFonts w:ascii="Calibri" w:hAnsi="Calibri" w:cs="Calibri"/>
            <w:color w:val="auto"/>
            <w:szCs w:val="22"/>
            <w:u w:val="none"/>
          </w:rPr>
          <w:t>deponije</w:t>
        </w:r>
      </w:hyperlink>
      <w:r w:rsidRPr="00505D75">
        <w:rPr>
          <w:rFonts w:ascii="Calibri" w:hAnsi="Calibri" w:cs="Calibri"/>
          <w:szCs w:val="22"/>
        </w:rPr>
        <w:t xml:space="preserve"> i </w:t>
      </w:r>
      <w:hyperlink r:id="rId30" w:history="1">
        <w:r w:rsidRPr="00505D75">
          <w:rPr>
            <w:rStyle w:val="Hyperlink"/>
            <w:rFonts w:ascii="Calibri" w:hAnsi="Calibri" w:cs="Calibri"/>
            <w:color w:val="auto"/>
            <w:szCs w:val="22"/>
            <w:u w:val="none"/>
          </w:rPr>
          <w:t>spaljivanje</w:t>
        </w:r>
      </w:hyperlink>
      <w:r w:rsidRPr="00505D75">
        <w:rPr>
          <w:rFonts w:ascii="Calibri" w:hAnsi="Calibri" w:cs="Calibri"/>
          <w:szCs w:val="22"/>
        </w:rPr>
        <w:t xml:space="preserve"> bez rekuperacije energije) ili kao </w:t>
      </w:r>
      <w:hyperlink r:id="rId31" w:history="1">
        <w:r w:rsidRPr="00505D75">
          <w:rPr>
            <w:rStyle w:val="Hyperlink"/>
            <w:rFonts w:ascii="Calibri" w:hAnsi="Calibri" w:cs="Calibri"/>
            <w:color w:val="auto"/>
            <w:szCs w:val="22"/>
            <w:u w:val="none"/>
          </w:rPr>
          <w:t>rekuperacija</w:t>
        </w:r>
      </w:hyperlink>
      <w:r w:rsidRPr="00505D75">
        <w:rPr>
          <w:rFonts w:ascii="Calibri" w:hAnsi="Calibri" w:cs="Calibri"/>
          <w:szCs w:val="22"/>
        </w:rPr>
        <w:t xml:space="preserve">. Ovo uključuje, na primjer, </w:t>
      </w:r>
      <w:hyperlink r:id="rId32" w:history="1">
        <w:r w:rsidRPr="00505D75">
          <w:rPr>
            <w:rStyle w:val="Hyperlink"/>
            <w:rFonts w:ascii="Calibri" w:hAnsi="Calibri" w:cs="Calibri"/>
            <w:color w:val="auto"/>
            <w:szCs w:val="22"/>
            <w:u w:val="none"/>
          </w:rPr>
          <w:t>recikliranje</w:t>
        </w:r>
      </w:hyperlink>
      <w:r w:rsidRPr="00505D75">
        <w:rPr>
          <w:rFonts w:ascii="Calibri" w:hAnsi="Calibri" w:cs="Calibri"/>
          <w:szCs w:val="22"/>
        </w:rPr>
        <w:t xml:space="preserve"> materijala, kompostiranje i spaljivanje uz rekuperaciju energije. Podaci su prikazani </w:t>
      </w:r>
      <w:r w:rsidR="00EA704E" w:rsidRPr="00505D75">
        <w:rPr>
          <w:rFonts w:ascii="Calibri" w:hAnsi="Calibri" w:cs="Calibri"/>
          <w:szCs w:val="22"/>
        </w:rPr>
        <w:t xml:space="preserve">u Tabeli </w:t>
      </w:r>
      <w:r w:rsidR="00715D7C">
        <w:rPr>
          <w:rFonts w:ascii="Calibri" w:hAnsi="Calibri" w:cs="Calibri"/>
          <w:szCs w:val="22"/>
        </w:rPr>
        <w:t>5</w:t>
      </w:r>
      <w:r w:rsidRPr="00505D75">
        <w:rPr>
          <w:rFonts w:ascii="Calibri" w:hAnsi="Calibri" w:cs="Calibri"/>
          <w:szCs w:val="22"/>
        </w:rPr>
        <w:t xml:space="preserve"> i prikupljaju se svake </w:t>
      </w:r>
      <w:r>
        <w:rPr>
          <w:rFonts w:ascii="Calibri" w:hAnsi="Calibri" w:cs="Calibri"/>
          <w:color w:val="333333"/>
          <w:szCs w:val="22"/>
        </w:rPr>
        <w:t>druge godine.</w:t>
      </w:r>
    </w:p>
    <w:p w14:paraId="06F294B5" w14:textId="0F19AD82" w:rsidR="00776A7A" w:rsidRDefault="003F7412" w:rsidP="003F7412">
      <w:pPr>
        <w:pStyle w:val="NormalWeb"/>
        <w:shd w:val="clear" w:color="auto" w:fill="FFFFFF"/>
        <w:spacing w:before="0" w:after="105"/>
        <w:jc w:val="both"/>
        <w:rPr>
          <w:rFonts w:ascii="Calibri" w:hAnsi="Calibri" w:cs="Calibri"/>
          <w:color w:val="333333"/>
          <w:szCs w:val="22"/>
        </w:rPr>
      </w:pPr>
      <w:r>
        <w:rPr>
          <w:rFonts w:ascii="Calibri" w:hAnsi="Calibri" w:cs="Calibri"/>
          <w:color w:val="333333"/>
          <w:szCs w:val="22"/>
        </w:rPr>
        <w:t>U Turskoj je tretirani otpad 2018. godine više nego udvostručen u odnosu na 2008. godinu. U istom periodu, tretirani otpad u Sjevernoj Makedoniji opao je za 19,1 %. Od 2010. do 2018. godine, tretirani otpad se u Srbiji povećao za 53,8 %. U EU je došlo do povećanja obrađenog otpada za 11,3 % između 2008. i 2018. godine.</w:t>
      </w:r>
    </w:p>
    <w:p w14:paraId="49BB1137" w14:textId="7C0972EB" w:rsidR="00776A7A" w:rsidRDefault="00776A7A" w:rsidP="00776A7A">
      <w:pPr>
        <w:pStyle w:val="Caption"/>
        <w:keepNext/>
        <w:jc w:val="center"/>
        <w:rPr>
          <w:rFonts w:ascii="Calibri" w:hAnsi="Calibri" w:cs="Calibri"/>
          <w:color w:val="333333"/>
          <w:sz w:val="22"/>
          <w:szCs w:val="22"/>
        </w:rPr>
      </w:pPr>
      <w:bookmarkStart w:id="55" w:name="_Toc82415538"/>
      <w:r w:rsidRPr="003A5888">
        <w:rPr>
          <w:rFonts w:ascii="Calibri" w:hAnsi="Calibri"/>
          <w:sz w:val="22"/>
          <w:szCs w:val="22"/>
        </w:rPr>
        <w:t xml:space="preserve">Tabela </w:t>
      </w:r>
      <w:r w:rsidRPr="003A5888">
        <w:rPr>
          <w:rFonts w:ascii="Calibri" w:hAnsi="Calibri"/>
          <w:sz w:val="22"/>
          <w:szCs w:val="22"/>
        </w:rPr>
        <w:fldChar w:fldCharType="begin"/>
      </w:r>
      <w:r w:rsidRPr="003A5888">
        <w:rPr>
          <w:rFonts w:ascii="Calibri" w:hAnsi="Calibri"/>
          <w:sz w:val="22"/>
          <w:szCs w:val="22"/>
        </w:rPr>
        <w:instrText xml:space="preserve"> SEQ Table \* ARABIC </w:instrText>
      </w:r>
      <w:r w:rsidRPr="003A5888">
        <w:rPr>
          <w:rFonts w:ascii="Calibri" w:hAnsi="Calibri"/>
          <w:sz w:val="22"/>
          <w:szCs w:val="22"/>
        </w:rPr>
        <w:fldChar w:fldCharType="separate"/>
      </w:r>
      <w:r w:rsidR="002E7036">
        <w:rPr>
          <w:rFonts w:ascii="Calibri" w:hAnsi="Calibri"/>
          <w:noProof/>
          <w:sz w:val="22"/>
          <w:szCs w:val="22"/>
        </w:rPr>
        <w:t>5</w:t>
      </w:r>
      <w:r w:rsidRPr="003A5888">
        <w:rPr>
          <w:rFonts w:ascii="Calibri" w:hAnsi="Calibri"/>
          <w:sz w:val="22"/>
          <w:szCs w:val="22"/>
        </w:rPr>
        <w:fldChar w:fldCharType="end"/>
      </w:r>
      <w:r>
        <w:rPr>
          <w:rFonts w:ascii="Calibri" w:hAnsi="Calibri"/>
          <w:sz w:val="22"/>
          <w:szCs w:val="22"/>
        </w:rPr>
        <w:t xml:space="preserve"> </w:t>
      </w:r>
      <w:r w:rsidRPr="003A5888">
        <w:rPr>
          <w:rFonts w:ascii="Calibri" w:hAnsi="Calibri" w:cs="Calibri"/>
          <w:color w:val="333333"/>
          <w:sz w:val="22"/>
          <w:szCs w:val="22"/>
        </w:rPr>
        <w:t>Tretman otpada, u izabranim godinama, 2008-2018 (hiljadu tona)</w:t>
      </w:r>
      <w:bookmarkEnd w:id="55"/>
    </w:p>
    <w:tbl>
      <w:tblPr>
        <w:tblW w:w="5000" w:type="pct"/>
        <w:tblLook w:val="04A0" w:firstRow="1" w:lastRow="0" w:firstColumn="1" w:lastColumn="0" w:noHBand="0" w:noVBand="1"/>
      </w:tblPr>
      <w:tblGrid>
        <w:gridCol w:w="2450"/>
        <w:gridCol w:w="1096"/>
        <w:gridCol w:w="1096"/>
        <w:gridCol w:w="1096"/>
        <w:gridCol w:w="1096"/>
        <w:gridCol w:w="1096"/>
        <w:gridCol w:w="1096"/>
      </w:tblGrid>
      <w:tr w:rsidR="00C60A31" w:rsidRPr="00C60A31" w14:paraId="4A0229BC" w14:textId="77777777" w:rsidTr="000C55FA">
        <w:trPr>
          <w:trHeight w:val="240"/>
        </w:trPr>
        <w:tc>
          <w:tcPr>
            <w:tcW w:w="1357" w:type="pct"/>
            <w:tcBorders>
              <w:top w:val="single" w:sz="4" w:space="0" w:color="000000"/>
              <w:left w:val="nil"/>
              <w:bottom w:val="single" w:sz="4" w:space="0" w:color="000000"/>
              <w:right w:val="nil"/>
            </w:tcBorders>
            <w:shd w:val="clear" w:color="000000" w:fill="CEE1F4"/>
            <w:noWrap/>
            <w:vAlign w:val="center"/>
            <w:hideMark/>
          </w:tcPr>
          <w:p w14:paraId="58976A04" w14:textId="77777777" w:rsidR="00C60A31" w:rsidRPr="00C60A31" w:rsidRDefault="00C60A31" w:rsidP="00C60A31">
            <w:pPr>
              <w:suppressAutoHyphens w:val="0"/>
              <w:autoSpaceDN/>
              <w:spacing w:after="0"/>
              <w:jc w:val="center"/>
              <w:textAlignment w:val="auto"/>
              <w:rPr>
                <w:rFonts w:eastAsia="Times New Roman" w:cs="Arial"/>
                <w:b/>
                <w:bCs/>
                <w:color w:val="000000"/>
                <w:sz w:val="20"/>
                <w:lang w:val="en-US"/>
              </w:rPr>
            </w:pPr>
            <w:r w:rsidRPr="00C60A31">
              <w:rPr>
                <w:rFonts w:eastAsia="Times New Roman" w:cs="Arial"/>
                <w:b/>
                <w:bCs/>
                <w:color w:val="000000"/>
                <w:sz w:val="20"/>
                <w:lang w:val="en-US"/>
              </w:rPr>
              <w:t> </w:t>
            </w:r>
          </w:p>
        </w:tc>
        <w:tc>
          <w:tcPr>
            <w:tcW w:w="607" w:type="pct"/>
            <w:tcBorders>
              <w:top w:val="single" w:sz="4" w:space="0" w:color="000000"/>
              <w:left w:val="nil"/>
              <w:bottom w:val="single" w:sz="4" w:space="0" w:color="000000"/>
              <w:right w:val="nil"/>
            </w:tcBorders>
            <w:shd w:val="clear" w:color="000000" w:fill="CEE1F4"/>
            <w:noWrap/>
            <w:vAlign w:val="center"/>
            <w:hideMark/>
          </w:tcPr>
          <w:p w14:paraId="43CB12F7" w14:textId="77777777" w:rsidR="00C60A31" w:rsidRPr="00C60A31" w:rsidRDefault="00C60A31" w:rsidP="00C60A31">
            <w:pPr>
              <w:suppressAutoHyphens w:val="0"/>
              <w:autoSpaceDN/>
              <w:spacing w:after="0"/>
              <w:jc w:val="center"/>
              <w:textAlignment w:val="auto"/>
              <w:rPr>
                <w:rFonts w:eastAsia="Times New Roman" w:cs="Arial"/>
                <w:b/>
                <w:bCs/>
                <w:color w:val="000000"/>
                <w:sz w:val="20"/>
                <w:lang w:val="en-US"/>
              </w:rPr>
            </w:pPr>
            <w:r w:rsidRPr="00C60A31">
              <w:rPr>
                <w:rFonts w:eastAsia="Times New Roman" w:cs="Arial"/>
                <w:b/>
                <w:bCs/>
                <w:color w:val="000000"/>
                <w:sz w:val="20"/>
                <w:lang w:val="en-US"/>
              </w:rPr>
              <w:t>2008</w:t>
            </w:r>
          </w:p>
        </w:tc>
        <w:tc>
          <w:tcPr>
            <w:tcW w:w="607" w:type="pct"/>
            <w:tcBorders>
              <w:top w:val="single" w:sz="4" w:space="0" w:color="000000"/>
              <w:left w:val="nil"/>
              <w:bottom w:val="single" w:sz="4" w:space="0" w:color="000000"/>
              <w:right w:val="nil"/>
            </w:tcBorders>
            <w:shd w:val="clear" w:color="000000" w:fill="CEE1F4"/>
            <w:noWrap/>
            <w:vAlign w:val="center"/>
            <w:hideMark/>
          </w:tcPr>
          <w:p w14:paraId="60A35CB4" w14:textId="77777777" w:rsidR="00C60A31" w:rsidRPr="00C60A31" w:rsidRDefault="00C60A31" w:rsidP="00C60A31">
            <w:pPr>
              <w:suppressAutoHyphens w:val="0"/>
              <w:autoSpaceDN/>
              <w:spacing w:after="0"/>
              <w:jc w:val="center"/>
              <w:textAlignment w:val="auto"/>
              <w:rPr>
                <w:rFonts w:eastAsia="Times New Roman" w:cs="Arial"/>
                <w:b/>
                <w:bCs/>
                <w:color w:val="000000"/>
                <w:sz w:val="20"/>
                <w:lang w:val="en-US"/>
              </w:rPr>
            </w:pPr>
            <w:r w:rsidRPr="00C60A31">
              <w:rPr>
                <w:rFonts w:eastAsia="Times New Roman" w:cs="Arial"/>
                <w:b/>
                <w:bCs/>
                <w:color w:val="000000"/>
                <w:sz w:val="20"/>
                <w:lang w:val="en-US"/>
              </w:rPr>
              <w:t>2010</w:t>
            </w:r>
          </w:p>
        </w:tc>
        <w:tc>
          <w:tcPr>
            <w:tcW w:w="607" w:type="pct"/>
            <w:tcBorders>
              <w:top w:val="single" w:sz="4" w:space="0" w:color="000000"/>
              <w:left w:val="nil"/>
              <w:bottom w:val="single" w:sz="4" w:space="0" w:color="000000"/>
              <w:right w:val="nil"/>
            </w:tcBorders>
            <w:shd w:val="clear" w:color="000000" w:fill="CEE1F4"/>
            <w:noWrap/>
            <w:vAlign w:val="center"/>
            <w:hideMark/>
          </w:tcPr>
          <w:p w14:paraId="76285076" w14:textId="77777777" w:rsidR="00C60A31" w:rsidRPr="00C60A31" w:rsidRDefault="00C60A31" w:rsidP="00C60A31">
            <w:pPr>
              <w:suppressAutoHyphens w:val="0"/>
              <w:autoSpaceDN/>
              <w:spacing w:after="0"/>
              <w:jc w:val="center"/>
              <w:textAlignment w:val="auto"/>
              <w:rPr>
                <w:rFonts w:eastAsia="Times New Roman" w:cs="Arial"/>
                <w:b/>
                <w:bCs/>
                <w:color w:val="000000"/>
                <w:sz w:val="20"/>
                <w:lang w:val="en-US"/>
              </w:rPr>
            </w:pPr>
            <w:r w:rsidRPr="00C60A31">
              <w:rPr>
                <w:rFonts w:eastAsia="Times New Roman" w:cs="Arial"/>
                <w:b/>
                <w:bCs/>
                <w:color w:val="000000"/>
                <w:sz w:val="20"/>
                <w:lang w:val="en-US"/>
              </w:rPr>
              <w:t>2012</w:t>
            </w:r>
          </w:p>
        </w:tc>
        <w:tc>
          <w:tcPr>
            <w:tcW w:w="607" w:type="pct"/>
            <w:tcBorders>
              <w:top w:val="single" w:sz="4" w:space="0" w:color="000000"/>
              <w:left w:val="single" w:sz="4" w:space="0" w:color="C0C0C0"/>
              <w:bottom w:val="single" w:sz="4" w:space="0" w:color="000000"/>
              <w:right w:val="nil"/>
            </w:tcBorders>
            <w:shd w:val="clear" w:color="000000" w:fill="CEE1F4"/>
            <w:noWrap/>
            <w:vAlign w:val="center"/>
            <w:hideMark/>
          </w:tcPr>
          <w:p w14:paraId="03A3AE5D" w14:textId="77777777" w:rsidR="00C60A31" w:rsidRPr="00C60A31" w:rsidRDefault="00C60A31" w:rsidP="00C60A31">
            <w:pPr>
              <w:suppressAutoHyphens w:val="0"/>
              <w:autoSpaceDN/>
              <w:spacing w:after="0"/>
              <w:jc w:val="center"/>
              <w:textAlignment w:val="auto"/>
              <w:rPr>
                <w:rFonts w:eastAsia="Times New Roman" w:cs="Arial"/>
                <w:b/>
                <w:bCs/>
                <w:color w:val="000000"/>
                <w:sz w:val="20"/>
                <w:lang w:val="en-US"/>
              </w:rPr>
            </w:pPr>
            <w:r w:rsidRPr="00C60A31">
              <w:rPr>
                <w:rFonts w:eastAsia="Times New Roman" w:cs="Arial"/>
                <w:b/>
                <w:bCs/>
                <w:color w:val="000000"/>
                <w:sz w:val="20"/>
                <w:lang w:val="en-US"/>
              </w:rPr>
              <w:t>2014</w:t>
            </w:r>
          </w:p>
        </w:tc>
        <w:tc>
          <w:tcPr>
            <w:tcW w:w="607" w:type="pct"/>
            <w:tcBorders>
              <w:top w:val="single" w:sz="4" w:space="0" w:color="000000"/>
              <w:left w:val="nil"/>
              <w:bottom w:val="single" w:sz="4" w:space="0" w:color="000000"/>
              <w:right w:val="nil"/>
            </w:tcBorders>
            <w:shd w:val="clear" w:color="000000" w:fill="CEE1F4"/>
            <w:noWrap/>
            <w:vAlign w:val="center"/>
            <w:hideMark/>
          </w:tcPr>
          <w:p w14:paraId="3964E40D" w14:textId="77777777" w:rsidR="00C60A31" w:rsidRPr="00C60A31" w:rsidRDefault="00C60A31" w:rsidP="00C60A31">
            <w:pPr>
              <w:suppressAutoHyphens w:val="0"/>
              <w:autoSpaceDN/>
              <w:spacing w:after="0"/>
              <w:jc w:val="center"/>
              <w:textAlignment w:val="auto"/>
              <w:rPr>
                <w:rFonts w:eastAsia="Times New Roman" w:cs="Arial"/>
                <w:b/>
                <w:bCs/>
                <w:color w:val="000000"/>
                <w:sz w:val="20"/>
                <w:lang w:val="en-US"/>
              </w:rPr>
            </w:pPr>
            <w:r w:rsidRPr="00C60A31">
              <w:rPr>
                <w:rFonts w:eastAsia="Times New Roman" w:cs="Arial"/>
                <w:b/>
                <w:bCs/>
                <w:color w:val="000000"/>
                <w:sz w:val="20"/>
                <w:lang w:val="en-US"/>
              </w:rPr>
              <w:t>2016</w:t>
            </w:r>
          </w:p>
        </w:tc>
        <w:tc>
          <w:tcPr>
            <w:tcW w:w="607" w:type="pct"/>
            <w:tcBorders>
              <w:top w:val="single" w:sz="4" w:space="0" w:color="000000"/>
              <w:left w:val="nil"/>
              <w:bottom w:val="single" w:sz="4" w:space="0" w:color="000000"/>
              <w:right w:val="nil"/>
            </w:tcBorders>
            <w:shd w:val="clear" w:color="000000" w:fill="CEE1F4"/>
            <w:noWrap/>
            <w:vAlign w:val="center"/>
            <w:hideMark/>
          </w:tcPr>
          <w:p w14:paraId="6E8D9E63" w14:textId="77777777" w:rsidR="00C60A31" w:rsidRPr="00C60A31" w:rsidRDefault="00C60A31" w:rsidP="00C60A31">
            <w:pPr>
              <w:suppressAutoHyphens w:val="0"/>
              <w:autoSpaceDN/>
              <w:spacing w:after="0"/>
              <w:jc w:val="center"/>
              <w:textAlignment w:val="auto"/>
              <w:rPr>
                <w:rFonts w:eastAsia="Times New Roman" w:cs="Arial"/>
                <w:b/>
                <w:bCs/>
                <w:color w:val="000000"/>
                <w:sz w:val="20"/>
                <w:lang w:val="en-US"/>
              </w:rPr>
            </w:pPr>
            <w:r w:rsidRPr="00C60A31">
              <w:rPr>
                <w:rFonts w:eastAsia="Times New Roman" w:cs="Arial"/>
                <w:b/>
                <w:bCs/>
                <w:color w:val="000000"/>
                <w:sz w:val="20"/>
                <w:lang w:val="en-US"/>
              </w:rPr>
              <w:t>2018</w:t>
            </w:r>
          </w:p>
        </w:tc>
      </w:tr>
      <w:tr w:rsidR="00C60A31" w:rsidRPr="00C60A31" w14:paraId="5DF4BE1F" w14:textId="77777777" w:rsidTr="000C55FA">
        <w:trPr>
          <w:trHeight w:val="240"/>
        </w:trPr>
        <w:tc>
          <w:tcPr>
            <w:tcW w:w="1357" w:type="pct"/>
            <w:tcBorders>
              <w:top w:val="nil"/>
              <w:left w:val="nil"/>
              <w:bottom w:val="single" w:sz="4" w:space="0" w:color="000000"/>
              <w:right w:val="nil"/>
            </w:tcBorders>
            <w:shd w:val="clear" w:color="000000" w:fill="9FC5EA"/>
            <w:noWrap/>
            <w:vAlign w:val="center"/>
            <w:hideMark/>
          </w:tcPr>
          <w:p w14:paraId="5007EF2E" w14:textId="77777777" w:rsidR="00C60A31" w:rsidRPr="00C60A31" w:rsidRDefault="00C60A31" w:rsidP="00C60A31">
            <w:pPr>
              <w:suppressAutoHyphens w:val="0"/>
              <w:autoSpaceDN/>
              <w:spacing w:after="0"/>
              <w:textAlignment w:val="auto"/>
              <w:rPr>
                <w:rFonts w:eastAsia="Times New Roman" w:cs="Arial"/>
                <w:b/>
                <w:bCs/>
                <w:color w:val="000000"/>
                <w:sz w:val="20"/>
                <w:lang w:val="en-US"/>
              </w:rPr>
            </w:pPr>
            <w:r w:rsidRPr="00C60A31">
              <w:rPr>
                <w:rFonts w:eastAsia="Times New Roman" w:cs="Arial"/>
                <w:b/>
                <w:bCs/>
                <w:color w:val="000000"/>
                <w:sz w:val="20"/>
                <w:lang w:val="en-US"/>
              </w:rPr>
              <w:t>EU</w:t>
            </w:r>
          </w:p>
        </w:tc>
        <w:tc>
          <w:tcPr>
            <w:tcW w:w="607" w:type="pct"/>
            <w:tcBorders>
              <w:top w:val="nil"/>
              <w:left w:val="nil"/>
              <w:bottom w:val="single" w:sz="4" w:space="0" w:color="000000"/>
              <w:right w:val="nil"/>
            </w:tcBorders>
            <w:shd w:val="clear" w:color="000000" w:fill="9FC5EA"/>
            <w:noWrap/>
            <w:vAlign w:val="center"/>
            <w:hideMark/>
          </w:tcPr>
          <w:p w14:paraId="5B6FA867"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1,949,520 </w:t>
            </w:r>
          </w:p>
        </w:tc>
        <w:tc>
          <w:tcPr>
            <w:tcW w:w="607" w:type="pct"/>
            <w:tcBorders>
              <w:top w:val="nil"/>
              <w:left w:val="nil"/>
              <w:bottom w:val="single" w:sz="4" w:space="0" w:color="000000"/>
              <w:right w:val="nil"/>
            </w:tcBorders>
            <w:shd w:val="clear" w:color="000000" w:fill="9FC5EA"/>
            <w:noWrap/>
            <w:vAlign w:val="center"/>
            <w:hideMark/>
          </w:tcPr>
          <w:p w14:paraId="659C5873"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2,030,050 </w:t>
            </w:r>
          </w:p>
        </w:tc>
        <w:tc>
          <w:tcPr>
            <w:tcW w:w="607" w:type="pct"/>
            <w:tcBorders>
              <w:top w:val="nil"/>
              <w:left w:val="nil"/>
              <w:bottom w:val="single" w:sz="4" w:space="0" w:color="000000"/>
              <w:right w:val="nil"/>
            </w:tcBorders>
            <w:shd w:val="clear" w:color="000000" w:fill="9FC5EA"/>
            <w:noWrap/>
            <w:vAlign w:val="center"/>
            <w:hideMark/>
          </w:tcPr>
          <w:p w14:paraId="39FA163C"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2,111,770 </w:t>
            </w:r>
          </w:p>
        </w:tc>
        <w:tc>
          <w:tcPr>
            <w:tcW w:w="607" w:type="pct"/>
            <w:tcBorders>
              <w:top w:val="nil"/>
              <w:left w:val="nil"/>
              <w:bottom w:val="single" w:sz="4" w:space="0" w:color="000000"/>
              <w:right w:val="nil"/>
            </w:tcBorders>
            <w:shd w:val="clear" w:color="000000" w:fill="9FC5EA"/>
            <w:noWrap/>
            <w:vAlign w:val="center"/>
            <w:hideMark/>
          </w:tcPr>
          <w:p w14:paraId="4A33C933"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2,111,450 </w:t>
            </w:r>
          </w:p>
        </w:tc>
        <w:tc>
          <w:tcPr>
            <w:tcW w:w="607" w:type="pct"/>
            <w:tcBorders>
              <w:top w:val="nil"/>
              <w:left w:val="nil"/>
              <w:bottom w:val="single" w:sz="4" w:space="0" w:color="000000"/>
              <w:right w:val="nil"/>
            </w:tcBorders>
            <w:shd w:val="clear" w:color="000000" w:fill="9FC5EA"/>
            <w:noWrap/>
            <w:vAlign w:val="center"/>
            <w:hideMark/>
          </w:tcPr>
          <w:p w14:paraId="3FBA755B"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2,097,150 </w:t>
            </w:r>
          </w:p>
        </w:tc>
        <w:tc>
          <w:tcPr>
            <w:tcW w:w="607" w:type="pct"/>
            <w:tcBorders>
              <w:top w:val="nil"/>
              <w:left w:val="nil"/>
              <w:bottom w:val="single" w:sz="4" w:space="0" w:color="000000"/>
              <w:right w:val="nil"/>
            </w:tcBorders>
            <w:shd w:val="clear" w:color="000000" w:fill="9FC5EA"/>
            <w:noWrap/>
            <w:vAlign w:val="center"/>
            <w:hideMark/>
          </w:tcPr>
          <w:p w14:paraId="6F34F700"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2,168,860 </w:t>
            </w:r>
          </w:p>
        </w:tc>
      </w:tr>
      <w:tr w:rsidR="00C60A31" w:rsidRPr="00C60A31" w14:paraId="3042BC17" w14:textId="77777777" w:rsidTr="000C55FA">
        <w:trPr>
          <w:trHeight w:val="240"/>
        </w:trPr>
        <w:tc>
          <w:tcPr>
            <w:tcW w:w="1357" w:type="pct"/>
            <w:tcBorders>
              <w:top w:val="nil"/>
              <w:left w:val="nil"/>
              <w:bottom w:val="single" w:sz="4" w:space="0" w:color="C0C0C0"/>
              <w:right w:val="nil"/>
            </w:tcBorders>
            <w:shd w:val="clear" w:color="auto" w:fill="auto"/>
            <w:noWrap/>
            <w:vAlign w:val="center"/>
            <w:hideMark/>
          </w:tcPr>
          <w:p w14:paraId="112EA6AC" w14:textId="77777777" w:rsidR="00C60A31" w:rsidRPr="00C60A31" w:rsidRDefault="00C60A31" w:rsidP="00C60A31">
            <w:pPr>
              <w:suppressAutoHyphens w:val="0"/>
              <w:autoSpaceDN/>
              <w:spacing w:after="0"/>
              <w:textAlignment w:val="auto"/>
              <w:rPr>
                <w:rFonts w:eastAsia="Times New Roman" w:cs="Arial"/>
                <w:b/>
                <w:bCs/>
                <w:sz w:val="20"/>
                <w:lang w:val="en-US"/>
              </w:rPr>
            </w:pPr>
            <w:r w:rsidRPr="00C60A31">
              <w:rPr>
                <w:rFonts w:eastAsia="Times New Roman" w:cs="Arial"/>
                <w:b/>
                <w:bCs/>
                <w:sz w:val="20"/>
                <w:lang w:val="en-US"/>
              </w:rPr>
              <w:t>Crna Gora (¹)</w:t>
            </w:r>
          </w:p>
        </w:tc>
        <w:tc>
          <w:tcPr>
            <w:tcW w:w="607" w:type="pct"/>
            <w:tcBorders>
              <w:top w:val="nil"/>
              <w:left w:val="nil"/>
              <w:bottom w:val="single" w:sz="4" w:space="0" w:color="C0C0C0"/>
              <w:right w:val="nil"/>
            </w:tcBorders>
            <w:shd w:val="clear" w:color="auto" w:fill="auto"/>
            <w:noWrap/>
            <w:vAlign w:val="center"/>
            <w:hideMark/>
          </w:tcPr>
          <w:p w14:paraId="45BCCE2E"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nil"/>
              <w:left w:val="nil"/>
              <w:bottom w:val="single" w:sz="4" w:space="0" w:color="C0C0C0"/>
              <w:right w:val="nil"/>
            </w:tcBorders>
            <w:shd w:val="clear" w:color="auto" w:fill="auto"/>
            <w:noWrap/>
            <w:vAlign w:val="center"/>
            <w:hideMark/>
          </w:tcPr>
          <w:p w14:paraId="773E8F4D"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nil"/>
              <w:left w:val="nil"/>
              <w:bottom w:val="single" w:sz="4" w:space="0" w:color="C0C0C0"/>
              <w:right w:val="nil"/>
            </w:tcBorders>
            <w:shd w:val="clear" w:color="auto" w:fill="auto"/>
            <w:noWrap/>
            <w:vAlign w:val="center"/>
            <w:hideMark/>
          </w:tcPr>
          <w:p w14:paraId="360C7FF3"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nil"/>
              <w:left w:val="nil"/>
              <w:bottom w:val="single" w:sz="4" w:space="0" w:color="C0C0C0"/>
              <w:right w:val="nil"/>
            </w:tcBorders>
            <w:shd w:val="clear" w:color="auto" w:fill="auto"/>
            <w:noWrap/>
            <w:vAlign w:val="center"/>
            <w:hideMark/>
          </w:tcPr>
          <w:p w14:paraId="1895543D"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952 </w:t>
            </w:r>
          </w:p>
        </w:tc>
        <w:tc>
          <w:tcPr>
            <w:tcW w:w="607" w:type="pct"/>
            <w:tcBorders>
              <w:top w:val="nil"/>
              <w:left w:val="nil"/>
              <w:bottom w:val="single" w:sz="4" w:space="0" w:color="C0C0C0"/>
              <w:right w:val="nil"/>
            </w:tcBorders>
            <w:shd w:val="clear" w:color="auto" w:fill="auto"/>
            <w:noWrap/>
            <w:vAlign w:val="center"/>
            <w:hideMark/>
          </w:tcPr>
          <w:p w14:paraId="33CD5C29"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964 </w:t>
            </w:r>
          </w:p>
        </w:tc>
        <w:tc>
          <w:tcPr>
            <w:tcW w:w="607" w:type="pct"/>
            <w:tcBorders>
              <w:top w:val="nil"/>
              <w:left w:val="nil"/>
              <w:bottom w:val="single" w:sz="4" w:space="0" w:color="C0C0C0"/>
              <w:right w:val="nil"/>
            </w:tcBorders>
            <w:shd w:val="clear" w:color="auto" w:fill="auto"/>
            <w:noWrap/>
            <w:vAlign w:val="center"/>
            <w:hideMark/>
          </w:tcPr>
          <w:p w14:paraId="68556CFB" w14:textId="77777777" w:rsidR="00C60A31" w:rsidRPr="00C60A31" w:rsidRDefault="00C60A31" w:rsidP="00C60A31">
            <w:pPr>
              <w:suppressAutoHyphens w:val="0"/>
              <w:autoSpaceDN/>
              <w:spacing w:after="0"/>
              <w:jc w:val="right"/>
              <w:textAlignment w:val="auto"/>
              <w:rPr>
                <w:rFonts w:eastAsia="Times New Roman" w:cs="Arial"/>
                <w:i/>
                <w:iCs/>
                <w:sz w:val="20"/>
                <w:lang w:val="en-US"/>
              </w:rPr>
            </w:pPr>
            <w:r w:rsidRPr="00C60A31">
              <w:rPr>
                <w:rFonts w:eastAsia="Times New Roman" w:cs="Arial"/>
                <w:i/>
                <w:iCs/>
                <w:sz w:val="20"/>
                <w:lang w:val="en-US"/>
              </w:rPr>
              <w:t xml:space="preserve">692 </w:t>
            </w:r>
          </w:p>
        </w:tc>
      </w:tr>
      <w:tr w:rsidR="00C60A31" w:rsidRPr="00C60A31" w14:paraId="7852527E" w14:textId="77777777" w:rsidTr="000C55FA">
        <w:trPr>
          <w:trHeight w:val="240"/>
        </w:trPr>
        <w:tc>
          <w:tcPr>
            <w:tcW w:w="1357" w:type="pct"/>
            <w:tcBorders>
              <w:top w:val="nil"/>
              <w:left w:val="nil"/>
              <w:bottom w:val="single" w:sz="4" w:space="0" w:color="C0C0C0"/>
              <w:right w:val="nil"/>
            </w:tcBorders>
            <w:shd w:val="clear" w:color="auto" w:fill="auto"/>
            <w:noWrap/>
            <w:vAlign w:val="center"/>
            <w:hideMark/>
          </w:tcPr>
          <w:p w14:paraId="0B368F35" w14:textId="77777777" w:rsidR="00C60A31" w:rsidRPr="00C60A31" w:rsidRDefault="00C60A31" w:rsidP="00C60A31">
            <w:pPr>
              <w:suppressAutoHyphens w:val="0"/>
              <w:autoSpaceDN/>
              <w:spacing w:after="0"/>
              <w:textAlignment w:val="auto"/>
              <w:rPr>
                <w:rFonts w:eastAsia="Times New Roman" w:cs="Arial"/>
                <w:b/>
                <w:bCs/>
                <w:sz w:val="20"/>
                <w:lang w:val="en-US"/>
              </w:rPr>
            </w:pPr>
            <w:r w:rsidRPr="00C60A31">
              <w:rPr>
                <w:rFonts w:eastAsia="Times New Roman" w:cs="Arial"/>
                <w:b/>
                <w:bCs/>
                <w:sz w:val="20"/>
                <w:lang w:val="en-US"/>
              </w:rPr>
              <w:t>Sjeverna Makedonija</w:t>
            </w:r>
          </w:p>
        </w:tc>
        <w:tc>
          <w:tcPr>
            <w:tcW w:w="607" w:type="pct"/>
            <w:tcBorders>
              <w:top w:val="nil"/>
              <w:left w:val="nil"/>
              <w:bottom w:val="single" w:sz="4" w:space="0" w:color="C0C0C0"/>
              <w:right w:val="nil"/>
            </w:tcBorders>
            <w:shd w:val="clear" w:color="auto" w:fill="auto"/>
            <w:noWrap/>
            <w:vAlign w:val="center"/>
            <w:hideMark/>
          </w:tcPr>
          <w:p w14:paraId="4720975B"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1,503 </w:t>
            </w:r>
          </w:p>
        </w:tc>
        <w:tc>
          <w:tcPr>
            <w:tcW w:w="607" w:type="pct"/>
            <w:tcBorders>
              <w:top w:val="nil"/>
              <w:left w:val="nil"/>
              <w:bottom w:val="single" w:sz="4" w:space="0" w:color="C0C0C0"/>
              <w:right w:val="nil"/>
            </w:tcBorders>
            <w:shd w:val="clear" w:color="auto" w:fill="auto"/>
            <w:noWrap/>
            <w:vAlign w:val="center"/>
            <w:hideMark/>
          </w:tcPr>
          <w:p w14:paraId="485B5340"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2,106 </w:t>
            </w:r>
          </w:p>
        </w:tc>
        <w:tc>
          <w:tcPr>
            <w:tcW w:w="607" w:type="pct"/>
            <w:tcBorders>
              <w:top w:val="nil"/>
              <w:left w:val="nil"/>
              <w:bottom w:val="single" w:sz="4" w:space="0" w:color="C0C0C0"/>
              <w:right w:val="nil"/>
            </w:tcBorders>
            <w:shd w:val="clear" w:color="auto" w:fill="auto"/>
            <w:noWrap/>
            <w:vAlign w:val="center"/>
            <w:hideMark/>
          </w:tcPr>
          <w:p w14:paraId="7295AC3E"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9,023 </w:t>
            </w:r>
          </w:p>
        </w:tc>
        <w:tc>
          <w:tcPr>
            <w:tcW w:w="607" w:type="pct"/>
            <w:tcBorders>
              <w:top w:val="nil"/>
              <w:left w:val="nil"/>
              <w:bottom w:val="single" w:sz="4" w:space="0" w:color="C0C0C0"/>
              <w:right w:val="nil"/>
            </w:tcBorders>
            <w:shd w:val="clear" w:color="auto" w:fill="auto"/>
            <w:noWrap/>
            <w:vAlign w:val="center"/>
            <w:hideMark/>
          </w:tcPr>
          <w:p w14:paraId="72FDB93C"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1,499 </w:t>
            </w:r>
          </w:p>
        </w:tc>
        <w:tc>
          <w:tcPr>
            <w:tcW w:w="607" w:type="pct"/>
            <w:tcBorders>
              <w:top w:val="nil"/>
              <w:left w:val="nil"/>
              <w:bottom w:val="single" w:sz="4" w:space="0" w:color="C0C0C0"/>
              <w:right w:val="nil"/>
            </w:tcBorders>
            <w:shd w:val="clear" w:color="auto" w:fill="auto"/>
            <w:noWrap/>
            <w:vAlign w:val="center"/>
            <w:hideMark/>
          </w:tcPr>
          <w:p w14:paraId="0AB83699"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nil"/>
              <w:left w:val="nil"/>
              <w:bottom w:val="single" w:sz="4" w:space="0" w:color="C0C0C0"/>
              <w:right w:val="nil"/>
            </w:tcBorders>
            <w:shd w:val="clear" w:color="auto" w:fill="auto"/>
            <w:noWrap/>
            <w:vAlign w:val="center"/>
            <w:hideMark/>
          </w:tcPr>
          <w:p w14:paraId="5813528A"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1,216 </w:t>
            </w:r>
          </w:p>
        </w:tc>
      </w:tr>
      <w:tr w:rsidR="00C60A31" w:rsidRPr="00C60A31" w14:paraId="5B2A72C3" w14:textId="77777777" w:rsidTr="000C55FA">
        <w:trPr>
          <w:trHeight w:val="240"/>
        </w:trPr>
        <w:tc>
          <w:tcPr>
            <w:tcW w:w="1357" w:type="pct"/>
            <w:tcBorders>
              <w:top w:val="nil"/>
              <w:left w:val="nil"/>
              <w:bottom w:val="single" w:sz="4" w:space="0" w:color="C0C0C0"/>
              <w:right w:val="nil"/>
            </w:tcBorders>
            <w:shd w:val="clear" w:color="auto" w:fill="auto"/>
            <w:noWrap/>
            <w:vAlign w:val="center"/>
            <w:hideMark/>
          </w:tcPr>
          <w:p w14:paraId="0933AE3A" w14:textId="77777777" w:rsidR="00C60A31" w:rsidRPr="00C60A31" w:rsidRDefault="00C60A31" w:rsidP="00C60A31">
            <w:pPr>
              <w:suppressAutoHyphens w:val="0"/>
              <w:autoSpaceDN/>
              <w:spacing w:after="0"/>
              <w:textAlignment w:val="auto"/>
              <w:rPr>
                <w:rFonts w:eastAsia="Times New Roman" w:cs="Arial"/>
                <w:b/>
                <w:bCs/>
                <w:sz w:val="20"/>
                <w:lang w:val="en-US"/>
              </w:rPr>
            </w:pPr>
            <w:r w:rsidRPr="00C60A31">
              <w:rPr>
                <w:rFonts w:eastAsia="Times New Roman" w:cs="Arial"/>
                <w:b/>
                <w:bCs/>
                <w:sz w:val="20"/>
                <w:lang w:val="en-US"/>
              </w:rPr>
              <w:t>Albanija</w:t>
            </w:r>
          </w:p>
        </w:tc>
        <w:tc>
          <w:tcPr>
            <w:tcW w:w="607" w:type="pct"/>
            <w:tcBorders>
              <w:top w:val="nil"/>
              <w:left w:val="nil"/>
              <w:bottom w:val="single" w:sz="4" w:space="0" w:color="C0C0C0"/>
              <w:right w:val="nil"/>
            </w:tcBorders>
            <w:shd w:val="clear" w:color="auto" w:fill="auto"/>
            <w:noWrap/>
            <w:vAlign w:val="center"/>
            <w:hideMark/>
          </w:tcPr>
          <w:p w14:paraId="1EAFA3B1"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nil"/>
              <w:left w:val="nil"/>
              <w:bottom w:val="single" w:sz="4" w:space="0" w:color="C0C0C0"/>
              <w:right w:val="nil"/>
            </w:tcBorders>
            <w:shd w:val="clear" w:color="auto" w:fill="auto"/>
            <w:noWrap/>
            <w:vAlign w:val="center"/>
            <w:hideMark/>
          </w:tcPr>
          <w:p w14:paraId="53276EC1"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nil"/>
              <w:left w:val="nil"/>
              <w:bottom w:val="single" w:sz="4" w:space="0" w:color="C0C0C0"/>
              <w:right w:val="nil"/>
            </w:tcBorders>
            <w:shd w:val="clear" w:color="auto" w:fill="auto"/>
            <w:noWrap/>
            <w:vAlign w:val="center"/>
            <w:hideMark/>
          </w:tcPr>
          <w:p w14:paraId="2AD0B775"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nil"/>
              <w:left w:val="nil"/>
              <w:bottom w:val="single" w:sz="4" w:space="0" w:color="C0C0C0"/>
              <w:right w:val="nil"/>
            </w:tcBorders>
            <w:shd w:val="clear" w:color="auto" w:fill="auto"/>
            <w:noWrap/>
            <w:vAlign w:val="center"/>
            <w:hideMark/>
          </w:tcPr>
          <w:p w14:paraId="241AD913"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1,229 </w:t>
            </w:r>
          </w:p>
        </w:tc>
        <w:tc>
          <w:tcPr>
            <w:tcW w:w="607" w:type="pct"/>
            <w:tcBorders>
              <w:top w:val="nil"/>
              <w:left w:val="nil"/>
              <w:bottom w:val="single" w:sz="4" w:space="0" w:color="C0C0C0"/>
              <w:right w:val="nil"/>
            </w:tcBorders>
            <w:shd w:val="clear" w:color="auto" w:fill="auto"/>
            <w:noWrap/>
            <w:vAlign w:val="center"/>
            <w:hideMark/>
          </w:tcPr>
          <w:p w14:paraId="35067203"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nil"/>
              <w:left w:val="nil"/>
              <w:bottom w:val="single" w:sz="4" w:space="0" w:color="C0C0C0"/>
              <w:right w:val="nil"/>
            </w:tcBorders>
            <w:shd w:val="clear" w:color="auto" w:fill="auto"/>
            <w:noWrap/>
            <w:vAlign w:val="center"/>
            <w:hideMark/>
          </w:tcPr>
          <w:p w14:paraId="5350BB33"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r>
      <w:tr w:rsidR="00C60A31" w:rsidRPr="00C60A31" w14:paraId="51D25DDB" w14:textId="77777777" w:rsidTr="000C55FA">
        <w:trPr>
          <w:trHeight w:val="240"/>
        </w:trPr>
        <w:tc>
          <w:tcPr>
            <w:tcW w:w="1357" w:type="pct"/>
            <w:tcBorders>
              <w:top w:val="nil"/>
              <w:left w:val="nil"/>
              <w:bottom w:val="nil"/>
              <w:right w:val="nil"/>
            </w:tcBorders>
            <w:shd w:val="clear" w:color="auto" w:fill="auto"/>
            <w:noWrap/>
            <w:vAlign w:val="center"/>
            <w:hideMark/>
          </w:tcPr>
          <w:p w14:paraId="06817783" w14:textId="77777777" w:rsidR="00C60A31" w:rsidRPr="00C60A31" w:rsidRDefault="00C60A31" w:rsidP="00C60A31">
            <w:pPr>
              <w:suppressAutoHyphens w:val="0"/>
              <w:autoSpaceDN/>
              <w:spacing w:after="0"/>
              <w:textAlignment w:val="auto"/>
              <w:rPr>
                <w:rFonts w:eastAsia="Times New Roman" w:cs="Arial"/>
                <w:b/>
                <w:bCs/>
                <w:sz w:val="20"/>
                <w:lang w:val="en-US"/>
              </w:rPr>
            </w:pPr>
            <w:r w:rsidRPr="00C60A31">
              <w:rPr>
                <w:rFonts w:eastAsia="Times New Roman" w:cs="Arial"/>
                <w:b/>
                <w:bCs/>
                <w:sz w:val="20"/>
                <w:lang w:val="en-US"/>
              </w:rPr>
              <w:t>Srbija</w:t>
            </w:r>
          </w:p>
        </w:tc>
        <w:tc>
          <w:tcPr>
            <w:tcW w:w="607" w:type="pct"/>
            <w:tcBorders>
              <w:top w:val="nil"/>
              <w:left w:val="nil"/>
              <w:bottom w:val="nil"/>
              <w:right w:val="nil"/>
            </w:tcBorders>
            <w:shd w:val="clear" w:color="auto" w:fill="auto"/>
            <w:noWrap/>
            <w:vAlign w:val="center"/>
            <w:hideMark/>
          </w:tcPr>
          <w:p w14:paraId="2FD299CF"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nil"/>
              <w:left w:val="nil"/>
              <w:bottom w:val="nil"/>
              <w:right w:val="nil"/>
            </w:tcBorders>
            <w:shd w:val="clear" w:color="auto" w:fill="auto"/>
            <w:noWrap/>
            <w:vAlign w:val="center"/>
            <w:hideMark/>
          </w:tcPr>
          <w:p w14:paraId="3D635D09"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33,146 </w:t>
            </w:r>
          </w:p>
        </w:tc>
        <w:tc>
          <w:tcPr>
            <w:tcW w:w="607" w:type="pct"/>
            <w:tcBorders>
              <w:top w:val="nil"/>
              <w:left w:val="nil"/>
              <w:bottom w:val="nil"/>
              <w:right w:val="nil"/>
            </w:tcBorders>
            <w:shd w:val="clear" w:color="auto" w:fill="auto"/>
            <w:noWrap/>
            <w:vAlign w:val="center"/>
            <w:hideMark/>
          </w:tcPr>
          <w:p w14:paraId="27F4FD02"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55,023 </w:t>
            </w:r>
          </w:p>
        </w:tc>
        <w:tc>
          <w:tcPr>
            <w:tcW w:w="607" w:type="pct"/>
            <w:tcBorders>
              <w:top w:val="nil"/>
              <w:left w:val="nil"/>
              <w:bottom w:val="nil"/>
              <w:right w:val="nil"/>
            </w:tcBorders>
            <w:shd w:val="clear" w:color="auto" w:fill="auto"/>
            <w:noWrap/>
            <w:vAlign w:val="center"/>
            <w:hideMark/>
          </w:tcPr>
          <w:p w14:paraId="7C9B0E4A"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49,445 </w:t>
            </w:r>
          </w:p>
        </w:tc>
        <w:tc>
          <w:tcPr>
            <w:tcW w:w="607" w:type="pct"/>
            <w:tcBorders>
              <w:top w:val="nil"/>
              <w:left w:val="nil"/>
              <w:bottom w:val="nil"/>
              <w:right w:val="nil"/>
            </w:tcBorders>
            <w:shd w:val="clear" w:color="auto" w:fill="auto"/>
            <w:noWrap/>
            <w:vAlign w:val="center"/>
            <w:hideMark/>
          </w:tcPr>
          <w:p w14:paraId="6380218B"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48,516 </w:t>
            </w:r>
          </w:p>
        </w:tc>
        <w:tc>
          <w:tcPr>
            <w:tcW w:w="607" w:type="pct"/>
            <w:tcBorders>
              <w:top w:val="nil"/>
              <w:left w:val="nil"/>
              <w:bottom w:val="nil"/>
              <w:right w:val="nil"/>
            </w:tcBorders>
            <w:shd w:val="clear" w:color="auto" w:fill="auto"/>
            <w:noWrap/>
            <w:vAlign w:val="center"/>
            <w:hideMark/>
          </w:tcPr>
          <w:p w14:paraId="4593CAA8"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50,993 </w:t>
            </w:r>
          </w:p>
        </w:tc>
      </w:tr>
      <w:tr w:rsidR="00C60A31" w:rsidRPr="00C60A31" w14:paraId="650FAC21" w14:textId="77777777" w:rsidTr="000C55FA">
        <w:trPr>
          <w:trHeight w:val="240"/>
        </w:trPr>
        <w:tc>
          <w:tcPr>
            <w:tcW w:w="1357" w:type="pct"/>
            <w:tcBorders>
              <w:top w:val="single" w:sz="4" w:space="0" w:color="C0C0C0"/>
              <w:left w:val="nil"/>
              <w:bottom w:val="single" w:sz="4" w:space="0" w:color="000000"/>
              <w:right w:val="nil"/>
            </w:tcBorders>
            <w:shd w:val="clear" w:color="auto" w:fill="auto"/>
            <w:noWrap/>
            <w:vAlign w:val="center"/>
            <w:hideMark/>
          </w:tcPr>
          <w:p w14:paraId="0E6777B3" w14:textId="77777777" w:rsidR="00C60A31" w:rsidRPr="00C60A31" w:rsidRDefault="00C60A31" w:rsidP="00C60A31">
            <w:pPr>
              <w:suppressAutoHyphens w:val="0"/>
              <w:autoSpaceDN/>
              <w:spacing w:after="0"/>
              <w:textAlignment w:val="auto"/>
              <w:rPr>
                <w:rFonts w:eastAsia="Times New Roman" w:cs="Arial"/>
                <w:b/>
                <w:bCs/>
                <w:sz w:val="20"/>
                <w:lang w:val="en-US"/>
              </w:rPr>
            </w:pPr>
            <w:r w:rsidRPr="00C60A31">
              <w:rPr>
                <w:rFonts w:eastAsia="Times New Roman" w:cs="Arial"/>
                <w:b/>
                <w:bCs/>
                <w:sz w:val="20"/>
                <w:lang w:val="en-US"/>
              </w:rPr>
              <w:t>Turska</w:t>
            </w:r>
          </w:p>
        </w:tc>
        <w:tc>
          <w:tcPr>
            <w:tcW w:w="607" w:type="pct"/>
            <w:tcBorders>
              <w:top w:val="single" w:sz="4" w:space="0" w:color="C0C0C0"/>
              <w:left w:val="nil"/>
              <w:bottom w:val="single" w:sz="4" w:space="0" w:color="000000"/>
              <w:right w:val="nil"/>
            </w:tcBorders>
            <w:shd w:val="clear" w:color="auto" w:fill="auto"/>
            <w:noWrap/>
            <w:vAlign w:val="center"/>
            <w:hideMark/>
          </w:tcPr>
          <w:p w14:paraId="3267B90A"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60,230 </w:t>
            </w:r>
          </w:p>
        </w:tc>
        <w:tc>
          <w:tcPr>
            <w:tcW w:w="607" w:type="pct"/>
            <w:tcBorders>
              <w:top w:val="single" w:sz="4" w:space="0" w:color="C0C0C0"/>
              <w:left w:val="nil"/>
              <w:bottom w:val="single" w:sz="4" w:space="0" w:color="000000"/>
              <w:right w:val="nil"/>
            </w:tcBorders>
            <w:shd w:val="clear" w:color="auto" w:fill="auto"/>
            <w:noWrap/>
            <w:vAlign w:val="center"/>
            <w:hideMark/>
          </w:tcPr>
          <w:p w14:paraId="50327226"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55,239 </w:t>
            </w:r>
          </w:p>
        </w:tc>
        <w:tc>
          <w:tcPr>
            <w:tcW w:w="607" w:type="pct"/>
            <w:tcBorders>
              <w:top w:val="single" w:sz="4" w:space="0" w:color="C0C0C0"/>
              <w:left w:val="nil"/>
              <w:bottom w:val="single" w:sz="4" w:space="0" w:color="000000"/>
              <w:right w:val="nil"/>
            </w:tcBorders>
            <w:shd w:val="clear" w:color="auto" w:fill="auto"/>
            <w:noWrap/>
            <w:vAlign w:val="center"/>
            <w:hideMark/>
          </w:tcPr>
          <w:p w14:paraId="3A51FA84"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983,046 </w:t>
            </w:r>
          </w:p>
        </w:tc>
        <w:tc>
          <w:tcPr>
            <w:tcW w:w="607" w:type="pct"/>
            <w:tcBorders>
              <w:top w:val="single" w:sz="4" w:space="0" w:color="C0C0C0"/>
              <w:left w:val="nil"/>
              <w:bottom w:val="single" w:sz="4" w:space="0" w:color="000000"/>
              <w:right w:val="nil"/>
            </w:tcBorders>
            <w:shd w:val="clear" w:color="auto" w:fill="auto"/>
            <w:noWrap/>
            <w:vAlign w:val="center"/>
            <w:hideMark/>
          </w:tcPr>
          <w:p w14:paraId="76046434"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79,268 </w:t>
            </w:r>
          </w:p>
        </w:tc>
        <w:tc>
          <w:tcPr>
            <w:tcW w:w="607" w:type="pct"/>
            <w:tcBorders>
              <w:top w:val="single" w:sz="4" w:space="0" w:color="C0C0C0"/>
              <w:left w:val="nil"/>
              <w:bottom w:val="single" w:sz="4" w:space="0" w:color="000000"/>
              <w:right w:val="nil"/>
            </w:tcBorders>
            <w:shd w:val="clear" w:color="auto" w:fill="auto"/>
            <w:noWrap/>
            <w:vAlign w:val="center"/>
            <w:hideMark/>
          </w:tcPr>
          <w:p w14:paraId="21851F52"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100,473 </w:t>
            </w:r>
          </w:p>
        </w:tc>
        <w:tc>
          <w:tcPr>
            <w:tcW w:w="607" w:type="pct"/>
            <w:tcBorders>
              <w:top w:val="single" w:sz="4" w:space="0" w:color="C0C0C0"/>
              <w:left w:val="nil"/>
              <w:bottom w:val="single" w:sz="4" w:space="0" w:color="000000"/>
              <w:right w:val="nil"/>
            </w:tcBorders>
            <w:shd w:val="clear" w:color="auto" w:fill="auto"/>
            <w:noWrap/>
            <w:vAlign w:val="center"/>
            <w:hideMark/>
          </w:tcPr>
          <w:p w14:paraId="0B0F4D28"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134,277 </w:t>
            </w:r>
          </w:p>
        </w:tc>
      </w:tr>
      <w:tr w:rsidR="00C60A31" w:rsidRPr="00C60A31" w14:paraId="545277B9" w14:textId="77777777" w:rsidTr="000C55FA">
        <w:trPr>
          <w:trHeight w:val="240"/>
        </w:trPr>
        <w:tc>
          <w:tcPr>
            <w:tcW w:w="1357" w:type="pct"/>
            <w:tcBorders>
              <w:top w:val="single" w:sz="4" w:space="0" w:color="C0C0C0"/>
              <w:left w:val="nil"/>
              <w:bottom w:val="nil"/>
              <w:right w:val="nil"/>
            </w:tcBorders>
            <w:shd w:val="clear" w:color="auto" w:fill="auto"/>
            <w:noWrap/>
            <w:vAlign w:val="center"/>
            <w:hideMark/>
          </w:tcPr>
          <w:p w14:paraId="254B5B76" w14:textId="77777777" w:rsidR="00C60A31" w:rsidRPr="00C60A31" w:rsidRDefault="00C60A31" w:rsidP="00C60A31">
            <w:pPr>
              <w:suppressAutoHyphens w:val="0"/>
              <w:autoSpaceDN/>
              <w:spacing w:after="0"/>
              <w:textAlignment w:val="auto"/>
              <w:rPr>
                <w:rFonts w:eastAsia="Times New Roman" w:cs="Arial"/>
                <w:b/>
                <w:bCs/>
                <w:sz w:val="20"/>
                <w:lang w:val="en-US"/>
              </w:rPr>
            </w:pPr>
            <w:r w:rsidRPr="00C60A31">
              <w:rPr>
                <w:rFonts w:eastAsia="Times New Roman" w:cs="Arial"/>
                <w:b/>
                <w:bCs/>
                <w:sz w:val="20"/>
                <w:lang w:val="en-US"/>
              </w:rPr>
              <w:t>Bosna i Hercegovina</w:t>
            </w:r>
          </w:p>
        </w:tc>
        <w:tc>
          <w:tcPr>
            <w:tcW w:w="607" w:type="pct"/>
            <w:tcBorders>
              <w:top w:val="single" w:sz="4" w:space="0" w:color="C0C0C0"/>
              <w:left w:val="nil"/>
              <w:bottom w:val="nil"/>
              <w:right w:val="nil"/>
            </w:tcBorders>
            <w:shd w:val="clear" w:color="auto" w:fill="auto"/>
            <w:noWrap/>
            <w:vAlign w:val="center"/>
            <w:hideMark/>
          </w:tcPr>
          <w:p w14:paraId="57007FCE"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single" w:sz="4" w:space="0" w:color="C0C0C0"/>
              <w:left w:val="nil"/>
              <w:bottom w:val="nil"/>
              <w:right w:val="nil"/>
            </w:tcBorders>
            <w:shd w:val="clear" w:color="auto" w:fill="auto"/>
            <w:noWrap/>
            <w:vAlign w:val="center"/>
            <w:hideMark/>
          </w:tcPr>
          <w:p w14:paraId="4933D5AE"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single" w:sz="4" w:space="0" w:color="C0C0C0"/>
              <w:left w:val="nil"/>
              <w:bottom w:val="nil"/>
              <w:right w:val="nil"/>
            </w:tcBorders>
            <w:shd w:val="clear" w:color="auto" w:fill="auto"/>
            <w:noWrap/>
            <w:vAlign w:val="center"/>
            <w:hideMark/>
          </w:tcPr>
          <w:p w14:paraId="649957DD"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single" w:sz="4" w:space="0" w:color="C0C0C0"/>
              <w:left w:val="nil"/>
              <w:bottom w:val="nil"/>
              <w:right w:val="nil"/>
            </w:tcBorders>
            <w:shd w:val="clear" w:color="auto" w:fill="auto"/>
            <w:noWrap/>
            <w:vAlign w:val="center"/>
            <w:hideMark/>
          </w:tcPr>
          <w:p w14:paraId="69CCA973"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single" w:sz="4" w:space="0" w:color="C0C0C0"/>
              <w:left w:val="nil"/>
              <w:bottom w:val="nil"/>
              <w:right w:val="nil"/>
            </w:tcBorders>
            <w:shd w:val="clear" w:color="auto" w:fill="auto"/>
            <w:noWrap/>
            <w:vAlign w:val="center"/>
            <w:hideMark/>
          </w:tcPr>
          <w:p w14:paraId="6B8D9DC1"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single" w:sz="4" w:space="0" w:color="C0C0C0"/>
              <w:left w:val="nil"/>
              <w:bottom w:val="nil"/>
              <w:right w:val="nil"/>
            </w:tcBorders>
            <w:shd w:val="clear" w:color="auto" w:fill="auto"/>
            <w:noWrap/>
            <w:vAlign w:val="center"/>
            <w:hideMark/>
          </w:tcPr>
          <w:p w14:paraId="32E9F46B"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r>
      <w:tr w:rsidR="00C60A31" w:rsidRPr="00C60A31" w14:paraId="36B3C83A" w14:textId="77777777" w:rsidTr="000C55FA">
        <w:trPr>
          <w:trHeight w:val="240"/>
        </w:trPr>
        <w:tc>
          <w:tcPr>
            <w:tcW w:w="1357" w:type="pct"/>
            <w:tcBorders>
              <w:top w:val="single" w:sz="4" w:space="0" w:color="C0C0C0"/>
              <w:left w:val="nil"/>
              <w:bottom w:val="single" w:sz="4" w:space="0" w:color="000000"/>
              <w:right w:val="nil"/>
            </w:tcBorders>
            <w:shd w:val="clear" w:color="auto" w:fill="auto"/>
            <w:noWrap/>
            <w:vAlign w:val="center"/>
            <w:hideMark/>
          </w:tcPr>
          <w:p w14:paraId="7AC7DFA7" w14:textId="77777777" w:rsidR="00C60A31" w:rsidRPr="00C60A31" w:rsidRDefault="00C60A31" w:rsidP="00C60A31">
            <w:pPr>
              <w:suppressAutoHyphens w:val="0"/>
              <w:autoSpaceDN/>
              <w:spacing w:after="0"/>
              <w:textAlignment w:val="auto"/>
              <w:rPr>
                <w:rFonts w:eastAsia="Times New Roman" w:cs="Arial"/>
                <w:b/>
                <w:bCs/>
                <w:sz w:val="20"/>
                <w:lang w:val="en-US"/>
              </w:rPr>
            </w:pPr>
            <w:r w:rsidRPr="00C60A31">
              <w:rPr>
                <w:rFonts w:eastAsia="Times New Roman" w:cs="Arial"/>
                <w:b/>
                <w:bCs/>
                <w:sz w:val="20"/>
                <w:lang w:val="en-US"/>
              </w:rPr>
              <w:t>Kosovo*</w:t>
            </w:r>
          </w:p>
        </w:tc>
        <w:tc>
          <w:tcPr>
            <w:tcW w:w="607" w:type="pct"/>
            <w:tcBorders>
              <w:top w:val="single" w:sz="4" w:space="0" w:color="C0C0C0"/>
              <w:left w:val="nil"/>
              <w:bottom w:val="single" w:sz="4" w:space="0" w:color="000000"/>
              <w:right w:val="nil"/>
            </w:tcBorders>
            <w:shd w:val="clear" w:color="auto" w:fill="auto"/>
            <w:noWrap/>
            <w:vAlign w:val="center"/>
            <w:hideMark/>
          </w:tcPr>
          <w:p w14:paraId="60DBF5A3"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single" w:sz="4" w:space="0" w:color="C0C0C0"/>
              <w:left w:val="nil"/>
              <w:bottom w:val="single" w:sz="4" w:space="0" w:color="000000"/>
              <w:right w:val="nil"/>
            </w:tcBorders>
            <w:shd w:val="clear" w:color="auto" w:fill="auto"/>
            <w:noWrap/>
            <w:vAlign w:val="center"/>
            <w:hideMark/>
          </w:tcPr>
          <w:p w14:paraId="716B64AC"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single" w:sz="4" w:space="0" w:color="C0C0C0"/>
              <w:left w:val="nil"/>
              <w:bottom w:val="single" w:sz="4" w:space="0" w:color="000000"/>
              <w:right w:val="nil"/>
            </w:tcBorders>
            <w:shd w:val="clear" w:color="auto" w:fill="auto"/>
            <w:noWrap/>
            <w:vAlign w:val="center"/>
            <w:hideMark/>
          </w:tcPr>
          <w:p w14:paraId="4002215B"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single" w:sz="4" w:space="0" w:color="C0C0C0"/>
              <w:left w:val="nil"/>
              <w:bottom w:val="single" w:sz="4" w:space="0" w:color="000000"/>
              <w:right w:val="nil"/>
            </w:tcBorders>
            <w:shd w:val="clear" w:color="auto" w:fill="auto"/>
            <w:noWrap/>
            <w:vAlign w:val="center"/>
            <w:hideMark/>
          </w:tcPr>
          <w:p w14:paraId="2CC6781A"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c>
          <w:tcPr>
            <w:tcW w:w="607" w:type="pct"/>
            <w:tcBorders>
              <w:top w:val="single" w:sz="4" w:space="0" w:color="C0C0C0"/>
              <w:left w:val="nil"/>
              <w:bottom w:val="single" w:sz="4" w:space="0" w:color="000000"/>
              <w:right w:val="nil"/>
            </w:tcBorders>
            <w:shd w:val="clear" w:color="auto" w:fill="auto"/>
            <w:noWrap/>
            <w:vAlign w:val="center"/>
            <w:hideMark/>
          </w:tcPr>
          <w:p w14:paraId="54FA4154"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 xml:space="preserve">395 </w:t>
            </w:r>
          </w:p>
        </w:tc>
        <w:tc>
          <w:tcPr>
            <w:tcW w:w="607" w:type="pct"/>
            <w:tcBorders>
              <w:top w:val="single" w:sz="4" w:space="0" w:color="C0C0C0"/>
              <w:left w:val="nil"/>
              <w:bottom w:val="single" w:sz="4" w:space="0" w:color="000000"/>
              <w:right w:val="nil"/>
            </w:tcBorders>
            <w:shd w:val="clear" w:color="auto" w:fill="auto"/>
            <w:noWrap/>
            <w:vAlign w:val="center"/>
            <w:hideMark/>
          </w:tcPr>
          <w:p w14:paraId="1FA92316" w14:textId="77777777" w:rsidR="00C60A31" w:rsidRPr="00C60A31" w:rsidRDefault="00C60A31" w:rsidP="00C60A31">
            <w:pPr>
              <w:suppressAutoHyphens w:val="0"/>
              <w:autoSpaceDN/>
              <w:spacing w:after="0"/>
              <w:jc w:val="right"/>
              <w:textAlignment w:val="auto"/>
              <w:rPr>
                <w:rFonts w:eastAsia="Times New Roman" w:cs="Arial"/>
                <w:sz w:val="20"/>
                <w:lang w:val="en-US"/>
              </w:rPr>
            </w:pPr>
            <w:r w:rsidRPr="00C60A31">
              <w:rPr>
                <w:rFonts w:eastAsia="Times New Roman" w:cs="Arial"/>
                <w:sz w:val="20"/>
                <w:lang w:val="en-US"/>
              </w:rPr>
              <w:t>:</w:t>
            </w:r>
          </w:p>
        </w:tc>
      </w:tr>
    </w:tbl>
    <w:p w14:paraId="095D712F" w14:textId="03F8F017" w:rsidR="00C60A31" w:rsidRPr="00C60A31" w:rsidRDefault="00C60A31" w:rsidP="00C60A31">
      <w:pPr>
        <w:spacing w:after="40" w:line="180" w:lineRule="exact"/>
        <w:rPr>
          <w:rFonts w:cs="Calibri"/>
          <w:i/>
          <w:iCs/>
          <w:color w:val="333333"/>
          <w:sz w:val="18"/>
        </w:rPr>
      </w:pPr>
      <w:r w:rsidRPr="00C60A31">
        <w:rPr>
          <w:rFonts w:cs="Calibri"/>
          <w:i/>
          <w:iCs/>
          <w:color w:val="333333"/>
          <w:sz w:val="18"/>
        </w:rPr>
        <w:tab/>
      </w:r>
    </w:p>
    <w:p w14:paraId="60CBCBFF" w14:textId="77777777" w:rsidR="00C60A31" w:rsidRPr="00C60A31" w:rsidRDefault="00C60A31" w:rsidP="00C60A31">
      <w:pPr>
        <w:spacing w:after="40" w:line="180" w:lineRule="exact"/>
        <w:rPr>
          <w:lang w:val="hr-HR" w:eastAsia="de-DE"/>
        </w:rPr>
      </w:pPr>
      <w:r w:rsidRPr="00C60A31">
        <w:rPr>
          <w:rFonts w:cs="Calibri"/>
          <w:i/>
          <w:iCs/>
          <w:color w:val="333333"/>
          <w:sz w:val="18"/>
        </w:rPr>
        <w:t>Izvor: Eurostat</w:t>
      </w:r>
      <w:r w:rsidRPr="00C60A31">
        <w:rPr>
          <w:rFonts w:cs="Calibri"/>
          <w:i/>
          <w:iCs/>
          <w:color w:val="333333"/>
          <w:sz w:val="14"/>
        </w:rPr>
        <w:t xml:space="preserve"> </w:t>
      </w:r>
      <w:hyperlink r:id="rId33" w:history="1">
        <w:r w:rsidRPr="00C60A31">
          <w:rPr>
            <w:rFonts w:cs="Calibri"/>
            <w:i/>
            <w:color w:val="2873E6"/>
            <w:sz w:val="18"/>
            <w:u w:val="single"/>
          </w:rPr>
          <w:t>(env_wastrt)</w:t>
        </w:r>
      </w:hyperlink>
      <w:r w:rsidRPr="00C60A31">
        <w:rPr>
          <w:rFonts w:cs="Calibri"/>
          <w:i/>
          <w:iCs/>
          <w:color w:val="333333"/>
          <w:sz w:val="18"/>
        </w:rPr>
        <w:tab/>
      </w:r>
      <w:r w:rsidRPr="00C60A31">
        <w:rPr>
          <w:lang w:val="hr-HR" w:eastAsia="de-DE"/>
        </w:rPr>
        <w:tab/>
      </w:r>
      <w:r w:rsidRPr="00C60A31">
        <w:rPr>
          <w:lang w:val="hr-HR" w:eastAsia="de-DE"/>
        </w:rPr>
        <w:tab/>
      </w:r>
      <w:r w:rsidRPr="00C60A31">
        <w:rPr>
          <w:lang w:val="hr-HR" w:eastAsia="de-DE"/>
        </w:rPr>
        <w:tab/>
      </w:r>
      <w:r w:rsidRPr="00C60A31">
        <w:rPr>
          <w:lang w:val="hr-HR" w:eastAsia="de-DE"/>
        </w:rPr>
        <w:tab/>
      </w:r>
      <w:r w:rsidRPr="00C60A31">
        <w:rPr>
          <w:lang w:val="hr-HR" w:eastAsia="de-DE"/>
        </w:rPr>
        <w:tab/>
      </w:r>
    </w:p>
    <w:p w14:paraId="47D65109" w14:textId="03EFA116" w:rsidR="00C60A31" w:rsidRDefault="00C60A31" w:rsidP="00C60A31">
      <w:pPr>
        <w:rPr>
          <w:lang w:val="hr-HR" w:eastAsia="de-DE"/>
        </w:rPr>
      </w:pPr>
    </w:p>
    <w:p w14:paraId="1B03822A" w14:textId="70A54F6F" w:rsidR="00C60A31" w:rsidRDefault="00C60A31" w:rsidP="00C60A31">
      <w:pPr>
        <w:rPr>
          <w:lang w:val="hr-HR" w:eastAsia="de-DE"/>
        </w:rPr>
      </w:pPr>
    </w:p>
    <w:p w14:paraId="51E0796A" w14:textId="0177F990" w:rsidR="00F9297B" w:rsidRDefault="003F7412" w:rsidP="003F7412">
      <w:pPr>
        <w:pStyle w:val="NormalWeb"/>
        <w:shd w:val="clear" w:color="auto" w:fill="FFFFFF"/>
        <w:spacing w:before="0" w:after="105"/>
        <w:jc w:val="both"/>
        <w:rPr>
          <w:rFonts w:ascii="Calibri" w:hAnsi="Calibri" w:cs="Calibri"/>
          <w:color w:val="333333"/>
          <w:szCs w:val="22"/>
        </w:rPr>
      </w:pPr>
      <w:r>
        <w:rPr>
          <w:rFonts w:ascii="Calibri" w:hAnsi="Calibri" w:cs="Calibri"/>
          <w:color w:val="333333"/>
          <w:szCs w:val="22"/>
        </w:rPr>
        <w:t>U 2019. godini udio osoba koje redovno opslužuju službe za prikupljanje komunalnog otpada kretao se od 74 % u Bosni i Hercegovini do 94 % u Turskoj. U gotovo svim zemljama kandidatima i potencijalnim kandidatima za koje su dostupni podaci, udio osoba od kojih se otpad redovno prikupljao se povećao od 2009. godin</w:t>
      </w:r>
      <w:r w:rsidR="00F9297B">
        <w:rPr>
          <w:rFonts w:ascii="Calibri" w:hAnsi="Calibri" w:cs="Calibri"/>
          <w:color w:val="333333"/>
          <w:szCs w:val="22"/>
        </w:rPr>
        <w:t>e, kao što je prikazano na grafiku 6</w:t>
      </w:r>
      <w:r w:rsidR="008D4511">
        <w:rPr>
          <w:rFonts w:ascii="Calibri" w:hAnsi="Calibri" w:cs="Calibri"/>
          <w:color w:val="333333"/>
          <w:szCs w:val="22"/>
        </w:rPr>
        <w:t xml:space="preserve">, </w:t>
      </w:r>
      <w:r>
        <w:rPr>
          <w:rFonts w:ascii="Calibri" w:hAnsi="Calibri" w:cs="Calibri"/>
          <w:color w:val="333333"/>
          <w:szCs w:val="22"/>
        </w:rPr>
        <w:t xml:space="preserve"> Bosna i Hercegovina je bila izuzetak jer je njen udio ostao nepromijenjen.</w:t>
      </w:r>
    </w:p>
    <w:p w14:paraId="4D439D04" w14:textId="35EB813D" w:rsidR="00505D75" w:rsidRDefault="00505D75" w:rsidP="003F7412">
      <w:pPr>
        <w:pStyle w:val="NormalWeb"/>
        <w:shd w:val="clear" w:color="auto" w:fill="FFFFFF"/>
        <w:spacing w:before="0" w:after="105"/>
        <w:jc w:val="both"/>
        <w:rPr>
          <w:rFonts w:ascii="Calibri" w:hAnsi="Calibri" w:cs="Calibri"/>
          <w:color w:val="333333"/>
          <w:szCs w:val="22"/>
        </w:rPr>
      </w:pPr>
    </w:p>
    <w:p w14:paraId="26C9E0C5" w14:textId="77777777" w:rsidR="00505D75" w:rsidRDefault="00505D75" w:rsidP="003F7412">
      <w:pPr>
        <w:pStyle w:val="NormalWeb"/>
        <w:shd w:val="clear" w:color="auto" w:fill="FFFFFF"/>
        <w:spacing w:before="0" w:after="105"/>
        <w:jc w:val="both"/>
        <w:rPr>
          <w:rFonts w:ascii="Calibri" w:hAnsi="Calibri" w:cs="Calibri"/>
          <w:color w:val="333333"/>
          <w:szCs w:val="22"/>
        </w:rPr>
      </w:pPr>
    </w:p>
    <w:p w14:paraId="23D1D3CD" w14:textId="314469AE" w:rsidR="00505D75" w:rsidRPr="00505D75" w:rsidRDefault="00F9297B" w:rsidP="00505D75">
      <w:pPr>
        <w:pStyle w:val="Caption"/>
        <w:spacing w:after="20"/>
        <w:jc w:val="center"/>
        <w:rPr>
          <w:rFonts w:ascii="Calibri" w:hAnsi="Calibri"/>
          <w:sz w:val="22"/>
          <w:szCs w:val="22"/>
        </w:rPr>
      </w:pPr>
      <w:bookmarkStart w:id="56" w:name="_Toc82087082"/>
      <w:r w:rsidRPr="00C25F77">
        <w:rPr>
          <w:rFonts w:ascii="Calibri" w:hAnsi="Calibri"/>
          <w:sz w:val="22"/>
          <w:szCs w:val="22"/>
        </w:rPr>
        <w:t xml:space="preserve">Grafik </w:t>
      </w:r>
      <w:r w:rsidRPr="00C25F77">
        <w:rPr>
          <w:rFonts w:ascii="Calibri" w:hAnsi="Calibri"/>
          <w:sz w:val="22"/>
          <w:szCs w:val="22"/>
        </w:rPr>
        <w:fldChar w:fldCharType="begin"/>
      </w:r>
      <w:r w:rsidRPr="00C25F77">
        <w:rPr>
          <w:rFonts w:ascii="Calibri" w:hAnsi="Calibri"/>
          <w:sz w:val="22"/>
          <w:szCs w:val="22"/>
        </w:rPr>
        <w:instrText xml:space="preserve"> SEQ Figure \* ARABIC </w:instrText>
      </w:r>
      <w:r w:rsidRPr="00C25F77">
        <w:rPr>
          <w:rFonts w:ascii="Calibri" w:hAnsi="Calibri"/>
          <w:sz w:val="22"/>
          <w:szCs w:val="22"/>
        </w:rPr>
        <w:fldChar w:fldCharType="separate"/>
      </w:r>
      <w:r>
        <w:rPr>
          <w:rFonts w:ascii="Calibri" w:hAnsi="Calibri"/>
          <w:sz w:val="22"/>
          <w:szCs w:val="22"/>
        </w:rPr>
        <w:t>6</w:t>
      </w:r>
      <w:r w:rsidRPr="00C25F77">
        <w:rPr>
          <w:rFonts w:ascii="Calibri" w:hAnsi="Calibri"/>
          <w:sz w:val="22"/>
          <w:szCs w:val="22"/>
        </w:rPr>
        <w:fldChar w:fldCharType="end"/>
      </w:r>
      <w:r w:rsidRPr="00C25F77">
        <w:rPr>
          <w:rFonts w:ascii="Calibri" w:hAnsi="Calibri"/>
          <w:sz w:val="22"/>
          <w:szCs w:val="22"/>
        </w:rPr>
        <w:t xml:space="preserve"> </w:t>
      </w:r>
      <w:r w:rsidRPr="00F9297B">
        <w:rPr>
          <w:rFonts w:ascii="Calibri" w:hAnsi="Calibri"/>
          <w:sz w:val="22"/>
          <w:szCs w:val="22"/>
        </w:rPr>
        <w:t>Osobe koje opslužuju službe za sakupljanje komunalnog otpada, 2014. i 2019</w:t>
      </w:r>
      <w:bookmarkEnd w:id="56"/>
      <w:r w:rsidR="00EA704E" w:rsidRPr="00F9297B">
        <w:rPr>
          <w:rFonts w:ascii="Calibri" w:hAnsi="Calibri"/>
          <w:noProof/>
          <w:lang w:val="en-US" w:eastAsia="en-US"/>
        </w:rPr>
        <w:drawing>
          <wp:inline distT="0" distB="0" distL="0" distR="0" wp14:anchorId="0D38C4F3" wp14:editId="23A2C89C">
            <wp:extent cx="5724525" cy="3078480"/>
            <wp:effectExtent l="0" t="0" r="9525" b="7620"/>
            <wp:docPr id="24" name="Chart 24">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FD5BB96" w14:textId="4DAC6B7A" w:rsidR="00EF4E8B" w:rsidRDefault="00F9297B" w:rsidP="005D165C">
      <w:pPr>
        <w:pStyle w:val="NormalWeb"/>
        <w:shd w:val="clear" w:color="auto" w:fill="FFFFFF"/>
        <w:spacing w:before="0" w:after="105"/>
        <w:rPr>
          <w:rFonts w:ascii="Calibri" w:hAnsi="Calibri" w:cs="Calibri"/>
          <w:b/>
          <w:color w:val="333333"/>
          <w:szCs w:val="22"/>
        </w:rPr>
      </w:pPr>
      <w:r>
        <w:rPr>
          <w:rFonts w:cs="Calibri"/>
          <w:i/>
          <w:iCs/>
          <w:color w:val="333333"/>
          <w:sz w:val="18"/>
        </w:rPr>
        <w:t>Izvor: Eurostat</w:t>
      </w:r>
    </w:p>
    <w:p w14:paraId="332C323A" w14:textId="77777777" w:rsidR="00EF4E8B" w:rsidRDefault="00EF4E8B" w:rsidP="003F7412">
      <w:pPr>
        <w:pStyle w:val="NormalWeb"/>
        <w:shd w:val="clear" w:color="auto" w:fill="FFFFFF"/>
        <w:spacing w:before="0" w:after="105"/>
        <w:jc w:val="both"/>
        <w:rPr>
          <w:rFonts w:ascii="Calibri" w:hAnsi="Calibri" w:cs="Calibri"/>
          <w:b/>
          <w:color w:val="333333"/>
          <w:szCs w:val="22"/>
        </w:rPr>
      </w:pPr>
    </w:p>
    <w:p w14:paraId="7EE0F887" w14:textId="486A7B9C" w:rsidR="003F7412" w:rsidRPr="00776A7A" w:rsidRDefault="003F7412" w:rsidP="003F7412">
      <w:pPr>
        <w:pStyle w:val="NormalWeb"/>
        <w:shd w:val="clear" w:color="auto" w:fill="FFFFFF"/>
        <w:spacing w:before="0" w:after="105"/>
        <w:jc w:val="both"/>
        <w:rPr>
          <w:rFonts w:ascii="Calibri" w:hAnsi="Calibri" w:cs="Calibri"/>
          <w:b/>
          <w:color w:val="333333"/>
          <w:szCs w:val="22"/>
        </w:rPr>
      </w:pPr>
      <w:r w:rsidRPr="00776A7A">
        <w:rPr>
          <w:rFonts w:ascii="Calibri" w:hAnsi="Calibri" w:cs="Calibri"/>
          <w:b/>
          <w:color w:val="333333"/>
          <w:szCs w:val="22"/>
        </w:rPr>
        <w:t>Voda i otpadne vode</w:t>
      </w:r>
    </w:p>
    <w:p w14:paraId="17AB5BDD" w14:textId="4A409CE0" w:rsidR="003F7412" w:rsidRDefault="003F3794" w:rsidP="003F7412">
      <w:pPr>
        <w:pStyle w:val="NormalWeb"/>
        <w:shd w:val="clear" w:color="auto" w:fill="FFFFFF"/>
        <w:spacing w:before="0" w:after="105"/>
        <w:jc w:val="both"/>
        <w:rPr>
          <w:rFonts w:ascii="Calibri" w:hAnsi="Calibri" w:cs="Calibri"/>
          <w:color w:val="333333"/>
          <w:szCs w:val="22"/>
        </w:rPr>
      </w:pPr>
      <w:hyperlink r:id="rId35" w:history="1">
        <w:r w:rsidR="003F7412">
          <w:rPr>
            <w:rStyle w:val="Hyperlink"/>
            <w:rFonts w:ascii="Calibri" w:hAnsi="Calibri" w:cs="Calibri"/>
            <w:szCs w:val="22"/>
          </w:rPr>
          <w:t>Crpljenje slatke vode</w:t>
        </w:r>
      </w:hyperlink>
      <w:r w:rsidR="003F7412">
        <w:rPr>
          <w:rFonts w:ascii="Calibri" w:hAnsi="Calibri" w:cs="Calibri"/>
          <w:color w:val="333333"/>
          <w:szCs w:val="22"/>
        </w:rPr>
        <w:t xml:space="preserve"> kao procenat raspoloživih </w:t>
      </w:r>
      <w:hyperlink r:id="rId36" w:history="1">
        <w:r w:rsidR="003F7412">
          <w:rPr>
            <w:rStyle w:val="Hyperlink"/>
            <w:rFonts w:ascii="Calibri" w:hAnsi="Calibri" w:cs="Calibri"/>
            <w:szCs w:val="22"/>
          </w:rPr>
          <w:t>resursa</w:t>
        </w:r>
      </w:hyperlink>
      <w:r w:rsidR="003F7412">
        <w:rPr>
          <w:rFonts w:ascii="Calibri" w:hAnsi="Calibri" w:cs="Calibri"/>
          <w:color w:val="333333"/>
          <w:szCs w:val="22"/>
        </w:rPr>
        <w:t>,</w:t>
      </w:r>
      <w:r w:rsidR="00A83338">
        <w:rPr>
          <w:rFonts w:ascii="Calibri" w:hAnsi="Calibri" w:cs="Calibri"/>
          <w:color w:val="333333"/>
          <w:szCs w:val="22"/>
        </w:rPr>
        <w:t xml:space="preserve"> kao što je prikazano na grafiku 7</w:t>
      </w:r>
      <w:r w:rsidR="003F7412">
        <w:rPr>
          <w:rFonts w:ascii="Calibri" w:hAnsi="Calibri" w:cs="Calibri"/>
          <w:color w:val="333333"/>
          <w:szCs w:val="22"/>
        </w:rPr>
        <w:t>, zasnovano je na dugoročno raspoloživim resursima, najmanje 20 godina. Za četiri zemlje kandidate i potencijalne kandidate za koje su dostupni podaci, ovaj odnos se kretao od samo 1,5 % u Bosni i Hercegovini 2019. godine do 22,2 % u Turskoj 2014.</w:t>
      </w:r>
      <w:r w:rsidR="00EF4E8B">
        <w:rPr>
          <w:rFonts w:ascii="Calibri" w:hAnsi="Calibri" w:cs="Calibri"/>
          <w:color w:val="333333"/>
          <w:szCs w:val="22"/>
        </w:rPr>
        <w:t xml:space="preserve"> </w:t>
      </w:r>
      <w:r w:rsidR="003F7412">
        <w:rPr>
          <w:rFonts w:ascii="Calibri" w:hAnsi="Calibri" w:cs="Calibri"/>
          <w:color w:val="333333"/>
          <w:szCs w:val="22"/>
        </w:rPr>
        <w:t>godine. Od 2014. do 2019. godine, Srbije (do 2018. godine) i Bosne i Hercegovine prijavilo je povećanje ovog odnosa, dok je Sjeverna Makedonija prijavila smanjenje.</w:t>
      </w:r>
    </w:p>
    <w:p w14:paraId="2B7B04D7" w14:textId="48A7BCDD" w:rsidR="00A228DC" w:rsidRPr="00A228DC" w:rsidRDefault="00C25F77" w:rsidP="00A228DC">
      <w:pPr>
        <w:pStyle w:val="Caption"/>
        <w:jc w:val="center"/>
        <w:rPr>
          <w:rFonts w:cs="Calibri"/>
          <w:color w:val="333333"/>
        </w:rPr>
      </w:pPr>
      <w:bookmarkStart w:id="57" w:name="_Toc81994494"/>
      <w:bookmarkStart w:id="58" w:name="_Toc82087083"/>
      <w:r w:rsidRPr="00C25F77">
        <w:rPr>
          <w:rFonts w:ascii="Calibri" w:hAnsi="Calibri" w:cs="Calibri"/>
          <w:color w:val="333333"/>
          <w:sz w:val="22"/>
          <w:szCs w:val="22"/>
        </w:rPr>
        <w:t xml:space="preserve">Grafik </w:t>
      </w:r>
      <w:r w:rsidRPr="00C25F77">
        <w:rPr>
          <w:rFonts w:ascii="Calibri" w:hAnsi="Calibri" w:cs="Calibri"/>
          <w:color w:val="333333"/>
          <w:sz w:val="22"/>
          <w:szCs w:val="22"/>
        </w:rPr>
        <w:fldChar w:fldCharType="begin"/>
      </w:r>
      <w:r w:rsidRPr="00C25F77">
        <w:rPr>
          <w:rFonts w:ascii="Calibri" w:hAnsi="Calibri" w:cs="Calibri"/>
          <w:color w:val="333333"/>
          <w:sz w:val="22"/>
          <w:szCs w:val="22"/>
        </w:rPr>
        <w:instrText xml:space="preserve"> SEQ Figure \* ARABIC </w:instrText>
      </w:r>
      <w:r w:rsidRPr="00C25F77">
        <w:rPr>
          <w:rFonts w:ascii="Calibri" w:hAnsi="Calibri" w:cs="Calibri"/>
          <w:color w:val="333333"/>
          <w:sz w:val="22"/>
          <w:szCs w:val="22"/>
        </w:rPr>
        <w:fldChar w:fldCharType="separate"/>
      </w:r>
      <w:r w:rsidR="00F9297B">
        <w:rPr>
          <w:rFonts w:ascii="Calibri" w:hAnsi="Calibri" w:cs="Calibri"/>
          <w:noProof/>
          <w:color w:val="333333"/>
          <w:sz w:val="22"/>
          <w:szCs w:val="22"/>
        </w:rPr>
        <w:t>7</w:t>
      </w:r>
      <w:r w:rsidRPr="00C25F77">
        <w:rPr>
          <w:rFonts w:ascii="Calibri" w:hAnsi="Calibri" w:cs="Calibri"/>
          <w:color w:val="333333"/>
          <w:sz w:val="22"/>
          <w:szCs w:val="22"/>
        </w:rPr>
        <w:fldChar w:fldCharType="end"/>
      </w:r>
      <w:r w:rsidRPr="00C25F77">
        <w:rPr>
          <w:rFonts w:ascii="Calibri" w:hAnsi="Calibri" w:cs="Calibri"/>
          <w:color w:val="333333"/>
          <w:sz w:val="22"/>
          <w:szCs w:val="22"/>
        </w:rPr>
        <w:t xml:space="preserve"> </w:t>
      </w:r>
      <w:r w:rsidR="00776A7A" w:rsidRPr="00776A7A">
        <w:rPr>
          <w:rFonts w:ascii="Calibri" w:hAnsi="Calibri" w:cs="Calibri"/>
          <w:color w:val="333333"/>
          <w:sz w:val="22"/>
          <w:szCs w:val="22"/>
        </w:rPr>
        <w:t>Crplje</w:t>
      </w:r>
      <w:r w:rsidR="00776A7A">
        <w:rPr>
          <w:rFonts w:ascii="Calibri" w:hAnsi="Calibri" w:cs="Calibri"/>
          <w:color w:val="333333"/>
          <w:sz w:val="22"/>
          <w:szCs w:val="22"/>
        </w:rPr>
        <w:t>nje slatke vode, 2014. i 2019. g</w:t>
      </w:r>
      <w:r w:rsidR="00776A7A" w:rsidRPr="00776A7A">
        <w:rPr>
          <w:rFonts w:ascii="Calibri" w:hAnsi="Calibri" w:cs="Calibri"/>
          <w:color w:val="333333"/>
          <w:sz w:val="22"/>
          <w:szCs w:val="22"/>
        </w:rPr>
        <w:t>odina (% učešća/udjela raspoloživih resursa)</w:t>
      </w:r>
      <w:bookmarkEnd w:id="57"/>
      <w:bookmarkEnd w:id="58"/>
    </w:p>
    <w:p w14:paraId="29758678" w14:textId="77777777" w:rsidR="00A228DC" w:rsidRPr="00A228DC" w:rsidRDefault="00A228DC" w:rsidP="00A228DC">
      <w:pPr>
        <w:rPr>
          <w:lang w:val="hr-HR" w:eastAsia="de-DE"/>
        </w:rPr>
      </w:pPr>
      <w:r w:rsidRPr="00A228DC">
        <w:rPr>
          <w:noProof/>
          <w:lang w:val="en-US"/>
        </w:rPr>
        <w:drawing>
          <wp:inline distT="0" distB="0" distL="0" distR="0" wp14:anchorId="33A47A35" wp14:editId="1F5B7D5B">
            <wp:extent cx="5915025" cy="2346960"/>
            <wp:effectExtent l="0" t="0" r="9525" b="0"/>
            <wp:docPr id="19" name="Chart 19">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16CFDF7" w14:textId="77777777" w:rsidR="00A228DC" w:rsidRPr="00A228DC" w:rsidRDefault="00A228DC" w:rsidP="00A228DC">
      <w:pPr>
        <w:spacing w:after="40" w:line="180" w:lineRule="exact"/>
        <w:rPr>
          <w:rFonts w:cs="Calibri"/>
          <w:i/>
          <w:iCs/>
          <w:color w:val="333333"/>
          <w:sz w:val="18"/>
        </w:rPr>
      </w:pPr>
      <w:r w:rsidRPr="00A228DC">
        <w:rPr>
          <w:rFonts w:cs="Calibri"/>
          <w:i/>
          <w:iCs/>
          <w:color w:val="333333"/>
          <w:sz w:val="18"/>
        </w:rPr>
        <w:t>Izvor: Eurostat</w:t>
      </w:r>
    </w:p>
    <w:p w14:paraId="3F1E074F" w14:textId="77777777" w:rsidR="003F7412" w:rsidRPr="000142CE" w:rsidRDefault="003F7412" w:rsidP="003F7412">
      <w:pPr>
        <w:pStyle w:val="Heading2"/>
        <w:numPr>
          <w:ilvl w:val="1"/>
          <w:numId w:val="25"/>
        </w:numPr>
        <w:rPr>
          <w:color w:val="171717" w:themeColor="background2" w:themeShade="1A"/>
        </w:rPr>
      </w:pPr>
      <w:bookmarkStart w:id="59" w:name="_Toc82271951"/>
      <w:r w:rsidRPr="000142CE">
        <w:rPr>
          <w:rFonts w:ascii="Calibri" w:hAnsi="Calibri"/>
          <w:color w:val="171717" w:themeColor="background2" w:themeShade="1A"/>
        </w:rPr>
        <w:lastRenderedPageBreak/>
        <w:t>Kalkulator/Obračun uštede u gradovima nultog otpada</w:t>
      </w:r>
      <w:r w:rsidRPr="000142CE">
        <w:rPr>
          <w:rStyle w:val="FootnoteReference"/>
          <w:rFonts w:ascii="Calibri" w:hAnsi="Calibri" w:cs="Calibri"/>
          <w:b/>
          <w:bCs/>
          <w:color w:val="171717" w:themeColor="background2" w:themeShade="1A"/>
          <w:sz w:val="24"/>
        </w:rPr>
        <w:footnoteReference w:id="26"/>
      </w:r>
      <w:bookmarkEnd w:id="59"/>
    </w:p>
    <w:p w14:paraId="7E0B30F8" w14:textId="77777777" w:rsidR="003F7412" w:rsidRDefault="003F7412" w:rsidP="003F7412"/>
    <w:p w14:paraId="0E62A10B" w14:textId="77777777" w:rsidR="003F7412" w:rsidRDefault="003F7412" w:rsidP="003F7412">
      <w:pPr>
        <w:jc w:val="both"/>
        <w:rPr>
          <w:rFonts w:cs="Calibri"/>
          <w:sz w:val="24"/>
        </w:rPr>
      </w:pPr>
      <w:r>
        <w:rPr>
          <w:rFonts w:cs="Calibri"/>
          <w:sz w:val="24"/>
        </w:rPr>
        <w:t>Ovaj alat je osmišljen kako bi pomogao da se zamisle i razumiju prednosti koje usvajanje politike nultog otpada može donijeti lokalnom području.</w:t>
      </w:r>
    </w:p>
    <w:p w14:paraId="78C8DBB7" w14:textId="36291E9E" w:rsidR="003F7412" w:rsidRDefault="003F7412" w:rsidP="003F7412">
      <w:pPr>
        <w:jc w:val="both"/>
      </w:pPr>
      <w:r>
        <w:rPr>
          <w:rFonts w:cs="Calibri"/>
          <w:sz w:val="24"/>
        </w:rPr>
        <w:t xml:space="preserve">Prelaskom na strategiju nultog otpada, opštine mogu odmah početi smanjivati troškove upravljanja otpadom. Kalkulator uštede u gradovima bez otpada, je dizajniran kako </w:t>
      </w:r>
      <w:r w:rsidR="00EF4E8B">
        <w:rPr>
          <w:rFonts w:cs="Calibri"/>
          <w:sz w:val="24"/>
        </w:rPr>
        <w:t>bi pomogao</w:t>
      </w:r>
      <w:r>
        <w:rPr>
          <w:rFonts w:cs="Calibri"/>
          <w:sz w:val="24"/>
        </w:rPr>
        <w:t xml:space="preserve"> da se bolje razumiju prednosti koje usvajanje politike nultog otpada mogu donijeti vašem lokalnom području.</w:t>
      </w:r>
    </w:p>
    <w:p w14:paraId="4CA1E893" w14:textId="77777777" w:rsidR="003F7412" w:rsidRPr="00A62473" w:rsidRDefault="003F7412" w:rsidP="00C823A1">
      <w:pPr>
        <w:jc w:val="both"/>
      </w:pPr>
      <w:r>
        <w:rPr>
          <w:rFonts w:cs="Calibri"/>
          <w:sz w:val="24"/>
        </w:rPr>
        <w:t xml:space="preserve">Sve što je potrebno je da se unesu neke jednostavne informacije u vezi sa stanovništvom određenog grada i ambicijama njegovih trenutnih planova da se otpad ne potroši, kao i ključne podatke o trenutnom nivou stvaranja i upravljanja otpadom, uključujući troškove, u nekoj opštini. Kalkulator će zatim automatski prikazati potencijalne uštede u opštini, pružajući primjer poređenja iz stvarnog života sa gradovima u Evropi. Rezultati će prikazati približne uštede troškova, već će takođe pokazati i potencijalno smanjenje emisije gasova sa efektom staklene bašte (GHG) do koje bi prelazak na politiku nultog otpada doveo opštinu. Opredjeljujući se da će postati nulti otpad, opštine ne samo da pokazuju svoje liderstvo i spremnost da se uhvate u koštac sa egzistencijalnom prijetnjom koju predstavljaju klimatske promjene, već i pomažu u ojačavanju svoje zajednice, uz dodatni novac i stvaranje novih </w:t>
      </w:r>
      <w:r w:rsidRPr="00A62473">
        <w:rPr>
          <w:rFonts w:cs="Calibri"/>
        </w:rPr>
        <w:t>radnih mjesta na lokalnom području.</w:t>
      </w:r>
    </w:p>
    <w:p w14:paraId="7A643B39" w14:textId="23C1AFE6" w:rsidR="003F7412" w:rsidRPr="00A62473" w:rsidRDefault="00A62473" w:rsidP="00A62473">
      <w:pPr>
        <w:pStyle w:val="Caption"/>
        <w:jc w:val="center"/>
        <w:rPr>
          <w:rFonts w:ascii="Calibri" w:hAnsi="Calibri" w:cs="Calibri"/>
          <w:sz w:val="22"/>
          <w:szCs w:val="22"/>
        </w:rPr>
      </w:pPr>
      <w:bookmarkStart w:id="60" w:name="_Toc82415550"/>
      <w:r w:rsidRPr="00A62473">
        <w:rPr>
          <w:rFonts w:ascii="Calibri" w:hAnsi="Calibri"/>
          <w:sz w:val="22"/>
          <w:szCs w:val="22"/>
        </w:rPr>
        <w:t xml:space="preserve">Slika </w:t>
      </w:r>
      <w:r w:rsidRPr="00A62473">
        <w:rPr>
          <w:rFonts w:ascii="Calibri" w:hAnsi="Calibri"/>
          <w:sz w:val="22"/>
          <w:szCs w:val="22"/>
        </w:rPr>
        <w:fldChar w:fldCharType="begin"/>
      </w:r>
      <w:r w:rsidRPr="00A62473">
        <w:rPr>
          <w:rFonts w:ascii="Calibri" w:hAnsi="Calibri"/>
          <w:sz w:val="22"/>
          <w:szCs w:val="22"/>
        </w:rPr>
        <w:instrText xml:space="preserve"> SEQ Equation \* ARABIC </w:instrText>
      </w:r>
      <w:r w:rsidRPr="00A62473">
        <w:rPr>
          <w:rFonts w:ascii="Calibri" w:hAnsi="Calibri"/>
          <w:sz w:val="22"/>
          <w:szCs w:val="22"/>
        </w:rPr>
        <w:fldChar w:fldCharType="separate"/>
      </w:r>
      <w:r w:rsidR="00AC666D">
        <w:rPr>
          <w:rFonts w:ascii="Calibri" w:hAnsi="Calibri"/>
          <w:noProof/>
          <w:sz w:val="22"/>
          <w:szCs w:val="22"/>
        </w:rPr>
        <w:t>3</w:t>
      </w:r>
      <w:r w:rsidRPr="00A62473">
        <w:rPr>
          <w:rFonts w:ascii="Calibri" w:hAnsi="Calibri"/>
          <w:sz w:val="22"/>
          <w:szCs w:val="22"/>
        </w:rPr>
        <w:fldChar w:fldCharType="end"/>
      </w:r>
      <w:r w:rsidRPr="00A62473">
        <w:rPr>
          <w:rFonts w:ascii="Calibri" w:hAnsi="Calibri"/>
          <w:sz w:val="22"/>
          <w:szCs w:val="22"/>
        </w:rPr>
        <w:t xml:space="preserve"> Primjer kalkulatora uštede u gradovima nultog otpada</w:t>
      </w:r>
      <w:bookmarkEnd w:id="60"/>
    </w:p>
    <w:p w14:paraId="7240E228" w14:textId="77777777" w:rsidR="003F7412" w:rsidRDefault="003F7412" w:rsidP="003F7412">
      <w:pPr>
        <w:jc w:val="both"/>
      </w:pPr>
      <w:r>
        <w:rPr>
          <w:rFonts w:cs="Calibri"/>
          <w:noProof/>
          <w:lang w:val="en-US"/>
        </w:rPr>
        <w:drawing>
          <wp:inline distT="0" distB="0" distL="0" distR="0" wp14:anchorId="658291E4" wp14:editId="5A43E333">
            <wp:extent cx="2958048" cy="2936875"/>
            <wp:effectExtent l="0" t="0" r="0" b="0"/>
            <wp:docPr id="12"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960303" cy="2939114"/>
                    </a:xfrm>
                    <a:prstGeom prst="rect">
                      <a:avLst/>
                    </a:prstGeom>
                    <a:noFill/>
                    <a:ln>
                      <a:noFill/>
                      <a:prstDash/>
                    </a:ln>
                  </pic:spPr>
                </pic:pic>
              </a:graphicData>
            </a:graphic>
          </wp:inline>
        </w:drawing>
      </w:r>
      <w:r>
        <w:rPr>
          <w:rFonts w:cs="Calibri"/>
        </w:rPr>
        <w:t xml:space="preserve">  </w:t>
      </w:r>
      <w:r>
        <w:rPr>
          <w:rFonts w:cs="Calibri"/>
          <w:noProof/>
          <w:lang w:val="en-US"/>
        </w:rPr>
        <w:drawing>
          <wp:inline distT="0" distB="0" distL="0" distR="0" wp14:anchorId="3DF65833" wp14:editId="2EA26390">
            <wp:extent cx="2682511" cy="2941076"/>
            <wp:effectExtent l="0" t="0" r="3539" b="0"/>
            <wp:docPr id="13"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682511" cy="2941076"/>
                    </a:xfrm>
                    <a:prstGeom prst="rect">
                      <a:avLst/>
                    </a:prstGeom>
                    <a:noFill/>
                    <a:ln>
                      <a:noFill/>
                      <a:prstDash/>
                    </a:ln>
                  </pic:spPr>
                </pic:pic>
              </a:graphicData>
            </a:graphic>
          </wp:inline>
        </w:drawing>
      </w:r>
    </w:p>
    <w:p w14:paraId="3E30FA77" w14:textId="42C686D4" w:rsidR="003F7412" w:rsidRDefault="003F7412" w:rsidP="003F7412">
      <w:pPr>
        <w:rPr>
          <w:rFonts w:cs="Calibri"/>
        </w:rPr>
      </w:pPr>
    </w:p>
    <w:p w14:paraId="552F4AE8" w14:textId="12598299" w:rsidR="00BD46FE" w:rsidRDefault="00BD46FE" w:rsidP="003F7412">
      <w:pPr>
        <w:rPr>
          <w:rFonts w:cs="Calibri"/>
        </w:rPr>
      </w:pPr>
    </w:p>
    <w:p w14:paraId="0EF3D2AB" w14:textId="77777777" w:rsidR="00BD46FE" w:rsidRDefault="00BD46FE" w:rsidP="003F7412">
      <w:pPr>
        <w:rPr>
          <w:rFonts w:cs="Calibri"/>
        </w:rPr>
      </w:pPr>
    </w:p>
    <w:p w14:paraId="72ADC481" w14:textId="77777777" w:rsidR="008D4511" w:rsidRDefault="008D4511" w:rsidP="003F7412">
      <w:pPr>
        <w:rPr>
          <w:rFonts w:cs="Calibri"/>
        </w:rPr>
      </w:pPr>
    </w:p>
    <w:p w14:paraId="78056A4A" w14:textId="77777777" w:rsidR="003F7412" w:rsidRPr="000142CE" w:rsidRDefault="003F7412" w:rsidP="003F7412">
      <w:pPr>
        <w:pStyle w:val="Heading1"/>
        <w:numPr>
          <w:ilvl w:val="0"/>
          <w:numId w:val="25"/>
        </w:numPr>
        <w:rPr>
          <w:rFonts w:ascii="Calibri" w:hAnsi="Calibri" w:cs="Calibri"/>
          <w:color w:val="171717" w:themeColor="background2" w:themeShade="1A"/>
        </w:rPr>
      </w:pPr>
      <w:bookmarkStart w:id="61" w:name="_Toc80181922"/>
      <w:bookmarkStart w:id="62" w:name="_Toc82271952"/>
      <w:r w:rsidRPr="000142CE">
        <w:rPr>
          <w:rFonts w:ascii="Calibri" w:hAnsi="Calibri" w:cs="Calibri"/>
          <w:color w:val="171717" w:themeColor="background2" w:themeShade="1A"/>
        </w:rPr>
        <w:lastRenderedPageBreak/>
        <w:t>ENERGETSKA EFIKASNOST ZA OZELENJAVANJE JAVNE UPRAVE</w:t>
      </w:r>
      <w:bookmarkEnd w:id="61"/>
      <w:bookmarkEnd w:id="62"/>
      <w:r w:rsidRPr="000142CE">
        <w:rPr>
          <w:rFonts w:ascii="Calibri" w:hAnsi="Calibri" w:cs="Calibri"/>
          <w:color w:val="171717" w:themeColor="background2" w:themeShade="1A"/>
        </w:rPr>
        <w:t xml:space="preserve"> </w:t>
      </w:r>
    </w:p>
    <w:p w14:paraId="02CB8888" w14:textId="7CC9A8F7" w:rsidR="003F7412" w:rsidRDefault="003F7412" w:rsidP="003F7412">
      <w:pPr>
        <w:pStyle w:val="NormalWeb"/>
        <w:shd w:val="clear" w:color="auto" w:fill="FFFFFF"/>
        <w:spacing w:before="0" w:after="105"/>
        <w:jc w:val="both"/>
        <w:rPr>
          <w:rFonts w:ascii="Calibri" w:hAnsi="Calibri" w:cs="Calibri"/>
          <w:color w:val="333333"/>
          <w:sz w:val="22"/>
          <w:szCs w:val="22"/>
        </w:rPr>
      </w:pPr>
    </w:p>
    <w:p w14:paraId="5F6414EC" w14:textId="77777777" w:rsidR="00AA6942" w:rsidRDefault="00AA6942" w:rsidP="003F7412">
      <w:pPr>
        <w:pStyle w:val="NormalWeb"/>
        <w:shd w:val="clear" w:color="auto" w:fill="FFFFFF"/>
        <w:spacing w:before="0" w:after="105"/>
        <w:jc w:val="both"/>
        <w:rPr>
          <w:rFonts w:ascii="Calibri" w:hAnsi="Calibri" w:cs="Calibri"/>
          <w:color w:val="333333"/>
          <w:sz w:val="22"/>
          <w:szCs w:val="22"/>
        </w:rPr>
      </w:pPr>
    </w:p>
    <w:p w14:paraId="55416F65" w14:textId="17450B21" w:rsidR="003F7412" w:rsidRDefault="003F7412" w:rsidP="005D165C">
      <w:pPr>
        <w:pStyle w:val="NormalWeb"/>
        <w:pBdr>
          <w:top w:val="single" w:sz="4" w:space="1" w:color="auto"/>
          <w:left w:val="single" w:sz="4" w:space="4" w:color="auto"/>
          <w:bottom w:val="single" w:sz="4" w:space="1" w:color="auto"/>
          <w:right w:val="single" w:sz="4" w:space="4" w:color="auto"/>
        </w:pBdr>
        <w:shd w:val="clear" w:color="auto" w:fill="FBE4D5" w:themeFill="accent2" w:themeFillTint="33"/>
        <w:spacing w:before="0" w:after="105"/>
        <w:jc w:val="both"/>
        <w:rPr>
          <w:rFonts w:ascii="Calibri" w:hAnsi="Calibri" w:cs="Calibri"/>
          <w:color w:val="333333"/>
          <w:szCs w:val="22"/>
        </w:rPr>
      </w:pPr>
      <w:r>
        <w:rPr>
          <w:rFonts w:ascii="Calibri" w:hAnsi="Calibri" w:cs="Calibri"/>
          <w:color w:val="333333"/>
          <w:szCs w:val="22"/>
        </w:rPr>
        <w:t xml:space="preserve">“Efikasnost može omogućiti ekonomski rast, smanjiti emisije i poboljšati energetsku sigurnost. Pravilne politike </w:t>
      </w:r>
      <w:r w:rsidR="00AA6942">
        <w:rPr>
          <w:rFonts w:ascii="Calibri" w:hAnsi="Calibri" w:cs="Calibri"/>
          <w:color w:val="333333"/>
          <w:szCs w:val="22"/>
        </w:rPr>
        <w:t xml:space="preserve">energetske </w:t>
      </w:r>
      <w:r>
        <w:rPr>
          <w:rFonts w:ascii="Calibri" w:hAnsi="Calibri" w:cs="Calibri"/>
          <w:color w:val="333333"/>
          <w:szCs w:val="22"/>
        </w:rPr>
        <w:t xml:space="preserve">efikasnosti mogle bi omogućiti svijetu da postigne više od 40% smanjenja emisija potrebnih za postizanje svojih klimatskih ciljeva bez </w:t>
      </w:r>
      <w:r w:rsidR="00AA6942">
        <w:rPr>
          <w:rFonts w:ascii="Calibri" w:hAnsi="Calibri" w:cs="Calibri"/>
          <w:color w:val="333333"/>
          <w:szCs w:val="22"/>
        </w:rPr>
        <w:t xml:space="preserve">uvođenja </w:t>
      </w:r>
      <w:r>
        <w:rPr>
          <w:rFonts w:ascii="Calibri" w:hAnsi="Calibri" w:cs="Calibri"/>
          <w:color w:val="333333"/>
          <w:szCs w:val="22"/>
        </w:rPr>
        <w:t>nov</w:t>
      </w:r>
      <w:r w:rsidR="00AA6942">
        <w:rPr>
          <w:rFonts w:ascii="Calibri" w:hAnsi="Calibri" w:cs="Calibri"/>
          <w:color w:val="333333"/>
          <w:szCs w:val="22"/>
        </w:rPr>
        <w:t>ih</w:t>
      </w:r>
      <w:r>
        <w:rPr>
          <w:rFonts w:ascii="Calibri" w:hAnsi="Calibri" w:cs="Calibri"/>
          <w:color w:val="333333"/>
          <w:szCs w:val="22"/>
        </w:rPr>
        <w:t xml:space="preserve"> tehnologij</w:t>
      </w:r>
      <w:r w:rsidR="00AA6942">
        <w:rPr>
          <w:rFonts w:ascii="Calibri" w:hAnsi="Calibri" w:cs="Calibri"/>
          <w:color w:val="333333"/>
          <w:szCs w:val="22"/>
        </w:rPr>
        <w:t>a</w:t>
      </w:r>
      <w:r>
        <w:rPr>
          <w:rFonts w:ascii="Calibri" w:hAnsi="Calibri" w:cs="Calibri"/>
          <w:color w:val="333333"/>
          <w:szCs w:val="22"/>
        </w:rPr>
        <w:t>.”</w:t>
      </w:r>
      <w:r w:rsidR="005D165C">
        <w:rPr>
          <w:rFonts w:ascii="Calibri" w:hAnsi="Calibri" w:cs="Calibri"/>
          <w:color w:val="333333"/>
          <w:szCs w:val="22"/>
        </w:rPr>
        <w:t xml:space="preserve">    - Direktor međunarodne agencije za energetiku IEA</w:t>
      </w:r>
    </w:p>
    <w:p w14:paraId="4A5B530E" w14:textId="4768365E" w:rsidR="003F7412" w:rsidRDefault="003F7412" w:rsidP="003F7412">
      <w:pPr>
        <w:pStyle w:val="NormalWeb"/>
        <w:shd w:val="clear" w:color="auto" w:fill="FFFFFF"/>
        <w:spacing w:before="0" w:after="105"/>
        <w:jc w:val="both"/>
        <w:rPr>
          <w:rFonts w:ascii="Calibri" w:hAnsi="Calibri" w:cs="Calibri"/>
          <w:color w:val="333333"/>
          <w:szCs w:val="22"/>
        </w:rPr>
      </w:pPr>
      <w:r>
        <w:rPr>
          <w:rFonts w:ascii="Calibri" w:hAnsi="Calibri" w:cs="Calibri"/>
          <w:color w:val="333333"/>
          <w:szCs w:val="22"/>
        </w:rPr>
        <w:t>Uticaj politika efikasnosti bio je značajan tokom poslednjih decenija. Globalno, povećanjem efikasnosti od 2000. godine spriječeno je 12% veće korišćenje energije nego što je to inače bio slučaj 201</w:t>
      </w:r>
      <w:r w:rsidR="005D165C">
        <w:rPr>
          <w:rFonts w:ascii="Calibri" w:hAnsi="Calibri" w:cs="Calibri"/>
          <w:color w:val="333333"/>
          <w:szCs w:val="22"/>
        </w:rPr>
        <w:t>8</w:t>
      </w:r>
      <w:r>
        <w:rPr>
          <w:rFonts w:ascii="Calibri" w:hAnsi="Calibri" w:cs="Calibri"/>
          <w:color w:val="333333"/>
          <w:szCs w:val="22"/>
        </w:rPr>
        <w:t>. godine. Energetska efikasnost je glavni pokretač za razdvajanje potrošnje energije od ekonomskog razvoja.</w:t>
      </w:r>
    </w:p>
    <w:p w14:paraId="2C8E1701" w14:textId="65CB5A72" w:rsidR="003F7412" w:rsidRDefault="003F7412" w:rsidP="003F7412">
      <w:pPr>
        <w:pStyle w:val="NormalWeb"/>
        <w:shd w:val="clear" w:color="auto" w:fill="FFFFFF"/>
        <w:spacing w:before="0" w:after="105"/>
        <w:jc w:val="both"/>
        <w:rPr>
          <w:rFonts w:ascii="Calibri" w:hAnsi="Calibri" w:cs="Calibri"/>
          <w:color w:val="333333"/>
          <w:szCs w:val="22"/>
        </w:rPr>
      </w:pPr>
      <w:r>
        <w:rPr>
          <w:rFonts w:ascii="Calibri" w:hAnsi="Calibri" w:cs="Calibri"/>
          <w:color w:val="333333"/>
          <w:szCs w:val="22"/>
        </w:rPr>
        <w:t>Energetska efikasnost nastavila je da pokazuje poboljšanja u 20</w:t>
      </w:r>
      <w:r w:rsidR="005D165C">
        <w:rPr>
          <w:rFonts w:ascii="Calibri" w:hAnsi="Calibri" w:cs="Calibri"/>
          <w:color w:val="333333"/>
          <w:szCs w:val="22"/>
        </w:rPr>
        <w:t>20</w:t>
      </w:r>
      <w:r>
        <w:rPr>
          <w:rFonts w:ascii="Calibri" w:hAnsi="Calibri" w:cs="Calibri"/>
          <w:color w:val="333333"/>
          <w:szCs w:val="22"/>
        </w:rPr>
        <w:t xml:space="preserve">. godini, pri čemu je globalna ekonomija zahtijevala u prosjeku 1,3% manje </w:t>
      </w:r>
      <w:r w:rsidR="005D165C">
        <w:rPr>
          <w:rFonts w:ascii="Calibri" w:hAnsi="Calibri" w:cs="Calibri"/>
          <w:color w:val="333333"/>
          <w:szCs w:val="22"/>
        </w:rPr>
        <w:t>potrošnje</w:t>
      </w:r>
      <w:r>
        <w:rPr>
          <w:rFonts w:ascii="Calibri" w:hAnsi="Calibri" w:cs="Calibri"/>
          <w:color w:val="333333"/>
          <w:szCs w:val="22"/>
        </w:rPr>
        <w:t xml:space="preserve"> energije za svaku jedinicu BDP u</w:t>
      </w:r>
      <w:r w:rsidR="005D165C">
        <w:rPr>
          <w:rFonts w:ascii="Calibri" w:hAnsi="Calibri" w:cs="Calibri"/>
          <w:color w:val="333333"/>
          <w:szCs w:val="22"/>
        </w:rPr>
        <w:t xml:space="preserve"> odnosu na </w:t>
      </w:r>
      <w:r>
        <w:rPr>
          <w:rFonts w:ascii="Calibri" w:hAnsi="Calibri" w:cs="Calibri"/>
          <w:color w:val="333333"/>
          <w:szCs w:val="22"/>
        </w:rPr>
        <w:t>2017. godini. Međutim, godišnja stopa poboljšanja globalnog intenziteta primarne energije opada poslednjih godina, pala je sa visokih skoro 3% u 2015. godini na 1,9% u 2017. godini i ponovo je pala u 2018.</w:t>
      </w:r>
      <w:r w:rsidR="005D165C">
        <w:rPr>
          <w:rFonts w:ascii="Calibri" w:hAnsi="Calibri" w:cs="Calibri"/>
          <w:color w:val="333333"/>
          <w:szCs w:val="22"/>
        </w:rPr>
        <w:t xml:space="preserve"> i 2019. </w:t>
      </w:r>
      <w:r>
        <w:rPr>
          <w:rFonts w:ascii="Calibri" w:hAnsi="Calibri" w:cs="Calibri"/>
          <w:color w:val="333333"/>
          <w:szCs w:val="22"/>
        </w:rPr>
        <w:t>godini.</w:t>
      </w:r>
    </w:p>
    <w:p w14:paraId="62154FD0" w14:textId="1C12FAB3" w:rsidR="003F7412" w:rsidRDefault="003F7412" w:rsidP="003F7412">
      <w:pPr>
        <w:pStyle w:val="NormalWeb"/>
        <w:shd w:val="clear" w:color="auto" w:fill="FFFFFF"/>
        <w:spacing w:before="0" w:after="105"/>
        <w:jc w:val="both"/>
        <w:rPr>
          <w:rFonts w:ascii="Calibri" w:hAnsi="Calibri" w:cs="Calibri"/>
          <w:color w:val="333333"/>
          <w:szCs w:val="22"/>
        </w:rPr>
      </w:pPr>
      <w:r>
        <w:rPr>
          <w:rFonts w:ascii="Calibri" w:hAnsi="Calibri" w:cs="Calibri"/>
          <w:color w:val="333333"/>
          <w:szCs w:val="22"/>
        </w:rPr>
        <w:t>Od 2000. godine ova poboljšanja u najvećim svjetskim ekonomijama nadoknadila su više od trećine porasta energetski intenzivnih aktivnosti. Ali pozitivan uticaj politika efikasnosti nadjačan je brzo rastućim ekonomskim aktivnostima u zemljama u razvoju koje povećavaju potražnju za energijom. Globalna potražnja za energijom porasla je za skoro 2% u 201</w:t>
      </w:r>
      <w:r w:rsidR="005D165C">
        <w:rPr>
          <w:rFonts w:ascii="Calibri" w:hAnsi="Calibri" w:cs="Calibri"/>
          <w:color w:val="333333"/>
          <w:szCs w:val="22"/>
        </w:rPr>
        <w:t>8</w:t>
      </w:r>
      <w:r>
        <w:rPr>
          <w:rFonts w:ascii="Calibri" w:hAnsi="Calibri" w:cs="Calibri"/>
          <w:color w:val="333333"/>
          <w:szCs w:val="22"/>
        </w:rPr>
        <w:t>. godini. Ovo je bio najbrži rast ove decenije, podstaknut ekonomskim rastom i promjenama u ponašanju potrošača.</w:t>
      </w:r>
    </w:p>
    <w:p w14:paraId="66A3BF38" w14:textId="6C05C572" w:rsidR="003F7412" w:rsidRDefault="003F7412" w:rsidP="003F7412">
      <w:pPr>
        <w:pStyle w:val="NormalWeb"/>
        <w:shd w:val="clear" w:color="auto" w:fill="FFFFFF"/>
        <w:spacing w:before="0" w:after="105"/>
        <w:jc w:val="both"/>
        <w:rPr>
          <w:rFonts w:ascii="Calibri" w:hAnsi="Calibri" w:cs="Calibri"/>
          <w:color w:val="333333"/>
          <w:szCs w:val="22"/>
        </w:rPr>
      </w:pPr>
      <w:r>
        <w:rPr>
          <w:rFonts w:ascii="Calibri" w:hAnsi="Calibri" w:cs="Calibri"/>
          <w:color w:val="333333"/>
          <w:szCs w:val="22"/>
        </w:rPr>
        <w:t xml:space="preserve">Takođe, nedavni trendovi pokazuju da su napori politike oslabili posljednjih godina. Drugim riječima, </w:t>
      </w:r>
      <w:r w:rsidRPr="005D165C">
        <w:rPr>
          <w:rFonts w:ascii="Calibri" w:hAnsi="Calibri" w:cs="Calibri"/>
          <w:color w:val="333333"/>
          <w:szCs w:val="22"/>
          <w:u w:val="single"/>
        </w:rPr>
        <w:t>poboljšanja energetske efikasnosti koja su primijećena poslednjih godina sada se usporavaju jer je u poslednje dvije godine uvedeno manje novih standarda i politika.</w:t>
      </w:r>
      <w:r>
        <w:rPr>
          <w:rFonts w:ascii="Calibri" w:hAnsi="Calibri" w:cs="Calibri"/>
          <w:color w:val="333333"/>
          <w:szCs w:val="22"/>
        </w:rPr>
        <w:t xml:space="preserve"> Ovo je doprinijelo ubrzanju rasta potražnje za energijom koja je zabilježena 201</w:t>
      </w:r>
      <w:r w:rsidR="005D165C">
        <w:rPr>
          <w:rFonts w:ascii="Calibri" w:hAnsi="Calibri" w:cs="Calibri"/>
          <w:color w:val="333333"/>
          <w:szCs w:val="22"/>
        </w:rPr>
        <w:t>8</w:t>
      </w:r>
      <w:r>
        <w:rPr>
          <w:rFonts w:ascii="Calibri" w:hAnsi="Calibri" w:cs="Calibri"/>
          <w:color w:val="333333"/>
          <w:szCs w:val="22"/>
        </w:rPr>
        <w:t>. godine.</w:t>
      </w:r>
    </w:p>
    <w:p w14:paraId="32EBAD53" w14:textId="5779A6CD" w:rsidR="003F7412" w:rsidRDefault="003F7412" w:rsidP="003F7412">
      <w:pPr>
        <w:pStyle w:val="NormalWeb"/>
        <w:shd w:val="clear" w:color="auto" w:fill="FFFFFF"/>
        <w:spacing w:before="0" w:after="105"/>
        <w:jc w:val="both"/>
        <w:rPr>
          <w:rFonts w:ascii="Calibri" w:hAnsi="Calibri" w:cs="Calibri"/>
          <w:color w:val="333333"/>
          <w:szCs w:val="22"/>
        </w:rPr>
      </w:pPr>
      <w:r>
        <w:rPr>
          <w:rFonts w:ascii="Calibri" w:hAnsi="Calibri" w:cs="Calibri"/>
          <w:color w:val="333333"/>
          <w:szCs w:val="22"/>
        </w:rPr>
        <w:t>Danas je samo oko jedne trećine finalne potrošnje energije pokriveno obaveznim politikama energetske efikasnosti, poput kodeksa i standarda, sa tek neznatnim rastom pokrivenosti u posljednjih nekoliko godina. Napori na jačanju postojećih politika energetske efikasnosti takođe su ostali slabi u 2</w:t>
      </w:r>
      <w:r w:rsidR="005D165C">
        <w:rPr>
          <w:rFonts w:ascii="Calibri" w:hAnsi="Calibri" w:cs="Calibri"/>
          <w:color w:val="333333"/>
          <w:szCs w:val="22"/>
        </w:rPr>
        <w:t>020</w:t>
      </w:r>
      <w:r>
        <w:rPr>
          <w:rFonts w:ascii="Calibri" w:hAnsi="Calibri" w:cs="Calibri"/>
          <w:color w:val="333333"/>
          <w:szCs w:val="22"/>
        </w:rPr>
        <w:t>.godini. Povećanje pokrivenosti i jačine kodova i standarda ključna je poluga povećanja energetske efikasnosti.</w:t>
      </w:r>
    </w:p>
    <w:p w14:paraId="166504CC" w14:textId="7724EF2B" w:rsidR="003F7412" w:rsidRDefault="003F7412" w:rsidP="003F7412">
      <w:pPr>
        <w:pStyle w:val="NormalWeb"/>
        <w:shd w:val="clear" w:color="auto" w:fill="FFFFFF"/>
        <w:spacing w:before="0" w:after="105"/>
        <w:jc w:val="both"/>
        <w:rPr>
          <w:rFonts w:ascii="Calibri" w:hAnsi="Calibri" w:cs="Calibri"/>
          <w:color w:val="333333"/>
          <w:szCs w:val="22"/>
        </w:rPr>
      </w:pPr>
      <w:r>
        <w:rPr>
          <w:rFonts w:ascii="Calibri" w:hAnsi="Calibri" w:cs="Calibri"/>
          <w:color w:val="333333"/>
          <w:szCs w:val="22"/>
        </w:rPr>
        <w:t>Usporavanje stope poboljšanja energetske efikasnosti znači da je efikasnost kompenzovala 40% manje emisije CO</w:t>
      </w:r>
      <w:r w:rsidR="00E377CE">
        <w:rPr>
          <w:rFonts w:ascii="Calibri" w:hAnsi="Calibri" w:cs="Calibri"/>
          <w:color w:val="333333"/>
          <w:szCs w:val="22"/>
          <w:vertAlign w:val="subscript"/>
        </w:rPr>
        <w:t>2</w:t>
      </w:r>
      <w:r>
        <w:rPr>
          <w:rFonts w:ascii="Calibri" w:hAnsi="Calibri" w:cs="Calibri"/>
          <w:color w:val="333333"/>
          <w:szCs w:val="22"/>
        </w:rPr>
        <w:t xml:space="preserve"> u 201</w:t>
      </w:r>
      <w:r w:rsidR="005D165C">
        <w:rPr>
          <w:rFonts w:ascii="Calibri" w:hAnsi="Calibri" w:cs="Calibri"/>
          <w:color w:val="333333"/>
          <w:szCs w:val="22"/>
        </w:rPr>
        <w:t>9</w:t>
      </w:r>
      <w:r>
        <w:rPr>
          <w:rFonts w:ascii="Calibri" w:hAnsi="Calibri" w:cs="Calibri"/>
          <w:color w:val="333333"/>
          <w:szCs w:val="22"/>
        </w:rPr>
        <w:t>. godini u odnosu na 201</w:t>
      </w:r>
      <w:r w:rsidR="005D165C">
        <w:rPr>
          <w:rFonts w:ascii="Calibri" w:hAnsi="Calibri" w:cs="Calibri"/>
          <w:color w:val="333333"/>
          <w:szCs w:val="22"/>
        </w:rPr>
        <w:t>8</w:t>
      </w:r>
      <w:r>
        <w:rPr>
          <w:rFonts w:ascii="Calibri" w:hAnsi="Calibri" w:cs="Calibri"/>
          <w:color w:val="333333"/>
          <w:szCs w:val="22"/>
        </w:rPr>
        <w:t>. godinu, iako ostaje najveći doprinos smanjenju emisija.</w:t>
      </w:r>
    </w:p>
    <w:p w14:paraId="3C75D010" w14:textId="544406C5" w:rsidR="003F7412" w:rsidRDefault="003F7412" w:rsidP="003F7412">
      <w:pPr>
        <w:pStyle w:val="NormalWeb"/>
        <w:shd w:val="clear" w:color="auto" w:fill="FFFFFF"/>
        <w:spacing w:before="0" w:after="105"/>
        <w:jc w:val="both"/>
        <w:rPr>
          <w:rFonts w:ascii="Calibri" w:hAnsi="Calibri" w:cs="Calibri"/>
          <w:color w:val="333333"/>
          <w:szCs w:val="22"/>
        </w:rPr>
      </w:pPr>
      <w:r>
        <w:rPr>
          <w:rFonts w:ascii="Calibri" w:hAnsi="Calibri" w:cs="Calibri"/>
          <w:color w:val="333333"/>
          <w:szCs w:val="22"/>
        </w:rPr>
        <w:t>Ograničeno poboljšanje globalne energetske efikasnosti u 201</w:t>
      </w:r>
      <w:r w:rsidR="005D165C">
        <w:rPr>
          <w:rFonts w:ascii="Calibri" w:hAnsi="Calibri" w:cs="Calibri"/>
          <w:color w:val="333333"/>
          <w:szCs w:val="22"/>
        </w:rPr>
        <w:t>9</w:t>
      </w:r>
      <w:r>
        <w:rPr>
          <w:rFonts w:ascii="Calibri" w:hAnsi="Calibri" w:cs="Calibri"/>
          <w:color w:val="333333"/>
          <w:szCs w:val="22"/>
        </w:rPr>
        <w:t>. godini može se pripisati nizu faktora. Među njima je statič</w:t>
      </w:r>
      <w:r w:rsidR="00CE389B">
        <w:rPr>
          <w:rFonts w:ascii="Calibri" w:hAnsi="Calibri" w:cs="Calibri"/>
          <w:color w:val="333333"/>
          <w:szCs w:val="22"/>
        </w:rPr>
        <w:t>no političko okruženje</w:t>
      </w:r>
      <w:r>
        <w:rPr>
          <w:rFonts w:ascii="Calibri" w:hAnsi="Calibri" w:cs="Calibri"/>
          <w:color w:val="333333"/>
          <w:szCs w:val="22"/>
        </w:rPr>
        <w:t xml:space="preserve"> energetske efikasnosti u 201</w:t>
      </w:r>
      <w:r w:rsidR="005D165C">
        <w:rPr>
          <w:rFonts w:ascii="Calibri" w:hAnsi="Calibri" w:cs="Calibri"/>
          <w:color w:val="333333"/>
          <w:szCs w:val="22"/>
        </w:rPr>
        <w:t>9</w:t>
      </w:r>
      <w:r>
        <w:rPr>
          <w:rFonts w:ascii="Calibri" w:hAnsi="Calibri" w:cs="Calibri"/>
          <w:color w:val="333333"/>
          <w:szCs w:val="22"/>
        </w:rPr>
        <w:t xml:space="preserve">. godini, sa slabim napretkom u implementaciji novih politika energetske efikasnosti ili povećanju </w:t>
      </w:r>
      <w:r w:rsidR="00CE389B">
        <w:rPr>
          <w:rFonts w:ascii="Calibri" w:hAnsi="Calibri" w:cs="Calibri"/>
          <w:color w:val="333333"/>
          <w:szCs w:val="22"/>
        </w:rPr>
        <w:t>stroge primjene postojećih</w:t>
      </w:r>
      <w:r>
        <w:rPr>
          <w:rFonts w:ascii="Calibri" w:hAnsi="Calibri" w:cs="Calibri"/>
          <w:color w:val="333333"/>
          <w:szCs w:val="22"/>
        </w:rPr>
        <w:t xml:space="preserve"> politika.</w:t>
      </w:r>
    </w:p>
    <w:p w14:paraId="0EBBDA5F" w14:textId="0EF495D5" w:rsidR="003F7412" w:rsidRDefault="003F7412" w:rsidP="003F7412">
      <w:pPr>
        <w:pStyle w:val="NormalWeb"/>
        <w:shd w:val="clear" w:color="auto" w:fill="FFFFFF"/>
        <w:spacing w:before="0" w:after="105"/>
        <w:jc w:val="both"/>
        <w:rPr>
          <w:rFonts w:ascii="Calibri" w:hAnsi="Calibri" w:cs="Calibri"/>
          <w:color w:val="333333"/>
          <w:szCs w:val="22"/>
        </w:rPr>
      </w:pPr>
      <w:r>
        <w:rPr>
          <w:rFonts w:ascii="Calibri" w:hAnsi="Calibri" w:cs="Calibri"/>
          <w:color w:val="333333"/>
          <w:szCs w:val="22"/>
        </w:rPr>
        <w:t xml:space="preserve">Napredak u mjerama politike kao što su finansijski podsticaji, tržišni instrumenti i programi informisanja i izgradnje kapaciteta takođe je ograničen. Na primjer, mnoge zemlje povećavaju efikasnost postavljanjem obaveza na komunalna preduzeća da ispune ciljeve uštede energije. Međutim, ovi ciljevi se nisu promijenili od 2014. godine u više od polovine </w:t>
      </w:r>
      <w:r w:rsidR="00745215">
        <w:rPr>
          <w:rFonts w:ascii="Calibri" w:hAnsi="Calibri" w:cs="Calibri"/>
          <w:color w:val="333333"/>
          <w:szCs w:val="22"/>
        </w:rPr>
        <w:t>projektovani obaveza</w:t>
      </w:r>
      <w:r>
        <w:rPr>
          <w:rFonts w:ascii="Calibri" w:hAnsi="Calibri" w:cs="Calibri"/>
          <w:color w:val="333333"/>
          <w:szCs w:val="22"/>
        </w:rPr>
        <w:t>, globalno.</w:t>
      </w:r>
    </w:p>
    <w:p w14:paraId="57B518D8" w14:textId="77777777" w:rsidR="003F7412" w:rsidRDefault="003F7412" w:rsidP="003F7412">
      <w:pPr>
        <w:pStyle w:val="NormalWeb"/>
        <w:shd w:val="clear" w:color="auto" w:fill="FFFFFF"/>
        <w:spacing w:before="0" w:after="105"/>
        <w:jc w:val="both"/>
        <w:rPr>
          <w:rFonts w:ascii="Calibri" w:hAnsi="Calibri" w:cs="Calibri"/>
          <w:color w:val="333333"/>
          <w:szCs w:val="22"/>
        </w:rPr>
      </w:pPr>
    </w:p>
    <w:p w14:paraId="5987085C" w14:textId="77777777" w:rsidR="003F7412" w:rsidRPr="000142CE" w:rsidRDefault="003F7412" w:rsidP="003F7412">
      <w:pPr>
        <w:pStyle w:val="Heading2"/>
        <w:numPr>
          <w:ilvl w:val="1"/>
          <w:numId w:val="25"/>
        </w:numPr>
        <w:rPr>
          <w:rFonts w:ascii="Calibri" w:hAnsi="Calibri"/>
          <w:color w:val="171717" w:themeColor="background2" w:themeShade="1A"/>
        </w:rPr>
      </w:pPr>
      <w:bookmarkStart w:id="63" w:name="_Toc82271953"/>
      <w:r w:rsidRPr="000142CE">
        <w:rPr>
          <w:rFonts w:ascii="Calibri" w:hAnsi="Calibri"/>
          <w:color w:val="171717" w:themeColor="background2" w:themeShade="1A"/>
        </w:rPr>
        <w:t>Potencijal za uštede mjerama energetske efikasnosti</w:t>
      </w:r>
      <w:bookmarkEnd w:id="63"/>
      <w:r w:rsidRPr="000142CE">
        <w:rPr>
          <w:rFonts w:ascii="Calibri" w:hAnsi="Calibri"/>
          <w:color w:val="171717" w:themeColor="background2" w:themeShade="1A"/>
        </w:rPr>
        <w:t xml:space="preserve"> </w:t>
      </w:r>
    </w:p>
    <w:p w14:paraId="2C588EDC" w14:textId="77777777" w:rsidR="003F7412" w:rsidRDefault="003F7412" w:rsidP="003F7412"/>
    <w:p w14:paraId="5C6D54CD" w14:textId="77777777" w:rsidR="003F7412" w:rsidRDefault="003F7412" w:rsidP="003F7412">
      <w:pPr>
        <w:rPr>
          <w:rFonts w:cs="Calibri"/>
          <w:b/>
          <w:sz w:val="24"/>
        </w:rPr>
      </w:pPr>
      <w:r>
        <w:rPr>
          <w:rFonts w:cs="Calibri"/>
          <w:b/>
          <w:sz w:val="24"/>
        </w:rPr>
        <w:t xml:space="preserve">Postojeći fond zgrada </w:t>
      </w:r>
    </w:p>
    <w:p w14:paraId="695B363B" w14:textId="631587B4" w:rsidR="003F7412" w:rsidRDefault="003F7412" w:rsidP="003F7412">
      <w:pPr>
        <w:jc w:val="both"/>
        <w:rPr>
          <w:rFonts w:cs="Calibri"/>
          <w:sz w:val="24"/>
        </w:rPr>
      </w:pPr>
      <w:r>
        <w:rPr>
          <w:rFonts w:cs="Calibri"/>
          <w:sz w:val="24"/>
        </w:rPr>
        <w:t>Veliki broj od postojećeg fonda višespratnih zgrada</w:t>
      </w:r>
      <w:r w:rsidRPr="001255F2">
        <w:rPr>
          <w:rFonts w:cs="Calibri"/>
          <w:sz w:val="24"/>
          <w:szCs w:val="24"/>
        </w:rPr>
        <w:t>, namijenjen kolektivnom stanovanju, je izgrađen tokom 60-tih i 70-tih godina prošlog vijeka. Karakteristike ovih zgrada su starost i zapuštenost spoljnih konstrukcija, fasada, ravnih krovova i instalacija.</w:t>
      </w:r>
      <w:r w:rsidR="001255F2" w:rsidRPr="001255F2">
        <w:rPr>
          <w:rFonts w:cs="Calibri"/>
          <w:sz w:val="24"/>
          <w:szCs w:val="24"/>
        </w:rPr>
        <w:t xml:space="preserve"> </w:t>
      </w:r>
      <w:r w:rsidR="001255F2" w:rsidRPr="001255F2">
        <w:rPr>
          <w:sz w:val="24"/>
          <w:szCs w:val="24"/>
          <w:lang w:val="sr-Latn-ME" w:eastAsia="de-DE"/>
        </w:rPr>
        <w:t>Izrada inventara zgrada u Crnoj Gori u cilju obezbjeđenja uslova za određivanje troškovno-optimalnih nivoa za minimalne zahtjeve energetske efikasnosti, kao i za određivanje energetskih klasa je jedan od prioriteta Vlade Crne Gore.</w:t>
      </w:r>
      <w:r w:rsidR="001255F2">
        <w:rPr>
          <w:i/>
          <w:sz w:val="18"/>
          <w:szCs w:val="18"/>
          <w:lang w:val="sr-Latn-ME" w:eastAsia="de-DE"/>
        </w:rPr>
        <w:t xml:space="preserve"> </w:t>
      </w:r>
    </w:p>
    <w:p w14:paraId="6B3C55A4" w14:textId="77777777" w:rsidR="003F7412" w:rsidRDefault="003F7412" w:rsidP="003F7412">
      <w:r>
        <w:rPr>
          <w:rFonts w:cs="Calibri"/>
          <w:b/>
          <w:bCs/>
          <w:sz w:val="24"/>
          <w:szCs w:val="24"/>
        </w:rPr>
        <w:t xml:space="preserve">Javne zgrade - </w:t>
      </w:r>
      <w:r>
        <w:rPr>
          <w:rFonts w:cs="Calibri"/>
          <w:b/>
          <w:sz w:val="24"/>
          <w:szCs w:val="24"/>
        </w:rPr>
        <w:t>komercijalni sektor</w:t>
      </w:r>
    </w:p>
    <w:p w14:paraId="7D0E34A2" w14:textId="77777777" w:rsidR="00D836D6" w:rsidRDefault="003F7412" w:rsidP="003F7412">
      <w:pPr>
        <w:jc w:val="both"/>
        <w:rPr>
          <w:rFonts w:cs="Calibri"/>
          <w:sz w:val="24"/>
        </w:rPr>
      </w:pPr>
      <w:r>
        <w:rPr>
          <w:rFonts w:cs="Calibri"/>
          <w:sz w:val="24"/>
          <w:szCs w:val="24"/>
        </w:rPr>
        <w:t>Glavna pokretačka snaga u implementaciji mjera energetske efikasnosti u sektoru javnih komercijalnih zgrada je u direktnoj vezi sa komercijalnim aspektom (uštedama): smanjena potrošnja energije - smanjenje troškova – niža cijena – veća konkurentnost. Na temelju te pretpostavke, sektor turizama - hoteli predstavljaju najvažniji segment. Veliki broj hotela se nalazi u južnom regionu – priobalnom dijelu. U tim zgradama dominantno najveći dio potrošnje energije je tokom ljetnjeg perioda, i odnosi se na hlađenje prostorija i zagrijavanje vode. Takođe je evidentno da je dinamičan</w:t>
      </w:r>
      <w:r>
        <w:rPr>
          <w:rFonts w:cs="Calibri"/>
          <w:sz w:val="24"/>
        </w:rPr>
        <w:t xml:space="preserve"> razvoj ovog sektora u zadnjih desetak godina uslovio povećanu potrošnju električne energije i drugih energenata. Imajući u vidu raspoložive tehnologije postoji značajan potencijal za uštedu energije kroz primjenu mjera energetske efikasnosti; budući da hoteli moraju biti hlađeni tokom ljetnjeg perioda, toplota koju oslobađaju rashladni uređaji može se koristiti za zagrijavanje vode. Na ovaj način rashladni uređaji postaju toplotne pumpe “tip 2” (hladna kogeneracija). Sličan način kogeneracije može biti primijenjen u supermarketima, koristeći toplotu koju oslobađaju brojni rashladni uređaji.</w:t>
      </w:r>
    </w:p>
    <w:p w14:paraId="2DE41D1A" w14:textId="6D94B5C5" w:rsidR="003F7412" w:rsidRDefault="003F7412" w:rsidP="003F7412">
      <w:pPr>
        <w:jc w:val="both"/>
        <w:rPr>
          <w:rFonts w:cs="Calibri"/>
          <w:b/>
          <w:bCs/>
          <w:sz w:val="24"/>
        </w:rPr>
      </w:pPr>
      <w:r>
        <w:rPr>
          <w:rFonts w:cs="Calibri"/>
          <w:b/>
          <w:bCs/>
          <w:sz w:val="24"/>
        </w:rPr>
        <w:t xml:space="preserve">Javne zgrade – nekomercijalni sektor </w:t>
      </w:r>
    </w:p>
    <w:p w14:paraId="34E52DF3" w14:textId="4431D8CD" w:rsidR="001255F2" w:rsidRDefault="003F7412" w:rsidP="003F7412">
      <w:pPr>
        <w:jc w:val="both"/>
        <w:rPr>
          <w:rFonts w:cs="Calibri"/>
          <w:sz w:val="24"/>
        </w:rPr>
      </w:pPr>
      <w:r>
        <w:rPr>
          <w:rFonts w:cs="Calibri"/>
          <w:sz w:val="24"/>
        </w:rPr>
        <w:t>Za razliku od komercijalnog sektora kojeg obično karakterišu jasno definis</w:t>
      </w:r>
      <w:r w:rsidR="008D4511">
        <w:rPr>
          <w:rFonts w:cs="Calibri"/>
          <w:sz w:val="24"/>
        </w:rPr>
        <w:t>ani vlasnici, nekomercijalni sek</w:t>
      </w:r>
      <w:r>
        <w:rPr>
          <w:rFonts w:cs="Calibri"/>
          <w:sz w:val="24"/>
        </w:rPr>
        <w:t xml:space="preserve">tor - sektor javnih zgrada: škole, bolnice, administrativne zgrade, kao i vladine zgrade, često nemaju jasno definisanog vlasnika. Prema opšteprihvaćenom mišljenju, a i iz iskustava razvijenih zemalja, dominantne aktivnosti u početnoj fazi primjene mjera EE trebaju biti usmjerene ka ovom sektoru, budući da ostvareni rezultati na ovim zgradama, mogu poslužiti kao primjeri dobrih praksi koje bi trebalo slijediti. Mjerama EE u ovim zgradama se postižu značajni finansijski efekti i efekti koje nije moguće jednostavno izraziti kroz finansijske uštede, kao na primjer značajno poboljšanje uslova za korisnike tih objekata (škole, bolnice, studentski domovi i td.), a koje neizostavno treba imati u vidu prilikom sačinjavanja plana realizacije projekata EE. U vezi sa zgradama državne uprave, valja naglasiti da Nacionalni akcioni plan energetske efikasnosti jasno naglašava gledište da Vlada mora pokazati svoju predanost razvoju politike u ovom segmentu kroz pravilno održavanje i upravljanje zgradama u javnom sektoru. To se može postići kroz programiranje aktivnosti demonstracionih projekata u oblasti energetske efikasnosti u pogledu energetske rehabilitacije tih zgrada. </w:t>
      </w:r>
    </w:p>
    <w:p w14:paraId="47570F08" w14:textId="71E88896" w:rsidR="001255F2" w:rsidRDefault="001255F2" w:rsidP="003F7412">
      <w:pPr>
        <w:jc w:val="both"/>
        <w:rPr>
          <w:rFonts w:cs="Calibri"/>
          <w:sz w:val="24"/>
        </w:rPr>
      </w:pPr>
    </w:p>
    <w:p w14:paraId="00CCC4CD" w14:textId="77777777" w:rsidR="001255F2" w:rsidRPr="001255F2" w:rsidRDefault="001255F2" w:rsidP="003F7412">
      <w:pPr>
        <w:jc w:val="both"/>
        <w:rPr>
          <w:rFonts w:cs="Calibri"/>
          <w:sz w:val="24"/>
        </w:rPr>
      </w:pPr>
    </w:p>
    <w:p w14:paraId="01024A95" w14:textId="5FF77F8D" w:rsidR="003F7412" w:rsidRDefault="003F7412" w:rsidP="003F7412">
      <w:pPr>
        <w:jc w:val="both"/>
        <w:rPr>
          <w:rFonts w:cs="Calibri"/>
          <w:b/>
          <w:bCs/>
          <w:sz w:val="24"/>
        </w:rPr>
      </w:pPr>
      <w:r>
        <w:rPr>
          <w:rFonts w:cs="Calibri"/>
          <w:b/>
          <w:bCs/>
          <w:sz w:val="24"/>
        </w:rPr>
        <w:lastRenderedPageBreak/>
        <w:t xml:space="preserve">Nove zgrade </w:t>
      </w:r>
    </w:p>
    <w:p w14:paraId="4FF3F585" w14:textId="587A2BD1" w:rsidR="003F7412" w:rsidRDefault="003F7412" w:rsidP="003F7412">
      <w:pPr>
        <w:jc w:val="both"/>
        <w:rPr>
          <w:rFonts w:cs="Calibri"/>
          <w:sz w:val="24"/>
        </w:rPr>
      </w:pPr>
      <w:r>
        <w:rPr>
          <w:rFonts w:cs="Calibri"/>
          <w:sz w:val="24"/>
        </w:rPr>
        <w:t xml:space="preserve">Nove zgrade trebaju biti projektovane u skladu sa evropskim propisima koji se odnose na energetsku efikasnost, a koji obuhvata sve faktore koje imaju uticaja na energetske karakteristike zgrada: (a) klimatski faktor – uticaj mikrolokacije (b) kombinaciju arihitektonsko-građevinskih faktora, spoljašna struktura kroz upotrebu adekvatnih fasada, krovova, građevinskih materijala, instalaciju složenih sistema za grijanje i hlađenje, osvjetljenja itd. Svaka zgrada treba da posjeduje zvanični Serifikat o energetskim karakteristikama objekta, koji mora biti postavljen u unutrašnjem dijelu zgrade na mjestu gdje je jasno vidiljiv svim korisnicima tog objekta. Izdavanje ovog Sertifikata mora biti povezano sa izdavanjem upotrebne dozvole za objekat, kao njen obavezni dio. Informacija o energetskoj klasi objekta koja je sadržana u Sertifikatu će imati velikog uticaja na tržišnu vrijednost objekta – zgrade. </w:t>
      </w:r>
      <w:r w:rsidR="001255F2" w:rsidRPr="001255F2">
        <w:rPr>
          <w:rFonts w:cs="Calibri"/>
          <w:sz w:val="24"/>
        </w:rPr>
        <w:t xml:space="preserve">Zgrade javne namjene imaju obavezu da sertifikat javno izlože na vidnom mjestu.  </w:t>
      </w:r>
    </w:p>
    <w:p w14:paraId="77B754F4" w14:textId="77777777" w:rsidR="00D836D6" w:rsidRDefault="00D836D6" w:rsidP="003F7412">
      <w:pPr>
        <w:jc w:val="both"/>
        <w:rPr>
          <w:rFonts w:cs="Calibri"/>
          <w:sz w:val="24"/>
        </w:rPr>
      </w:pPr>
    </w:p>
    <w:p w14:paraId="7F2F36A6" w14:textId="317A7662" w:rsidR="003F7412" w:rsidRDefault="003F7412" w:rsidP="003F7412">
      <w:pPr>
        <w:pStyle w:val="Heading2"/>
        <w:numPr>
          <w:ilvl w:val="1"/>
          <w:numId w:val="25"/>
        </w:numPr>
        <w:rPr>
          <w:rFonts w:ascii="Calibri" w:hAnsi="Calibri"/>
          <w:color w:val="171717" w:themeColor="background2" w:themeShade="1A"/>
        </w:rPr>
      </w:pPr>
      <w:bookmarkStart w:id="64" w:name="_Toc81476896"/>
      <w:bookmarkStart w:id="65" w:name="_Toc81481283"/>
      <w:bookmarkStart w:id="66" w:name="_Toc82271954"/>
      <w:r w:rsidRPr="000142CE">
        <w:rPr>
          <w:rFonts w:ascii="Calibri" w:hAnsi="Calibri"/>
          <w:color w:val="171717" w:themeColor="background2" w:themeShade="1A"/>
        </w:rPr>
        <w:t>EE potencijal u analizi javnog sektora</w:t>
      </w:r>
      <w:bookmarkEnd w:id="64"/>
      <w:bookmarkEnd w:id="65"/>
      <w:bookmarkEnd w:id="66"/>
    </w:p>
    <w:p w14:paraId="0E2D367C" w14:textId="77777777" w:rsidR="001F4654" w:rsidRPr="001F4654" w:rsidRDefault="001F4654" w:rsidP="001F4654"/>
    <w:p w14:paraId="184E702F" w14:textId="6AE0C3B8" w:rsidR="003F7412" w:rsidRDefault="003F7412" w:rsidP="003F7412">
      <w:pPr>
        <w:jc w:val="both"/>
        <w:rPr>
          <w:rFonts w:cs="Calibri"/>
          <w:sz w:val="24"/>
          <w:szCs w:val="24"/>
        </w:rPr>
      </w:pPr>
      <w:r>
        <w:rPr>
          <w:rFonts w:cs="Calibri"/>
          <w:sz w:val="24"/>
          <w:szCs w:val="24"/>
        </w:rPr>
        <w:t>Cilj dalje analize bio je da se otkrije i kvantifikuje potencijal uštede energije u javnom sektoru Crne Gore.</w:t>
      </w:r>
    </w:p>
    <w:p w14:paraId="71FDD865" w14:textId="48E63FFE" w:rsidR="003F7412" w:rsidRDefault="003F7412" w:rsidP="001255F2">
      <w:pPr>
        <w:jc w:val="both"/>
        <w:rPr>
          <w:rFonts w:cs="Calibri"/>
          <w:sz w:val="24"/>
          <w:szCs w:val="24"/>
        </w:rPr>
      </w:pPr>
      <w:r>
        <w:rPr>
          <w:rFonts w:cs="Calibri"/>
          <w:sz w:val="24"/>
          <w:szCs w:val="24"/>
        </w:rPr>
        <w:t xml:space="preserve">Na početku se mora naglasiti da je priprema Nacionalnog inventara zgrada sa podacima o grijnim površinama javnih zgrada i drugim karakteristikama trenutno u toku i da nije bila dostupna za ovu analizu. Glavna svrha ove pripreme inventara zgrada je prikupljanje i pružanje ključnih informacija o postojećem </w:t>
      </w:r>
      <w:r w:rsidR="00745215">
        <w:rPr>
          <w:rFonts w:cs="Calibri"/>
          <w:sz w:val="24"/>
          <w:szCs w:val="24"/>
        </w:rPr>
        <w:t>fondu zgrada</w:t>
      </w:r>
      <w:r>
        <w:rPr>
          <w:rFonts w:cs="Calibri"/>
          <w:sz w:val="24"/>
          <w:szCs w:val="24"/>
        </w:rPr>
        <w:t>:</w:t>
      </w:r>
    </w:p>
    <w:p w14:paraId="32638F95" w14:textId="6C63BC85" w:rsidR="003F7412" w:rsidRDefault="003F7412" w:rsidP="003F7412">
      <w:pPr>
        <w:pStyle w:val="10normal"/>
        <w:numPr>
          <w:ilvl w:val="0"/>
          <w:numId w:val="26"/>
        </w:numPr>
        <w:rPr>
          <w:rFonts w:ascii="Calibri" w:hAnsi="Calibri" w:cs="Calibri"/>
          <w:sz w:val="24"/>
          <w:szCs w:val="24"/>
        </w:rPr>
      </w:pPr>
      <w:r>
        <w:rPr>
          <w:rFonts w:ascii="Calibri" w:hAnsi="Calibri" w:cs="Calibri"/>
          <w:sz w:val="24"/>
          <w:szCs w:val="24"/>
        </w:rPr>
        <w:t>Podaci potrebni za identifikaciju/prilagođavanje nacionalnih referentnih zgrada</w:t>
      </w:r>
    </w:p>
    <w:p w14:paraId="30880865" w14:textId="4828156D" w:rsidR="003F7412" w:rsidRDefault="003F7412" w:rsidP="003F7412">
      <w:pPr>
        <w:pStyle w:val="10normal"/>
        <w:numPr>
          <w:ilvl w:val="0"/>
          <w:numId w:val="26"/>
        </w:numPr>
        <w:rPr>
          <w:rFonts w:ascii="Calibri" w:hAnsi="Calibri" w:cs="Calibri"/>
          <w:sz w:val="24"/>
          <w:szCs w:val="24"/>
        </w:rPr>
      </w:pPr>
      <w:r>
        <w:rPr>
          <w:rFonts w:ascii="Calibri" w:hAnsi="Calibri" w:cs="Calibri"/>
          <w:sz w:val="24"/>
          <w:szCs w:val="24"/>
        </w:rPr>
        <w:t xml:space="preserve">Ulazni/input podaci potrebni za evaluaciju/proračun optimalnih nivoa za energetske </w:t>
      </w:r>
      <w:r w:rsidR="00745215">
        <w:rPr>
          <w:rFonts w:ascii="Calibri" w:hAnsi="Calibri" w:cs="Calibri"/>
          <w:sz w:val="24"/>
          <w:szCs w:val="24"/>
        </w:rPr>
        <w:t>karakteristike</w:t>
      </w:r>
    </w:p>
    <w:p w14:paraId="6DB6C62F" w14:textId="77777777" w:rsidR="003F7412" w:rsidRDefault="003F7412" w:rsidP="003F7412">
      <w:pPr>
        <w:pStyle w:val="10normal"/>
        <w:numPr>
          <w:ilvl w:val="0"/>
          <w:numId w:val="26"/>
        </w:numPr>
        <w:rPr>
          <w:rFonts w:ascii="Calibri" w:hAnsi="Calibri" w:cs="Calibri"/>
          <w:sz w:val="24"/>
          <w:szCs w:val="24"/>
        </w:rPr>
      </w:pPr>
      <w:r>
        <w:rPr>
          <w:rFonts w:ascii="Calibri" w:hAnsi="Calibri" w:cs="Calibri"/>
          <w:sz w:val="24"/>
          <w:szCs w:val="24"/>
        </w:rPr>
        <w:t>Ulazni/input podaci potrebni za proračun nacionalnog ekonomskog potencijala za uštedu energije</w:t>
      </w:r>
    </w:p>
    <w:p w14:paraId="17DDDB75" w14:textId="77777777" w:rsidR="003F7412" w:rsidRDefault="003F7412" w:rsidP="003F7412">
      <w:pPr>
        <w:pStyle w:val="10normal"/>
        <w:numPr>
          <w:ilvl w:val="0"/>
          <w:numId w:val="26"/>
        </w:numPr>
        <w:rPr>
          <w:rFonts w:ascii="Calibri" w:hAnsi="Calibri" w:cs="Calibri"/>
          <w:sz w:val="24"/>
          <w:szCs w:val="24"/>
        </w:rPr>
      </w:pPr>
      <w:r>
        <w:rPr>
          <w:rFonts w:ascii="Calibri" w:hAnsi="Calibri" w:cs="Calibri"/>
          <w:sz w:val="24"/>
          <w:szCs w:val="24"/>
        </w:rPr>
        <w:t>Informacije o stalnom razvoju potrošnje energije (uključujući i uticaj novog pravnog okvira)</w:t>
      </w:r>
    </w:p>
    <w:p w14:paraId="3538DE03" w14:textId="77777777" w:rsidR="003F7412" w:rsidRDefault="003F7412" w:rsidP="003F7412">
      <w:pPr>
        <w:pStyle w:val="9tabelabodytext"/>
        <w:rPr>
          <w:rFonts w:ascii="Calibri" w:eastAsia="Calibri Light" w:hAnsi="Calibri" w:cs="Calibri"/>
          <w:sz w:val="24"/>
          <w:szCs w:val="24"/>
          <w:lang w:val="en-GB"/>
        </w:rPr>
      </w:pPr>
    </w:p>
    <w:p w14:paraId="1E736DEB" w14:textId="77777777" w:rsidR="005D165C" w:rsidRDefault="003F7412" w:rsidP="003F7412">
      <w:pPr>
        <w:jc w:val="both"/>
        <w:rPr>
          <w:rFonts w:cs="Calibri"/>
          <w:b/>
          <w:bCs/>
          <w:sz w:val="24"/>
          <w:szCs w:val="24"/>
        </w:rPr>
      </w:pPr>
      <w:r>
        <w:rPr>
          <w:rFonts w:cs="Calibri"/>
          <w:sz w:val="24"/>
          <w:szCs w:val="24"/>
        </w:rPr>
        <w:t xml:space="preserve">Stoga se analiza koja je u daljem tekstu izvršena i predstavljena zasniva na postojećim dokumentima, konkretnije </w:t>
      </w:r>
      <w:r w:rsidRPr="005D165C">
        <w:rPr>
          <w:rFonts w:cs="Calibri"/>
          <w:b/>
          <w:bCs/>
          <w:sz w:val="24"/>
          <w:szCs w:val="24"/>
        </w:rPr>
        <w:t>detaljnim izvještajima o energetskom pregledu (DEA)</w:t>
      </w:r>
      <w:r w:rsidR="005D165C">
        <w:rPr>
          <w:rFonts w:cs="Calibri"/>
          <w:b/>
          <w:bCs/>
          <w:sz w:val="24"/>
          <w:szCs w:val="24"/>
        </w:rPr>
        <w:t xml:space="preserve">. </w:t>
      </w:r>
    </w:p>
    <w:p w14:paraId="61A9F001" w14:textId="3C9AEC99" w:rsidR="003F7412" w:rsidRDefault="003F7412" w:rsidP="003F7412">
      <w:pPr>
        <w:jc w:val="both"/>
        <w:rPr>
          <w:rFonts w:cs="Calibri"/>
          <w:sz w:val="24"/>
          <w:szCs w:val="24"/>
        </w:rPr>
      </w:pPr>
      <w:r>
        <w:rPr>
          <w:rFonts w:cs="Calibri"/>
          <w:sz w:val="24"/>
          <w:szCs w:val="24"/>
        </w:rPr>
        <w:t>Druge studije o potencijalu EE u javnom sektoru nijesu bile dostupne.</w:t>
      </w:r>
    </w:p>
    <w:p w14:paraId="4F694B2D" w14:textId="1E580681" w:rsidR="003F7412" w:rsidRDefault="003F7412" w:rsidP="003F7412">
      <w:pPr>
        <w:jc w:val="both"/>
        <w:sectPr w:rsidR="003F7412">
          <w:headerReference w:type="default" r:id="rId40"/>
          <w:pgSz w:w="11906" w:h="16838"/>
          <w:pgMar w:top="1440" w:right="1440" w:bottom="1440" w:left="1440" w:header="720" w:footer="720" w:gutter="0"/>
          <w:cols w:space="720"/>
        </w:sectPr>
      </w:pPr>
      <w:r>
        <w:rPr>
          <w:rFonts w:cs="Calibri"/>
          <w:sz w:val="24"/>
          <w:szCs w:val="24"/>
        </w:rPr>
        <w:t>Kao po</w:t>
      </w:r>
      <w:r w:rsidR="00C90047">
        <w:rPr>
          <w:rFonts w:cs="Calibri"/>
          <w:sz w:val="24"/>
          <w:szCs w:val="24"/>
        </w:rPr>
        <w:t xml:space="preserve">lazište za potrebe ovog zadatka </w:t>
      </w:r>
      <w:r>
        <w:rPr>
          <w:rFonts w:cs="Calibri"/>
          <w:sz w:val="24"/>
          <w:szCs w:val="24"/>
        </w:rPr>
        <w:t>analizirani su podaci i nalazi za 10</w:t>
      </w:r>
      <w:r w:rsidR="00B11DFD">
        <w:rPr>
          <w:rFonts w:cs="Calibri"/>
          <w:sz w:val="24"/>
          <w:szCs w:val="24"/>
        </w:rPr>
        <w:t>1</w:t>
      </w:r>
      <w:r>
        <w:rPr>
          <w:rFonts w:cs="Calibri"/>
          <w:sz w:val="24"/>
          <w:szCs w:val="24"/>
        </w:rPr>
        <w:t xml:space="preserve"> detaljna energetska pregleda javnih zgrada</w:t>
      </w:r>
      <w:r w:rsidR="00C90047">
        <w:rPr>
          <w:rFonts w:cs="Calibri"/>
          <w:sz w:val="24"/>
          <w:szCs w:val="24"/>
        </w:rPr>
        <w:t xml:space="preserve">, </w:t>
      </w:r>
      <w:r>
        <w:rPr>
          <w:rFonts w:cs="Calibri"/>
          <w:sz w:val="24"/>
          <w:szCs w:val="24"/>
        </w:rPr>
        <w:t>koji su bili dos</w:t>
      </w:r>
      <w:r w:rsidR="005D165C">
        <w:rPr>
          <w:rFonts w:cs="Calibri"/>
          <w:sz w:val="24"/>
          <w:szCs w:val="24"/>
        </w:rPr>
        <w:t>tupn</w:t>
      </w:r>
      <w:r w:rsidR="00C90047">
        <w:rPr>
          <w:rFonts w:cs="Calibri"/>
          <w:sz w:val="24"/>
          <w:szCs w:val="24"/>
        </w:rPr>
        <w:t>i</w:t>
      </w:r>
      <w:r>
        <w:rPr>
          <w:rFonts w:cs="Calibri"/>
          <w:sz w:val="24"/>
          <w:szCs w:val="24"/>
        </w:rPr>
        <w:t xml:space="preserve">. Ovo je otprilike 15% svih javnih zgrada, međutim </w:t>
      </w:r>
      <w:r w:rsidRPr="005D165C">
        <w:rPr>
          <w:rFonts w:cs="Calibri"/>
          <w:sz w:val="24"/>
          <w:szCs w:val="24"/>
          <w:u w:val="single"/>
        </w:rPr>
        <w:t>treba napomenuti da je to procjena jer službeni registar svih javnih zgrada ne postoji.</w:t>
      </w:r>
      <w:r w:rsidR="00745215">
        <w:rPr>
          <w:rStyle w:val="FootnoteReference"/>
          <w:rFonts w:cs="Calibri"/>
          <w:sz w:val="24"/>
          <w:szCs w:val="24"/>
          <w:u w:val="single"/>
        </w:rPr>
        <w:footnoteReference w:id="27"/>
      </w:r>
      <w:r w:rsidRPr="005D165C">
        <w:rPr>
          <w:rFonts w:cs="Calibri"/>
          <w:sz w:val="24"/>
          <w:szCs w:val="24"/>
          <w:u w:val="single"/>
        </w:rPr>
        <w:t xml:space="preserve"> </w:t>
      </w:r>
      <w:r w:rsidRPr="005D165C">
        <w:rPr>
          <w:rFonts w:cs="Calibri"/>
          <w:sz w:val="24"/>
          <w:szCs w:val="24"/>
        </w:rPr>
        <w:t xml:space="preserve">Kroz </w:t>
      </w:r>
      <w:r>
        <w:rPr>
          <w:rFonts w:cs="Calibri"/>
          <w:sz w:val="24"/>
          <w:szCs w:val="24"/>
        </w:rPr>
        <w:t>sprovedene energetske preglede i analize javnih zgrada, jasno je da je većina, u smislu potrošnje energije, vrlo rastrošna i neefikasna. Razlozi za to su slabe energetske karakteristike fasade, nedostatak toplotne izolacije, prekomjerni sistemi grijanja u zgradama, značajna oštećenja omotača zgrade i loša distributivna mreža sistema grijanja itd.</w:t>
      </w:r>
    </w:p>
    <w:p w14:paraId="1575DE02" w14:textId="77777777" w:rsidR="003F7412" w:rsidRDefault="003F7412" w:rsidP="003F7412">
      <w:pPr>
        <w:jc w:val="both"/>
        <w:rPr>
          <w:rFonts w:ascii="Calibri Light" w:eastAsia="Calibri Light" w:hAnsi="Calibri Light" w:cs="Calibri Light"/>
        </w:rPr>
      </w:pPr>
    </w:p>
    <w:p w14:paraId="40D766FE" w14:textId="126E475B" w:rsidR="00147C8E" w:rsidRPr="00A106C0" w:rsidRDefault="00147C8E" w:rsidP="00C25F77">
      <w:pPr>
        <w:pStyle w:val="Caption"/>
        <w:keepNext/>
        <w:jc w:val="center"/>
        <w:rPr>
          <w:rFonts w:ascii="Calibri" w:hAnsi="Calibri"/>
          <w:color w:val="0D0D0D" w:themeColor="text1" w:themeTint="F2"/>
          <w:sz w:val="22"/>
          <w:szCs w:val="22"/>
        </w:rPr>
      </w:pPr>
      <w:bookmarkStart w:id="67" w:name="_Toc82415539"/>
      <w:bookmarkStart w:id="68" w:name="_Toc63146819"/>
      <w:r w:rsidRPr="00A106C0">
        <w:rPr>
          <w:rFonts w:ascii="Calibri" w:hAnsi="Calibri"/>
          <w:color w:val="0D0D0D" w:themeColor="text1" w:themeTint="F2"/>
          <w:sz w:val="22"/>
          <w:szCs w:val="22"/>
        </w:rPr>
        <w:t xml:space="preserve">Tabela </w:t>
      </w:r>
      <w:r w:rsidRPr="00A106C0">
        <w:rPr>
          <w:rFonts w:ascii="Calibri" w:hAnsi="Calibri"/>
          <w:color w:val="0D0D0D" w:themeColor="text1" w:themeTint="F2"/>
          <w:sz w:val="22"/>
          <w:szCs w:val="22"/>
        </w:rPr>
        <w:fldChar w:fldCharType="begin"/>
      </w:r>
      <w:r w:rsidRPr="00A106C0">
        <w:rPr>
          <w:rFonts w:ascii="Calibri" w:hAnsi="Calibri"/>
          <w:color w:val="0D0D0D" w:themeColor="text1" w:themeTint="F2"/>
          <w:sz w:val="22"/>
          <w:szCs w:val="22"/>
        </w:rPr>
        <w:instrText xml:space="preserve"> SEQ Table \* ARABIC </w:instrText>
      </w:r>
      <w:r w:rsidRPr="00A106C0">
        <w:rPr>
          <w:rFonts w:ascii="Calibri" w:hAnsi="Calibri"/>
          <w:color w:val="0D0D0D" w:themeColor="text1" w:themeTint="F2"/>
          <w:sz w:val="22"/>
          <w:szCs w:val="22"/>
        </w:rPr>
        <w:fldChar w:fldCharType="separate"/>
      </w:r>
      <w:r w:rsidR="002E7036">
        <w:rPr>
          <w:rFonts w:ascii="Calibri" w:hAnsi="Calibri"/>
          <w:noProof/>
          <w:color w:val="0D0D0D" w:themeColor="text1" w:themeTint="F2"/>
          <w:sz w:val="22"/>
          <w:szCs w:val="22"/>
        </w:rPr>
        <w:t>6</w:t>
      </w:r>
      <w:r w:rsidRPr="00A106C0">
        <w:rPr>
          <w:rFonts w:ascii="Calibri" w:hAnsi="Calibri"/>
          <w:color w:val="0D0D0D" w:themeColor="text1" w:themeTint="F2"/>
          <w:sz w:val="22"/>
          <w:szCs w:val="22"/>
        </w:rPr>
        <w:fldChar w:fldCharType="end"/>
      </w:r>
      <w:r w:rsidRPr="00A106C0">
        <w:rPr>
          <w:rFonts w:ascii="Calibri" w:hAnsi="Calibri" w:cs="Calibri"/>
          <w:bCs/>
          <w:caps/>
          <w:color w:val="0D0D0D" w:themeColor="text1" w:themeTint="F2"/>
          <w:sz w:val="22"/>
          <w:szCs w:val="22"/>
          <w:lang w:val="en-GB"/>
        </w:rPr>
        <w:t xml:space="preserve"> </w:t>
      </w:r>
      <w:r w:rsidRPr="00A106C0">
        <w:rPr>
          <w:rFonts w:ascii="Calibri" w:hAnsi="Calibri" w:cs="Calibri"/>
          <w:bCs/>
          <w:color w:val="0D0D0D" w:themeColor="text1" w:themeTint="F2"/>
          <w:sz w:val="22"/>
          <w:szCs w:val="22"/>
          <w:lang w:val="en-GB"/>
        </w:rPr>
        <w:t>Primjer ključnih pokazatelja rezultata revizije za nekoliko državnih institucija Crne Gore</w:t>
      </w:r>
      <w:bookmarkEnd w:id="67"/>
    </w:p>
    <w:bookmarkEnd w:id="68"/>
    <w:p w14:paraId="5F10959C" w14:textId="77777777" w:rsidR="003F7412" w:rsidRDefault="003F7412" w:rsidP="003F7412">
      <w:pPr>
        <w:pStyle w:val="9tabelabodytext"/>
        <w:spacing w:line="276" w:lineRule="auto"/>
        <w:rPr>
          <w:lang w:val="en-GB"/>
        </w:rPr>
      </w:pPr>
    </w:p>
    <w:tbl>
      <w:tblPr>
        <w:tblW w:w="5487" w:type="pct"/>
        <w:tblInd w:w="-856" w:type="dxa"/>
        <w:tblLayout w:type="fixed"/>
        <w:tblCellMar>
          <w:left w:w="10" w:type="dxa"/>
          <w:right w:w="10" w:type="dxa"/>
        </w:tblCellMar>
        <w:tblLook w:val="0000" w:firstRow="0" w:lastRow="0" w:firstColumn="0" w:lastColumn="0" w:noHBand="0" w:noVBand="0"/>
      </w:tblPr>
      <w:tblGrid>
        <w:gridCol w:w="426"/>
        <w:gridCol w:w="991"/>
        <w:gridCol w:w="707"/>
        <w:gridCol w:w="1678"/>
        <w:gridCol w:w="677"/>
        <w:gridCol w:w="811"/>
        <w:gridCol w:w="643"/>
        <w:gridCol w:w="1013"/>
        <w:gridCol w:w="992"/>
        <w:gridCol w:w="1013"/>
        <w:gridCol w:w="990"/>
        <w:gridCol w:w="900"/>
        <w:gridCol w:w="900"/>
        <w:gridCol w:w="990"/>
        <w:gridCol w:w="900"/>
        <w:gridCol w:w="825"/>
        <w:gridCol w:w="851"/>
      </w:tblGrid>
      <w:tr w:rsidR="003F7412" w14:paraId="39E6C605" w14:textId="77777777" w:rsidTr="004F3DC4">
        <w:trPr>
          <w:trHeight w:val="950"/>
        </w:trPr>
        <w:tc>
          <w:tcPr>
            <w:tcW w:w="426"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1A4871FE"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Br</w:t>
            </w:r>
          </w:p>
        </w:tc>
        <w:tc>
          <w:tcPr>
            <w:tcW w:w="991"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6849DB76" w14:textId="77777777" w:rsidR="003F7412" w:rsidRPr="0091029E" w:rsidRDefault="003F7412" w:rsidP="00855F2F">
            <w:pPr>
              <w:spacing w:after="0"/>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Zgrada</w:t>
            </w:r>
          </w:p>
        </w:tc>
        <w:tc>
          <w:tcPr>
            <w:tcW w:w="707"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747534ED"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 xml:space="preserve">Tip/vrsta </w:t>
            </w:r>
          </w:p>
        </w:tc>
        <w:tc>
          <w:tcPr>
            <w:tcW w:w="1678"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4F7C59FD"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z w:val="18"/>
                <w:szCs w:val="18"/>
                <w:lang w:val="sk-SK" w:eastAsia="sk-SK"/>
              </w:rPr>
            </w:pPr>
            <w:r w:rsidRPr="0091029E">
              <w:rPr>
                <w:rFonts w:ascii="Calibri Light" w:eastAsia="Calibri Light" w:hAnsi="Calibri Light" w:cs="Calibri Light"/>
                <w:b/>
                <w:bCs/>
                <w:i/>
                <w:color w:val="FFFFFF" w:themeColor="background1"/>
                <w:sz w:val="18"/>
                <w:szCs w:val="18"/>
                <w:lang w:val="sk-SK" w:eastAsia="sk-SK"/>
              </w:rPr>
              <w:t>Vrsta mjere</w:t>
            </w:r>
          </w:p>
        </w:tc>
        <w:tc>
          <w:tcPr>
            <w:tcW w:w="677"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70951C58"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Klimatska zona</w:t>
            </w:r>
          </w:p>
        </w:tc>
        <w:tc>
          <w:tcPr>
            <w:tcW w:w="811"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236D4937"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Broj zgrada</w:t>
            </w:r>
          </w:p>
        </w:tc>
        <w:tc>
          <w:tcPr>
            <w:tcW w:w="643"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329E9687" w14:textId="77777777" w:rsidR="003F7412" w:rsidRPr="0091029E" w:rsidRDefault="003F7412" w:rsidP="00855F2F">
            <w:pPr>
              <w:spacing w:after="0"/>
              <w:jc w:val="center"/>
              <w:textAlignment w:val="auto"/>
              <w:rPr>
                <w:i/>
                <w:color w:val="FFFFFF" w:themeColor="background1"/>
              </w:rPr>
            </w:pPr>
            <w:r w:rsidRPr="0091029E">
              <w:rPr>
                <w:rFonts w:ascii="Calibri Light" w:eastAsia="Calibri Light" w:hAnsi="Calibri Light" w:cs="Calibri Light"/>
                <w:b/>
                <w:bCs/>
                <w:i/>
                <w:color w:val="FFFFFF" w:themeColor="background1"/>
                <w:spacing w:val="-8"/>
                <w:sz w:val="18"/>
                <w:szCs w:val="18"/>
                <w:lang w:val="sk-SK" w:eastAsia="sk-SK"/>
              </w:rPr>
              <w:t>Korisno grijno područje [m</w:t>
            </w:r>
            <w:r w:rsidRPr="0091029E">
              <w:rPr>
                <w:rFonts w:ascii="Calibri Light" w:eastAsia="Calibri Light" w:hAnsi="Calibri Light" w:cs="Calibri Light"/>
                <w:b/>
                <w:bCs/>
                <w:i/>
                <w:color w:val="FFFFFF" w:themeColor="background1"/>
                <w:spacing w:val="-8"/>
                <w:sz w:val="18"/>
                <w:szCs w:val="18"/>
                <w:vertAlign w:val="superscript"/>
                <w:lang w:val="sk-SK" w:eastAsia="sk-SK"/>
              </w:rPr>
              <w:t>2</w:t>
            </w:r>
            <w:r w:rsidRPr="0091029E">
              <w:rPr>
                <w:rFonts w:ascii="Calibri Light" w:eastAsia="Calibri Light" w:hAnsi="Calibri Light" w:cs="Calibri Light"/>
                <w:b/>
                <w:bCs/>
                <w:i/>
                <w:color w:val="FFFFFF" w:themeColor="background1"/>
                <w:spacing w:val="-8"/>
                <w:sz w:val="18"/>
                <w:szCs w:val="18"/>
                <w:lang w:val="sk-SK" w:eastAsia="sk-SK"/>
              </w:rPr>
              <w:t xml:space="preserve">] </w:t>
            </w:r>
          </w:p>
        </w:tc>
        <w:tc>
          <w:tcPr>
            <w:tcW w:w="1013"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090180D4"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Ukupna godišnja osnovna potrošnja energije [kWh/godina]</w:t>
            </w:r>
          </w:p>
        </w:tc>
        <w:tc>
          <w:tcPr>
            <w:tcW w:w="992"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19B7F8F2" w14:textId="77777777" w:rsidR="003F7412" w:rsidRPr="0091029E" w:rsidRDefault="003F7412" w:rsidP="00855F2F">
            <w:pPr>
              <w:spacing w:after="0"/>
              <w:jc w:val="center"/>
              <w:textAlignment w:val="auto"/>
              <w:rPr>
                <w:i/>
                <w:color w:val="FFFFFF" w:themeColor="background1"/>
              </w:rPr>
            </w:pPr>
            <w:r w:rsidRPr="0091029E">
              <w:rPr>
                <w:rFonts w:ascii="Calibri Light" w:eastAsia="Calibri Light" w:hAnsi="Calibri Light" w:cs="Calibri Light"/>
                <w:b/>
                <w:bCs/>
                <w:i/>
                <w:color w:val="FFFFFF" w:themeColor="background1"/>
                <w:spacing w:val="-8"/>
                <w:sz w:val="18"/>
                <w:szCs w:val="18"/>
                <w:lang w:val="sk-SK" w:eastAsia="sk-SK"/>
              </w:rPr>
              <w:t>Specifična osnovna potrošnja energije. [kWh/m</w:t>
            </w:r>
            <w:r w:rsidRPr="0091029E">
              <w:rPr>
                <w:rFonts w:ascii="Calibri Light" w:eastAsia="Calibri Light" w:hAnsi="Calibri Light" w:cs="Calibri Light"/>
                <w:b/>
                <w:bCs/>
                <w:i/>
                <w:color w:val="FFFFFF" w:themeColor="background1"/>
                <w:spacing w:val="-8"/>
                <w:sz w:val="18"/>
                <w:szCs w:val="18"/>
                <w:vertAlign w:val="superscript"/>
                <w:lang w:val="sk-SK" w:eastAsia="sk-SK"/>
              </w:rPr>
              <w:t>2</w:t>
            </w:r>
            <w:r w:rsidRPr="0091029E">
              <w:rPr>
                <w:rFonts w:ascii="Calibri Light" w:eastAsia="Calibri Light" w:hAnsi="Calibri Light" w:cs="Calibri Light"/>
                <w:b/>
                <w:bCs/>
                <w:i/>
                <w:color w:val="FFFFFF" w:themeColor="background1"/>
                <w:spacing w:val="-8"/>
                <w:sz w:val="18"/>
                <w:szCs w:val="18"/>
                <w:lang w:val="sk-SK" w:eastAsia="sk-SK"/>
              </w:rPr>
              <w:t xml:space="preserve"> godina] </w:t>
            </w:r>
          </w:p>
        </w:tc>
        <w:tc>
          <w:tcPr>
            <w:tcW w:w="1013"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41D60AAB"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Godišnja ušteda energije [kWh/</w:t>
            </w:r>
          </w:p>
          <w:p w14:paraId="4B642926"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 xml:space="preserve">godina] </w:t>
            </w:r>
          </w:p>
        </w:tc>
        <w:tc>
          <w:tcPr>
            <w:tcW w:w="990"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5C8B6747"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Ušteda po zagrijanoj površini [kWh/</w:t>
            </w:r>
          </w:p>
          <w:p w14:paraId="6B05EBC7" w14:textId="77777777" w:rsidR="003F7412" w:rsidRPr="0091029E" w:rsidRDefault="003F7412" w:rsidP="00855F2F">
            <w:pPr>
              <w:spacing w:after="0"/>
              <w:jc w:val="center"/>
              <w:textAlignment w:val="auto"/>
              <w:rPr>
                <w:i/>
                <w:color w:val="FFFFFF" w:themeColor="background1"/>
              </w:rPr>
            </w:pPr>
            <w:r w:rsidRPr="0091029E">
              <w:rPr>
                <w:rFonts w:ascii="Calibri Light" w:eastAsia="Calibri Light" w:hAnsi="Calibri Light" w:cs="Calibri Light"/>
                <w:b/>
                <w:bCs/>
                <w:i/>
                <w:color w:val="FFFFFF" w:themeColor="background1"/>
                <w:spacing w:val="-8"/>
                <w:sz w:val="18"/>
                <w:szCs w:val="18"/>
                <w:lang w:val="sk-SK" w:eastAsia="sk-SK"/>
              </w:rPr>
              <w:t>(m</w:t>
            </w:r>
            <w:r w:rsidRPr="0091029E">
              <w:rPr>
                <w:rFonts w:ascii="Calibri Light" w:eastAsia="Calibri Light" w:hAnsi="Calibri Light" w:cs="Calibri Light"/>
                <w:b/>
                <w:bCs/>
                <w:i/>
                <w:color w:val="FFFFFF" w:themeColor="background1"/>
                <w:spacing w:val="-8"/>
                <w:sz w:val="18"/>
                <w:szCs w:val="18"/>
                <w:vertAlign w:val="superscript"/>
                <w:lang w:val="sk-SK" w:eastAsia="sk-SK"/>
              </w:rPr>
              <w:t>2</w:t>
            </w:r>
            <w:r w:rsidRPr="0091029E">
              <w:rPr>
                <w:rFonts w:ascii="Calibri Light" w:eastAsia="Calibri Light" w:hAnsi="Calibri Light" w:cs="Calibri Light"/>
                <w:b/>
                <w:bCs/>
                <w:i/>
                <w:color w:val="FFFFFF" w:themeColor="background1"/>
                <w:spacing w:val="-8"/>
                <w:sz w:val="18"/>
                <w:szCs w:val="18"/>
                <w:lang w:val="sk-SK" w:eastAsia="sk-SK"/>
              </w:rPr>
              <w:t xml:space="preserve">godina)] </w:t>
            </w:r>
          </w:p>
        </w:tc>
        <w:tc>
          <w:tcPr>
            <w:tcW w:w="900"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5D331B17" w14:textId="77777777" w:rsidR="003F7412" w:rsidRPr="0091029E" w:rsidRDefault="003F7412" w:rsidP="00855F2F">
            <w:pPr>
              <w:spacing w:after="0"/>
              <w:jc w:val="center"/>
              <w:textAlignment w:val="auto"/>
              <w:rPr>
                <w:i/>
                <w:color w:val="FFFFFF" w:themeColor="background1"/>
              </w:rPr>
            </w:pPr>
            <w:r w:rsidRPr="0091029E">
              <w:rPr>
                <w:rFonts w:ascii="Calibri Light" w:eastAsia="Calibri Light" w:hAnsi="Calibri Light" w:cs="Calibri Light"/>
                <w:b/>
                <w:bCs/>
                <w:i/>
                <w:color w:val="FFFFFF" w:themeColor="background1"/>
                <w:spacing w:val="-8"/>
                <w:sz w:val="18"/>
                <w:szCs w:val="18"/>
                <w:lang w:val="sk-SK" w:eastAsia="sk-SK"/>
              </w:rPr>
              <w:t>Ušteda energije u poređenju sa osnovnim slučajem</w:t>
            </w:r>
          </w:p>
        </w:tc>
        <w:tc>
          <w:tcPr>
            <w:tcW w:w="900"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0CA32D7B"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 xml:space="preserve">Troškovi ulaganja u EE [€] </w:t>
            </w:r>
          </w:p>
        </w:tc>
        <w:tc>
          <w:tcPr>
            <w:tcW w:w="990"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6B147F47" w14:textId="77777777" w:rsidR="003F7412" w:rsidRPr="0091029E" w:rsidRDefault="003F7412" w:rsidP="00855F2F">
            <w:pPr>
              <w:spacing w:after="0"/>
              <w:jc w:val="center"/>
              <w:textAlignment w:val="auto"/>
              <w:rPr>
                <w:i/>
                <w:color w:val="FFFFFF" w:themeColor="background1"/>
              </w:rPr>
            </w:pPr>
            <w:r w:rsidRPr="0091029E">
              <w:rPr>
                <w:rFonts w:ascii="Calibri Light" w:eastAsia="Calibri Light" w:hAnsi="Calibri Light" w:cs="Calibri Light"/>
                <w:b/>
                <w:bCs/>
                <w:i/>
                <w:color w:val="FFFFFF" w:themeColor="background1"/>
                <w:spacing w:val="-8"/>
                <w:sz w:val="18"/>
                <w:szCs w:val="18"/>
                <w:lang w:val="sk-SK" w:eastAsia="sk-SK"/>
              </w:rPr>
              <w:t>Specifični troškovi ulaganja u EE [€/m</w:t>
            </w:r>
            <w:r w:rsidRPr="0091029E">
              <w:rPr>
                <w:rFonts w:ascii="Calibri Light" w:eastAsia="Calibri Light" w:hAnsi="Calibri Light" w:cs="Calibri Light"/>
                <w:b/>
                <w:bCs/>
                <w:i/>
                <w:color w:val="FFFFFF" w:themeColor="background1"/>
                <w:spacing w:val="-8"/>
                <w:sz w:val="18"/>
                <w:szCs w:val="18"/>
                <w:vertAlign w:val="superscript"/>
                <w:lang w:val="sk-SK" w:eastAsia="sk-SK"/>
              </w:rPr>
              <w:t>2</w:t>
            </w:r>
            <w:r w:rsidRPr="0091029E">
              <w:rPr>
                <w:rFonts w:ascii="Calibri Light" w:eastAsia="Calibri Light" w:hAnsi="Calibri Light" w:cs="Calibri Light"/>
                <w:b/>
                <w:bCs/>
                <w:i/>
                <w:color w:val="FFFFFF" w:themeColor="background1"/>
                <w:spacing w:val="-8"/>
                <w:sz w:val="18"/>
                <w:szCs w:val="18"/>
                <w:lang w:val="sk-SK" w:eastAsia="sk-SK"/>
              </w:rPr>
              <w:t xml:space="preserve">] </w:t>
            </w:r>
          </w:p>
        </w:tc>
        <w:tc>
          <w:tcPr>
            <w:tcW w:w="900"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0C63BE75"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 xml:space="preserve">Godišnja štednja [€/godini] </w:t>
            </w:r>
          </w:p>
        </w:tc>
        <w:tc>
          <w:tcPr>
            <w:tcW w:w="825"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698E4520"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 xml:space="preserve">Period vraćanja [godina] </w:t>
            </w:r>
          </w:p>
        </w:tc>
        <w:tc>
          <w:tcPr>
            <w:tcW w:w="851"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11FEC66D"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 xml:space="preserve">Štednja po uloženom  </w:t>
            </w:r>
          </w:p>
          <w:p w14:paraId="760F095A"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pacing w:val="-8"/>
                <w:sz w:val="18"/>
                <w:szCs w:val="18"/>
                <w:lang w:val="sk-SK" w:eastAsia="sk-SK"/>
              </w:rPr>
            </w:pPr>
            <w:r w:rsidRPr="0091029E">
              <w:rPr>
                <w:rFonts w:ascii="Calibri Light" w:eastAsia="Calibri Light" w:hAnsi="Calibri Light" w:cs="Calibri Light"/>
                <w:b/>
                <w:bCs/>
                <w:i/>
                <w:color w:val="FFFFFF" w:themeColor="background1"/>
                <w:spacing w:val="-8"/>
                <w:sz w:val="18"/>
                <w:szCs w:val="18"/>
                <w:lang w:val="sk-SK" w:eastAsia="sk-SK"/>
              </w:rPr>
              <w:t xml:space="preserve">€ [kWh/€] </w:t>
            </w:r>
          </w:p>
        </w:tc>
      </w:tr>
      <w:tr w:rsidR="003F7412" w14:paraId="1468B721" w14:textId="77777777" w:rsidTr="00DE579F">
        <w:trPr>
          <w:trHeight w:val="2341"/>
        </w:trPr>
        <w:tc>
          <w:tcPr>
            <w:tcW w:w="426"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65477F43"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sidRPr="0091029E">
              <w:rPr>
                <w:rFonts w:ascii="Calibri Light" w:eastAsia="Calibri Light" w:hAnsi="Calibri Light" w:cs="Calibri Light"/>
                <w:b/>
                <w:bCs/>
                <w:i/>
                <w:color w:val="FFFFFF" w:themeColor="background1"/>
                <w:sz w:val="20"/>
                <w:szCs w:val="18"/>
                <w:lang w:val="sk-SK" w:eastAsia="sk-SK"/>
              </w:rPr>
              <w:t>1</w:t>
            </w:r>
          </w:p>
        </w:tc>
        <w:tc>
          <w:tcPr>
            <w:tcW w:w="99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02EA1831" w14:textId="77777777" w:rsidR="003F7412" w:rsidRPr="0091029E" w:rsidRDefault="003F7412" w:rsidP="00855F2F">
            <w:pPr>
              <w:spacing w:after="0"/>
              <w:textAlignment w:val="auto"/>
              <w:rPr>
                <w:rFonts w:ascii="Calibri Light" w:eastAsia="Calibri Light" w:hAnsi="Calibri Light" w:cs="Calibri Light"/>
                <w:b/>
                <w:i/>
                <w:color w:val="FFFFFF" w:themeColor="background1"/>
                <w:sz w:val="20"/>
                <w:szCs w:val="18"/>
                <w:lang w:val="sk-SK" w:eastAsia="sk-SK"/>
              </w:rPr>
            </w:pPr>
            <w:r w:rsidRPr="0091029E">
              <w:rPr>
                <w:rFonts w:ascii="Calibri Light" w:eastAsia="Calibri Light" w:hAnsi="Calibri Light" w:cs="Calibri Light"/>
                <w:b/>
                <w:i/>
                <w:color w:val="FFFFFF" w:themeColor="background1"/>
                <w:sz w:val="20"/>
                <w:szCs w:val="18"/>
                <w:lang w:val="sk-SK" w:eastAsia="sk-SK"/>
              </w:rPr>
              <w:t>Predsjednik, Ministarstvo finansija, Ministarstvo spoljnih poslova, Državni protokol</w:t>
            </w:r>
          </w:p>
        </w:tc>
        <w:tc>
          <w:tcPr>
            <w:tcW w:w="70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9AEC406"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Administrativni/ Upravni</w:t>
            </w:r>
          </w:p>
        </w:tc>
        <w:tc>
          <w:tcPr>
            <w:tcW w:w="167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0A30B2C" w14:textId="77777777" w:rsidR="003F7412" w:rsidRPr="00DE579F" w:rsidRDefault="003F7412" w:rsidP="00855F2F">
            <w:pPr>
              <w:spacing w:after="0"/>
              <w:textAlignment w:val="auto"/>
              <w:rPr>
                <w:rFonts w:ascii="Calibri Light" w:eastAsia="Calibri Light" w:hAnsi="Calibri Light" w:cs="Calibri Light"/>
                <w:sz w:val="18"/>
                <w:szCs w:val="18"/>
                <w:lang w:val="sk-SK" w:eastAsia="sk-SK"/>
              </w:rPr>
            </w:pPr>
            <w:r w:rsidRPr="00DE579F">
              <w:rPr>
                <w:rFonts w:ascii="Calibri Light" w:eastAsia="Calibri Light" w:hAnsi="Calibri Light" w:cs="Calibri Light"/>
                <w:sz w:val="18"/>
                <w:szCs w:val="18"/>
                <w:lang w:val="sk-SK" w:eastAsia="sk-SK"/>
              </w:rPr>
              <w:t>Zamjena prozora i vrata</w:t>
            </w:r>
          </w:p>
          <w:p w14:paraId="39F08488" w14:textId="102E3013" w:rsidR="003F7412" w:rsidRPr="00C90047" w:rsidRDefault="008B70C8" w:rsidP="00C90047">
            <w:pPr>
              <w:spacing w:after="0"/>
              <w:textAlignment w:val="auto"/>
              <w:rPr>
                <w:rFonts w:ascii="Calibri Light" w:eastAsia="Calibri Light" w:hAnsi="Calibri Light" w:cs="Calibri Light"/>
                <w:sz w:val="18"/>
                <w:szCs w:val="18"/>
                <w:lang w:val="sk-SK" w:eastAsia="sk-SK"/>
              </w:rPr>
            </w:pPr>
            <w:r w:rsidRPr="00C90047">
              <w:rPr>
                <w:rFonts w:ascii="Calibri Light" w:eastAsia="Calibri Light" w:hAnsi="Calibri Light" w:cs="Calibri Light"/>
                <w:sz w:val="18"/>
                <w:szCs w:val="18"/>
                <w:lang w:val="sk-SK" w:eastAsia="sk-SK"/>
              </w:rPr>
              <w:t xml:space="preserve">toplotna izlacija (TI) </w:t>
            </w:r>
            <w:r w:rsidR="003F7412" w:rsidRPr="00DE579F">
              <w:rPr>
                <w:rFonts w:ascii="Calibri Light" w:eastAsia="Calibri Light" w:hAnsi="Calibri Light" w:cs="Calibri Light"/>
                <w:sz w:val="18"/>
                <w:szCs w:val="18"/>
                <w:lang w:val="sk-SK" w:eastAsia="sk-SK"/>
              </w:rPr>
              <w:t>od spoljnih zidova</w:t>
            </w:r>
          </w:p>
          <w:p w14:paraId="5B191E76" w14:textId="77777777" w:rsidR="003F7412" w:rsidRPr="00DE579F" w:rsidRDefault="003F7412" w:rsidP="00C90047">
            <w:pPr>
              <w:spacing w:after="0"/>
              <w:textAlignment w:val="auto"/>
              <w:rPr>
                <w:rFonts w:ascii="Calibri Light" w:eastAsia="Calibri Light" w:hAnsi="Calibri Light" w:cs="Calibri Light"/>
                <w:sz w:val="18"/>
                <w:szCs w:val="18"/>
                <w:lang w:val="sk-SK" w:eastAsia="sk-SK"/>
              </w:rPr>
            </w:pPr>
            <w:r w:rsidRPr="00DE579F">
              <w:rPr>
                <w:rFonts w:ascii="Calibri Light" w:eastAsia="Calibri Light" w:hAnsi="Calibri Light" w:cs="Calibri Light"/>
                <w:sz w:val="18"/>
                <w:szCs w:val="18"/>
                <w:lang w:val="sk-SK" w:eastAsia="sk-SK"/>
              </w:rPr>
              <w:t>TI plafona</w:t>
            </w:r>
          </w:p>
          <w:p w14:paraId="6DB27286" w14:textId="77777777" w:rsidR="003F7412" w:rsidRPr="00DE579F" w:rsidRDefault="003F7412" w:rsidP="008B70C8">
            <w:pPr>
              <w:shd w:val="clear" w:color="auto" w:fill="FFFFFF" w:themeFill="background1"/>
              <w:spacing w:after="0"/>
              <w:textAlignment w:val="auto"/>
              <w:rPr>
                <w:rFonts w:ascii="Calibri Light" w:eastAsia="Calibri Light" w:hAnsi="Calibri Light" w:cs="Calibri Light"/>
                <w:sz w:val="18"/>
                <w:szCs w:val="18"/>
                <w:lang w:val="sk-SK" w:eastAsia="sk-SK"/>
              </w:rPr>
            </w:pPr>
            <w:r w:rsidRPr="00DE579F">
              <w:rPr>
                <w:rFonts w:ascii="Calibri Light" w:eastAsia="Calibri Light" w:hAnsi="Calibri Light" w:cs="Calibri Light"/>
                <w:sz w:val="18"/>
                <w:szCs w:val="18"/>
                <w:lang w:val="sk-SK" w:eastAsia="sk-SK"/>
              </w:rPr>
              <w:t>Obnova sistema grijanja/hlađenja</w:t>
            </w:r>
          </w:p>
          <w:p w14:paraId="71E080D4" w14:textId="77777777" w:rsidR="003F7412" w:rsidRPr="00DE579F" w:rsidRDefault="003F7412" w:rsidP="008B70C8">
            <w:pPr>
              <w:shd w:val="clear" w:color="auto" w:fill="FFFFFF" w:themeFill="background1"/>
              <w:spacing w:after="0"/>
              <w:textAlignment w:val="auto"/>
            </w:pPr>
            <w:r w:rsidRPr="00DE579F">
              <w:rPr>
                <w:rFonts w:ascii="Calibri Light" w:eastAsia="Calibri Light" w:hAnsi="Calibri Light" w:cs="Calibri Light"/>
                <w:sz w:val="18"/>
                <w:szCs w:val="18"/>
                <w:lang w:val="sk-SK" w:eastAsia="sk-SK"/>
              </w:rPr>
              <w:t>sa VRF sistemom</w:t>
            </w:r>
          </w:p>
        </w:tc>
        <w:tc>
          <w:tcPr>
            <w:tcW w:w="67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4CBB327C"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Jug</w:t>
            </w:r>
          </w:p>
        </w:tc>
        <w:tc>
          <w:tcPr>
            <w:tcW w:w="81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448CA76C"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w:t>
            </w:r>
          </w:p>
        </w:tc>
        <w:tc>
          <w:tcPr>
            <w:tcW w:w="643"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2FFB50C"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6088</w:t>
            </w:r>
          </w:p>
        </w:tc>
        <w:tc>
          <w:tcPr>
            <w:tcW w:w="1013"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6D16CE6"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1,001,914</w:t>
            </w:r>
          </w:p>
        </w:tc>
        <w:tc>
          <w:tcPr>
            <w:tcW w:w="99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B4B575F"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164.6</w:t>
            </w:r>
          </w:p>
        </w:tc>
        <w:tc>
          <w:tcPr>
            <w:tcW w:w="1013"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463AA9C"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590,537</w:t>
            </w:r>
          </w:p>
        </w:tc>
        <w:tc>
          <w:tcPr>
            <w:tcW w:w="99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E94E701"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97.0</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16F0461"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59%</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B07D030"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970,000</w:t>
            </w:r>
          </w:p>
        </w:tc>
        <w:tc>
          <w:tcPr>
            <w:tcW w:w="99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45CA77D6"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159</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36421A4"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70,865</w:t>
            </w:r>
          </w:p>
        </w:tc>
        <w:tc>
          <w:tcPr>
            <w:tcW w:w="82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36B3C56"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13.7</w:t>
            </w:r>
          </w:p>
        </w:tc>
        <w:tc>
          <w:tcPr>
            <w:tcW w:w="85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3F68C14"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0.609</w:t>
            </w:r>
          </w:p>
        </w:tc>
      </w:tr>
      <w:tr w:rsidR="003F7412" w14:paraId="0401DBCD" w14:textId="77777777" w:rsidTr="004F3DC4">
        <w:tc>
          <w:tcPr>
            <w:tcW w:w="426"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10463AFE"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sidRPr="0091029E">
              <w:rPr>
                <w:rFonts w:ascii="Calibri Light" w:eastAsia="Calibri Light" w:hAnsi="Calibri Light" w:cs="Calibri Light"/>
                <w:b/>
                <w:bCs/>
                <w:i/>
                <w:color w:val="FFFFFF" w:themeColor="background1"/>
                <w:sz w:val="20"/>
                <w:szCs w:val="18"/>
                <w:lang w:val="sk-SK" w:eastAsia="sk-SK"/>
              </w:rPr>
              <w:t>2</w:t>
            </w:r>
          </w:p>
        </w:tc>
        <w:tc>
          <w:tcPr>
            <w:tcW w:w="99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7151D91E" w14:textId="77777777" w:rsidR="003F7412" w:rsidRPr="0091029E" w:rsidRDefault="003F7412" w:rsidP="00855F2F">
            <w:pPr>
              <w:spacing w:after="0"/>
              <w:textAlignment w:val="auto"/>
              <w:rPr>
                <w:rFonts w:ascii="Calibri Light" w:eastAsia="Calibri Light" w:hAnsi="Calibri Light" w:cs="Calibri Light"/>
                <w:b/>
                <w:i/>
                <w:color w:val="FFFFFF" w:themeColor="background1"/>
                <w:sz w:val="20"/>
                <w:szCs w:val="18"/>
                <w:lang w:val="sk-SK" w:eastAsia="sk-SK"/>
              </w:rPr>
            </w:pPr>
            <w:r w:rsidRPr="0091029E">
              <w:rPr>
                <w:rFonts w:ascii="Calibri Light" w:eastAsia="Calibri Light" w:hAnsi="Calibri Light" w:cs="Calibri Light"/>
                <w:b/>
                <w:i/>
                <w:color w:val="FFFFFF" w:themeColor="background1"/>
                <w:sz w:val="20"/>
                <w:szCs w:val="18"/>
                <w:lang w:val="sk-SK" w:eastAsia="sk-SK"/>
              </w:rPr>
              <w:t>Skupština Crne Gore</w:t>
            </w:r>
          </w:p>
        </w:tc>
        <w:tc>
          <w:tcPr>
            <w:tcW w:w="70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C03529A"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Administrativni/ Upravni</w:t>
            </w:r>
          </w:p>
        </w:tc>
        <w:tc>
          <w:tcPr>
            <w:tcW w:w="167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684BDC7" w14:textId="77777777" w:rsidR="003F7412" w:rsidRPr="00DE579F" w:rsidRDefault="003F7412" w:rsidP="00855F2F">
            <w:pPr>
              <w:spacing w:after="0"/>
              <w:textAlignment w:val="auto"/>
              <w:rPr>
                <w:rFonts w:ascii="Calibri Light" w:eastAsia="Calibri Light" w:hAnsi="Calibri Light" w:cs="Calibri Light"/>
                <w:sz w:val="18"/>
                <w:szCs w:val="18"/>
                <w:lang w:val="sk-SK" w:eastAsia="sk-SK"/>
              </w:rPr>
            </w:pPr>
            <w:r w:rsidRPr="00DE579F">
              <w:rPr>
                <w:rFonts w:ascii="Calibri Light" w:eastAsia="Calibri Light" w:hAnsi="Calibri Light" w:cs="Calibri Light"/>
                <w:sz w:val="18"/>
                <w:szCs w:val="18"/>
                <w:lang w:val="sk-SK" w:eastAsia="sk-SK"/>
              </w:rPr>
              <w:t>Zamjena prozora i vrata</w:t>
            </w:r>
          </w:p>
          <w:p w14:paraId="3D71616C" w14:textId="77777777" w:rsidR="003F7412" w:rsidRPr="00DE579F" w:rsidRDefault="003F7412" w:rsidP="00855F2F">
            <w:pPr>
              <w:spacing w:after="0"/>
              <w:textAlignment w:val="auto"/>
              <w:rPr>
                <w:rFonts w:ascii="Calibri Light" w:eastAsia="Calibri Light" w:hAnsi="Calibri Light" w:cs="Calibri Light"/>
                <w:sz w:val="18"/>
                <w:szCs w:val="18"/>
                <w:lang w:val="sk-SK" w:eastAsia="sk-SK"/>
              </w:rPr>
            </w:pPr>
            <w:r w:rsidRPr="00DE579F">
              <w:rPr>
                <w:rFonts w:ascii="Calibri Light" w:eastAsia="Calibri Light" w:hAnsi="Calibri Light" w:cs="Calibri Light"/>
                <w:sz w:val="18"/>
                <w:szCs w:val="18"/>
                <w:lang w:val="sk-SK" w:eastAsia="sk-SK"/>
              </w:rPr>
              <w:t>TI od spoljnih zidova</w:t>
            </w:r>
          </w:p>
          <w:p w14:paraId="41B335D0" w14:textId="77777777" w:rsidR="003F7412" w:rsidRPr="00DE579F" w:rsidRDefault="003F7412" w:rsidP="00855F2F">
            <w:pPr>
              <w:spacing w:after="0"/>
              <w:textAlignment w:val="auto"/>
              <w:rPr>
                <w:rFonts w:ascii="Calibri Light" w:eastAsia="Calibri Light" w:hAnsi="Calibri Light" w:cs="Calibri Light"/>
                <w:sz w:val="18"/>
                <w:szCs w:val="18"/>
                <w:lang w:val="sk-SK" w:eastAsia="sk-SK"/>
              </w:rPr>
            </w:pPr>
            <w:r w:rsidRPr="00DE579F">
              <w:rPr>
                <w:rFonts w:ascii="Calibri Light" w:eastAsia="Calibri Light" w:hAnsi="Calibri Light" w:cs="Calibri Light"/>
                <w:sz w:val="18"/>
                <w:szCs w:val="18"/>
                <w:lang w:val="sk-SK" w:eastAsia="sk-SK"/>
              </w:rPr>
              <w:t>TI plafona</w:t>
            </w:r>
          </w:p>
          <w:p w14:paraId="132454A4" w14:textId="77777777" w:rsidR="003F7412" w:rsidRPr="00DE579F" w:rsidRDefault="003F7412" w:rsidP="00855F2F">
            <w:pPr>
              <w:spacing w:after="0"/>
              <w:textAlignment w:val="auto"/>
              <w:rPr>
                <w:rFonts w:ascii="Calibri Light" w:eastAsia="Calibri Light" w:hAnsi="Calibri Light" w:cs="Calibri Light"/>
                <w:sz w:val="18"/>
                <w:szCs w:val="18"/>
                <w:lang w:val="sk-SK" w:eastAsia="sk-SK"/>
              </w:rPr>
            </w:pPr>
            <w:r w:rsidRPr="00DE579F">
              <w:rPr>
                <w:rFonts w:ascii="Calibri Light" w:eastAsia="Calibri Light" w:hAnsi="Calibri Light" w:cs="Calibri Light"/>
                <w:sz w:val="18"/>
                <w:szCs w:val="18"/>
                <w:lang w:val="sk-SK" w:eastAsia="sk-SK"/>
              </w:rPr>
              <w:t>Obnova sistema grijanja/hlađenja</w:t>
            </w:r>
          </w:p>
          <w:p w14:paraId="73CFD684" w14:textId="77777777" w:rsidR="003F7412" w:rsidRPr="00DE579F" w:rsidRDefault="003F7412" w:rsidP="00855F2F">
            <w:pPr>
              <w:spacing w:after="0"/>
              <w:textAlignment w:val="auto"/>
            </w:pPr>
            <w:r w:rsidRPr="00DE579F">
              <w:rPr>
                <w:rFonts w:ascii="Calibri Light" w:eastAsia="Calibri Light" w:hAnsi="Calibri Light" w:cs="Calibri Light"/>
                <w:sz w:val="18"/>
                <w:szCs w:val="18"/>
                <w:lang w:val="sk-SK" w:eastAsia="sk-SK"/>
              </w:rPr>
              <w:t>sa VRF sistemom</w:t>
            </w:r>
          </w:p>
        </w:tc>
        <w:tc>
          <w:tcPr>
            <w:tcW w:w="67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76575FA"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Jug</w:t>
            </w:r>
          </w:p>
        </w:tc>
        <w:tc>
          <w:tcPr>
            <w:tcW w:w="81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A6B9A36"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w:t>
            </w:r>
          </w:p>
        </w:tc>
        <w:tc>
          <w:tcPr>
            <w:tcW w:w="643"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D07F1C4"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4070</w:t>
            </w:r>
          </w:p>
        </w:tc>
        <w:tc>
          <w:tcPr>
            <w:tcW w:w="1013"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4D2D879"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823,933</w:t>
            </w:r>
          </w:p>
        </w:tc>
        <w:tc>
          <w:tcPr>
            <w:tcW w:w="99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7C785EF"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202.4</w:t>
            </w:r>
          </w:p>
        </w:tc>
        <w:tc>
          <w:tcPr>
            <w:tcW w:w="1013"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C69CB7D"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541,319</w:t>
            </w:r>
          </w:p>
        </w:tc>
        <w:tc>
          <w:tcPr>
            <w:tcW w:w="99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1B02D96"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133.0</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ED1AFA7"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66%</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D4C838A"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720,000</w:t>
            </w:r>
          </w:p>
        </w:tc>
        <w:tc>
          <w:tcPr>
            <w:tcW w:w="99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B5F384B"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177</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EFF9C7F"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51,661</w:t>
            </w:r>
          </w:p>
        </w:tc>
        <w:tc>
          <w:tcPr>
            <w:tcW w:w="82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F23625D"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13.9</w:t>
            </w:r>
          </w:p>
        </w:tc>
        <w:tc>
          <w:tcPr>
            <w:tcW w:w="85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B818CC3"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0.752</w:t>
            </w:r>
          </w:p>
        </w:tc>
      </w:tr>
      <w:tr w:rsidR="003F7412" w14:paraId="3AE7CCF4" w14:textId="77777777" w:rsidTr="004F3DC4">
        <w:tc>
          <w:tcPr>
            <w:tcW w:w="426"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5659FB79" w14:textId="77777777" w:rsidR="003F7412" w:rsidRPr="0091029E" w:rsidRDefault="003F7412"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sidRPr="0091029E">
              <w:rPr>
                <w:rFonts w:ascii="Calibri Light" w:eastAsia="Calibri Light" w:hAnsi="Calibri Light" w:cs="Calibri Light"/>
                <w:b/>
                <w:bCs/>
                <w:i/>
                <w:color w:val="FFFFFF" w:themeColor="background1"/>
                <w:sz w:val="20"/>
                <w:szCs w:val="18"/>
                <w:lang w:val="sk-SK" w:eastAsia="sk-SK"/>
              </w:rPr>
              <w:t>3</w:t>
            </w:r>
          </w:p>
        </w:tc>
        <w:tc>
          <w:tcPr>
            <w:tcW w:w="99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55112D0B" w14:textId="77777777" w:rsidR="003F7412" w:rsidRPr="0091029E" w:rsidRDefault="003F7412" w:rsidP="00855F2F">
            <w:pPr>
              <w:spacing w:after="0"/>
              <w:textAlignment w:val="auto"/>
              <w:rPr>
                <w:rFonts w:ascii="Calibri Light" w:eastAsia="Calibri Light" w:hAnsi="Calibri Light" w:cs="Calibri Light"/>
                <w:b/>
                <w:i/>
                <w:color w:val="FFFFFF" w:themeColor="background1"/>
                <w:sz w:val="20"/>
                <w:szCs w:val="18"/>
                <w:lang w:val="sk-SK" w:eastAsia="sk-SK"/>
              </w:rPr>
            </w:pPr>
            <w:r w:rsidRPr="0091029E">
              <w:rPr>
                <w:rFonts w:ascii="Calibri Light" w:eastAsia="Calibri Light" w:hAnsi="Calibri Light" w:cs="Calibri Light"/>
                <w:b/>
                <w:i/>
                <w:color w:val="FFFFFF" w:themeColor="background1"/>
                <w:sz w:val="20"/>
                <w:szCs w:val="18"/>
                <w:lang w:val="sk-SK" w:eastAsia="sk-SK"/>
              </w:rPr>
              <w:t>Ministarstvo pravde</w:t>
            </w:r>
          </w:p>
        </w:tc>
        <w:tc>
          <w:tcPr>
            <w:tcW w:w="70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EF9E1E8"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Administrativni/ Upravni</w:t>
            </w:r>
          </w:p>
        </w:tc>
        <w:tc>
          <w:tcPr>
            <w:tcW w:w="167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35C2BC5" w14:textId="77777777" w:rsidR="003F7412" w:rsidRPr="00DE579F" w:rsidRDefault="003F7412" w:rsidP="00855F2F">
            <w:pPr>
              <w:spacing w:after="0"/>
              <w:textAlignment w:val="auto"/>
              <w:rPr>
                <w:rFonts w:ascii="Calibri Light" w:eastAsia="Calibri Light" w:hAnsi="Calibri Light" w:cs="Calibri Light"/>
                <w:sz w:val="18"/>
                <w:szCs w:val="18"/>
                <w:lang w:val="sk-SK" w:eastAsia="sk-SK"/>
              </w:rPr>
            </w:pPr>
            <w:r w:rsidRPr="00DE579F">
              <w:rPr>
                <w:rFonts w:ascii="Calibri Light" w:eastAsia="Calibri Light" w:hAnsi="Calibri Light" w:cs="Calibri Light"/>
                <w:sz w:val="18"/>
                <w:szCs w:val="18"/>
                <w:lang w:val="sk-SK" w:eastAsia="sk-SK"/>
              </w:rPr>
              <w:t>Zamjena prozora i vrata</w:t>
            </w:r>
          </w:p>
          <w:p w14:paraId="2207D7AB" w14:textId="77777777" w:rsidR="003F7412" w:rsidRPr="00DE579F" w:rsidRDefault="003F7412" w:rsidP="00855F2F">
            <w:pPr>
              <w:spacing w:after="0"/>
              <w:textAlignment w:val="auto"/>
            </w:pPr>
            <w:r w:rsidRPr="00C90047">
              <w:rPr>
                <w:rFonts w:ascii="Calibri Light" w:eastAsia="Calibri Light" w:hAnsi="Calibri Light" w:cs="Calibri Light"/>
                <w:sz w:val="18"/>
                <w:szCs w:val="18"/>
                <w:lang w:val="sk-SK" w:eastAsia="sk-SK"/>
              </w:rPr>
              <w:t>TI</w:t>
            </w:r>
            <w:r w:rsidRPr="00DE579F">
              <w:rPr>
                <w:rFonts w:ascii="Calibri Light" w:eastAsia="Calibri Light" w:hAnsi="Calibri Light" w:cs="Calibri Light"/>
                <w:sz w:val="18"/>
                <w:szCs w:val="18"/>
                <w:lang w:val="sk-SK" w:eastAsia="sk-SK"/>
              </w:rPr>
              <w:t xml:space="preserve"> od spoljnih zidova</w:t>
            </w:r>
          </w:p>
          <w:p w14:paraId="21E99051" w14:textId="77777777" w:rsidR="003F7412" w:rsidRPr="00DE579F" w:rsidRDefault="003F7412" w:rsidP="00855F2F">
            <w:pPr>
              <w:spacing w:after="0"/>
              <w:textAlignment w:val="auto"/>
              <w:rPr>
                <w:rFonts w:ascii="Calibri Light" w:eastAsia="Calibri Light" w:hAnsi="Calibri Light" w:cs="Calibri Light"/>
                <w:sz w:val="18"/>
                <w:szCs w:val="18"/>
                <w:lang w:val="sk-SK" w:eastAsia="sk-SK"/>
              </w:rPr>
            </w:pPr>
            <w:r w:rsidRPr="00DE579F">
              <w:rPr>
                <w:rFonts w:ascii="Calibri Light" w:eastAsia="Calibri Light" w:hAnsi="Calibri Light" w:cs="Calibri Light"/>
                <w:sz w:val="18"/>
                <w:szCs w:val="18"/>
                <w:lang w:val="sk-SK" w:eastAsia="sk-SK"/>
              </w:rPr>
              <w:t>TI plafona</w:t>
            </w:r>
          </w:p>
          <w:p w14:paraId="18523B0F" w14:textId="77777777" w:rsidR="003F7412" w:rsidRPr="00DE579F" w:rsidRDefault="003F7412" w:rsidP="00855F2F">
            <w:pPr>
              <w:spacing w:after="0"/>
              <w:textAlignment w:val="auto"/>
              <w:rPr>
                <w:rFonts w:ascii="Calibri Light" w:eastAsia="Calibri Light" w:hAnsi="Calibri Light" w:cs="Calibri Light"/>
                <w:sz w:val="18"/>
                <w:szCs w:val="18"/>
                <w:lang w:val="sk-SK" w:eastAsia="sk-SK"/>
              </w:rPr>
            </w:pPr>
            <w:r w:rsidRPr="00DE579F">
              <w:rPr>
                <w:rFonts w:ascii="Calibri Light" w:eastAsia="Calibri Light" w:hAnsi="Calibri Light" w:cs="Calibri Light"/>
                <w:sz w:val="18"/>
                <w:szCs w:val="18"/>
                <w:lang w:val="sk-SK" w:eastAsia="sk-SK"/>
              </w:rPr>
              <w:t>Obnova sistema grijanja/hlađenja</w:t>
            </w:r>
          </w:p>
          <w:p w14:paraId="25B07ACE" w14:textId="77777777" w:rsidR="003F7412" w:rsidRPr="00DE579F" w:rsidRDefault="003F7412" w:rsidP="00855F2F">
            <w:pPr>
              <w:spacing w:after="0"/>
              <w:textAlignment w:val="auto"/>
            </w:pPr>
            <w:r w:rsidRPr="00DE579F">
              <w:rPr>
                <w:rFonts w:ascii="Calibri Light" w:eastAsia="Calibri Light" w:hAnsi="Calibri Light" w:cs="Calibri Light"/>
                <w:sz w:val="18"/>
                <w:szCs w:val="18"/>
                <w:lang w:val="sk-SK" w:eastAsia="sk-SK"/>
              </w:rPr>
              <w:t>sa VRF sistemom</w:t>
            </w:r>
          </w:p>
        </w:tc>
        <w:tc>
          <w:tcPr>
            <w:tcW w:w="67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E63E7D4"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Jug</w:t>
            </w:r>
          </w:p>
        </w:tc>
        <w:tc>
          <w:tcPr>
            <w:tcW w:w="81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9C1BCA8"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w:t>
            </w:r>
          </w:p>
        </w:tc>
        <w:tc>
          <w:tcPr>
            <w:tcW w:w="643"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86F509F"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1825</w:t>
            </w:r>
          </w:p>
        </w:tc>
        <w:tc>
          <w:tcPr>
            <w:tcW w:w="1013"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174CA90"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267,808</w:t>
            </w:r>
          </w:p>
        </w:tc>
        <w:tc>
          <w:tcPr>
            <w:tcW w:w="99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88BD83E"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146.7</w:t>
            </w:r>
          </w:p>
        </w:tc>
        <w:tc>
          <w:tcPr>
            <w:tcW w:w="1013"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7F3ABE0"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140,303</w:t>
            </w:r>
          </w:p>
        </w:tc>
        <w:tc>
          <w:tcPr>
            <w:tcW w:w="99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A1572B0"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76.9</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13DD9A43"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52%</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773CB64"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305,000</w:t>
            </w:r>
          </w:p>
        </w:tc>
        <w:tc>
          <w:tcPr>
            <w:tcW w:w="99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04E8701"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167</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F9E1CBD"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16,836</w:t>
            </w:r>
          </w:p>
        </w:tc>
        <w:tc>
          <w:tcPr>
            <w:tcW w:w="82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FC13D60"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18.1</w:t>
            </w:r>
          </w:p>
        </w:tc>
        <w:tc>
          <w:tcPr>
            <w:tcW w:w="85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35C66FC"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0.460</w:t>
            </w:r>
          </w:p>
        </w:tc>
      </w:tr>
    </w:tbl>
    <w:p w14:paraId="69AE8CC5" w14:textId="77777777" w:rsidR="003F7412" w:rsidRDefault="003F7412" w:rsidP="003F7412">
      <w:pPr>
        <w:spacing w:after="0"/>
        <w:rPr>
          <w:vanish/>
        </w:rPr>
        <w:sectPr w:rsidR="003F7412">
          <w:headerReference w:type="default" r:id="rId41"/>
          <w:pgSz w:w="16838" w:h="11906" w:orient="landscape"/>
          <w:pgMar w:top="1440" w:right="1440" w:bottom="1440" w:left="1440" w:header="720" w:footer="720" w:gutter="0"/>
          <w:cols w:space="720"/>
        </w:sectPr>
      </w:pPr>
    </w:p>
    <w:tbl>
      <w:tblPr>
        <w:tblW w:w="5487" w:type="pct"/>
        <w:tblInd w:w="-856" w:type="dxa"/>
        <w:tblLayout w:type="fixed"/>
        <w:tblCellMar>
          <w:left w:w="10" w:type="dxa"/>
          <w:right w:w="10" w:type="dxa"/>
        </w:tblCellMar>
        <w:tblLook w:val="0000" w:firstRow="0" w:lastRow="0" w:firstColumn="0" w:lastColumn="0" w:noHBand="0" w:noVBand="0"/>
      </w:tblPr>
      <w:tblGrid>
        <w:gridCol w:w="566"/>
        <w:gridCol w:w="851"/>
        <w:gridCol w:w="707"/>
        <w:gridCol w:w="1702"/>
        <w:gridCol w:w="710"/>
        <w:gridCol w:w="707"/>
        <w:gridCol w:w="1059"/>
        <w:gridCol w:w="922"/>
        <w:gridCol w:w="922"/>
        <w:gridCol w:w="808"/>
        <w:gridCol w:w="707"/>
        <w:gridCol w:w="968"/>
        <w:gridCol w:w="992"/>
        <w:gridCol w:w="995"/>
        <w:gridCol w:w="992"/>
        <w:gridCol w:w="848"/>
        <w:gridCol w:w="851"/>
      </w:tblGrid>
      <w:tr w:rsidR="003F7412" w14:paraId="6B0C903E" w14:textId="77777777" w:rsidTr="004F3DC4">
        <w:tc>
          <w:tcPr>
            <w:tcW w:w="566"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685B637D" w14:textId="56F708D1" w:rsidR="003F7412" w:rsidRPr="0091029E" w:rsidRDefault="003F7412"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sidRPr="0091029E">
              <w:rPr>
                <w:rFonts w:ascii="Calibri Light" w:eastAsia="Calibri Light" w:hAnsi="Calibri Light" w:cs="Calibri Light"/>
                <w:b/>
                <w:bCs/>
                <w:i/>
                <w:color w:val="FFFFFF" w:themeColor="background1"/>
                <w:sz w:val="20"/>
                <w:szCs w:val="18"/>
                <w:lang w:val="sk-SK" w:eastAsia="sk-SK"/>
              </w:rPr>
              <w:lastRenderedPageBreak/>
              <w:t>4</w:t>
            </w:r>
          </w:p>
        </w:tc>
        <w:tc>
          <w:tcPr>
            <w:tcW w:w="851"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1504B144" w14:textId="77777777" w:rsidR="003F7412" w:rsidRPr="0091029E" w:rsidRDefault="003F7412" w:rsidP="00855F2F">
            <w:pPr>
              <w:spacing w:after="0"/>
              <w:textAlignment w:val="auto"/>
              <w:rPr>
                <w:rFonts w:ascii="Calibri Light" w:eastAsia="Calibri Light" w:hAnsi="Calibri Light" w:cs="Calibri Light"/>
                <w:b/>
                <w:bCs/>
                <w:i/>
                <w:color w:val="FFFFFF" w:themeColor="background1"/>
                <w:sz w:val="20"/>
                <w:szCs w:val="18"/>
                <w:lang w:val="sk-SK" w:eastAsia="sk-SK"/>
              </w:rPr>
            </w:pPr>
            <w:r w:rsidRPr="0091029E">
              <w:rPr>
                <w:rFonts w:ascii="Calibri Light" w:eastAsia="Calibri Light" w:hAnsi="Calibri Light" w:cs="Calibri Light"/>
                <w:b/>
                <w:bCs/>
                <w:i/>
                <w:color w:val="FFFFFF" w:themeColor="background1"/>
                <w:sz w:val="20"/>
                <w:szCs w:val="18"/>
                <w:lang w:val="sk-SK" w:eastAsia="sk-SK"/>
              </w:rPr>
              <w:t>PS Beco Basic</w:t>
            </w:r>
          </w:p>
        </w:tc>
        <w:tc>
          <w:tcPr>
            <w:tcW w:w="707"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70114508"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Obrazovni</w:t>
            </w:r>
          </w:p>
        </w:tc>
        <w:tc>
          <w:tcPr>
            <w:tcW w:w="1702"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6192411C" w14:textId="77777777" w:rsidR="003F7412" w:rsidRDefault="003F7412" w:rsidP="00855F2F">
            <w:pPr>
              <w:spacing w:after="0"/>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TI od spoljnih zidova</w:t>
            </w:r>
          </w:p>
          <w:p w14:paraId="42D8BD18" w14:textId="77777777" w:rsidR="003F7412" w:rsidRDefault="003F7412" w:rsidP="00855F2F">
            <w:pPr>
              <w:spacing w:after="0"/>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TI krova</w:t>
            </w:r>
          </w:p>
          <w:p w14:paraId="0FDB071B" w14:textId="77777777" w:rsidR="003F7412" w:rsidRDefault="003F7412" w:rsidP="00855F2F">
            <w:pPr>
              <w:spacing w:after="0"/>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Zamjena svetiljki</w:t>
            </w:r>
          </w:p>
        </w:tc>
        <w:tc>
          <w:tcPr>
            <w:tcW w:w="710"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60AC51ED"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Sjever</w:t>
            </w:r>
          </w:p>
        </w:tc>
        <w:tc>
          <w:tcPr>
            <w:tcW w:w="707"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4DCFD700"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5</w:t>
            </w:r>
          </w:p>
        </w:tc>
        <w:tc>
          <w:tcPr>
            <w:tcW w:w="1059"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3977F60A"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3,472</w:t>
            </w:r>
          </w:p>
        </w:tc>
        <w:tc>
          <w:tcPr>
            <w:tcW w:w="922"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4A26ABB5"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665,844</w:t>
            </w:r>
          </w:p>
        </w:tc>
        <w:tc>
          <w:tcPr>
            <w:tcW w:w="922"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489622EF"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191.8</w:t>
            </w:r>
          </w:p>
        </w:tc>
        <w:tc>
          <w:tcPr>
            <w:tcW w:w="808"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42C6FF0B"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223,807</w:t>
            </w:r>
          </w:p>
        </w:tc>
        <w:tc>
          <w:tcPr>
            <w:tcW w:w="707"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67332921"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64.5</w:t>
            </w:r>
          </w:p>
        </w:tc>
        <w:tc>
          <w:tcPr>
            <w:tcW w:w="968"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30BDB28D"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34%</w:t>
            </w:r>
          </w:p>
        </w:tc>
        <w:tc>
          <w:tcPr>
            <w:tcW w:w="992"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7877A3B6"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198,467</w:t>
            </w:r>
          </w:p>
        </w:tc>
        <w:tc>
          <w:tcPr>
            <w:tcW w:w="995"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20D06AD0"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57</w:t>
            </w:r>
          </w:p>
        </w:tc>
        <w:tc>
          <w:tcPr>
            <w:tcW w:w="992"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769E8467"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22,525</w:t>
            </w:r>
          </w:p>
        </w:tc>
        <w:tc>
          <w:tcPr>
            <w:tcW w:w="848"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3A4A5143"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8.8</w:t>
            </w:r>
          </w:p>
        </w:tc>
        <w:tc>
          <w:tcPr>
            <w:tcW w:w="851" w:type="dxa"/>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501C5C45" w14:textId="77777777" w:rsidR="003F7412" w:rsidRDefault="003F7412" w:rsidP="00855F2F">
            <w:pPr>
              <w:spacing w:after="0"/>
              <w:jc w:val="center"/>
              <w:textAlignment w:val="auto"/>
              <w:rPr>
                <w:rFonts w:ascii="Calibri Light" w:eastAsia="Calibri Light" w:hAnsi="Calibri Light" w:cs="Calibri Light"/>
                <w:bCs/>
                <w:sz w:val="18"/>
                <w:szCs w:val="18"/>
                <w:lang w:val="sk-SK" w:eastAsia="sk-SK"/>
              </w:rPr>
            </w:pPr>
            <w:r>
              <w:rPr>
                <w:rFonts w:ascii="Calibri Light" w:eastAsia="Calibri Light" w:hAnsi="Calibri Light" w:cs="Calibri Light"/>
                <w:bCs/>
                <w:sz w:val="18"/>
                <w:szCs w:val="18"/>
                <w:lang w:val="sk-SK" w:eastAsia="sk-SK"/>
              </w:rPr>
              <w:t>1.128</w:t>
            </w:r>
          </w:p>
        </w:tc>
      </w:tr>
      <w:tr w:rsidR="003F7412" w14:paraId="08F11415" w14:textId="77777777" w:rsidTr="004F3DC4">
        <w:tc>
          <w:tcPr>
            <w:tcW w:w="566"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5C0677CF" w14:textId="319AF328" w:rsidR="003F7412" w:rsidRPr="0091029E" w:rsidRDefault="008B70C8"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Pr>
                <w:rFonts w:ascii="Calibri Light" w:eastAsia="Calibri Light" w:hAnsi="Calibri Light" w:cs="Calibri Light"/>
                <w:b/>
                <w:bCs/>
                <w:i/>
                <w:color w:val="FFFFFF" w:themeColor="background1"/>
                <w:sz w:val="20"/>
                <w:szCs w:val="18"/>
                <w:lang w:val="sk-SK" w:eastAsia="sk-SK"/>
              </w:rPr>
              <w:t>5</w:t>
            </w:r>
          </w:p>
        </w:tc>
        <w:tc>
          <w:tcPr>
            <w:tcW w:w="85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7F2F1F94" w14:textId="10E2FAFE" w:rsidR="003F7412" w:rsidRPr="0091029E" w:rsidRDefault="009D12FC" w:rsidP="00855F2F">
            <w:pPr>
              <w:spacing w:after="0"/>
              <w:textAlignment w:val="auto"/>
              <w:rPr>
                <w:rFonts w:ascii="Calibri Light" w:eastAsia="Calibri Light" w:hAnsi="Calibri Light" w:cs="Calibri Light"/>
                <w:b/>
                <w:i/>
                <w:color w:val="FFFFFF" w:themeColor="background1"/>
                <w:sz w:val="20"/>
                <w:szCs w:val="18"/>
                <w:lang w:val="sk-SK" w:eastAsia="sk-SK"/>
              </w:rPr>
            </w:pPr>
            <w:r w:rsidRPr="0091029E">
              <w:rPr>
                <w:rFonts w:ascii="Calibri Light" w:eastAsia="Calibri Light" w:hAnsi="Calibri Light" w:cs="Calibri Light"/>
                <w:b/>
                <w:i/>
                <w:color w:val="FFFFFF" w:themeColor="background1"/>
                <w:sz w:val="20"/>
                <w:szCs w:val="18"/>
                <w:lang w:val="sk-SK" w:eastAsia="sk-SK"/>
              </w:rPr>
              <w:t>PS Branko Bozović</w:t>
            </w:r>
          </w:p>
        </w:tc>
        <w:tc>
          <w:tcPr>
            <w:tcW w:w="70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4DDB79BC"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Obrazovni</w:t>
            </w:r>
          </w:p>
        </w:tc>
        <w:tc>
          <w:tcPr>
            <w:tcW w:w="170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7D9FCA2"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Zamjena prozora i vrata</w:t>
            </w:r>
          </w:p>
          <w:p w14:paraId="00BDBCCE"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TI od spoljnih zidova</w:t>
            </w:r>
          </w:p>
          <w:p w14:paraId="0A00D852"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Zamjena kotlova i opreme u kotlarnici</w:t>
            </w:r>
          </w:p>
          <w:p w14:paraId="5D777F15"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Instalacija TRV -a</w:t>
            </w:r>
          </w:p>
          <w:p w14:paraId="4C531DEF"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Zamjena svetiljki</w:t>
            </w:r>
          </w:p>
        </w:tc>
        <w:tc>
          <w:tcPr>
            <w:tcW w:w="71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BB03F21"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Jug</w:t>
            </w:r>
          </w:p>
        </w:tc>
        <w:tc>
          <w:tcPr>
            <w:tcW w:w="70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3729EA5"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2</w:t>
            </w:r>
          </w:p>
        </w:tc>
        <w:tc>
          <w:tcPr>
            <w:tcW w:w="10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F3CE89E"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3,273</w:t>
            </w:r>
          </w:p>
        </w:tc>
        <w:tc>
          <w:tcPr>
            <w:tcW w:w="92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EB4FCF1"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615,262</w:t>
            </w:r>
          </w:p>
        </w:tc>
        <w:tc>
          <w:tcPr>
            <w:tcW w:w="92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0589A04"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188.0</w:t>
            </w:r>
          </w:p>
        </w:tc>
        <w:tc>
          <w:tcPr>
            <w:tcW w:w="80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42197DF2"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367,180</w:t>
            </w:r>
          </w:p>
        </w:tc>
        <w:tc>
          <w:tcPr>
            <w:tcW w:w="70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701755E"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112.2</w:t>
            </w:r>
          </w:p>
        </w:tc>
        <w:tc>
          <w:tcPr>
            <w:tcW w:w="96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E0089CA"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60%</w:t>
            </w:r>
          </w:p>
        </w:tc>
        <w:tc>
          <w:tcPr>
            <w:tcW w:w="99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5B2E0C7"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589,728</w:t>
            </w:r>
          </w:p>
        </w:tc>
        <w:tc>
          <w:tcPr>
            <w:tcW w:w="99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A65F654"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180</w:t>
            </w:r>
          </w:p>
        </w:tc>
        <w:tc>
          <w:tcPr>
            <w:tcW w:w="99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4A7CBA9"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36,458</w:t>
            </w:r>
          </w:p>
        </w:tc>
        <w:tc>
          <w:tcPr>
            <w:tcW w:w="84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43CCF63"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16.2</w:t>
            </w:r>
          </w:p>
        </w:tc>
        <w:tc>
          <w:tcPr>
            <w:tcW w:w="85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BECDD42"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0.623</w:t>
            </w:r>
          </w:p>
        </w:tc>
      </w:tr>
      <w:tr w:rsidR="003F7412" w14:paraId="0704BDCA" w14:textId="77777777" w:rsidTr="004F3DC4">
        <w:tc>
          <w:tcPr>
            <w:tcW w:w="566"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239C1AB6" w14:textId="10DA175C" w:rsidR="003F7412" w:rsidRPr="0091029E" w:rsidRDefault="008B70C8"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Pr>
                <w:rFonts w:ascii="Calibri Light" w:eastAsia="Calibri Light" w:hAnsi="Calibri Light" w:cs="Calibri Light"/>
                <w:b/>
                <w:bCs/>
                <w:i/>
                <w:color w:val="FFFFFF" w:themeColor="background1"/>
                <w:sz w:val="20"/>
                <w:szCs w:val="18"/>
                <w:lang w:val="sk-SK" w:eastAsia="sk-SK"/>
              </w:rPr>
              <w:t>6</w:t>
            </w:r>
          </w:p>
        </w:tc>
        <w:tc>
          <w:tcPr>
            <w:tcW w:w="85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36B96A9F" w14:textId="77777777" w:rsidR="003F7412" w:rsidRPr="0091029E" w:rsidRDefault="003F7412" w:rsidP="00855F2F">
            <w:pPr>
              <w:spacing w:after="0"/>
              <w:textAlignment w:val="auto"/>
              <w:rPr>
                <w:rFonts w:ascii="Calibri Light" w:eastAsia="Calibri Light" w:hAnsi="Calibri Light" w:cs="Calibri Light"/>
                <w:b/>
                <w:i/>
                <w:color w:val="FFFFFF" w:themeColor="background1"/>
                <w:sz w:val="20"/>
                <w:szCs w:val="18"/>
                <w:lang w:val="sk-SK" w:eastAsia="sk-SK"/>
              </w:rPr>
            </w:pPr>
            <w:r w:rsidRPr="0091029E">
              <w:rPr>
                <w:rFonts w:ascii="Calibri Light" w:eastAsia="Calibri Light" w:hAnsi="Calibri Light" w:cs="Calibri Light"/>
                <w:b/>
                <w:i/>
                <w:color w:val="FFFFFF" w:themeColor="background1"/>
                <w:sz w:val="20"/>
                <w:szCs w:val="18"/>
                <w:lang w:val="sk-SK" w:eastAsia="sk-SK"/>
              </w:rPr>
              <w:t>PS Oktoih</w:t>
            </w:r>
          </w:p>
        </w:tc>
        <w:tc>
          <w:tcPr>
            <w:tcW w:w="70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23C1993"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 xml:space="preserve">Obrazovni </w:t>
            </w:r>
          </w:p>
        </w:tc>
        <w:tc>
          <w:tcPr>
            <w:tcW w:w="170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6ADDEA3"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Zamjena prozora i vrata</w:t>
            </w:r>
          </w:p>
          <w:p w14:paraId="674302EF"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TI od spoljnih zidova</w:t>
            </w:r>
          </w:p>
          <w:p w14:paraId="10D47500"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Zamjena kotlova i opreme u kotlarnici</w:t>
            </w:r>
          </w:p>
          <w:p w14:paraId="4199433D"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Instalacija TRV -a</w:t>
            </w:r>
          </w:p>
          <w:p w14:paraId="2FB54484"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Zamjena svetiljki</w:t>
            </w:r>
          </w:p>
        </w:tc>
        <w:tc>
          <w:tcPr>
            <w:tcW w:w="71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8124F1F"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Jug</w:t>
            </w:r>
          </w:p>
        </w:tc>
        <w:tc>
          <w:tcPr>
            <w:tcW w:w="70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17249ED"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2</w:t>
            </w:r>
          </w:p>
        </w:tc>
        <w:tc>
          <w:tcPr>
            <w:tcW w:w="10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88AF7FE"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3,194</w:t>
            </w:r>
          </w:p>
        </w:tc>
        <w:tc>
          <w:tcPr>
            <w:tcW w:w="92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6589E84"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867,134</w:t>
            </w:r>
          </w:p>
        </w:tc>
        <w:tc>
          <w:tcPr>
            <w:tcW w:w="92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40C62697"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271.5</w:t>
            </w:r>
          </w:p>
        </w:tc>
        <w:tc>
          <w:tcPr>
            <w:tcW w:w="80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CC3336B"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583,822</w:t>
            </w:r>
          </w:p>
        </w:tc>
        <w:tc>
          <w:tcPr>
            <w:tcW w:w="70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7984B11"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182.8</w:t>
            </w:r>
          </w:p>
        </w:tc>
        <w:tc>
          <w:tcPr>
            <w:tcW w:w="96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88491AE"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67%</w:t>
            </w:r>
          </w:p>
        </w:tc>
        <w:tc>
          <w:tcPr>
            <w:tcW w:w="99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40D5BD7E"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538,424</w:t>
            </w:r>
          </w:p>
        </w:tc>
        <w:tc>
          <w:tcPr>
            <w:tcW w:w="99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2D35939"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169</w:t>
            </w:r>
          </w:p>
        </w:tc>
        <w:tc>
          <w:tcPr>
            <w:tcW w:w="99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112C05D"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57,739</w:t>
            </w:r>
          </w:p>
        </w:tc>
        <w:tc>
          <w:tcPr>
            <w:tcW w:w="84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76A95C4"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9.3</w:t>
            </w:r>
          </w:p>
        </w:tc>
        <w:tc>
          <w:tcPr>
            <w:tcW w:w="85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F003BD9"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1.084</w:t>
            </w:r>
          </w:p>
        </w:tc>
      </w:tr>
      <w:tr w:rsidR="003F7412" w14:paraId="07009FB5" w14:textId="77777777" w:rsidTr="004F3DC4">
        <w:tc>
          <w:tcPr>
            <w:tcW w:w="566"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5BF1AC92" w14:textId="4502BEF5" w:rsidR="003F7412" w:rsidRPr="0091029E" w:rsidRDefault="008B70C8"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Pr>
                <w:rFonts w:ascii="Calibri Light" w:eastAsia="Calibri Light" w:hAnsi="Calibri Light" w:cs="Calibri Light"/>
                <w:b/>
                <w:bCs/>
                <w:i/>
                <w:color w:val="FFFFFF" w:themeColor="background1"/>
                <w:sz w:val="20"/>
                <w:szCs w:val="18"/>
                <w:lang w:val="sk-SK" w:eastAsia="sk-SK"/>
              </w:rPr>
              <w:t>7</w:t>
            </w:r>
          </w:p>
        </w:tc>
        <w:tc>
          <w:tcPr>
            <w:tcW w:w="85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61765419" w14:textId="19744959" w:rsidR="003F7412" w:rsidRPr="0091029E" w:rsidRDefault="009D12FC" w:rsidP="00855F2F">
            <w:pPr>
              <w:spacing w:after="0"/>
              <w:textAlignment w:val="auto"/>
              <w:rPr>
                <w:rFonts w:ascii="Calibri Light" w:eastAsia="Calibri Light" w:hAnsi="Calibri Light" w:cs="Calibri Light"/>
                <w:b/>
                <w:i/>
                <w:color w:val="FFFFFF" w:themeColor="background1"/>
                <w:sz w:val="20"/>
                <w:szCs w:val="18"/>
                <w:lang w:val="sk-SK" w:eastAsia="sk-SK"/>
              </w:rPr>
            </w:pPr>
            <w:r w:rsidRPr="0091029E">
              <w:rPr>
                <w:rFonts w:ascii="Calibri Light" w:eastAsia="Calibri Light" w:hAnsi="Calibri Light" w:cs="Calibri Light"/>
                <w:b/>
                <w:i/>
                <w:color w:val="FFFFFF" w:themeColor="background1"/>
                <w:sz w:val="20"/>
                <w:szCs w:val="18"/>
                <w:lang w:val="sk-SK" w:eastAsia="sk-SK"/>
              </w:rPr>
              <w:t>PS Vuko Jovović</w:t>
            </w:r>
          </w:p>
        </w:tc>
        <w:tc>
          <w:tcPr>
            <w:tcW w:w="70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138534FA"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 xml:space="preserve">Obrazovni </w:t>
            </w:r>
          </w:p>
        </w:tc>
        <w:tc>
          <w:tcPr>
            <w:tcW w:w="170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84E11E4"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Zamjena prozora i vrata</w:t>
            </w:r>
          </w:p>
          <w:p w14:paraId="66114512"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TI od spoljnih zidova</w:t>
            </w:r>
          </w:p>
          <w:p w14:paraId="3F93BD73"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Instalacija TRV -a</w:t>
            </w:r>
          </w:p>
          <w:p w14:paraId="21D7AC90" w14:textId="77777777" w:rsidR="003F7412" w:rsidRDefault="003F7412" w:rsidP="00855F2F">
            <w:pPr>
              <w:spacing w:after="0"/>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Zamjena svetiljki</w:t>
            </w:r>
          </w:p>
        </w:tc>
        <w:tc>
          <w:tcPr>
            <w:tcW w:w="71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A03C43C"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Jug</w:t>
            </w:r>
          </w:p>
        </w:tc>
        <w:tc>
          <w:tcPr>
            <w:tcW w:w="70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D8C2D48"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w:t>
            </w:r>
          </w:p>
        </w:tc>
        <w:tc>
          <w:tcPr>
            <w:tcW w:w="10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5B1E3D1"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3,391</w:t>
            </w:r>
          </w:p>
        </w:tc>
        <w:tc>
          <w:tcPr>
            <w:tcW w:w="92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447DBFC3"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501,495</w:t>
            </w:r>
          </w:p>
        </w:tc>
        <w:tc>
          <w:tcPr>
            <w:tcW w:w="92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73278FA"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147.9</w:t>
            </w:r>
          </w:p>
        </w:tc>
        <w:tc>
          <w:tcPr>
            <w:tcW w:w="80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657E031"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236,729</w:t>
            </w:r>
          </w:p>
        </w:tc>
        <w:tc>
          <w:tcPr>
            <w:tcW w:w="70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04409BAF"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69.8</w:t>
            </w:r>
          </w:p>
        </w:tc>
        <w:tc>
          <w:tcPr>
            <w:tcW w:w="96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DA140EC"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47%</w:t>
            </w:r>
          </w:p>
        </w:tc>
        <w:tc>
          <w:tcPr>
            <w:tcW w:w="99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E4467FC"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443,461</w:t>
            </w:r>
          </w:p>
        </w:tc>
        <w:tc>
          <w:tcPr>
            <w:tcW w:w="99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1562EF9"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131</w:t>
            </w:r>
          </w:p>
        </w:tc>
        <w:tc>
          <w:tcPr>
            <w:tcW w:w="99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254ED2E"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22,975</w:t>
            </w:r>
          </w:p>
        </w:tc>
        <w:tc>
          <w:tcPr>
            <w:tcW w:w="84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F1BFF0A"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19.3</w:t>
            </w:r>
          </w:p>
        </w:tc>
        <w:tc>
          <w:tcPr>
            <w:tcW w:w="85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013E9E4" w14:textId="77777777" w:rsidR="003F7412" w:rsidRDefault="003F7412" w:rsidP="00855F2F">
            <w:pPr>
              <w:spacing w:after="0"/>
              <w:jc w:val="center"/>
              <w:textAlignment w:val="auto"/>
              <w:rPr>
                <w:rFonts w:ascii="Calibri Light" w:eastAsia="Calibri Light" w:hAnsi="Calibri Light" w:cs="Calibri Light"/>
                <w:sz w:val="18"/>
                <w:szCs w:val="18"/>
                <w:lang w:val="sk-SK" w:eastAsia="sk-SK"/>
              </w:rPr>
            </w:pPr>
            <w:r>
              <w:rPr>
                <w:rFonts w:ascii="Calibri Light" w:eastAsia="Calibri Light" w:hAnsi="Calibri Light" w:cs="Calibri Light"/>
                <w:sz w:val="18"/>
                <w:szCs w:val="18"/>
                <w:lang w:val="sk-SK" w:eastAsia="sk-SK"/>
              </w:rPr>
              <w:t>0.534</w:t>
            </w:r>
          </w:p>
        </w:tc>
      </w:tr>
    </w:tbl>
    <w:p w14:paraId="3DFB87FE" w14:textId="77777777" w:rsidR="003F7412" w:rsidRDefault="003F7412" w:rsidP="003F7412">
      <w:pPr>
        <w:sectPr w:rsidR="003F7412">
          <w:headerReference w:type="default" r:id="rId42"/>
          <w:pgSz w:w="16838" w:h="11906" w:orient="landscape"/>
          <w:pgMar w:top="1440" w:right="1440" w:bottom="1440" w:left="1440" w:header="720" w:footer="720" w:gutter="0"/>
          <w:cols w:space="720"/>
        </w:sectPr>
      </w:pPr>
    </w:p>
    <w:p w14:paraId="3D72BC4D" w14:textId="41E957DC" w:rsidR="003F7412" w:rsidRDefault="003F7412" w:rsidP="00A62473">
      <w:pPr>
        <w:jc w:val="both"/>
        <w:rPr>
          <w:rFonts w:cs="Calibri"/>
          <w:b/>
          <w:bCs/>
          <w:caps/>
          <w:color w:val="1F3864"/>
          <w:sz w:val="19"/>
          <w:szCs w:val="19"/>
        </w:rPr>
      </w:pPr>
      <w:r>
        <w:rPr>
          <w:sz w:val="24"/>
        </w:rPr>
        <w:lastRenderedPageBreak/>
        <w:t xml:space="preserve">Ukupan broj analiziranih zgrada u 101 objektu bio je 183 (za zgradu GH Vaso Ćuković DEA je izvedena dva puta). Na osnovu podataka prikupljenih iz izveštaja DEA, Tabela </w:t>
      </w:r>
      <w:r w:rsidR="00715D7C">
        <w:rPr>
          <w:sz w:val="24"/>
        </w:rPr>
        <w:t>7</w:t>
      </w:r>
      <w:r>
        <w:rPr>
          <w:sz w:val="24"/>
        </w:rPr>
        <w:t xml:space="preserve"> prikazuje zbirne podatke prema tipu zgrade.</w:t>
      </w:r>
    </w:p>
    <w:p w14:paraId="75AEB9A0" w14:textId="7CB092FF" w:rsidR="003F7412" w:rsidRDefault="000C7E97" w:rsidP="00C25F77">
      <w:pPr>
        <w:pStyle w:val="Caption"/>
        <w:keepNext/>
        <w:jc w:val="center"/>
      </w:pPr>
      <w:bookmarkStart w:id="69" w:name="_Toc63146820"/>
      <w:bookmarkStart w:id="70" w:name="_Toc82415540"/>
      <w:r>
        <w:rPr>
          <w:rFonts w:ascii="Calibri" w:hAnsi="Calibri"/>
          <w:sz w:val="22"/>
          <w:szCs w:val="22"/>
        </w:rPr>
        <w:t>Tabela</w:t>
      </w:r>
      <w:r w:rsidR="00147C8E" w:rsidRPr="00147C8E">
        <w:rPr>
          <w:rFonts w:ascii="Calibri" w:hAnsi="Calibri"/>
          <w:sz w:val="22"/>
          <w:szCs w:val="22"/>
        </w:rPr>
        <w:t xml:space="preserve"> </w:t>
      </w:r>
      <w:r w:rsidR="00147C8E" w:rsidRPr="00147C8E">
        <w:rPr>
          <w:rFonts w:ascii="Calibri" w:hAnsi="Calibri"/>
          <w:sz w:val="22"/>
          <w:szCs w:val="22"/>
        </w:rPr>
        <w:fldChar w:fldCharType="begin"/>
      </w:r>
      <w:r w:rsidR="00147C8E" w:rsidRPr="00147C8E">
        <w:rPr>
          <w:rFonts w:ascii="Calibri" w:hAnsi="Calibri"/>
          <w:sz w:val="22"/>
          <w:szCs w:val="22"/>
        </w:rPr>
        <w:instrText xml:space="preserve"> SEQ Table \* ARABIC </w:instrText>
      </w:r>
      <w:r w:rsidR="00147C8E" w:rsidRPr="00147C8E">
        <w:rPr>
          <w:rFonts w:ascii="Calibri" w:hAnsi="Calibri"/>
          <w:sz w:val="22"/>
          <w:szCs w:val="22"/>
        </w:rPr>
        <w:fldChar w:fldCharType="separate"/>
      </w:r>
      <w:r w:rsidR="002E7036">
        <w:rPr>
          <w:rFonts w:ascii="Calibri" w:hAnsi="Calibri"/>
          <w:noProof/>
          <w:sz w:val="22"/>
          <w:szCs w:val="22"/>
        </w:rPr>
        <w:t>7</w:t>
      </w:r>
      <w:r w:rsidR="00147C8E" w:rsidRPr="00147C8E">
        <w:rPr>
          <w:rFonts w:ascii="Calibri" w:hAnsi="Calibri"/>
          <w:sz w:val="22"/>
          <w:szCs w:val="22"/>
        </w:rPr>
        <w:fldChar w:fldCharType="end"/>
      </w:r>
      <w:r w:rsidR="00147C8E" w:rsidRPr="00147C8E">
        <w:rPr>
          <w:rFonts w:ascii="Calibri" w:hAnsi="Calibri"/>
          <w:sz w:val="22"/>
          <w:szCs w:val="22"/>
        </w:rPr>
        <w:t xml:space="preserve"> Ključni zbirni podaci prema DEA informacijala po vrastama izgradnje</w:t>
      </w:r>
      <w:bookmarkEnd w:id="69"/>
      <w:bookmarkEnd w:id="70"/>
    </w:p>
    <w:tbl>
      <w:tblPr>
        <w:tblW w:w="0" w:type="auto"/>
        <w:tblLayout w:type="fixed"/>
        <w:tblCellMar>
          <w:left w:w="10" w:type="dxa"/>
          <w:right w:w="10" w:type="dxa"/>
        </w:tblCellMar>
        <w:tblLook w:val="0000" w:firstRow="0" w:lastRow="0" w:firstColumn="0" w:lastColumn="0" w:noHBand="0" w:noVBand="0"/>
      </w:tblPr>
      <w:tblGrid>
        <w:gridCol w:w="1672"/>
        <w:gridCol w:w="1256"/>
        <w:gridCol w:w="1117"/>
        <w:gridCol w:w="1028"/>
        <w:gridCol w:w="952"/>
        <w:gridCol w:w="900"/>
        <w:gridCol w:w="1132"/>
        <w:gridCol w:w="959"/>
      </w:tblGrid>
      <w:tr w:rsidR="00DD0C50" w14:paraId="314326BE" w14:textId="77777777" w:rsidTr="00F4427A">
        <w:tc>
          <w:tcPr>
            <w:tcW w:w="1672" w:type="dxa"/>
            <w:vMerge w:val="restart"/>
            <w:tcBorders>
              <w:top w:val="single" w:sz="4" w:space="0" w:color="999999"/>
              <w:left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4B141F4B" w14:textId="77777777" w:rsidR="00DD0C50" w:rsidRPr="00352CB5" w:rsidRDefault="00DD0C50" w:rsidP="009D12FC">
            <w:pPr>
              <w:spacing w:after="0"/>
              <w:jc w:val="center"/>
              <w:textAlignment w:val="auto"/>
              <w:rPr>
                <w:rFonts w:ascii="Calibri Light" w:eastAsia="Calibri Light" w:hAnsi="Calibri Light" w:cs="Calibri Light"/>
                <w:b/>
                <w:bCs/>
                <w:i/>
                <w:color w:val="FFFFFF" w:themeColor="background1"/>
                <w:sz w:val="20"/>
                <w:szCs w:val="18"/>
                <w:lang w:val="sk-SK" w:eastAsia="sk-SK"/>
              </w:rPr>
            </w:pPr>
            <w:r w:rsidRPr="00352CB5">
              <w:rPr>
                <w:rFonts w:ascii="Calibri Light" w:eastAsia="Calibri Light" w:hAnsi="Calibri Light" w:cs="Calibri Light"/>
                <w:b/>
                <w:bCs/>
                <w:i/>
                <w:color w:val="FFFFFF" w:themeColor="background1"/>
                <w:sz w:val="20"/>
                <w:szCs w:val="18"/>
                <w:lang w:val="sk-SK" w:eastAsia="sk-SK"/>
              </w:rPr>
              <w:t>Parametar/pokazatelj</w:t>
            </w:r>
          </w:p>
        </w:tc>
        <w:tc>
          <w:tcPr>
            <w:tcW w:w="1256" w:type="dxa"/>
            <w:vMerge w:val="restart"/>
            <w:tcBorders>
              <w:top w:val="single" w:sz="4" w:space="0" w:color="999999"/>
              <w:left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5E0156F0" w14:textId="77777777" w:rsidR="00DD0C50" w:rsidRPr="00352CB5" w:rsidRDefault="00DD0C50" w:rsidP="009D12FC">
            <w:pPr>
              <w:spacing w:after="0"/>
              <w:jc w:val="center"/>
              <w:textAlignment w:val="auto"/>
              <w:rPr>
                <w:rFonts w:ascii="Calibri Light" w:eastAsia="Calibri Light" w:hAnsi="Calibri Light" w:cs="Calibri Light"/>
                <w:b/>
                <w:bCs/>
                <w:i/>
                <w:color w:val="FFFFFF" w:themeColor="background1"/>
                <w:sz w:val="20"/>
                <w:szCs w:val="18"/>
                <w:lang w:val="sk-SK" w:eastAsia="sk-SK"/>
              </w:rPr>
            </w:pPr>
            <w:r w:rsidRPr="00352CB5">
              <w:rPr>
                <w:rFonts w:ascii="Calibri Light" w:eastAsia="Calibri Light" w:hAnsi="Calibri Light" w:cs="Calibri Light"/>
                <w:b/>
                <w:bCs/>
                <w:i/>
                <w:color w:val="FFFFFF" w:themeColor="background1"/>
                <w:sz w:val="20"/>
                <w:szCs w:val="18"/>
                <w:lang w:val="sk-SK" w:eastAsia="sk-SK"/>
              </w:rPr>
              <w:t>Jedinica mjere</w:t>
            </w:r>
          </w:p>
        </w:tc>
        <w:tc>
          <w:tcPr>
            <w:tcW w:w="6088" w:type="dxa"/>
            <w:gridSpan w:val="6"/>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74711518" w14:textId="157F3E11" w:rsidR="00DD0C50" w:rsidRPr="00352CB5" w:rsidRDefault="00DD0C50"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sidRPr="00352CB5">
              <w:rPr>
                <w:rFonts w:ascii="Calibri Light" w:eastAsia="Calibri Light" w:hAnsi="Calibri Light" w:cs="Calibri Light"/>
                <w:b/>
                <w:bCs/>
                <w:i/>
                <w:color w:val="FFFFFF" w:themeColor="background1"/>
                <w:sz w:val="20"/>
                <w:szCs w:val="18"/>
                <w:lang w:val="sk-SK" w:eastAsia="sk-SK"/>
              </w:rPr>
              <w:t>Vrijednost</w:t>
            </w:r>
          </w:p>
        </w:tc>
      </w:tr>
      <w:tr w:rsidR="00DD0C50" w14:paraId="5336892F" w14:textId="77777777" w:rsidTr="00DD0C50">
        <w:tc>
          <w:tcPr>
            <w:tcW w:w="1672" w:type="dxa"/>
            <w:vMerge/>
            <w:tcBorders>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78320596" w14:textId="77777777" w:rsidR="009D12FC" w:rsidRPr="00352CB5" w:rsidRDefault="009D12FC" w:rsidP="00855F2F">
            <w:pPr>
              <w:spacing w:after="0"/>
              <w:textAlignment w:val="auto"/>
              <w:rPr>
                <w:rFonts w:ascii="Calibri Light" w:eastAsia="Calibri Light" w:hAnsi="Calibri Light" w:cs="Calibri Light"/>
                <w:b/>
                <w:bCs/>
                <w:i/>
                <w:color w:val="FFFFFF" w:themeColor="background1"/>
                <w:sz w:val="20"/>
                <w:szCs w:val="18"/>
                <w:lang w:val="sk-SK" w:eastAsia="sk-SK"/>
              </w:rPr>
            </w:pPr>
          </w:p>
        </w:tc>
        <w:tc>
          <w:tcPr>
            <w:tcW w:w="1256" w:type="dxa"/>
            <w:vMerge/>
            <w:tcBorders>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320D3F08" w14:textId="77777777" w:rsidR="009D12FC" w:rsidRPr="00352CB5" w:rsidRDefault="009D12FC"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p>
        </w:tc>
        <w:tc>
          <w:tcPr>
            <w:tcW w:w="1117"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4137F358" w14:textId="77777777" w:rsidR="009D12FC" w:rsidRPr="00352CB5" w:rsidRDefault="009D12FC"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sidRPr="00352CB5">
              <w:rPr>
                <w:rFonts w:ascii="Calibri Light" w:eastAsia="Calibri Light" w:hAnsi="Calibri Light" w:cs="Calibri Light"/>
                <w:b/>
                <w:bCs/>
                <w:i/>
                <w:color w:val="FFFFFF" w:themeColor="background1"/>
                <w:sz w:val="20"/>
                <w:szCs w:val="18"/>
                <w:lang w:val="sk-SK" w:eastAsia="sk-SK"/>
              </w:rPr>
              <w:t>Obrazovni</w:t>
            </w:r>
          </w:p>
        </w:tc>
        <w:tc>
          <w:tcPr>
            <w:tcW w:w="1028"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1A7F3DDB" w14:textId="77777777" w:rsidR="009D12FC" w:rsidRPr="00352CB5" w:rsidRDefault="009D12FC"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sidRPr="00352CB5">
              <w:rPr>
                <w:rFonts w:ascii="Calibri Light" w:eastAsia="Calibri Light" w:hAnsi="Calibri Light" w:cs="Calibri Light"/>
                <w:b/>
                <w:bCs/>
                <w:i/>
                <w:color w:val="FFFFFF" w:themeColor="background1"/>
                <w:sz w:val="20"/>
                <w:szCs w:val="18"/>
                <w:lang w:val="sk-SK" w:eastAsia="sk-SK"/>
              </w:rPr>
              <w:t>Administrativni i kulturni</w:t>
            </w:r>
          </w:p>
        </w:tc>
        <w:tc>
          <w:tcPr>
            <w:tcW w:w="95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1E74A798" w14:textId="77777777" w:rsidR="009D12FC" w:rsidRPr="00352CB5" w:rsidRDefault="009D12FC"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sidRPr="00352CB5">
              <w:rPr>
                <w:rFonts w:ascii="Calibri Light" w:eastAsia="Calibri Light" w:hAnsi="Calibri Light" w:cs="Calibri Light"/>
                <w:b/>
                <w:bCs/>
                <w:i/>
                <w:color w:val="FFFFFF" w:themeColor="background1"/>
                <w:sz w:val="20"/>
                <w:szCs w:val="18"/>
                <w:lang w:val="sk-SK" w:eastAsia="sk-SK"/>
              </w:rPr>
              <w:t>Domovi zdravlja</w:t>
            </w:r>
          </w:p>
        </w:tc>
        <w:tc>
          <w:tcPr>
            <w:tcW w:w="900"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7C4E2C0F" w14:textId="77777777" w:rsidR="009D12FC" w:rsidRPr="00352CB5" w:rsidRDefault="009D12FC"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sidRPr="00352CB5">
              <w:rPr>
                <w:rFonts w:ascii="Calibri Light" w:eastAsia="Calibri Light" w:hAnsi="Calibri Light" w:cs="Calibri Light"/>
                <w:b/>
                <w:bCs/>
                <w:i/>
                <w:color w:val="FFFFFF" w:themeColor="background1"/>
                <w:sz w:val="20"/>
                <w:szCs w:val="18"/>
                <w:lang w:val="sk-SK" w:eastAsia="sk-SK"/>
              </w:rPr>
              <w:t>Bolnice</w:t>
            </w:r>
          </w:p>
        </w:tc>
        <w:tc>
          <w:tcPr>
            <w:tcW w:w="113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5DFD4457" w14:textId="77777777" w:rsidR="009D12FC" w:rsidRPr="00352CB5" w:rsidRDefault="009D12FC"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sidRPr="00352CB5">
              <w:rPr>
                <w:rFonts w:ascii="Calibri Light" w:eastAsia="Calibri Light" w:hAnsi="Calibri Light" w:cs="Calibri Light"/>
                <w:b/>
                <w:bCs/>
                <w:i/>
                <w:color w:val="FFFFFF" w:themeColor="background1"/>
                <w:sz w:val="20"/>
                <w:szCs w:val="18"/>
                <w:lang w:val="sk-SK" w:eastAsia="sk-SK"/>
              </w:rPr>
              <w:t>Smještajne jedinice/kapaciteti</w:t>
            </w:r>
          </w:p>
        </w:tc>
        <w:tc>
          <w:tcPr>
            <w:tcW w:w="959"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5833B869" w14:textId="77777777" w:rsidR="009D12FC" w:rsidRPr="00352CB5" w:rsidRDefault="009D12FC" w:rsidP="00855F2F">
            <w:pPr>
              <w:spacing w:after="0"/>
              <w:jc w:val="center"/>
              <w:textAlignment w:val="auto"/>
              <w:rPr>
                <w:rFonts w:ascii="Calibri Light" w:eastAsia="Calibri Light" w:hAnsi="Calibri Light" w:cs="Calibri Light"/>
                <w:b/>
                <w:bCs/>
                <w:i/>
                <w:color w:val="FFFFFF" w:themeColor="background1"/>
                <w:sz w:val="20"/>
                <w:szCs w:val="18"/>
                <w:lang w:val="sk-SK" w:eastAsia="sk-SK"/>
              </w:rPr>
            </w:pPr>
            <w:r w:rsidRPr="00352CB5">
              <w:rPr>
                <w:rFonts w:ascii="Calibri Light" w:eastAsia="Calibri Light" w:hAnsi="Calibri Light" w:cs="Calibri Light"/>
                <w:b/>
                <w:bCs/>
                <w:i/>
                <w:color w:val="FFFFFF" w:themeColor="background1"/>
                <w:sz w:val="20"/>
                <w:szCs w:val="18"/>
                <w:lang w:val="sk-SK" w:eastAsia="sk-SK"/>
              </w:rPr>
              <w:t>Sveukupno</w:t>
            </w:r>
          </w:p>
        </w:tc>
      </w:tr>
      <w:tr w:rsidR="00DD0C50" w14:paraId="4C81792B" w14:textId="77777777" w:rsidTr="00DD0C50">
        <w:tc>
          <w:tcPr>
            <w:tcW w:w="167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6E399F45" w14:textId="77777777" w:rsidR="003F7412" w:rsidRPr="0091029E" w:rsidRDefault="003F7412" w:rsidP="00DD0C50">
            <w:pPr>
              <w:spacing w:after="0"/>
              <w:textAlignment w:val="auto"/>
              <w:rPr>
                <w:rFonts w:ascii="Calibri Light" w:eastAsia="Calibri Light" w:hAnsi="Calibri Light" w:cs="Calibri Light"/>
                <w:b/>
                <w:bCs/>
                <w:i/>
                <w:color w:val="FFFFFF" w:themeColor="background1"/>
                <w:sz w:val="18"/>
                <w:szCs w:val="18"/>
                <w:lang w:val="sk-SK" w:eastAsia="sk-SK"/>
              </w:rPr>
            </w:pPr>
            <w:r w:rsidRPr="0091029E">
              <w:rPr>
                <w:rFonts w:ascii="Calibri Light" w:eastAsia="Calibri Light" w:hAnsi="Calibri Light" w:cs="Calibri Light"/>
                <w:b/>
                <w:bCs/>
                <w:i/>
                <w:color w:val="FFFFFF" w:themeColor="background1"/>
                <w:sz w:val="18"/>
                <w:szCs w:val="18"/>
                <w:lang w:val="sk-SK" w:eastAsia="sk-SK"/>
              </w:rPr>
              <w:t>Ukupna kreditna ulaganja u mjere EE u potprojektima</w:t>
            </w:r>
          </w:p>
        </w:tc>
        <w:tc>
          <w:tcPr>
            <w:tcW w:w="1256"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3A01A0C" w14:textId="10CACD46" w:rsidR="003F7412" w:rsidRDefault="003F7412" w:rsidP="0091029E">
            <w:pPr>
              <w:spacing w:after="0"/>
              <w:jc w:val="center"/>
              <w:textAlignment w:val="auto"/>
              <w:rPr>
                <w:rFonts w:ascii="Calibri Light" w:eastAsia="Calibri Light" w:hAnsi="Calibri Light" w:cs="Calibri Light"/>
                <w:color w:val="000000"/>
                <w:sz w:val="18"/>
                <w:szCs w:val="18"/>
                <w:lang w:val="sk-SK" w:eastAsia="sk-SK"/>
              </w:rPr>
            </w:pPr>
            <w:r>
              <w:rPr>
                <w:rFonts w:ascii="Calibri Light" w:eastAsia="Calibri Light" w:hAnsi="Calibri Light" w:cs="Calibri Light"/>
                <w:color w:val="000000"/>
                <w:sz w:val="18"/>
                <w:szCs w:val="18"/>
                <w:lang w:val="sk-SK" w:eastAsia="sk-SK"/>
              </w:rPr>
              <w:t>€</w:t>
            </w:r>
          </w:p>
        </w:tc>
        <w:tc>
          <w:tcPr>
            <w:tcW w:w="111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013FB21"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24,170,412</w:t>
            </w:r>
          </w:p>
        </w:tc>
        <w:tc>
          <w:tcPr>
            <w:tcW w:w="102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995E061"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4,789,591</w:t>
            </w:r>
          </w:p>
        </w:tc>
        <w:tc>
          <w:tcPr>
            <w:tcW w:w="95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5CDB657"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3,161,638</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FD8FDEB"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5,369,163</w:t>
            </w:r>
          </w:p>
        </w:tc>
        <w:tc>
          <w:tcPr>
            <w:tcW w:w="113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2922A2A"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2,713,497</w:t>
            </w:r>
          </w:p>
        </w:tc>
        <w:tc>
          <w:tcPr>
            <w:tcW w:w="9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C686898" w14:textId="77777777" w:rsidR="003F7412" w:rsidRPr="00DD0C50" w:rsidRDefault="003F7412" w:rsidP="00DD0C50">
            <w:pPr>
              <w:spacing w:after="0"/>
              <w:jc w:val="right"/>
              <w:textAlignment w:val="auto"/>
              <w:rPr>
                <w:sz w:val="16"/>
                <w:szCs w:val="16"/>
              </w:rPr>
            </w:pPr>
            <w:r w:rsidRPr="00DD0C50">
              <w:rPr>
                <w:rFonts w:eastAsia="Calibri Light" w:cs="Calibri Light"/>
                <w:b/>
                <w:bCs/>
                <w:color w:val="000000"/>
                <w:sz w:val="16"/>
                <w:szCs w:val="16"/>
                <w:lang w:val="sk-SK" w:eastAsia="sk-SK"/>
              </w:rPr>
              <w:t>40,204,302</w:t>
            </w:r>
          </w:p>
        </w:tc>
      </w:tr>
      <w:tr w:rsidR="00DD0C50" w14:paraId="53E70ECF" w14:textId="77777777" w:rsidTr="00DE579F">
        <w:trPr>
          <w:trHeight w:val="344"/>
        </w:trPr>
        <w:tc>
          <w:tcPr>
            <w:tcW w:w="167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1E123A78" w14:textId="77777777" w:rsidR="003F7412" w:rsidRPr="0091029E" w:rsidRDefault="003F7412" w:rsidP="00DD0C50">
            <w:pPr>
              <w:spacing w:after="0"/>
              <w:textAlignment w:val="auto"/>
              <w:rPr>
                <w:rFonts w:ascii="Calibri Light" w:eastAsia="Calibri Light" w:hAnsi="Calibri Light" w:cs="Calibri Light"/>
                <w:b/>
                <w:bCs/>
                <w:i/>
                <w:color w:val="FFFFFF" w:themeColor="background1"/>
                <w:sz w:val="18"/>
                <w:szCs w:val="18"/>
                <w:lang w:val="sk-SK" w:eastAsia="sk-SK"/>
              </w:rPr>
            </w:pPr>
            <w:r w:rsidRPr="0091029E">
              <w:rPr>
                <w:rFonts w:ascii="Calibri Light" w:eastAsia="Calibri Light" w:hAnsi="Calibri Light" w:cs="Calibri Light"/>
                <w:b/>
                <w:bCs/>
                <w:i/>
                <w:color w:val="FFFFFF" w:themeColor="background1"/>
                <w:sz w:val="18"/>
                <w:szCs w:val="18"/>
                <w:lang w:val="sk-SK" w:eastAsia="sk-SK"/>
              </w:rPr>
              <w:t>Broj potprojekata</w:t>
            </w:r>
          </w:p>
        </w:tc>
        <w:tc>
          <w:tcPr>
            <w:tcW w:w="1256"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C59CAE3" w14:textId="77777777" w:rsidR="003F7412" w:rsidRDefault="003F7412" w:rsidP="0091029E">
            <w:pPr>
              <w:spacing w:after="0"/>
              <w:jc w:val="center"/>
              <w:textAlignment w:val="auto"/>
              <w:rPr>
                <w:rFonts w:ascii="Calibri Light" w:eastAsia="Calibri Light" w:hAnsi="Calibri Light" w:cs="Calibri Light"/>
                <w:color w:val="000000"/>
                <w:sz w:val="18"/>
                <w:szCs w:val="18"/>
                <w:lang w:val="sk-SK" w:eastAsia="sk-SK"/>
              </w:rPr>
            </w:pPr>
            <w:r>
              <w:rPr>
                <w:rFonts w:ascii="Calibri Light" w:eastAsia="Calibri Light" w:hAnsi="Calibri Light" w:cs="Calibri Light"/>
                <w:color w:val="000000"/>
                <w:sz w:val="18"/>
                <w:szCs w:val="18"/>
                <w:lang w:val="sk-SK" w:eastAsia="sk-SK"/>
              </w:rPr>
              <w:t>Broj</w:t>
            </w:r>
          </w:p>
        </w:tc>
        <w:tc>
          <w:tcPr>
            <w:tcW w:w="111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BC93045"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51</w:t>
            </w:r>
          </w:p>
        </w:tc>
        <w:tc>
          <w:tcPr>
            <w:tcW w:w="102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04D9DAF"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20</w:t>
            </w:r>
          </w:p>
        </w:tc>
        <w:tc>
          <w:tcPr>
            <w:tcW w:w="95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CA71B83"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15</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1D761BB"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10</w:t>
            </w:r>
          </w:p>
        </w:tc>
        <w:tc>
          <w:tcPr>
            <w:tcW w:w="113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ECD2769"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5</w:t>
            </w:r>
          </w:p>
        </w:tc>
        <w:tc>
          <w:tcPr>
            <w:tcW w:w="9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F6DD73D" w14:textId="77777777" w:rsidR="003F7412" w:rsidRPr="00DD0C50" w:rsidRDefault="003F7412" w:rsidP="00DD0C50">
            <w:pPr>
              <w:spacing w:after="0"/>
              <w:jc w:val="right"/>
              <w:textAlignment w:val="auto"/>
              <w:rPr>
                <w:rFonts w:eastAsia="Calibri Light" w:cs="Calibri Light"/>
                <w:b/>
                <w:bCs/>
                <w:color w:val="000000"/>
                <w:sz w:val="16"/>
                <w:szCs w:val="16"/>
                <w:lang w:val="sk-SK" w:eastAsia="sk-SK"/>
              </w:rPr>
            </w:pPr>
            <w:r w:rsidRPr="00DD0C50">
              <w:rPr>
                <w:rFonts w:eastAsia="Calibri Light" w:cs="Calibri Light"/>
                <w:b/>
                <w:bCs/>
                <w:color w:val="000000"/>
                <w:sz w:val="16"/>
                <w:szCs w:val="16"/>
                <w:lang w:val="sk-SK" w:eastAsia="sk-SK"/>
              </w:rPr>
              <w:t>101</w:t>
            </w:r>
          </w:p>
        </w:tc>
      </w:tr>
      <w:tr w:rsidR="00DD0C50" w14:paraId="2308E906" w14:textId="77777777" w:rsidTr="00DD0C50">
        <w:tc>
          <w:tcPr>
            <w:tcW w:w="167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622FF842" w14:textId="77777777" w:rsidR="003F7412" w:rsidRPr="0091029E" w:rsidRDefault="003F7412" w:rsidP="00DD0C50">
            <w:pPr>
              <w:spacing w:after="0"/>
              <w:textAlignment w:val="auto"/>
              <w:rPr>
                <w:rFonts w:ascii="Calibri Light" w:eastAsia="Calibri Light" w:hAnsi="Calibri Light" w:cs="Calibri Light"/>
                <w:b/>
                <w:bCs/>
                <w:i/>
                <w:color w:val="FFFFFF" w:themeColor="background1"/>
                <w:sz w:val="18"/>
                <w:szCs w:val="18"/>
                <w:lang w:val="sk-SK" w:eastAsia="sk-SK"/>
              </w:rPr>
            </w:pPr>
            <w:r w:rsidRPr="0091029E">
              <w:rPr>
                <w:rFonts w:ascii="Calibri Light" w:eastAsia="Calibri Light" w:hAnsi="Calibri Light" w:cs="Calibri Light"/>
                <w:b/>
                <w:bCs/>
                <w:i/>
                <w:color w:val="FFFFFF" w:themeColor="background1"/>
                <w:sz w:val="18"/>
                <w:szCs w:val="18"/>
                <w:lang w:val="sk-SK" w:eastAsia="sk-SK"/>
              </w:rPr>
              <w:t>Broj zgrada u potprojektima</w:t>
            </w:r>
          </w:p>
        </w:tc>
        <w:tc>
          <w:tcPr>
            <w:tcW w:w="1256"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553ECBE" w14:textId="77777777" w:rsidR="003F7412" w:rsidRDefault="003F7412" w:rsidP="0091029E">
            <w:pPr>
              <w:spacing w:after="0"/>
              <w:jc w:val="center"/>
              <w:textAlignment w:val="auto"/>
              <w:rPr>
                <w:rFonts w:ascii="Calibri Light" w:eastAsia="Calibri Light" w:hAnsi="Calibri Light" w:cs="Calibri Light"/>
                <w:color w:val="000000"/>
                <w:sz w:val="18"/>
                <w:szCs w:val="18"/>
                <w:lang w:val="sk-SK" w:eastAsia="sk-SK"/>
              </w:rPr>
            </w:pPr>
            <w:r>
              <w:rPr>
                <w:rFonts w:ascii="Calibri Light" w:eastAsia="Calibri Light" w:hAnsi="Calibri Light" w:cs="Calibri Light"/>
                <w:color w:val="000000"/>
                <w:sz w:val="18"/>
                <w:szCs w:val="18"/>
                <w:lang w:val="sk-SK" w:eastAsia="sk-SK"/>
              </w:rPr>
              <w:t>Broj</w:t>
            </w:r>
          </w:p>
        </w:tc>
        <w:tc>
          <w:tcPr>
            <w:tcW w:w="111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FAE1D06"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99</w:t>
            </w:r>
          </w:p>
        </w:tc>
        <w:tc>
          <w:tcPr>
            <w:tcW w:w="102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59C4D84"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21</w:t>
            </w:r>
          </w:p>
        </w:tc>
        <w:tc>
          <w:tcPr>
            <w:tcW w:w="95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8568EBA" w14:textId="77777777" w:rsidR="003F7412" w:rsidRPr="00DD0C50" w:rsidRDefault="003F7412" w:rsidP="00DD0C50">
            <w:pPr>
              <w:spacing w:after="0"/>
              <w:jc w:val="right"/>
              <w:textAlignment w:val="auto"/>
              <w:rPr>
                <w:rFonts w:eastAsia="Calibri Light" w:cs="Calibri Light"/>
                <w:sz w:val="16"/>
                <w:szCs w:val="16"/>
                <w:lang w:val="sk-SK" w:eastAsia="sk-SK"/>
              </w:rPr>
            </w:pPr>
            <w:r w:rsidRPr="00DD0C50">
              <w:rPr>
                <w:rFonts w:eastAsia="Calibri Light" w:cs="Calibri Light"/>
                <w:sz w:val="16"/>
                <w:szCs w:val="16"/>
                <w:lang w:val="sk-SK" w:eastAsia="sk-SK"/>
              </w:rPr>
              <w:t>15</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BAE643D" w14:textId="77777777" w:rsidR="003F7412" w:rsidRPr="00DD0C50" w:rsidRDefault="003F7412" w:rsidP="00DD0C50">
            <w:pPr>
              <w:spacing w:after="0"/>
              <w:jc w:val="right"/>
              <w:textAlignment w:val="auto"/>
              <w:rPr>
                <w:rFonts w:eastAsia="Calibri Light" w:cs="Calibri Light"/>
                <w:sz w:val="16"/>
                <w:szCs w:val="16"/>
                <w:lang w:val="sk-SK" w:eastAsia="sk-SK"/>
              </w:rPr>
            </w:pPr>
            <w:r w:rsidRPr="00DD0C50">
              <w:rPr>
                <w:rFonts w:eastAsia="Calibri Light" w:cs="Calibri Light"/>
                <w:sz w:val="16"/>
                <w:szCs w:val="16"/>
                <w:lang w:val="sk-SK" w:eastAsia="sk-SK"/>
              </w:rPr>
              <w:t>33</w:t>
            </w:r>
          </w:p>
        </w:tc>
        <w:tc>
          <w:tcPr>
            <w:tcW w:w="113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C485CDE" w14:textId="77777777" w:rsidR="003F7412" w:rsidRPr="00DD0C50" w:rsidRDefault="003F7412" w:rsidP="00DD0C50">
            <w:pPr>
              <w:spacing w:after="0"/>
              <w:jc w:val="right"/>
              <w:textAlignment w:val="auto"/>
              <w:rPr>
                <w:rFonts w:eastAsia="Calibri Light" w:cs="Calibri Light"/>
                <w:sz w:val="16"/>
                <w:szCs w:val="16"/>
                <w:lang w:val="sk-SK" w:eastAsia="sk-SK"/>
              </w:rPr>
            </w:pPr>
            <w:r w:rsidRPr="00DD0C50">
              <w:rPr>
                <w:rFonts w:eastAsia="Calibri Light" w:cs="Calibri Light"/>
                <w:sz w:val="16"/>
                <w:szCs w:val="16"/>
                <w:lang w:val="sk-SK" w:eastAsia="sk-SK"/>
              </w:rPr>
              <w:t>14</w:t>
            </w:r>
          </w:p>
        </w:tc>
        <w:tc>
          <w:tcPr>
            <w:tcW w:w="9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F1F68EB" w14:textId="77777777" w:rsidR="003F7412" w:rsidRPr="00DD0C50" w:rsidRDefault="003F7412" w:rsidP="00DD0C50">
            <w:pPr>
              <w:spacing w:after="0"/>
              <w:jc w:val="right"/>
              <w:textAlignment w:val="auto"/>
              <w:rPr>
                <w:rFonts w:eastAsia="Calibri Light" w:cs="Calibri Light"/>
                <w:b/>
                <w:bCs/>
                <w:color w:val="000000"/>
                <w:sz w:val="16"/>
                <w:szCs w:val="16"/>
                <w:lang w:val="sk-SK" w:eastAsia="sk-SK"/>
              </w:rPr>
            </w:pPr>
            <w:r w:rsidRPr="00DD0C50">
              <w:rPr>
                <w:rFonts w:eastAsia="Calibri Light" w:cs="Calibri Light"/>
                <w:b/>
                <w:bCs/>
                <w:color w:val="000000"/>
                <w:sz w:val="16"/>
                <w:szCs w:val="16"/>
                <w:lang w:val="sk-SK" w:eastAsia="sk-SK"/>
              </w:rPr>
              <w:t>182</w:t>
            </w:r>
          </w:p>
        </w:tc>
      </w:tr>
      <w:tr w:rsidR="00DD0C50" w14:paraId="0D1DC7F4" w14:textId="77777777" w:rsidTr="00DE579F">
        <w:tc>
          <w:tcPr>
            <w:tcW w:w="167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27E04327" w14:textId="77777777" w:rsidR="003F7412" w:rsidRPr="00335563" w:rsidRDefault="003F7412" w:rsidP="00DD0C50">
            <w:pPr>
              <w:spacing w:after="0"/>
              <w:textAlignment w:val="auto"/>
              <w:rPr>
                <w:rFonts w:ascii="Calibri Light" w:eastAsia="Calibri Light" w:hAnsi="Calibri Light" w:cs="Calibri Light"/>
                <w:b/>
                <w:bCs/>
                <w:i/>
                <w:color w:val="FFFFFF" w:themeColor="background1"/>
                <w:sz w:val="18"/>
                <w:szCs w:val="18"/>
                <w:lang w:val="sk-SK" w:eastAsia="sk-SK"/>
              </w:rPr>
            </w:pPr>
            <w:r w:rsidRPr="0070027C">
              <w:rPr>
                <w:rFonts w:ascii="Calibri Light" w:eastAsia="Calibri Light" w:hAnsi="Calibri Light" w:cs="Calibri Light"/>
                <w:b/>
                <w:bCs/>
                <w:i/>
                <w:color w:val="FFFFFF" w:themeColor="background1"/>
                <w:sz w:val="18"/>
                <w:szCs w:val="18"/>
                <w:lang w:val="sk-SK" w:eastAsia="sk-SK"/>
              </w:rPr>
              <w:t>Prosječna osnovna potrošnja energije</w:t>
            </w:r>
            <w:r w:rsidRPr="00335563">
              <w:rPr>
                <w:rFonts w:ascii="Calibri Light" w:eastAsia="Calibri Light" w:hAnsi="Calibri Light" w:cs="Calibri Light"/>
                <w:b/>
                <w:bCs/>
                <w:i/>
                <w:color w:val="FFFFFF" w:themeColor="background1"/>
                <w:sz w:val="18"/>
                <w:szCs w:val="18"/>
                <w:lang w:val="sk-SK" w:eastAsia="sk-SK"/>
              </w:rPr>
              <w:t xml:space="preserve"> (prije po kvadratnom metru)</w:t>
            </w:r>
          </w:p>
        </w:tc>
        <w:tc>
          <w:tcPr>
            <w:tcW w:w="1256"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17CFCF1" w14:textId="77777777" w:rsidR="003F7412" w:rsidRDefault="003F7412" w:rsidP="0091029E">
            <w:pPr>
              <w:spacing w:after="0"/>
              <w:jc w:val="center"/>
              <w:textAlignment w:val="auto"/>
            </w:pPr>
            <w:r>
              <w:rPr>
                <w:rFonts w:ascii="Calibri Light" w:eastAsia="Calibri Light" w:hAnsi="Calibri Light" w:cs="Calibri Light"/>
                <w:color w:val="000000"/>
                <w:sz w:val="18"/>
                <w:szCs w:val="18"/>
                <w:lang w:val="sk-SK" w:eastAsia="sk-SK"/>
              </w:rPr>
              <w:t>kWh/(m</w:t>
            </w:r>
            <w:r>
              <w:rPr>
                <w:rFonts w:ascii="Calibri Light" w:eastAsia="Calibri Light" w:hAnsi="Calibri Light" w:cs="Calibri Light"/>
                <w:color w:val="000000"/>
                <w:sz w:val="18"/>
                <w:szCs w:val="18"/>
                <w:vertAlign w:val="superscript"/>
                <w:lang w:val="sk-SK" w:eastAsia="sk-SK"/>
              </w:rPr>
              <w:t>2</w:t>
            </w:r>
            <w:r>
              <w:rPr>
                <w:rFonts w:ascii="Calibri Light" w:eastAsia="Calibri Light" w:hAnsi="Calibri Light" w:cs="Calibri Light"/>
                <w:color w:val="000000"/>
                <w:sz w:val="18"/>
                <w:szCs w:val="18"/>
                <w:lang w:val="sk-SK" w:eastAsia="sk-SK"/>
              </w:rPr>
              <w:t>·godina)</w:t>
            </w:r>
          </w:p>
        </w:tc>
        <w:tc>
          <w:tcPr>
            <w:tcW w:w="111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3009839"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202.1</w:t>
            </w:r>
          </w:p>
        </w:tc>
        <w:tc>
          <w:tcPr>
            <w:tcW w:w="102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8DC810D"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173.5</w:t>
            </w:r>
          </w:p>
        </w:tc>
        <w:tc>
          <w:tcPr>
            <w:tcW w:w="95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E4F87FE"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203.6</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C2104ED"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283.1</w:t>
            </w:r>
          </w:p>
        </w:tc>
        <w:tc>
          <w:tcPr>
            <w:tcW w:w="113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9C6AFEC"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304.4</w:t>
            </w:r>
          </w:p>
        </w:tc>
        <w:tc>
          <w:tcPr>
            <w:tcW w:w="9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657B093" w14:textId="77777777" w:rsidR="003F7412" w:rsidRPr="00DD0C50" w:rsidRDefault="003F7412" w:rsidP="00DD0C50">
            <w:pPr>
              <w:spacing w:after="0"/>
              <w:jc w:val="right"/>
              <w:textAlignment w:val="auto"/>
              <w:rPr>
                <w:sz w:val="16"/>
                <w:szCs w:val="16"/>
              </w:rPr>
            </w:pPr>
            <w:r w:rsidRPr="00DD0C50">
              <w:rPr>
                <w:rFonts w:eastAsia="Calibri Light" w:cs="Calibri Light"/>
                <w:b/>
                <w:bCs/>
                <w:color w:val="000000"/>
                <w:sz w:val="16"/>
                <w:szCs w:val="16"/>
                <w:lang w:val="sk-SK" w:eastAsia="sk-SK"/>
              </w:rPr>
              <w:t>217.6</w:t>
            </w:r>
          </w:p>
        </w:tc>
      </w:tr>
      <w:tr w:rsidR="00DD0C50" w14:paraId="259D4500" w14:textId="77777777" w:rsidTr="00DE579F">
        <w:tc>
          <w:tcPr>
            <w:tcW w:w="167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4A8C993B" w14:textId="2C83EEC7" w:rsidR="003F7412" w:rsidRPr="00335563" w:rsidRDefault="003F7412" w:rsidP="00DD0C50">
            <w:pPr>
              <w:spacing w:after="0"/>
              <w:textAlignment w:val="auto"/>
              <w:rPr>
                <w:rFonts w:ascii="Calibri Light" w:eastAsia="Calibri Light" w:hAnsi="Calibri Light" w:cs="Calibri Light"/>
                <w:b/>
                <w:bCs/>
                <w:i/>
                <w:color w:val="FFFFFF" w:themeColor="background1"/>
                <w:sz w:val="18"/>
                <w:szCs w:val="18"/>
                <w:lang w:val="sk-SK" w:eastAsia="sk-SK"/>
              </w:rPr>
            </w:pPr>
            <w:r w:rsidRPr="0070027C">
              <w:rPr>
                <w:rFonts w:ascii="Calibri Light" w:eastAsia="Calibri Light" w:hAnsi="Calibri Light" w:cs="Calibri Light"/>
                <w:b/>
                <w:bCs/>
                <w:i/>
                <w:color w:val="FFFFFF" w:themeColor="background1"/>
                <w:sz w:val="18"/>
                <w:szCs w:val="18"/>
                <w:lang w:val="sk-SK" w:eastAsia="sk-SK"/>
              </w:rPr>
              <w:t>Prosječna osnovna potrošnja energije</w:t>
            </w:r>
            <w:r w:rsidRPr="00335563">
              <w:rPr>
                <w:rFonts w:ascii="Calibri Light" w:eastAsia="Calibri Light" w:hAnsi="Calibri Light" w:cs="Calibri Light"/>
                <w:b/>
                <w:bCs/>
                <w:i/>
                <w:color w:val="FFFFFF" w:themeColor="background1"/>
                <w:sz w:val="18"/>
                <w:szCs w:val="18"/>
                <w:lang w:val="sk-SK" w:eastAsia="sk-SK"/>
              </w:rPr>
              <w:t xml:space="preserve"> (</w:t>
            </w:r>
            <w:r w:rsidR="00DE579F" w:rsidRPr="00335563">
              <w:rPr>
                <w:rFonts w:ascii="Calibri Light" w:eastAsia="Calibri Light" w:hAnsi="Calibri Light" w:cs="Calibri Light"/>
                <w:b/>
                <w:bCs/>
                <w:i/>
                <w:color w:val="FFFFFF" w:themeColor="background1"/>
                <w:sz w:val="18"/>
                <w:szCs w:val="18"/>
                <w:lang w:val="sk-SK" w:eastAsia="sk-SK"/>
              </w:rPr>
              <w:t>nakon</w:t>
            </w:r>
            <w:r w:rsidRPr="00335563">
              <w:rPr>
                <w:rFonts w:ascii="Calibri Light" w:eastAsia="Calibri Light" w:hAnsi="Calibri Light" w:cs="Calibri Light"/>
                <w:b/>
                <w:bCs/>
                <w:i/>
                <w:color w:val="FFFFFF" w:themeColor="background1"/>
                <w:sz w:val="18"/>
                <w:szCs w:val="18"/>
                <w:lang w:val="sk-SK" w:eastAsia="sk-SK"/>
              </w:rPr>
              <w:t xml:space="preserve"> po kvadratnom metru)</w:t>
            </w:r>
          </w:p>
        </w:tc>
        <w:tc>
          <w:tcPr>
            <w:tcW w:w="1256"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EDF521D" w14:textId="77777777" w:rsidR="003F7412" w:rsidRDefault="003F7412" w:rsidP="0091029E">
            <w:pPr>
              <w:spacing w:after="0"/>
              <w:jc w:val="center"/>
              <w:textAlignment w:val="auto"/>
            </w:pPr>
            <w:r>
              <w:rPr>
                <w:rFonts w:ascii="Calibri Light" w:eastAsia="Calibri Light" w:hAnsi="Calibri Light" w:cs="Calibri Light"/>
                <w:color w:val="000000"/>
                <w:sz w:val="18"/>
                <w:szCs w:val="18"/>
                <w:lang w:val="sk-SK" w:eastAsia="sk-SK"/>
              </w:rPr>
              <w:t>kWh/(m</w:t>
            </w:r>
            <w:r>
              <w:rPr>
                <w:rFonts w:ascii="Calibri Light" w:eastAsia="Calibri Light" w:hAnsi="Calibri Light" w:cs="Calibri Light"/>
                <w:color w:val="000000"/>
                <w:sz w:val="18"/>
                <w:szCs w:val="18"/>
                <w:vertAlign w:val="superscript"/>
                <w:lang w:val="sk-SK" w:eastAsia="sk-SK"/>
              </w:rPr>
              <w:t>2</w:t>
            </w:r>
            <w:r>
              <w:rPr>
                <w:rFonts w:ascii="Calibri Light" w:eastAsia="Calibri Light" w:hAnsi="Calibri Light" w:cs="Calibri Light"/>
                <w:color w:val="000000"/>
                <w:sz w:val="18"/>
                <w:szCs w:val="18"/>
                <w:lang w:val="sk-SK" w:eastAsia="sk-SK"/>
              </w:rPr>
              <w:t>·godina)</w:t>
            </w:r>
          </w:p>
        </w:tc>
        <w:tc>
          <w:tcPr>
            <w:tcW w:w="111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85DE8AB"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85.5</w:t>
            </w:r>
          </w:p>
        </w:tc>
        <w:tc>
          <w:tcPr>
            <w:tcW w:w="102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5B3C28F"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96.1</w:t>
            </w:r>
          </w:p>
        </w:tc>
        <w:tc>
          <w:tcPr>
            <w:tcW w:w="95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C3BCB01"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134.1</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CE7C426"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184.6</w:t>
            </w:r>
          </w:p>
        </w:tc>
        <w:tc>
          <w:tcPr>
            <w:tcW w:w="113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25CB707"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171.8</w:t>
            </w:r>
          </w:p>
        </w:tc>
        <w:tc>
          <w:tcPr>
            <w:tcW w:w="9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9E65D7C" w14:textId="77777777" w:rsidR="003F7412" w:rsidRPr="00DD0C50" w:rsidRDefault="003F7412" w:rsidP="00DD0C50">
            <w:pPr>
              <w:spacing w:after="0"/>
              <w:jc w:val="right"/>
              <w:textAlignment w:val="auto"/>
              <w:rPr>
                <w:sz w:val="16"/>
                <w:szCs w:val="16"/>
              </w:rPr>
            </w:pPr>
            <w:r w:rsidRPr="00DD0C50">
              <w:rPr>
                <w:rFonts w:eastAsia="Calibri Light" w:cs="Calibri Light"/>
                <w:b/>
                <w:bCs/>
                <w:color w:val="000000"/>
                <w:sz w:val="16"/>
                <w:szCs w:val="16"/>
                <w:lang w:val="sk-SK" w:eastAsia="sk-SK"/>
              </w:rPr>
              <w:t>114.5</w:t>
            </w:r>
          </w:p>
        </w:tc>
      </w:tr>
      <w:tr w:rsidR="00DD0C50" w14:paraId="0CB9709F" w14:textId="77777777" w:rsidTr="00DD0C50">
        <w:tc>
          <w:tcPr>
            <w:tcW w:w="167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1D6CDA82" w14:textId="77777777" w:rsidR="003F7412" w:rsidRPr="0091029E" w:rsidRDefault="003F7412" w:rsidP="00DD0C50">
            <w:pPr>
              <w:spacing w:after="0"/>
              <w:textAlignment w:val="auto"/>
              <w:rPr>
                <w:rFonts w:ascii="Calibri Light" w:eastAsia="Calibri Light" w:hAnsi="Calibri Light" w:cs="Calibri Light"/>
                <w:b/>
                <w:bCs/>
                <w:i/>
                <w:color w:val="FFFFFF" w:themeColor="background1"/>
                <w:sz w:val="18"/>
                <w:szCs w:val="18"/>
                <w:lang w:val="sk-SK" w:eastAsia="sk-SK"/>
              </w:rPr>
            </w:pPr>
            <w:r w:rsidRPr="0091029E">
              <w:rPr>
                <w:rFonts w:ascii="Calibri Light" w:eastAsia="Calibri Light" w:hAnsi="Calibri Light" w:cs="Calibri Light"/>
                <w:b/>
                <w:bCs/>
                <w:i/>
                <w:color w:val="FFFFFF" w:themeColor="background1"/>
                <w:sz w:val="18"/>
                <w:szCs w:val="18"/>
                <w:lang w:val="sk-SK" w:eastAsia="sk-SK"/>
              </w:rPr>
              <w:t>Prosječna specifična ušteda energije (po kvadratnom metru)</w:t>
            </w:r>
          </w:p>
        </w:tc>
        <w:tc>
          <w:tcPr>
            <w:tcW w:w="1256"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40767F8" w14:textId="77777777" w:rsidR="003F7412" w:rsidRDefault="003F7412" w:rsidP="0091029E">
            <w:pPr>
              <w:spacing w:after="0"/>
              <w:jc w:val="center"/>
              <w:textAlignment w:val="auto"/>
            </w:pPr>
            <w:r>
              <w:rPr>
                <w:rFonts w:ascii="Calibri Light" w:eastAsia="Calibri Light" w:hAnsi="Calibri Light" w:cs="Calibri Light"/>
                <w:color w:val="000000"/>
                <w:sz w:val="18"/>
                <w:szCs w:val="18"/>
                <w:lang w:val="sk-SK" w:eastAsia="sk-SK"/>
              </w:rPr>
              <w:t>kWh/(m</w:t>
            </w:r>
            <w:r>
              <w:rPr>
                <w:rFonts w:ascii="Calibri Light" w:eastAsia="Calibri Light" w:hAnsi="Calibri Light" w:cs="Calibri Light"/>
                <w:color w:val="000000"/>
                <w:sz w:val="18"/>
                <w:szCs w:val="18"/>
                <w:vertAlign w:val="superscript"/>
                <w:lang w:val="sk-SK" w:eastAsia="sk-SK"/>
              </w:rPr>
              <w:t>2</w:t>
            </w:r>
            <w:r>
              <w:rPr>
                <w:rFonts w:ascii="Calibri Light" w:eastAsia="Calibri Light" w:hAnsi="Calibri Light" w:cs="Calibri Light"/>
                <w:color w:val="000000"/>
                <w:sz w:val="18"/>
                <w:szCs w:val="18"/>
                <w:lang w:val="sk-SK" w:eastAsia="sk-SK"/>
              </w:rPr>
              <w:t>·godina)</w:t>
            </w:r>
          </w:p>
        </w:tc>
        <w:tc>
          <w:tcPr>
            <w:tcW w:w="111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B2C7E84"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116.7</w:t>
            </w:r>
          </w:p>
        </w:tc>
        <w:tc>
          <w:tcPr>
            <w:tcW w:w="102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4FE7DAC"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77.3</w:t>
            </w:r>
          </w:p>
        </w:tc>
        <w:tc>
          <w:tcPr>
            <w:tcW w:w="95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22802A8"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69.6</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3FAB256"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98.5</w:t>
            </w:r>
          </w:p>
        </w:tc>
        <w:tc>
          <w:tcPr>
            <w:tcW w:w="113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39855C7"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132.6</w:t>
            </w:r>
          </w:p>
        </w:tc>
        <w:tc>
          <w:tcPr>
            <w:tcW w:w="9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61F602D" w14:textId="77777777" w:rsidR="003F7412" w:rsidRPr="00DD0C50" w:rsidRDefault="003F7412" w:rsidP="00DD0C50">
            <w:pPr>
              <w:spacing w:after="0"/>
              <w:jc w:val="right"/>
              <w:textAlignment w:val="auto"/>
              <w:rPr>
                <w:rFonts w:eastAsia="Calibri Light" w:cs="Calibri Light"/>
                <w:b/>
                <w:bCs/>
                <w:color w:val="000000"/>
                <w:sz w:val="16"/>
                <w:szCs w:val="16"/>
                <w:lang w:val="sk-SK" w:eastAsia="sk-SK"/>
              </w:rPr>
            </w:pPr>
            <w:r w:rsidRPr="00DD0C50">
              <w:rPr>
                <w:rFonts w:eastAsia="Calibri Light" w:cs="Calibri Light"/>
                <w:b/>
                <w:bCs/>
                <w:color w:val="000000"/>
                <w:sz w:val="16"/>
                <w:szCs w:val="16"/>
                <w:lang w:val="sk-SK" w:eastAsia="sk-SK"/>
              </w:rPr>
              <w:t>103.2</w:t>
            </w:r>
          </w:p>
        </w:tc>
      </w:tr>
      <w:tr w:rsidR="00DD0C50" w14:paraId="69A486D5" w14:textId="77777777" w:rsidTr="00DD0C50">
        <w:tc>
          <w:tcPr>
            <w:tcW w:w="167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4122482C" w14:textId="77777777" w:rsidR="003F7412" w:rsidRPr="0091029E" w:rsidRDefault="003F7412" w:rsidP="00DD0C50">
            <w:pPr>
              <w:spacing w:after="0"/>
              <w:textAlignment w:val="auto"/>
              <w:rPr>
                <w:rFonts w:ascii="Calibri Light" w:eastAsia="Calibri Light" w:hAnsi="Calibri Light" w:cs="Calibri Light"/>
                <w:b/>
                <w:bCs/>
                <w:i/>
                <w:color w:val="FFFFFF" w:themeColor="background1"/>
                <w:sz w:val="18"/>
                <w:szCs w:val="18"/>
                <w:lang w:val="sk-SK" w:eastAsia="sk-SK"/>
              </w:rPr>
            </w:pPr>
            <w:r w:rsidRPr="0091029E">
              <w:rPr>
                <w:rFonts w:ascii="Calibri Light" w:eastAsia="Calibri Light" w:hAnsi="Calibri Light" w:cs="Calibri Light"/>
                <w:b/>
                <w:bCs/>
                <w:i/>
                <w:color w:val="FFFFFF" w:themeColor="background1"/>
                <w:sz w:val="18"/>
                <w:szCs w:val="18"/>
                <w:lang w:val="sk-SK" w:eastAsia="sk-SK"/>
              </w:rPr>
              <w:t>Prosječna ušteda energije prema osnovnoj potrošnji</w:t>
            </w:r>
          </w:p>
        </w:tc>
        <w:tc>
          <w:tcPr>
            <w:tcW w:w="1256"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B37939A" w14:textId="32CF4949" w:rsidR="003F7412" w:rsidRDefault="00DE579F" w:rsidP="00DE579F">
            <w:pPr>
              <w:spacing w:after="0" w:line="360" w:lineRule="auto"/>
              <w:jc w:val="center"/>
              <w:textAlignment w:val="auto"/>
              <w:rPr>
                <w:rFonts w:ascii="Calibri Light" w:eastAsia="Calibri Light" w:hAnsi="Calibri Light" w:cs="Calibri Light"/>
                <w:color w:val="000000"/>
                <w:sz w:val="18"/>
                <w:szCs w:val="18"/>
                <w:lang w:val="sk-SK" w:eastAsia="sk-SK"/>
              </w:rPr>
            </w:pPr>
            <w:r>
              <w:rPr>
                <w:rFonts w:ascii="Calibri Light" w:eastAsia="Calibri Light" w:hAnsi="Calibri Light" w:cs="Calibri Light"/>
                <w:color w:val="000000"/>
                <w:sz w:val="18"/>
                <w:szCs w:val="18"/>
                <w:lang w:val="sk-SK" w:eastAsia="sk-SK"/>
              </w:rPr>
              <w:t>%</w:t>
            </w:r>
          </w:p>
        </w:tc>
        <w:tc>
          <w:tcPr>
            <w:tcW w:w="111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E26700E"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57.7%</w:t>
            </w:r>
          </w:p>
        </w:tc>
        <w:tc>
          <w:tcPr>
            <w:tcW w:w="102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3A5C59E"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44.6%</w:t>
            </w:r>
          </w:p>
        </w:tc>
        <w:tc>
          <w:tcPr>
            <w:tcW w:w="95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99B140B"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34.2%</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D5CB513"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34.8%</w:t>
            </w:r>
          </w:p>
        </w:tc>
        <w:tc>
          <w:tcPr>
            <w:tcW w:w="113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89B73E5"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43.6%</w:t>
            </w:r>
          </w:p>
        </w:tc>
        <w:tc>
          <w:tcPr>
            <w:tcW w:w="9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EB9D16F" w14:textId="77777777" w:rsidR="003F7412" w:rsidRPr="00DD0C50" w:rsidRDefault="003F7412" w:rsidP="00DD0C50">
            <w:pPr>
              <w:spacing w:after="0"/>
              <w:jc w:val="right"/>
              <w:textAlignment w:val="auto"/>
              <w:rPr>
                <w:rFonts w:eastAsia="Calibri Light" w:cs="Calibri Light"/>
                <w:b/>
                <w:bCs/>
                <w:color w:val="000000"/>
                <w:sz w:val="16"/>
                <w:szCs w:val="16"/>
                <w:lang w:val="sk-SK" w:eastAsia="sk-SK"/>
              </w:rPr>
            </w:pPr>
            <w:r w:rsidRPr="00DD0C50">
              <w:rPr>
                <w:rFonts w:eastAsia="Calibri Light" w:cs="Calibri Light"/>
                <w:b/>
                <w:bCs/>
                <w:color w:val="000000"/>
                <w:sz w:val="16"/>
                <w:szCs w:val="16"/>
                <w:lang w:val="sk-SK" w:eastAsia="sk-SK"/>
              </w:rPr>
              <w:t>47.4%</w:t>
            </w:r>
          </w:p>
        </w:tc>
      </w:tr>
      <w:tr w:rsidR="00DD0C50" w14:paraId="33CE2073" w14:textId="77777777" w:rsidTr="00DD0C50">
        <w:tc>
          <w:tcPr>
            <w:tcW w:w="167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67D58ECA" w14:textId="77777777" w:rsidR="003F7412" w:rsidRPr="0091029E" w:rsidRDefault="003F7412" w:rsidP="00DD0C50">
            <w:pPr>
              <w:spacing w:after="0"/>
              <w:textAlignment w:val="auto"/>
              <w:rPr>
                <w:i/>
                <w:color w:val="FFFFFF" w:themeColor="background1"/>
              </w:rPr>
            </w:pPr>
            <w:r w:rsidRPr="0091029E">
              <w:rPr>
                <w:rFonts w:ascii="Calibri Light" w:eastAsia="Calibri Light" w:hAnsi="Calibri Light" w:cs="Calibri Light"/>
                <w:b/>
                <w:bCs/>
                <w:i/>
                <w:color w:val="FFFFFF" w:themeColor="background1"/>
                <w:sz w:val="18"/>
                <w:szCs w:val="18"/>
                <w:lang w:val="sk-SK" w:eastAsia="sk-SK"/>
              </w:rPr>
              <w:t>Prosječna specifična ušteda CO2 (po kvadratnom metru)</w:t>
            </w:r>
          </w:p>
        </w:tc>
        <w:tc>
          <w:tcPr>
            <w:tcW w:w="1256"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6D3CD6D" w14:textId="77777777" w:rsidR="003F7412" w:rsidRDefault="003F7412" w:rsidP="0091029E">
            <w:pPr>
              <w:spacing w:after="0"/>
              <w:jc w:val="center"/>
              <w:textAlignment w:val="auto"/>
            </w:pPr>
            <w:r>
              <w:rPr>
                <w:rFonts w:ascii="Calibri Light" w:eastAsia="Calibri Light" w:hAnsi="Calibri Light" w:cs="Calibri Light"/>
                <w:color w:val="000000"/>
                <w:sz w:val="18"/>
                <w:szCs w:val="18"/>
                <w:lang w:val="sk-SK" w:eastAsia="sk-SK"/>
              </w:rPr>
              <w:t>kg CO</w:t>
            </w:r>
            <w:r>
              <w:rPr>
                <w:rFonts w:ascii="Calibri Light" w:eastAsia="Calibri Light" w:hAnsi="Calibri Light" w:cs="Calibri Light"/>
                <w:color w:val="000000"/>
                <w:sz w:val="18"/>
                <w:szCs w:val="18"/>
                <w:vertAlign w:val="subscript"/>
                <w:lang w:val="sk-SK" w:eastAsia="sk-SK"/>
              </w:rPr>
              <w:t>2</w:t>
            </w:r>
            <w:r>
              <w:rPr>
                <w:rFonts w:ascii="Calibri Light" w:eastAsia="Calibri Light" w:hAnsi="Calibri Light" w:cs="Calibri Light"/>
                <w:color w:val="000000"/>
                <w:sz w:val="18"/>
                <w:szCs w:val="18"/>
                <w:lang w:val="sk-SK" w:eastAsia="sk-SK"/>
              </w:rPr>
              <w:t>/(m</w:t>
            </w:r>
            <w:r>
              <w:rPr>
                <w:rFonts w:ascii="Calibri Light" w:eastAsia="Calibri Light" w:hAnsi="Calibri Light" w:cs="Calibri Light"/>
                <w:color w:val="000000"/>
                <w:sz w:val="18"/>
                <w:szCs w:val="18"/>
                <w:vertAlign w:val="superscript"/>
                <w:lang w:val="sk-SK" w:eastAsia="sk-SK"/>
              </w:rPr>
              <w:t>2</w:t>
            </w:r>
            <w:r>
              <w:rPr>
                <w:rFonts w:ascii="Calibri Light" w:eastAsia="Calibri Light" w:hAnsi="Calibri Light" w:cs="Calibri Light"/>
                <w:color w:val="000000"/>
                <w:sz w:val="18"/>
                <w:szCs w:val="18"/>
                <w:lang w:val="sk-SK" w:eastAsia="sk-SK"/>
              </w:rPr>
              <w:t>·godina)</w:t>
            </w:r>
          </w:p>
        </w:tc>
        <w:tc>
          <w:tcPr>
            <w:tcW w:w="111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67C939C"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50.0</w:t>
            </w:r>
          </w:p>
        </w:tc>
        <w:tc>
          <w:tcPr>
            <w:tcW w:w="102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437864F"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56.6</w:t>
            </w:r>
          </w:p>
        </w:tc>
        <w:tc>
          <w:tcPr>
            <w:tcW w:w="95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1287F36"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11.1</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9A4ED7E"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24.6</w:t>
            </w:r>
          </w:p>
        </w:tc>
        <w:tc>
          <w:tcPr>
            <w:tcW w:w="113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737E16D"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78.6</w:t>
            </w:r>
          </w:p>
        </w:tc>
        <w:tc>
          <w:tcPr>
            <w:tcW w:w="9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5CFE698" w14:textId="77777777" w:rsidR="003F7412" w:rsidRPr="00DD0C50" w:rsidRDefault="003F7412" w:rsidP="00DD0C50">
            <w:pPr>
              <w:spacing w:after="0"/>
              <w:jc w:val="right"/>
              <w:textAlignment w:val="auto"/>
              <w:rPr>
                <w:rFonts w:eastAsia="Calibri Light" w:cs="Calibri Light"/>
                <w:b/>
                <w:bCs/>
                <w:color w:val="000000"/>
                <w:sz w:val="16"/>
                <w:szCs w:val="16"/>
                <w:lang w:val="sk-SK" w:eastAsia="sk-SK"/>
              </w:rPr>
            </w:pPr>
            <w:r w:rsidRPr="00DD0C50">
              <w:rPr>
                <w:rFonts w:eastAsia="Calibri Light" w:cs="Calibri Light"/>
                <w:b/>
                <w:bCs/>
                <w:color w:val="000000"/>
                <w:sz w:val="16"/>
                <w:szCs w:val="16"/>
                <w:lang w:val="sk-SK" w:eastAsia="sk-SK"/>
              </w:rPr>
              <w:t>43.9</w:t>
            </w:r>
          </w:p>
        </w:tc>
      </w:tr>
      <w:tr w:rsidR="00DD0C50" w14:paraId="3D34764C" w14:textId="77777777" w:rsidTr="00DD0C50">
        <w:tc>
          <w:tcPr>
            <w:tcW w:w="167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05BF9D58" w14:textId="77777777" w:rsidR="003F7412" w:rsidRPr="0091029E" w:rsidRDefault="003F7412" w:rsidP="00DD0C50">
            <w:pPr>
              <w:spacing w:after="0"/>
              <w:textAlignment w:val="auto"/>
              <w:rPr>
                <w:rFonts w:ascii="Calibri Light" w:eastAsia="Calibri Light" w:hAnsi="Calibri Light" w:cs="Calibri Light"/>
                <w:b/>
                <w:bCs/>
                <w:i/>
                <w:color w:val="FFFFFF" w:themeColor="background1"/>
                <w:sz w:val="18"/>
                <w:szCs w:val="18"/>
                <w:lang w:val="sk-SK" w:eastAsia="sk-SK"/>
              </w:rPr>
            </w:pPr>
            <w:r w:rsidRPr="0091029E">
              <w:rPr>
                <w:rFonts w:ascii="Calibri Light" w:eastAsia="Calibri Light" w:hAnsi="Calibri Light" w:cs="Calibri Light"/>
                <w:b/>
                <w:bCs/>
                <w:i/>
                <w:color w:val="FFFFFF" w:themeColor="background1"/>
                <w:sz w:val="18"/>
                <w:szCs w:val="18"/>
                <w:lang w:val="sk-SK" w:eastAsia="sk-SK"/>
              </w:rPr>
              <w:t>Prosječna cijena potprojekta</w:t>
            </w:r>
          </w:p>
        </w:tc>
        <w:tc>
          <w:tcPr>
            <w:tcW w:w="1256"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303E9F9" w14:textId="4069AE48" w:rsidR="003F7412" w:rsidRDefault="003F7412" w:rsidP="0091029E">
            <w:pPr>
              <w:spacing w:after="0"/>
              <w:jc w:val="center"/>
              <w:textAlignment w:val="auto"/>
              <w:rPr>
                <w:rFonts w:ascii="Calibri Light" w:eastAsia="Calibri Light" w:hAnsi="Calibri Light" w:cs="Calibri Light"/>
                <w:color w:val="000000"/>
                <w:sz w:val="18"/>
                <w:szCs w:val="18"/>
                <w:lang w:val="sk-SK" w:eastAsia="sk-SK"/>
              </w:rPr>
            </w:pPr>
            <w:r>
              <w:rPr>
                <w:rFonts w:ascii="Calibri Light" w:eastAsia="Calibri Light" w:hAnsi="Calibri Light" w:cs="Calibri Light"/>
                <w:color w:val="000000"/>
                <w:sz w:val="18"/>
                <w:szCs w:val="18"/>
                <w:lang w:val="sk-SK" w:eastAsia="sk-SK"/>
              </w:rPr>
              <w:t>€</w:t>
            </w:r>
          </w:p>
        </w:tc>
        <w:tc>
          <w:tcPr>
            <w:tcW w:w="111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833C75A"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473.930</w:t>
            </w:r>
          </w:p>
        </w:tc>
        <w:tc>
          <w:tcPr>
            <w:tcW w:w="102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573B5FE"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239,480</w:t>
            </w:r>
          </w:p>
        </w:tc>
        <w:tc>
          <w:tcPr>
            <w:tcW w:w="95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3199322"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210,776</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72E7297"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536.916</w:t>
            </w:r>
          </w:p>
        </w:tc>
        <w:tc>
          <w:tcPr>
            <w:tcW w:w="113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BEEF2A1"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542,699</w:t>
            </w:r>
          </w:p>
        </w:tc>
        <w:tc>
          <w:tcPr>
            <w:tcW w:w="9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8DEFA49" w14:textId="77777777" w:rsidR="003F7412" w:rsidRPr="00DD0C50" w:rsidRDefault="003F7412" w:rsidP="00DD0C50">
            <w:pPr>
              <w:spacing w:after="0"/>
              <w:jc w:val="right"/>
              <w:textAlignment w:val="auto"/>
              <w:rPr>
                <w:rFonts w:eastAsia="Calibri Light" w:cs="Calibri Light"/>
                <w:b/>
                <w:bCs/>
                <w:color w:val="000000"/>
                <w:sz w:val="16"/>
                <w:szCs w:val="16"/>
                <w:lang w:val="sk-SK" w:eastAsia="sk-SK"/>
              </w:rPr>
            </w:pPr>
            <w:r w:rsidRPr="00DD0C50">
              <w:rPr>
                <w:rFonts w:eastAsia="Calibri Light" w:cs="Calibri Light"/>
                <w:b/>
                <w:bCs/>
                <w:color w:val="000000"/>
                <w:sz w:val="16"/>
                <w:szCs w:val="16"/>
                <w:lang w:val="sk-SK" w:eastAsia="sk-SK"/>
              </w:rPr>
              <w:t>398,062</w:t>
            </w:r>
          </w:p>
        </w:tc>
      </w:tr>
      <w:tr w:rsidR="00DD0C50" w14:paraId="25082C7F" w14:textId="77777777" w:rsidTr="00DD0C50">
        <w:tc>
          <w:tcPr>
            <w:tcW w:w="167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20AB08CB" w14:textId="77777777" w:rsidR="003F7412" w:rsidRPr="0091029E" w:rsidRDefault="003F7412" w:rsidP="00DD0C50">
            <w:pPr>
              <w:spacing w:after="0"/>
              <w:textAlignment w:val="auto"/>
              <w:rPr>
                <w:rFonts w:ascii="Calibri Light" w:eastAsia="Calibri Light" w:hAnsi="Calibri Light" w:cs="Calibri Light"/>
                <w:b/>
                <w:bCs/>
                <w:i/>
                <w:color w:val="FFFFFF" w:themeColor="background1"/>
                <w:sz w:val="18"/>
                <w:szCs w:val="18"/>
                <w:lang w:val="sk-SK" w:eastAsia="sk-SK"/>
              </w:rPr>
            </w:pPr>
            <w:r w:rsidRPr="0091029E">
              <w:rPr>
                <w:rFonts w:ascii="Calibri Light" w:eastAsia="Calibri Light" w:hAnsi="Calibri Light" w:cs="Calibri Light"/>
                <w:b/>
                <w:bCs/>
                <w:i/>
                <w:color w:val="FFFFFF" w:themeColor="background1"/>
                <w:sz w:val="18"/>
                <w:szCs w:val="18"/>
                <w:lang w:val="sk-SK" w:eastAsia="sk-SK"/>
              </w:rPr>
              <w:t>Prosječan period povrata investicije</w:t>
            </w:r>
          </w:p>
        </w:tc>
        <w:tc>
          <w:tcPr>
            <w:tcW w:w="1256"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C7D1CA6" w14:textId="77777777" w:rsidR="003F7412" w:rsidRDefault="003F7412" w:rsidP="0091029E">
            <w:pPr>
              <w:spacing w:after="0"/>
              <w:jc w:val="center"/>
              <w:textAlignment w:val="auto"/>
              <w:rPr>
                <w:rFonts w:ascii="Calibri Light" w:eastAsia="Calibri Light" w:hAnsi="Calibri Light" w:cs="Calibri Light"/>
                <w:color w:val="000000"/>
                <w:sz w:val="18"/>
                <w:szCs w:val="18"/>
                <w:lang w:val="sk-SK" w:eastAsia="sk-SK"/>
              </w:rPr>
            </w:pPr>
            <w:r>
              <w:rPr>
                <w:rFonts w:ascii="Calibri Light" w:eastAsia="Calibri Light" w:hAnsi="Calibri Light" w:cs="Calibri Light"/>
                <w:color w:val="000000"/>
                <w:sz w:val="18"/>
                <w:szCs w:val="18"/>
                <w:lang w:val="sk-SK" w:eastAsia="sk-SK"/>
              </w:rPr>
              <w:t># godina</w:t>
            </w:r>
          </w:p>
        </w:tc>
        <w:tc>
          <w:tcPr>
            <w:tcW w:w="111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6C10264" w14:textId="77777777" w:rsidR="003F7412" w:rsidRPr="00DD0C50" w:rsidRDefault="003F7412" w:rsidP="00DD0C50">
            <w:pPr>
              <w:spacing w:after="0"/>
              <w:jc w:val="right"/>
              <w:textAlignment w:val="auto"/>
              <w:rPr>
                <w:rFonts w:eastAsia="Calibri Light" w:cs="Calibri Light"/>
                <w:color w:val="000000"/>
                <w:sz w:val="16"/>
                <w:szCs w:val="16"/>
                <w:lang w:val="sk-SK" w:eastAsia="sk-SK"/>
              </w:rPr>
            </w:pPr>
            <w:r w:rsidRPr="00DD0C50">
              <w:rPr>
                <w:rFonts w:eastAsia="Calibri Light" w:cs="Calibri Light"/>
                <w:color w:val="000000"/>
                <w:sz w:val="16"/>
                <w:szCs w:val="16"/>
                <w:lang w:val="sk-SK" w:eastAsia="sk-SK"/>
              </w:rPr>
              <w:t>12.3</w:t>
            </w:r>
          </w:p>
        </w:tc>
        <w:tc>
          <w:tcPr>
            <w:tcW w:w="102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5859A5B"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10.5</w:t>
            </w:r>
          </w:p>
        </w:tc>
        <w:tc>
          <w:tcPr>
            <w:tcW w:w="95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17F81B5"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10.4</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39FBEEB"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10.0</w:t>
            </w:r>
          </w:p>
        </w:tc>
        <w:tc>
          <w:tcPr>
            <w:tcW w:w="113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26BFFC3"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9.5</w:t>
            </w:r>
          </w:p>
        </w:tc>
        <w:tc>
          <w:tcPr>
            <w:tcW w:w="9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43F8CC4" w14:textId="77777777" w:rsidR="003F7412" w:rsidRPr="00DD0C50" w:rsidRDefault="003F7412" w:rsidP="00DD0C50">
            <w:pPr>
              <w:spacing w:after="0"/>
              <w:jc w:val="right"/>
              <w:textAlignment w:val="auto"/>
              <w:rPr>
                <w:sz w:val="16"/>
                <w:szCs w:val="16"/>
              </w:rPr>
            </w:pPr>
            <w:r w:rsidRPr="00DD0C50">
              <w:rPr>
                <w:rFonts w:eastAsia="Calibri Light" w:cs="Calibri Light"/>
                <w:b/>
                <w:bCs/>
                <w:color w:val="000000"/>
                <w:sz w:val="16"/>
                <w:szCs w:val="16"/>
                <w:lang w:val="sk-SK" w:eastAsia="sk-SK"/>
              </w:rPr>
              <w:t>11.3</w:t>
            </w:r>
          </w:p>
        </w:tc>
      </w:tr>
      <w:tr w:rsidR="00DD0C50" w14:paraId="0A0523DB" w14:textId="77777777" w:rsidTr="00DD0C50">
        <w:tc>
          <w:tcPr>
            <w:tcW w:w="167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459FD030" w14:textId="77777777" w:rsidR="003F7412" w:rsidRPr="0091029E" w:rsidRDefault="003F7412" w:rsidP="00DD0C50">
            <w:pPr>
              <w:spacing w:after="0"/>
              <w:textAlignment w:val="auto"/>
              <w:rPr>
                <w:rFonts w:ascii="Calibri Light" w:eastAsia="Calibri Light" w:hAnsi="Calibri Light" w:cs="Calibri Light"/>
                <w:b/>
                <w:bCs/>
                <w:i/>
                <w:color w:val="FFFFFF" w:themeColor="background1"/>
                <w:sz w:val="18"/>
                <w:szCs w:val="18"/>
                <w:lang w:val="sk-SK" w:eastAsia="sk-SK"/>
              </w:rPr>
            </w:pPr>
            <w:r w:rsidRPr="0091029E">
              <w:rPr>
                <w:rFonts w:ascii="Calibri Light" w:eastAsia="Calibri Light" w:hAnsi="Calibri Light" w:cs="Calibri Light"/>
                <w:b/>
                <w:bCs/>
                <w:i/>
                <w:color w:val="FFFFFF" w:themeColor="background1"/>
                <w:sz w:val="18"/>
                <w:szCs w:val="18"/>
                <w:lang w:val="sk-SK" w:eastAsia="sk-SK"/>
              </w:rPr>
              <w:t>Prosječna specifična ulaganja (po kvadratnom metru)</w:t>
            </w:r>
          </w:p>
        </w:tc>
        <w:tc>
          <w:tcPr>
            <w:tcW w:w="1256"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F02A94A" w14:textId="77777777" w:rsidR="003F7412" w:rsidRDefault="003F7412" w:rsidP="0091029E">
            <w:pPr>
              <w:spacing w:after="0"/>
              <w:jc w:val="center"/>
              <w:textAlignment w:val="auto"/>
            </w:pPr>
            <w:r>
              <w:rPr>
                <w:rFonts w:ascii="Calibri Light" w:eastAsia="Calibri Light" w:hAnsi="Calibri Light" w:cs="Calibri Light"/>
                <w:color w:val="000000"/>
                <w:sz w:val="18"/>
                <w:szCs w:val="18"/>
                <w:lang w:val="sk-SK" w:eastAsia="sk-SK"/>
              </w:rPr>
              <w:t>€/m</w:t>
            </w:r>
            <w:r>
              <w:rPr>
                <w:rFonts w:ascii="Calibri Light" w:eastAsia="Calibri Light" w:hAnsi="Calibri Light" w:cs="Calibri Light"/>
                <w:color w:val="000000"/>
                <w:sz w:val="18"/>
                <w:szCs w:val="18"/>
                <w:vertAlign w:val="superscript"/>
                <w:lang w:val="sk-SK" w:eastAsia="sk-SK"/>
              </w:rPr>
              <w:t>2</w:t>
            </w:r>
          </w:p>
        </w:tc>
        <w:tc>
          <w:tcPr>
            <w:tcW w:w="111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4254C48"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138</w:t>
            </w:r>
          </w:p>
        </w:tc>
        <w:tc>
          <w:tcPr>
            <w:tcW w:w="102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5EC3C2C"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88</w:t>
            </w:r>
          </w:p>
        </w:tc>
        <w:tc>
          <w:tcPr>
            <w:tcW w:w="95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2CD51E8"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86</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9CBF6AB"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88</w:t>
            </w:r>
          </w:p>
        </w:tc>
        <w:tc>
          <w:tcPr>
            <w:tcW w:w="113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0C2B93D"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146</w:t>
            </w:r>
          </w:p>
        </w:tc>
        <w:tc>
          <w:tcPr>
            <w:tcW w:w="9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9493F0F" w14:textId="77777777" w:rsidR="003F7412" w:rsidRPr="00DD0C50" w:rsidRDefault="003F7412" w:rsidP="00DD0C50">
            <w:pPr>
              <w:spacing w:after="0"/>
              <w:jc w:val="right"/>
              <w:textAlignment w:val="auto"/>
              <w:rPr>
                <w:rFonts w:eastAsia="Calibri Light" w:cs="Calibri Light"/>
                <w:b/>
                <w:bCs/>
                <w:color w:val="000000"/>
                <w:sz w:val="16"/>
                <w:szCs w:val="16"/>
                <w:lang w:val="sk-SK" w:eastAsia="sk-SK"/>
              </w:rPr>
            </w:pPr>
            <w:r w:rsidRPr="00DD0C50">
              <w:rPr>
                <w:rFonts w:eastAsia="Calibri Light" w:cs="Calibri Light"/>
                <w:b/>
                <w:bCs/>
                <w:color w:val="000000"/>
                <w:sz w:val="16"/>
                <w:szCs w:val="16"/>
                <w:lang w:val="sk-SK" w:eastAsia="sk-SK"/>
              </w:rPr>
              <w:t>116</w:t>
            </w:r>
          </w:p>
        </w:tc>
      </w:tr>
      <w:tr w:rsidR="00DD0C50" w14:paraId="62E85621" w14:textId="77777777" w:rsidTr="00DD0C50">
        <w:tc>
          <w:tcPr>
            <w:tcW w:w="167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023D305A" w14:textId="77777777" w:rsidR="003F7412" w:rsidRPr="0091029E" w:rsidRDefault="003F7412" w:rsidP="00DD0C50">
            <w:pPr>
              <w:spacing w:after="0"/>
              <w:textAlignment w:val="auto"/>
              <w:rPr>
                <w:rFonts w:ascii="Calibri Light" w:eastAsia="Calibri Light" w:hAnsi="Calibri Light" w:cs="Calibri Light"/>
                <w:b/>
                <w:bCs/>
                <w:i/>
                <w:color w:val="FFFFFF" w:themeColor="background1"/>
                <w:sz w:val="18"/>
                <w:szCs w:val="18"/>
                <w:lang w:val="sk-SK" w:eastAsia="sk-SK"/>
              </w:rPr>
            </w:pPr>
            <w:r w:rsidRPr="0091029E">
              <w:rPr>
                <w:rFonts w:ascii="Calibri Light" w:eastAsia="Calibri Light" w:hAnsi="Calibri Light" w:cs="Calibri Light"/>
                <w:b/>
                <w:bCs/>
                <w:i/>
                <w:color w:val="FFFFFF" w:themeColor="background1"/>
                <w:sz w:val="18"/>
                <w:szCs w:val="18"/>
                <w:lang w:val="sk-SK" w:eastAsia="sk-SK"/>
              </w:rPr>
              <w:t>Prosječna štednja po uloženom € (rok trajanja)</w:t>
            </w:r>
          </w:p>
        </w:tc>
        <w:tc>
          <w:tcPr>
            <w:tcW w:w="1256"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0748B1F" w14:textId="77777777" w:rsidR="003F7412" w:rsidRDefault="003F7412" w:rsidP="0091029E">
            <w:pPr>
              <w:spacing w:after="0"/>
              <w:jc w:val="center"/>
              <w:textAlignment w:val="auto"/>
              <w:rPr>
                <w:rFonts w:ascii="Calibri Light" w:eastAsia="Calibri Light" w:hAnsi="Calibri Light" w:cs="Calibri Light"/>
                <w:color w:val="000000"/>
                <w:sz w:val="18"/>
                <w:szCs w:val="18"/>
                <w:lang w:val="sk-SK" w:eastAsia="sk-SK"/>
              </w:rPr>
            </w:pPr>
            <w:r>
              <w:rPr>
                <w:rFonts w:ascii="Calibri Light" w:eastAsia="Calibri Light" w:hAnsi="Calibri Light" w:cs="Calibri Light"/>
                <w:color w:val="000000"/>
                <w:sz w:val="18"/>
                <w:szCs w:val="18"/>
                <w:lang w:val="sk-SK" w:eastAsia="sk-SK"/>
              </w:rPr>
              <w:t>kWh/€</w:t>
            </w:r>
          </w:p>
        </w:tc>
        <w:tc>
          <w:tcPr>
            <w:tcW w:w="1117"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209CE01"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0.848</w:t>
            </w:r>
          </w:p>
        </w:tc>
        <w:tc>
          <w:tcPr>
            <w:tcW w:w="102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D30A725"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0.875</w:t>
            </w:r>
          </w:p>
        </w:tc>
        <w:tc>
          <w:tcPr>
            <w:tcW w:w="95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E88F24A"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0.812</w:t>
            </w:r>
          </w:p>
        </w:tc>
        <w:tc>
          <w:tcPr>
            <w:tcW w:w="90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6C3E79D"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1.123</w:t>
            </w:r>
          </w:p>
        </w:tc>
        <w:tc>
          <w:tcPr>
            <w:tcW w:w="113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49926B5" w14:textId="77777777" w:rsidR="003F7412" w:rsidRPr="00DD0C50" w:rsidRDefault="003F7412" w:rsidP="00DD0C50">
            <w:pPr>
              <w:spacing w:after="0"/>
              <w:jc w:val="right"/>
              <w:textAlignment w:val="auto"/>
              <w:rPr>
                <w:sz w:val="16"/>
                <w:szCs w:val="16"/>
              </w:rPr>
            </w:pPr>
            <w:r w:rsidRPr="00DD0C50">
              <w:rPr>
                <w:rFonts w:eastAsia="Calibri Light" w:cs="Calibri Light"/>
                <w:color w:val="000000"/>
                <w:sz w:val="16"/>
                <w:szCs w:val="16"/>
                <w:lang w:val="sk-SK" w:eastAsia="sk-SK"/>
              </w:rPr>
              <w:t>0.910</w:t>
            </w:r>
          </w:p>
        </w:tc>
        <w:tc>
          <w:tcPr>
            <w:tcW w:w="959"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26EE232" w14:textId="77777777" w:rsidR="003F7412" w:rsidRPr="00DD0C50" w:rsidRDefault="003F7412" w:rsidP="00DD0C50">
            <w:pPr>
              <w:spacing w:after="0"/>
              <w:jc w:val="right"/>
              <w:textAlignment w:val="auto"/>
              <w:rPr>
                <w:sz w:val="16"/>
                <w:szCs w:val="16"/>
              </w:rPr>
            </w:pPr>
            <w:r w:rsidRPr="00DD0C50">
              <w:rPr>
                <w:rFonts w:eastAsia="Calibri Light" w:cs="Calibri Light"/>
                <w:b/>
                <w:bCs/>
                <w:color w:val="000000"/>
                <w:sz w:val="16"/>
                <w:szCs w:val="16"/>
                <w:lang w:val="sk-SK" w:eastAsia="sk-SK"/>
              </w:rPr>
              <w:t>0.889</w:t>
            </w:r>
          </w:p>
        </w:tc>
      </w:tr>
    </w:tbl>
    <w:p w14:paraId="063D1226" w14:textId="77777777" w:rsidR="003F7412" w:rsidRDefault="003F7412" w:rsidP="003F7412">
      <w:pPr>
        <w:jc w:val="both"/>
        <w:rPr>
          <w:rFonts w:ascii="Calibri Light" w:eastAsia="Calibri Light" w:hAnsi="Calibri Light" w:cs="Calibri Light"/>
        </w:rPr>
      </w:pPr>
    </w:p>
    <w:p w14:paraId="6FEDED54" w14:textId="13051167" w:rsidR="003F7412" w:rsidRDefault="003F7412" w:rsidP="003F7412">
      <w:pPr>
        <w:jc w:val="both"/>
        <w:rPr>
          <w:sz w:val="24"/>
        </w:rPr>
      </w:pPr>
      <w:r>
        <w:rPr>
          <w:sz w:val="24"/>
        </w:rPr>
        <w:t xml:space="preserve">Tabela </w:t>
      </w:r>
      <w:r w:rsidR="00715D7C">
        <w:rPr>
          <w:sz w:val="24"/>
        </w:rPr>
        <w:t>7</w:t>
      </w:r>
      <w:r>
        <w:rPr>
          <w:sz w:val="24"/>
        </w:rPr>
        <w:t xml:space="preserve"> prikazuje rezultate prema vrstama zgrada odvojeno za obrazovne, zdravstvene, administrativne, smještajne objekte i bolnice. Podaci za domove zdravlja i bolnice predstavljeni su odvojeno zbog činjenice da bolnice rade 24 sata dnevno tokom cijele godine, dok ostale zdravstvene ustanove (domovi zdravlja i zdravstvene stanice) rade 14 sati dnevno, a tokom vikenda otvorene su samo neke službe pacijentima.</w:t>
      </w:r>
    </w:p>
    <w:p w14:paraId="15B6B232" w14:textId="7B9D5553" w:rsidR="003F7412" w:rsidRDefault="003F7412" w:rsidP="003F7412">
      <w:pPr>
        <w:jc w:val="both"/>
      </w:pPr>
      <w:r>
        <w:rPr>
          <w:sz w:val="24"/>
        </w:rPr>
        <w:t xml:space="preserve">Osnovne energetske potrebe za 101 objekat prema podacima DEA, u zavisnosti od vrste zgrade, kreću se od </w:t>
      </w:r>
      <w:r w:rsidRPr="00EE7972">
        <w:rPr>
          <w:sz w:val="24"/>
        </w:rPr>
        <w:t>173,5 kVh/</w:t>
      </w:r>
      <w:r w:rsidR="00EB4698" w:rsidRPr="00EB4698">
        <w:rPr>
          <w:rFonts w:cs="Calibri"/>
          <w:sz w:val="24"/>
          <w:szCs w:val="24"/>
        </w:rPr>
        <w:t xml:space="preserve"> m</w:t>
      </w:r>
      <w:r w:rsidR="00EB4698" w:rsidRPr="00EB4698">
        <w:rPr>
          <w:rFonts w:cs="Calibri"/>
          <w:sz w:val="24"/>
          <w:szCs w:val="24"/>
          <w:vertAlign w:val="superscript"/>
        </w:rPr>
        <w:t>2</w:t>
      </w:r>
      <w:r>
        <w:rPr>
          <w:sz w:val="24"/>
        </w:rPr>
        <w:t xml:space="preserve"> godišnje za administrativne objekte do 304.4 kVh/</w:t>
      </w:r>
      <w:r w:rsidR="00EB4698" w:rsidRPr="00EB4698">
        <w:rPr>
          <w:rFonts w:cs="Calibri"/>
          <w:sz w:val="24"/>
          <w:szCs w:val="24"/>
        </w:rPr>
        <w:t xml:space="preserve"> m</w:t>
      </w:r>
      <w:r w:rsidR="00EB4698" w:rsidRPr="00EB4698">
        <w:rPr>
          <w:rFonts w:cs="Calibri"/>
          <w:sz w:val="24"/>
          <w:szCs w:val="24"/>
          <w:vertAlign w:val="superscript"/>
        </w:rPr>
        <w:t>2</w:t>
      </w:r>
      <w:r>
        <w:rPr>
          <w:sz w:val="24"/>
        </w:rPr>
        <w:t xml:space="preserve"> godišnje za smještajne objekte (studentski domovi, domovi za starije osobe) itd.</w:t>
      </w:r>
    </w:p>
    <w:p w14:paraId="1CDED340" w14:textId="23EAEFD9" w:rsidR="003F7412" w:rsidRDefault="003F7412" w:rsidP="003F7412">
      <w:pPr>
        <w:spacing w:after="120"/>
        <w:jc w:val="both"/>
        <w:rPr>
          <w:sz w:val="24"/>
        </w:rPr>
      </w:pPr>
      <w:r>
        <w:rPr>
          <w:sz w:val="24"/>
        </w:rPr>
        <w:t>Prosječne uštede energije kreću se od 69,6 kVh/</w:t>
      </w:r>
      <w:r w:rsidR="00EB4698" w:rsidRPr="00EB4698">
        <w:rPr>
          <w:rFonts w:cs="Calibri"/>
          <w:sz w:val="24"/>
          <w:szCs w:val="24"/>
        </w:rPr>
        <w:t xml:space="preserve"> m</w:t>
      </w:r>
      <w:r w:rsidR="00EB4698" w:rsidRPr="00EB4698">
        <w:rPr>
          <w:rFonts w:cs="Calibri"/>
          <w:sz w:val="24"/>
          <w:szCs w:val="24"/>
          <w:vertAlign w:val="superscript"/>
        </w:rPr>
        <w:t>2</w:t>
      </w:r>
      <w:r>
        <w:rPr>
          <w:sz w:val="24"/>
        </w:rPr>
        <w:t xml:space="preserve"> godišnje (34,2% ukupne osnovne potrošnje energije) za domove zdravlja do 132,6 kVh/</w:t>
      </w:r>
      <w:r w:rsidR="00EB4698" w:rsidRPr="00EB4698">
        <w:rPr>
          <w:rFonts w:cs="Calibri"/>
          <w:sz w:val="24"/>
          <w:szCs w:val="24"/>
        </w:rPr>
        <w:t xml:space="preserve"> m</w:t>
      </w:r>
      <w:r w:rsidR="00EB4698" w:rsidRPr="00EB4698">
        <w:rPr>
          <w:rFonts w:cs="Calibri"/>
          <w:sz w:val="24"/>
          <w:szCs w:val="24"/>
          <w:vertAlign w:val="superscript"/>
        </w:rPr>
        <w:t>2</w:t>
      </w:r>
      <w:r>
        <w:rPr>
          <w:sz w:val="24"/>
        </w:rPr>
        <w:t xml:space="preserve"> godišnje za smještajne objekte (43,6% ukupne osnovne potrošnje energije).</w:t>
      </w:r>
    </w:p>
    <w:p w14:paraId="2B5B02BC" w14:textId="77777777" w:rsidR="003F7412" w:rsidRDefault="003F7412" w:rsidP="003F7412">
      <w:pPr>
        <w:spacing w:after="120"/>
        <w:jc w:val="both"/>
        <w:rPr>
          <w:sz w:val="24"/>
        </w:rPr>
      </w:pPr>
      <w:r>
        <w:rPr>
          <w:sz w:val="24"/>
        </w:rPr>
        <w:lastRenderedPageBreak/>
        <w:t>Prema procentu uštede energije, najveće uštede ostvaruju se u obrazovnim ustanovama koje iznose 57,7% osnovne potrošnje, a najniže u domovima zdravlja koje iznose 34,2% osnovne potrošnje energije.</w:t>
      </w:r>
    </w:p>
    <w:p w14:paraId="4EB41817" w14:textId="77777777" w:rsidR="008B70C8" w:rsidRDefault="003F7412" w:rsidP="008B70C8">
      <w:pPr>
        <w:pBdr>
          <w:top w:val="single" w:sz="4" w:space="1" w:color="auto"/>
          <w:left w:val="single" w:sz="4" w:space="4" w:color="auto"/>
          <w:bottom w:val="single" w:sz="4" w:space="1" w:color="auto"/>
          <w:right w:val="single" w:sz="4" w:space="4" w:color="auto"/>
        </w:pBdr>
        <w:shd w:val="clear" w:color="auto" w:fill="DEEAF6" w:themeFill="accent1" w:themeFillTint="33"/>
        <w:spacing w:after="120"/>
        <w:jc w:val="both"/>
        <w:rPr>
          <w:sz w:val="24"/>
        </w:rPr>
      </w:pPr>
      <w:r>
        <w:rPr>
          <w:sz w:val="24"/>
        </w:rPr>
        <w:t>Prosječan period povrata investicije kreće se od 9,5 godina za obrazovne institucije do 12,3 godine za smještajne objekte.</w:t>
      </w:r>
    </w:p>
    <w:p w14:paraId="5D84C0E2" w14:textId="255598C4" w:rsidR="003F7412" w:rsidRDefault="003F7412" w:rsidP="003F7412">
      <w:pPr>
        <w:spacing w:after="120"/>
        <w:jc w:val="both"/>
        <w:rPr>
          <w:sz w:val="24"/>
        </w:rPr>
      </w:pPr>
      <w:r>
        <w:rPr>
          <w:sz w:val="24"/>
        </w:rPr>
        <w:t>Iako su neki rokovi povrata dugi, treba napomenuti da ulaganja u EE donose koristi kao što su poboljšana toplotna udobnost (što dovodi do manje dana bolovanja), produženi vijek zgrade, smanjenje zagađenja vazduha, poboljšana vidljivost i imidž postrojenja, uklanjanje opasnih i toksičnih građevinskih materijala (npr. azbest, itd.) i poboljšana energetska sigurnost.</w:t>
      </w:r>
    </w:p>
    <w:p w14:paraId="48E88F18" w14:textId="1691DCC6" w:rsidR="003F7412" w:rsidRDefault="003F7412" w:rsidP="003F7412">
      <w:pPr>
        <w:spacing w:after="120"/>
        <w:jc w:val="both"/>
        <w:rPr>
          <w:sz w:val="24"/>
        </w:rPr>
      </w:pPr>
      <w:r>
        <w:rPr>
          <w:sz w:val="24"/>
        </w:rPr>
        <w:t>Prosječna specifična ulaganja kretala su se od 86 €/</w:t>
      </w:r>
      <w:r w:rsidR="00EB4698" w:rsidRPr="00EB4698">
        <w:rPr>
          <w:rFonts w:cs="Calibri"/>
          <w:sz w:val="24"/>
          <w:szCs w:val="24"/>
        </w:rPr>
        <w:t xml:space="preserve"> m</w:t>
      </w:r>
      <w:r w:rsidR="00EB4698" w:rsidRPr="00EB4698">
        <w:rPr>
          <w:rFonts w:cs="Calibri"/>
          <w:sz w:val="24"/>
          <w:szCs w:val="24"/>
          <w:vertAlign w:val="superscript"/>
        </w:rPr>
        <w:t>2</w:t>
      </w:r>
      <w:r>
        <w:rPr>
          <w:sz w:val="24"/>
        </w:rPr>
        <w:t xml:space="preserve"> za domove zdravlja do 146 €/</w:t>
      </w:r>
      <w:r w:rsidR="00EB4698" w:rsidRPr="00EB4698">
        <w:rPr>
          <w:rFonts w:cs="Calibri"/>
          <w:sz w:val="24"/>
          <w:szCs w:val="24"/>
        </w:rPr>
        <w:t xml:space="preserve"> m</w:t>
      </w:r>
      <w:r w:rsidR="00EB4698" w:rsidRPr="00EB4698">
        <w:rPr>
          <w:rFonts w:cs="Calibri"/>
          <w:sz w:val="24"/>
          <w:szCs w:val="24"/>
          <w:vertAlign w:val="superscript"/>
        </w:rPr>
        <w:t>2</w:t>
      </w:r>
      <w:r>
        <w:rPr>
          <w:sz w:val="24"/>
        </w:rPr>
        <w:t xml:space="preserve"> za smještajne objekte, dok su se prosječne uštede po uloženom € kretale od 0,812 kVh/€ za zdravstvene ustanove do 1,123 kVh/€ za bolnice.</w:t>
      </w:r>
    </w:p>
    <w:p w14:paraId="1CC66243" w14:textId="01942024" w:rsidR="003F7412" w:rsidRDefault="003F7412" w:rsidP="003F7412">
      <w:pPr>
        <w:spacing w:after="120"/>
        <w:jc w:val="both"/>
        <w:rPr>
          <w:sz w:val="24"/>
        </w:rPr>
      </w:pPr>
      <w:r>
        <w:rPr>
          <w:sz w:val="24"/>
        </w:rPr>
        <w:t xml:space="preserve">Zbog činjenice da u Crnoj Gori postoje 3 klimatske zone (sjeverna, centralna i južna), koje su definisane Pravilnikom o minimalnim zahtjevima energetske efikasnosti u zgradarstvu, zbirni podaci su predstavljeni po klimatskim regijama i prikazani su u Tabeli </w:t>
      </w:r>
      <w:r w:rsidR="00715D7C">
        <w:rPr>
          <w:sz w:val="24"/>
        </w:rPr>
        <w:t>8</w:t>
      </w:r>
      <w:r>
        <w:rPr>
          <w:sz w:val="24"/>
        </w:rPr>
        <w:t>.</w:t>
      </w:r>
    </w:p>
    <w:p w14:paraId="01B47651" w14:textId="09BA3CA7" w:rsidR="003F7412" w:rsidRPr="00A06B2C" w:rsidRDefault="00A06B2C" w:rsidP="00C25F77">
      <w:pPr>
        <w:pStyle w:val="Caption"/>
        <w:keepNext/>
        <w:jc w:val="center"/>
        <w:rPr>
          <w:rFonts w:ascii="Calibri" w:hAnsi="Calibri"/>
          <w:color w:val="0D0D0D" w:themeColor="text1" w:themeTint="F2"/>
          <w:sz w:val="22"/>
          <w:szCs w:val="22"/>
        </w:rPr>
      </w:pPr>
      <w:bookmarkStart w:id="71" w:name="_Toc63146821"/>
      <w:bookmarkStart w:id="72" w:name="_Toc82415541"/>
      <w:r>
        <w:rPr>
          <w:rFonts w:ascii="Calibri" w:hAnsi="Calibri"/>
          <w:color w:val="0D0D0D" w:themeColor="text1" w:themeTint="F2"/>
          <w:sz w:val="22"/>
          <w:szCs w:val="22"/>
        </w:rPr>
        <w:t>T</w:t>
      </w:r>
      <w:r w:rsidR="000C7E97">
        <w:rPr>
          <w:rFonts w:ascii="Calibri" w:hAnsi="Calibri"/>
          <w:color w:val="0D0D0D" w:themeColor="text1" w:themeTint="F2"/>
          <w:sz w:val="22"/>
          <w:szCs w:val="22"/>
        </w:rPr>
        <w:t>ab</w:t>
      </w:r>
      <w:r w:rsidRPr="00A06B2C">
        <w:rPr>
          <w:rFonts w:ascii="Calibri" w:hAnsi="Calibri"/>
          <w:color w:val="0D0D0D" w:themeColor="text1" w:themeTint="F2"/>
          <w:sz w:val="22"/>
          <w:szCs w:val="22"/>
        </w:rPr>
        <w:t>e</w:t>
      </w:r>
      <w:r w:rsidR="000C7E97">
        <w:rPr>
          <w:rFonts w:ascii="Calibri" w:hAnsi="Calibri"/>
          <w:color w:val="0D0D0D" w:themeColor="text1" w:themeTint="F2"/>
          <w:sz w:val="22"/>
          <w:szCs w:val="22"/>
        </w:rPr>
        <w:t>la</w:t>
      </w:r>
      <w:r w:rsidRPr="00A06B2C">
        <w:rPr>
          <w:rFonts w:ascii="Calibri" w:hAnsi="Calibri"/>
          <w:color w:val="0D0D0D" w:themeColor="text1" w:themeTint="F2"/>
          <w:sz w:val="22"/>
          <w:szCs w:val="22"/>
        </w:rPr>
        <w:t xml:space="preserve"> </w:t>
      </w:r>
      <w:r w:rsidRPr="00A06B2C">
        <w:rPr>
          <w:rFonts w:ascii="Calibri" w:hAnsi="Calibri"/>
          <w:color w:val="0D0D0D" w:themeColor="text1" w:themeTint="F2"/>
          <w:sz w:val="22"/>
          <w:szCs w:val="22"/>
        </w:rPr>
        <w:fldChar w:fldCharType="begin"/>
      </w:r>
      <w:r w:rsidRPr="00A06B2C">
        <w:rPr>
          <w:rFonts w:ascii="Calibri" w:hAnsi="Calibri"/>
          <w:color w:val="0D0D0D" w:themeColor="text1" w:themeTint="F2"/>
          <w:sz w:val="22"/>
          <w:szCs w:val="22"/>
        </w:rPr>
        <w:instrText xml:space="preserve"> SEQ Table \* ARABIC </w:instrText>
      </w:r>
      <w:r w:rsidRPr="00A06B2C">
        <w:rPr>
          <w:rFonts w:ascii="Calibri" w:hAnsi="Calibri"/>
          <w:color w:val="0D0D0D" w:themeColor="text1" w:themeTint="F2"/>
          <w:sz w:val="22"/>
          <w:szCs w:val="22"/>
        </w:rPr>
        <w:fldChar w:fldCharType="separate"/>
      </w:r>
      <w:r w:rsidR="002E7036">
        <w:rPr>
          <w:rFonts w:ascii="Calibri" w:hAnsi="Calibri"/>
          <w:noProof/>
          <w:color w:val="0D0D0D" w:themeColor="text1" w:themeTint="F2"/>
          <w:sz w:val="22"/>
          <w:szCs w:val="22"/>
        </w:rPr>
        <w:t>8</w:t>
      </w:r>
      <w:r w:rsidRPr="00A06B2C">
        <w:rPr>
          <w:rFonts w:ascii="Calibri" w:hAnsi="Calibri"/>
          <w:color w:val="0D0D0D" w:themeColor="text1" w:themeTint="F2"/>
          <w:sz w:val="22"/>
          <w:szCs w:val="22"/>
        </w:rPr>
        <w:fldChar w:fldCharType="end"/>
      </w:r>
      <w:r w:rsidRPr="00A06B2C">
        <w:rPr>
          <w:rFonts w:ascii="Calibri" w:hAnsi="Calibri"/>
          <w:color w:val="0D0D0D" w:themeColor="text1" w:themeTint="F2"/>
          <w:sz w:val="22"/>
          <w:szCs w:val="22"/>
        </w:rPr>
        <w:t xml:space="preserve"> </w:t>
      </w:r>
      <w:r w:rsidR="001F4654">
        <w:rPr>
          <w:rFonts w:ascii="Calibri" w:hAnsi="Calibri" w:cs="Calibri"/>
          <w:bCs/>
          <w:color w:val="0D0D0D" w:themeColor="text1" w:themeTint="F2"/>
          <w:sz w:val="22"/>
          <w:szCs w:val="22"/>
        </w:rPr>
        <w:t>K</w:t>
      </w:r>
      <w:r>
        <w:rPr>
          <w:rFonts w:ascii="Calibri" w:hAnsi="Calibri" w:cs="Calibri"/>
          <w:bCs/>
          <w:color w:val="0D0D0D" w:themeColor="text1" w:themeTint="F2"/>
          <w:sz w:val="22"/>
          <w:szCs w:val="22"/>
        </w:rPr>
        <w:t>ljučni zbirni podaci prema DEA</w:t>
      </w:r>
      <w:r w:rsidRPr="00A06B2C">
        <w:rPr>
          <w:rFonts w:ascii="Calibri" w:hAnsi="Calibri" w:cs="Calibri"/>
          <w:bCs/>
          <w:color w:val="0D0D0D" w:themeColor="text1" w:themeTint="F2"/>
          <w:sz w:val="22"/>
          <w:szCs w:val="22"/>
        </w:rPr>
        <w:t xml:space="preserve"> informacijama po klimatskim zonama</w:t>
      </w:r>
      <w:bookmarkEnd w:id="71"/>
      <w:bookmarkEnd w:id="72"/>
    </w:p>
    <w:tbl>
      <w:tblPr>
        <w:tblW w:w="5000" w:type="pct"/>
        <w:tblCellMar>
          <w:left w:w="10" w:type="dxa"/>
          <w:right w:w="10" w:type="dxa"/>
        </w:tblCellMar>
        <w:tblLook w:val="0000" w:firstRow="0" w:lastRow="0" w:firstColumn="0" w:lastColumn="0" w:noHBand="0" w:noVBand="0"/>
      </w:tblPr>
      <w:tblGrid>
        <w:gridCol w:w="2417"/>
        <w:gridCol w:w="1594"/>
        <w:gridCol w:w="1112"/>
        <w:gridCol w:w="1171"/>
        <w:gridCol w:w="1342"/>
        <w:gridCol w:w="1380"/>
      </w:tblGrid>
      <w:tr w:rsidR="001861AF" w14:paraId="1BADC8CD" w14:textId="77777777" w:rsidTr="001861AF">
        <w:tc>
          <w:tcPr>
            <w:tcW w:w="2417" w:type="dxa"/>
            <w:vMerge w:val="restart"/>
            <w:tcBorders>
              <w:top w:val="single" w:sz="4" w:space="0" w:color="999999"/>
              <w:left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032BA9F7" w14:textId="77777777" w:rsidR="001861AF" w:rsidRPr="0091029E" w:rsidRDefault="001861AF" w:rsidP="001861AF">
            <w:pPr>
              <w:spacing w:after="0"/>
              <w:jc w:val="center"/>
              <w:textAlignment w:val="auto"/>
              <w:rPr>
                <w:rFonts w:eastAsia="Calibri Light" w:cs="Calibri Light"/>
                <w:b/>
                <w:bCs/>
                <w:i/>
                <w:color w:val="FFFFFF" w:themeColor="background1"/>
                <w:sz w:val="20"/>
                <w:szCs w:val="20"/>
                <w:lang w:val="sk-SK" w:eastAsia="sk-SK"/>
              </w:rPr>
            </w:pPr>
            <w:r w:rsidRPr="0091029E">
              <w:rPr>
                <w:rFonts w:eastAsia="Calibri Light" w:cs="Calibri Light"/>
                <w:b/>
                <w:bCs/>
                <w:i/>
                <w:color w:val="FFFFFF" w:themeColor="background1"/>
                <w:sz w:val="20"/>
                <w:szCs w:val="20"/>
                <w:lang w:val="sk-SK" w:eastAsia="sk-SK"/>
              </w:rPr>
              <w:t>Parametar/Pokazatelj</w:t>
            </w:r>
          </w:p>
        </w:tc>
        <w:tc>
          <w:tcPr>
            <w:tcW w:w="1594" w:type="dxa"/>
            <w:vMerge w:val="restart"/>
            <w:tcBorders>
              <w:top w:val="single" w:sz="4" w:space="0" w:color="999999"/>
              <w:left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3D242679" w14:textId="77777777" w:rsidR="001861AF" w:rsidRPr="0091029E" w:rsidRDefault="001861AF" w:rsidP="001861AF">
            <w:pPr>
              <w:spacing w:after="0"/>
              <w:jc w:val="center"/>
              <w:textAlignment w:val="auto"/>
              <w:rPr>
                <w:rFonts w:eastAsia="Calibri Light" w:cs="Calibri Light"/>
                <w:b/>
                <w:bCs/>
                <w:i/>
                <w:color w:val="FFFFFF" w:themeColor="background1"/>
                <w:sz w:val="20"/>
                <w:szCs w:val="20"/>
                <w:lang w:val="sk-SK" w:eastAsia="sk-SK"/>
              </w:rPr>
            </w:pPr>
            <w:r w:rsidRPr="0091029E">
              <w:rPr>
                <w:rFonts w:eastAsia="Calibri Light" w:cs="Calibri Light"/>
                <w:b/>
                <w:bCs/>
                <w:i/>
                <w:color w:val="FFFFFF" w:themeColor="background1"/>
                <w:sz w:val="20"/>
                <w:szCs w:val="20"/>
                <w:lang w:val="sk-SK" w:eastAsia="sk-SK"/>
              </w:rPr>
              <w:t>Jedinica mjere</w:t>
            </w:r>
          </w:p>
        </w:tc>
        <w:tc>
          <w:tcPr>
            <w:tcW w:w="5005" w:type="dxa"/>
            <w:gridSpan w:val="4"/>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2EE4D435" w14:textId="77777777" w:rsidR="001861AF" w:rsidRPr="0091029E" w:rsidRDefault="001861AF" w:rsidP="00855F2F">
            <w:pPr>
              <w:spacing w:after="0"/>
              <w:jc w:val="center"/>
              <w:textAlignment w:val="auto"/>
              <w:rPr>
                <w:rFonts w:eastAsia="Calibri Light" w:cs="Calibri Light"/>
                <w:b/>
                <w:bCs/>
                <w:i/>
                <w:color w:val="FFFFFF" w:themeColor="background1"/>
                <w:sz w:val="20"/>
                <w:szCs w:val="20"/>
                <w:lang w:val="sk-SK" w:eastAsia="sk-SK"/>
              </w:rPr>
            </w:pPr>
            <w:r w:rsidRPr="0091029E">
              <w:rPr>
                <w:rFonts w:eastAsia="Calibri Light" w:cs="Calibri Light"/>
                <w:b/>
                <w:bCs/>
                <w:i/>
                <w:color w:val="FFFFFF" w:themeColor="background1"/>
                <w:sz w:val="20"/>
                <w:szCs w:val="20"/>
                <w:lang w:val="sk-SK" w:eastAsia="sk-SK"/>
              </w:rPr>
              <w:t>Vrijednost</w:t>
            </w:r>
          </w:p>
        </w:tc>
      </w:tr>
      <w:tr w:rsidR="001861AF" w14:paraId="0B96AC35" w14:textId="77777777" w:rsidTr="00F4427A">
        <w:tc>
          <w:tcPr>
            <w:tcW w:w="2417" w:type="dxa"/>
            <w:vMerge/>
            <w:tcBorders>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74FD2840" w14:textId="77777777" w:rsidR="001861AF" w:rsidRPr="0091029E" w:rsidRDefault="001861AF" w:rsidP="00855F2F">
            <w:pPr>
              <w:spacing w:after="0"/>
              <w:jc w:val="center"/>
              <w:textAlignment w:val="auto"/>
              <w:rPr>
                <w:rFonts w:eastAsia="Calibri Light" w:cs="Calibri Light"/>
                <w:b/>
                <w:bCs/>
                <w:i/>
                <w:color w:val="FFFFFF" w:themeColor="background1"/>
                <w:sz w:val="20"/>
                <w:szCs w:val="20"/>
                <w:lang w:val="sk-SK" w:eastAsia="sk-SK"/>
              </w:rPr>
            </w:pPr>
          </w:p>
        </w:tc>
        <w:tc>
          <w:tcPr>
            <w:tcW w:w="1594" w:type="dxa"/>
            <w:vMerge/>
            <w:tcBorders>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2EFE1FE7" w14:textId="77777777" w:rsidR="001861AF" w:rsidRPr="0091029E" w:rsidRDefault="001861AF" w:rsidP="00855F2F">
            <w:pPr>
              <w:spacing w:after="0"/>
              <w:jc w:val="center"/>
              <w:textAlignment w:val="auto"/>
              <w:rPr>
                <w:rFonts w:eastAsia="Calibri Light" w:cs="Calibri Light"/>
                <w:i/>
                <w:color w:val="FFFFFF" w:themeColor="background1"/>
                <w:sz w:val="20"/>
                <w:szCs w:val="20"/>
                <w:lang w:val="sk-SK" w:eastAsia="sk-SK"/>
              </w:rPr>
            </w:pPr>
          </w:p>
        </w:tc>
        <w:tc>
          <w:tcPr>
            <w:tcW w:w="111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661AB61C" w14:textId="77777777" w:rsidR="001861AF" w:rsidRPr="0091029E" w:rsidRDefault="001861AF" w:rsidP="00855F2F">
            <w:pPr>
              <w:spacing w:after="0"/>
              <w:jc w:val="center"/>
              <w:textAlignment w:val="auto"/>
              <w:rPr>
                <w:rFonts w:eastAsia="Calibri Light" w:cs="Calibri Light"/>
                <w:b/>
                <w:i/>
                <w:color w:val="FFFFFF" w:themeColor="background1"/>
                <w:sz w:val="20"/>
                <w:szCs w:val="20"/>
                <w:lang w:val="sk-SK" w:eastAsia="sk-SK"/>
              </w:rPr>
            </w:pPr>
            <w:r w:rsidRPr="0091029E">
              <w:rPr>
                <w:rFonts w:eastAsia="Calibri Light" w:cs="Calibri Light"/>
                <w:b/>
                <w:i/>
                <w:color w:val="FFFFFF" w:themeColor="background1"/>
                <w:sz w:val="20"/>
                <w:szCs w:val="20"/>
                <w:lang w:val="sk-SK" w:eastAsia="sk-SK"/>
              </w:rPr>
              <w:t>Sjeverni region</w:t>
            </w:r>
          </w:p>
        </w:tc>
        <w:tc>
          <w:tcPr>
            <w:tcW w:w="117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29C93E2B" w14:textId="77777777" w:rsidR="001861AF" w:rsidRPr="0091029E" w:rsidRDefault="001861AF" w:rsidP="00855F2F">
            <w:pPr>
              <w:spacing w:after="0"/>
              <w:jc w:val="center"/>
              <w:textAlignment w:val="auto"/>
              <w:rPr>
                <w:rFonts w:eastAsia="Calibri Light" w:cs="Calibri Light"/>
                <w:b/>
                <w:i/>
                <w:color w:val="FFFFFF" w:themeColor="background1"/>
                <w:sz w:val="20"/>
                <w:szCs w:val="20"/>
                <w:lang w:val="sk-SK" w:eastAsia="sk-SK"/>
              </w:rPr>
            </w:pPr>
            <w:r w:rsidRPr="0091029E">
              <w:rPr>
                <w:rFonts w:eastAsia="Calibri Light" w:cs="Calibri Light"/>
                <w:b/>
                <w:i/>
                <w:color w:val="FFFFFF" w:themeColor="background1"/>
                <w:sz w:val="20"/>
                <w:szCs w:val="20"/>
                <w:lang w:val="sk-SK" w:eastAsia="sk-SK"/>
              </w:rPr>
              <w:t>Centralni region</w:t>
            </w:r>
          </w:p>
        </w:tc>
        <w:tc>
          <w:tcPr>
            <w:tcW w:w="1342"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2862C3FA" w14:textId="77777777" w:rsidR="001861AF" w:rsidRPr="0091029E" w:rsidRDefault="001861AF" w:rsidP="00855F2F">
            <w:pPr>
              <w:spacing w:after="0"/>
              <w:jc w:val="center"/>
              <w:textAlignment w:val="auto"/>
              <w:rPr>
                <w:rFonts w:eastAsia="Calibri Light" w:cs="Calibri Light"/>
                <w:b/>
                <w:i/>
                <w:color w:val="FFFFFF" w:themeColor="background1"/>
                <w:sz w:val="20"/>
                <w:szCs w:val="20"/>
                <w:lang w:val="sk-SK" w:eastAsia="sk-SK"/>
              </w:rPr>
            </w:pPr>
            <w:r w:rsidRPr="0091029E">
              <w:rPr>
                <w:rFonts w:eastAsia="Calibri Light" w:cs="Calibri Light"/>
                <w:b/>
                <w:i/>
                <w:color w:val="FFFFFF" w:themeColor="background1"/>
                <w:sz w:val="20"/>
                <w:szCs w:val="20"/>
                <w:lang w:val="sk-SK" w:eastAsia="sk-SK"/>
              </w:rPr>
              <w:t>Južni region</w:t>
            </w:r>
          </w:p>
        </w:tc>
        <w:tc>
          <w:tcPr>
            <w:tcW w:w="1380"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700504D1" w14:textId="77777777" w:rsidR="001861AF" w:rsidRPr="0091029E" w:rsidRDefault="001861AF" w:rsidP="00855F2F">
            <w:pPr>
              <w:spacing w:after="0"/>
              <w:jc w:val="center"/>
              <w:textAlignment w:val="auto"/>
              <w:rPr>
                <w:rFonts w:eastAsia="Calibri Light" w:cs="Calibri Light"/>
                <w:b/>
                <w:i/>
                <w:color w:val="FFFFFF" w:themeColor="background1"/>
                <w:sz w:val="20"/>
                <w:szCs w:val="20"/>
                <w:lang w:val="sk-SK" w:eastAsia="sk-SK"/>
              </w:rPr>
            </w:pPr>
            <w:r w:rsidRPr="0091029E">
              <w:rPr>
                <w:rFonts w:eastAsia="Calibri Light" w:cs="Calibri Light"/>
                <w:b/>
                <w:i/>
                <w:color w:val="FFFFFF" w:themeColor="background1"/>
                <w:sz w:val="20"/>
                <w:szCs w:val="20"/>
                <w:lang w:val="sk-SK" w:eastAsia="sk-SK"/>
              </w:rPr>
              <w:t>Ukupno</w:t>
            </w:r>
          </w:p>
        </w:tc>
      </w:tr>
      <w:tr w:rsidR="003F7412" w14:paraId="35D7A5E0" w14:textId="77777777" w:rsidTr="009F2E3A">
        <w:tc>
          <w:tcPr>
            <w:tcW w:w="2417"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2E591E7C" w14:textId="77777777" w:rsidR="003F7412" w:rsidRPr="0091029E" w:rsidRDefault="003F7412" w:rsidP="00855F2F">
            <w:pPr>
              <w:spacing w:after="0"/>
              <w:textAlignment w:val="auto"/>
              <w:rPr>
                <w:i/>
                <w:color w:val="FFFFFF" w:themeColor="background1"/>
              </w:rPr>
            </w:pPr>
            <w:r w:rsidRPr="0091029E">
              <w:rPr>
                <w:rFonts w:ascii="Calibri Light" w:eastAsia="Calibri Light" w:hAnsi="Calibri Light" w:cs="Calibri Light"/>
                <w:b/>
                <w:bCs/>
                <w:i/>
                <w:color w:val="FFFFFF" w:themeColor="background1"/>
                <w:sz w:val="20"/>
                <w:szCs w:val="20"/>
                <w:lang w:val="sk-SK" w:eastAsia="sk-SK"/>
              </w:rPr>
              <w:t>Ukupna kreditna ulaganja u mjere EE u 102 potprojekta</w:t>
            </w:r>
          </w:p>
        </w:tc>
        <w:tc>
          <w:tcPr>
            <w:tcW w:w="1594"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BF33B7D" w14:textId="6637F7AF" w:rsidR="003F7412" w:rsidRDefault="003F7412" w:rsidP="009F2E3A">
            <w:pPr>
              <w:spacing w:after="0"/>
              <w:jc w:val="center"/>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w:t>
            </w:r>
          </w:p>
        </w:tc>
        <w:tc>
          <w:tcPr>
            <w:tcW w:w="11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D3DE5FB"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9,183,219</w:t>
            </w:r>
          </w:p>
        </w:tc>
        <w:tc>
          <w:tcPr>
            <w:tcW w:w="117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AAC912C"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10,368,076</w:t>
            </w:r>
          </w:p>
        </w:tc>
        <w:tc>
          <w:tcPr>
            <w:tcW w:w="134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94A074D"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20,653,007</w:t>
            </w:r>
          </w:p>
        </w:tc>
        <w:tc>
          <w:tcPr>
            <w:tcW w:w="138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806BEEE" w14:textId="77777777" w:rsidR="003F7412" w:rsidRDefault="003F7412" w:rsidP="009F2E3A">
            <w:pPr>
              <w:spacing w:after="0"/>
              <w:jc w:val="right"/>
              <w:textAlignment w:val="auto"/>
            </w:pPr>
            <w:r>
              <w:rPr>
                <w:rFonts w:ascii="Calibri Light" w:eastAsia="Calibri Light" w:hAnsi="Calibri Light" w:cs="Calibri Light"/>
                <w:b/>
                <w:bCs/>
                <w:color w:val="000000"/>
                <w:sz w:val="20"/>
                <w:szCs w:val="20"/>
                <w:lang w:val="sk-SK" w:eastAsia="sk-SK"/>
              </w:rPr>
              <w:t>40,204,302</w:t>
            </w:r>
          </w:p>
        </w:tc>
      </w:tr>
      <w:tr w:rsidR="003F7412" w14:paraId="28B5F849" w14:textId="77777777" w:rsidTr="009F2E3A">
        <w:tc>
          <w:tcPr>
            <w:tcW w:w="2417"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2D034E21" w14:textId="77777777" w:rsidR="003F7412" w:rsidRPr="0091029E" w:rsidRDefault="003F7412" w:rsidP="00855F2F">
            <w:pPr>
              <w:spacing w:after="0"/>
              <w:textAlignment w:val="auto"/>
              <w:rPr>
                <w:rFonts w:ascii="Calibri Light" w:eastAsia="Calibri Light" w:hAnsi="Calibri Light" w:cs="Calibri Light"/>
                <w:b/>
                <w:bCs/>
                <w:i/>
                <w:color w:val="FFFFFF" w:themeColor="background1"/>
                <w:sz w:val="20"/>
                <w:szCs w:val="20"/>
                <w:lang w:val="sk-SK" w:eastAsia="sk-SK"/>
              </w:rPr>
            </w:pPr>
            <w:r w:rsidRPr="0091029E">
              <w:rPr>
                <w:rFonts w:ascii="Calibri Light" w:eastAsia="Calibri Light" w:hAnsi="Calibri Light" w:cs="Calibri Light"/>
                <w:b/>
                <w:bCs/>
                <w:i/>
                <w:color w:val="FFFFFF" w:themeColor="background1"/>
                <w:sz w:val="20"/>
                <w:szCs w:val="20"/>
                <w:lang w:val="sk-SK" w:eastAsia="sk-SK"/>
              </w:rPr>
              <w:t>Broj potprojekata</w:t>
            </w:r>
          </w:p>
        </w:tc>
        <w:tc>
          <w:tcPr>
            <w:tcW w:w="1594"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2D913F6" w14:textId="77777777" w:rsidR="003F7412" w:rsidRDefault="003F7412" w:rsidP="009F2E3A">
            <w:pPr>
              <w:spacing w:after="0"/>
              <w:jc w:val="center"/>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Broj</w:t>
            </w:r>
          </w:p>
        </w:tc>
        <w:tc>
          <w:tcPr>
            <w:tcW w:w="11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CDFCB9E"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26</w:t>
            </w:r>
          </w:p>
        </w:tc>
        <w:tc>
          <w:tcPr>
            <w:tcW w:w="117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0931AA2"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28</w:t>
            </w:r>
          </w:p>
        </w:tc>
        <w:tc>
          <w:tcPr>
            <w:tcW w:w="134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6716F1A"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47</w:t>
            </w:r>
          </w:p>
        </w:tc>
        <w:tc>
          <w:tcPr>
            <w:tcW w:w="138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8BFFF67" w14:textId="77777777" w:rsidR="003F7412" w:rsidRDefault="003F7412" w:rsidP="009F2E3A">
            <w:pPr>
              <w:spacing w:after="0"/>
              <w:jc w:val="right"/>
              <w:textAlignment w:val="auto"/>
              <w:rPr>
                <w:rFonts w:ascii="Calibri Light" w:eastAsia="Calibri Light" w:hAnsi="Calibri Light" w:cs="Calibri Light"/>
                <w:b/>
                <w:bCs/>
                <w:color w:val="000000"/>
                <w:sz w:val="20"/>
                <w:szCs w:val="20"/>
                <w:lang w:val="sk-SK" w:eastAsia="sk-SK"/>
              </w:rPr>
            </w:pPr>
            <w:r>
              <w:rPr>
                <w:rFonts w:ascii="Calibri Light" w:eastAsia="Calibri Light" w:hAnsi="Calibri Light" w:cs="Calibri Light"/>
                <w:b/>
                <w:bCs/>
                <w:color w:val="000000"/>
                <w:sz w:val="20"/>
                <w:szCs w:val="20"/>
                <w:lang w:val="sk-SK" w:eastAsia="sk-SK"/>
              </w:rPr>
              <w:t>101</w:t>
            </w:r>
          </w:p>
        </w:tc>
      </w:tr>
      <w:tr w:rsidR="003F7412" w14:paraId="198E76E7" w14:textId="77777777" w:rsidTr="009F2E3A">
        <w:tc>
          <w:tcPr>
            <w:tcW w:w="2417"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6802CCDA" w14:textId="6901DD65" w:rsidR="003F7412" w:rsidRPr="0091029E" w:rsidRDefault="003F7412" w:rsidP="00855F2F">
            <w:pPr>
              <w:spacing w:after="0"/>
              <w:textAlignment w:val="auto"/>
              <w:rPr>
                <w:rFonts w:ascii="Calibri Light" w:eastAsia="Calibri Light" w:hAnsi="Calibri Light" w:cs="Calibri Light"/>
                <w:b/>
                <w:bCs/>
                <w:i/>
                <w:color w:val="FFFFFF" w:themeColor="background1"/>
                <w:sz w:val="20"/>
                <w:szCs w:val="20"/>
                <w:lang w:val="sk-SK" w:eastAsia="sk-SK"/>
              </w:rPr>
            </w:pPr>
            <w:r w:rsidRPr="0091029E">
              <w:rPr>
                <w:rFonts w:ascii="Calibri Light" w:eastAsia="Calibri Light" w:hAnsi="Calibri Light" w:cs="Calibri Light"/>
                <w:b/>
                <w:bCs/>
                <w:i/>
                <w:color w:val="FFFFFF" w:themeColor="background1"/>
                <w:sz w:val="20"/>
                <w:szCs w:val="20"/>
                <w:lang w:val="sk-SK" w:eastAsia="sk-SK"/>
              </w:rPr>
              <w:t>Broj zgrada u</w:t>
            </w:r>
            <w:r w:rsidR="0070027C">
              <w:rPr>
                <w:rFonts w:ascii="Calibri Light" w:eastAsia="Calibri Light" w:hAnsi="Calibri Light" w:cs="Calibri Light"/>
                <w:b/>
                <w:bCs/>
                <w:i/>
                <w:color w:val="FFFFFF" w:themeColor="background1"/>
                <w:sz w:val="20"/>
                <w:szCs w:val="20"/>
                <w:lang w:val="sk-SK" w:eastAsia="sk-SK"/>
              </w:rPr>
              <w:t> </w:t>
            </w:r>
            <w:r w:rsidRPr="0091029E">
              <w:rPr>
                <w:rFonts w:ascii="Calibri Light" w:eastAsia="Calibri Light" w:hAnsi="Calibri Light" w:cs="Calibri Light"/>
                <w:b/>
                <w:bCs/>
                <w:i/>
                <w:color w:val="FFFFFF" w:themeColor="background1"/>
                <w:sz w:val="20"/>
                <w:szCs w:val="20"/>
                <w:lang w:val="sk-SK" w:eastAsia="sk-SK"/>
              </w:rPr>
              <w:t>potprojektima</w:t>
            </w:r>
          </w:p>
        </w:tc>
        <w:tc>
          <w:tcPr>
            <w:tcW w:w="1594"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E79BA36" w14:textId="77777777" w:rsidR="003F7412" w:rsidRDefault="003F7412" w:rsidP="009F2E3A">
            <w:pPr>
              <w:spacing w:after="0"/>
              <w:jc w:val="center"/>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Broj</w:t>
            </w:r>
          </w:p>
        </w:tc>
        <w:tc>
          <w:tcPr>
            <w:tcW w:w="11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EE97C7D"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45</w:t>
            </w:r>
          </w:p>
        </w:tc>
        <w:tc>
          <w:tcPr>
            <w:tcW w:w="117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E599D34"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57</w:t>
            </w:r>
          </w:p>
        </w:tc>
        <w:tc>
          <w:tcPr>
            <w:tcW w:w="134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EF0ACE7" w14:textId="77777777" w:rsidR="003F7412" w:rsidRDefault="003F7412" w:rsidP="009F2E3A">
            <w:pPr>
              <w:spacing w:after="0"/>
              <w:jc w:val="right"/>
              <w:textAlignment w:val="auto"/>
              <w:rPr>
                <w:rFonts w:ascii="Calibri Light" w:eastAsia="Calibri Light" w:hAnsi="Calibri Light" w:cs="Calibri Light"/>
                <w:sz w:val="20"/>
                <w:szCs w:val="20"/>
                <w:lang w:val="sk-SK" w:eastAsia="sk-SK"/>
              </w:rPr>
            </w:pPr>
            <w:r>
              <w:rPr>
                <w:rFonts w:ascii="Calibri Light" w:eastAsia="Calibri Light" w:hAnsi="Calibri Light" w:cs="Calibri Light"/>
                <w:sz w:val="20"/>
                <w:szCs w:val="20"/>
                <w:lang w:val="sk-SK" w:eastAsia="sk-SK"/>
              </w:rPr>
              <w:t>82</w:t>
            </w:r>
          </w:p>
        </w:tc>
        <w:tc>
          <w:tcPr>
            <w:tcW w:w="138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2261207" w14:textId="77777777" w:rsidR="003F7412" w:rsidRDefault="003F7412" w:rsidP="009F2E3A">
            <w:pPr>
              <w:spacing w:after="0"/>
              <w:jc w:val="right"/>
              <w:textAlignment w:val="auto"/>
              <w:rPr>
                <w:rFonts w:ascii="Calibri Light" w:eastAsia="Calibri Light" w:hAnsi="Calibri Light" w:cs="Calibri Light"/>
                <w:b/>
                <w:sz w:val="20"/>
                <w:szCs w:val="20"/>
                <w:lang w:val="sk-SK" w:eastAsia="sk-SK"/>
              </w:rPr>
            </w:pPr>
            <w:r>
              <w:rPr>
                <w:rFonts w:ascii="Calibri Light" w:eastAsia="Calibri Light" w:hAnsi="Calibri Light" w:cs="Calibri Light"/>
                <w:b/>
                <w:sz w:val="20"/>
                <w:szCs w:val="20"/>
                <w:lang w:val="sk-SK" w:eastAsia="sk-SK"/>
              </w:rPr>
              <w:t>184</w:t>
            </w:r>
          </w:p>
        </w:tc>
      </w:tr>
      <w:tr w:rsidR="003F7412" w14:paraId="29311B69" w14:textId="77777777" w:rsidTr="009F2E3A">
        <w:tc>
          <w:tcPr>
            <w:tcW w:w="2417"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09744607" w14:textId="77777777" w:rsidR="003F7412" w:rsidRPr="0091029E" w:rsidRDefault="003F7412" w:rsidP="00855F2F">
            <w:pPr>
              <w:spacing w:after="0"/>
              <w:textAlignment w:val="auto"/>
              <w:rPr>
                <w:rFonts w:ascii="Calibri Light" w:eastAsia="Calibri Light" w:hAnsi="Calibri Light" w:cs="Calibri Light"/>
                <w:b/>
                <w:bCs/>
                <w:i/>
                <w:color w:val="FFFFFF" w:themeColor="background1"/>
                <w:sz w:val="20"/>
                <w:szCs w:val="20"/>
                <w:lang w:val="sk-SK" w:eastAsia="sk-SK"/>
              </w:rPr>
            </w:pPr>
            <w:r w:rsidRPr="0091029E">
              <w:rPr>
                <w:rFonts w:ascii="Calibri Light" w:eastAsia="Calibri Light" w:hAnsi="Calibri Light" w:cs="Calibri Light"/>
                <w:b/>
                <w:bCs/>
                <w:i/>
                <w:color w:val="FFFFFF" w:themeColor="background1"/>
                <w:sz w:val="20"/>
                <w:szCs w:val="20"/>
                <w:lang w:val="sk-SK" w:eastAsia="sk-SK"/>
              </w:rPr>
              <w:t>Prosječna osnovna potrošnja energije (ranije - po kvadratnom metru)</w:t>
            </w:r>
          </w:p>
        </w:tc>
        <w:tc>
          <w:tcPr>
            <w:tcW w:w="1594"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CAF204E" w14:textId="77777777" w:rsidR="003F7412" w:rsidRDefault="003F7412" w:rsidP="009F2E3A">
            <w:pPr>
              <w:spacing w:after="0"/>
              <w:jc w:val="center"/>
              <w:textAlignment w:val="auto"/>
            </w:pPr>
            <w:r>
              <w:rPr>
                <w:rFonts w:ascii="Calibri Light" w:eastAsia="Calibri Light" w:hAnsi="Calibri Light" w:cs="Calibri Light"/>
                <w:color w:val="000000"/>
                <w:sz w:val="20"/>
                <w:szCs w:val="20"/>
                <w:lang w:val="sk-SK" w:eastAsia="sk-SK"/>
              </w:rPr>
              <w:t>kWh/(m</w:t>
            </w:r>
            <w:r>
              <w:rPr>
                <w:rFonts w:ascii="Calibri Light" w:eastAsia="Calibri Light" w:hAnsi="Calibri Light" w:cs="Calibri Light"/>
                <w:color w:val="000000"/>
                <w:sz w:val="20"/>
                <w:szCs w:val="20"/>
                <w:vertAlign w:val="superscript"/>
                <w:lang w:val="sk-SK" w:eastAsia="sk-SK"/>
              </w:rPr>
              <w:t>2</w:t>
            </w:r>
            <w:r>
              <w:rPr>
                <w:rFonts w:ascii="Calibri Light" w:eastAsia="Calibri Light" w:hAnsi="Calibri Light" w:cs="Calibri Light"/>
                <w:color w:val="000000"/>
                <w:sz w:val="20"/>
                <w:szCs w:val="20"/>
                <w:lang w:val="sk-SK" w:eastAsia="sk-SK"/>
              </w:rPr>
              <w:t>·godina)</w:t>
            </w:r>
          </w:p>
        </w:tc>
        <w:tc>
          <w:tcPr>
            <w:tcW w:w="11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5773F27"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260.1</w:t>
            </w:r>
          </w:p>
        </w:tc>
        <w:tc>
          <w:tcPr>
            <w:tcW w:w="117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ABEADCE"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220.6</w:t>
            </w:r>
          </w:p>
        </w:tc>
        <w:tc>
          <w:tcPr>
            <w:tcW w:w="134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01EB4BF"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192.0</w:t>
            </w:r>
          </w:p>
        </w:tc>
        <w:tc>
          <w:tcPr>
            <w:tcW w:w="138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508AF12" w14:textId="77777777" w:rsidR="003F7412" w:rsidRDefault="003F7412" w:rsidP="009F2E3A">
            <w:pPr>
              <w:spacing w:after="0"/>
              <w:jc w:val="right"/>
              <w:textAlignment w:val="auto"/>
            </w:pPr>
            <w:r>
              <w:rPr>
                <w:rFonts w:ascii="Calibri Light" w:eastAsia="Calibri Light" w:hAnsi="Calibri Light" w:cs="Calibri Light"/>
                <w:b/>
                <w:bCs/>
                <w:color w:val="000000"/>
                <w:sz w:val="20"/>
                <w:szCs w:val="20"/>
                <w:lang w:val="sk-SK" w:eastAsia="sk-SK"/>
              </w:rPr>
              <w:t>217.6</w:t>
            </w:r>
          </w:p>
        </w:tc>
      </w:tr>
      <w:tr w:rsidR="003F7412" w14:paraId="3A95B4F4" w14:textId="77777777" w:rsidTr="001861AF">
        <w:trPr>
          <w:trHeight w:val="773"/>
        </w:trPr>
        <w:tc>
          <w:tcPr>
            <w:tcW w:w="2417"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5BF55326" w14:textId="77777777" w:rsidR="003F7412" w:rsidRPr="0091029E" w:rsidRDefault="003F7412" w:rsidP="00855F2F">
            <w:pPr>
              <w:spacing w:after="0"/>
              <w:textAlignment w:val="auto"/>
              <w:rPr>
                <w:i/>
                <w:color w:val="FFFFFF" w:themeColor="background1"/>
              </w:rPr>
            </w:pPr>
            <w:r w:rsidRPr="0091029E">
              <w:rPr>
                <w:rFonts w:ascii="Calibri Light" w:eastAsia="Calibri Light" w:hAnsi="Calibri Light" w:cs="Calibri Light"/>
                <w:b/>
                <w:bCs/>
                <w:i/>
                <w:color w:val="FFFFFF" w:themeColor="background1"/>
                <w:sz w:val="18"/>
                <w:szCs w:val="18"/>
                <w:lang w:val="sk-SK" w:eastAsia="sk-SK"/>
              </w:rPr>
              <w:t xml:space="preserve">Prosječna specifična potrošnja </w:t>
            </w:r>
            <w:r w:rsidRPr="00DE579F">
              <w:rPr>
                <w:rFonts w:ascii="Calibri Light" w:eastAsia="Calibri Light" w:hAnsi="Calibri Light" w:cs="Calibri Light"/>
                <w:b/>
                <w:bCs/>
                <w:i/>
                <w:color w:val="FFFFFF" w:themeColor="background1"/>
                <w:sz w:val="18"/>
                <w:szCs w:val="18"/>
                <w:lang w:val="sk-SK" w:eastAsia="sk-SK"/>
              </w:rPr>
              <w:t>energije (posle po kvadratnom metru)</w:t>
            </w:r>
          </w:p>
          <w:p w14:paraId="6D83C7FF" w14:textId="77777777" w:rsidR="003F7412" w:rsidRPr="0091029E" w:rsidRDefault="003F7412" w:rsidP="00855F2F">
            <w:pPr>
              <w:spacing w:after="0"/>
              <w:textAlignment w:val="auto"/>
              <w:rPr>
                <w:rFonts w:ascii="Calibri Light" w:eastAsia="Calibri Light" w:hAnsi="Calibri Light" w:cs="Calibri Light"/>
                <w:b/>
                <w:bCs/>
                <w:i/>
                <w:color w:val="FFFFFF" w:themeColor="background1"/>
                <w:sz w:val="20"/>
                <w:szCs w:val="20"/>
                <w:lang w:val="sk-SK" w:eastAsia="sk-SK"/>
              </w:rPr>
            </w:pPr>
          </w:p>
        </w:tc>
        <w:tc>
          <w:tcPr>
            <w:tcW w:w="1594"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39C70C1" w14:textId="77777777" w:rsidR="003F7412" w:rsidRDefault="003F7412" w:rsidP="009F2E3A">
            <w:pPr>
              <w:spacing w:after="0"/>
              <w:jc w:val="center"/>
              <w:textAlignment w:val="auto"/>
            </w:pPr>
            <w:r>
              <w:rPr>
                <w:rFonts w:ascii="Calibri Light" w:eastAsia="Calibri Light" w:hAnsi="Calibri Light" w:cs="Calibri Light"/>
                <w:color w:val="000000"/>
                <w:sz w:val="20"/>
                <w:szCs w:val="20"/>
                <w:lang w:val="sk-SK" w:eastAsia="sk-SK"/>
              </w:rPr>
              <w:t>kWh/(m</w:t>
            </w:r>
            <w:r>
              <w:rPr>
                <w:rFonts w:ascii="Calibri Light" w:eastAsia="Calibri Light" w:hAnsi="Calibri Light" w:cs="Calibri Light"/>
                <w:color w:val="000000"/>
                <w:sz w:val="20"/>
                <w:szCs w:val="20"/>
                <w:vertAlign w:val="superscript"/>
                <w:lang w:val="sk-SK" w:eastAsia="sk-SK"/>
              </w:rPr>
              <w:t>2</w:t>
            </w:r>
            <w:r>
              <w:rPr>
                <w:rFonts w:ascii="Calibri Light" w:eastAsia="Calibri Light" w:hAnsi="Calibri Light" w:cs="Calibri Light"/>
                <w:color w:val="000000"/>
                <w:sz w:val="20"/>
                <w:szCs w:val="20"/>
                <w:lang w:val="sk-SK" w:eastAsia="sk-SK"/>
              </w:rPr>
              <w:t>·godina)</w:t>
            </w:r>
          </w:p>
        </w:tc>
        <w:tc>
          <w:tcPr>
            <w:tcW w:w="11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39E8456"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138.9</w:t>
            </w:r>
          </w:p>
        </w:tc>
        <w:tc>
          <w:tcPr>
            <w:tcW w:w="117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347CA90"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125.3</w:t>
            </w:r>
          </w:p>
        </w:tc>
        <w:tc>
          <w:tcPr>
            <w:tcW w:w="134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4329854"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93.3</w:t>
            </w:r>
          </w:p>
        </w:tc>
        <w:tc>
          <w:tcPr>
            <w:tcW w:w="138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40ABA30" w14:textId="77777777" w:rsidR="003F7412" w:rsidRDefault="003F7412" w:rsidP="009F2E3A">
            <w:pPr>
              <w:spacing w:after="0"/>
              <w:jc w:val="right"/>
              <w:textAlignment w:val="auto"/>
              <w:rPr>
                <w:rFonts w:ascii="Calibri Light" w:eastAsia="Calibri Light" w:hAnsi="Calibri Light" w:cs="Calibri Light"/>
                <w:b/>
                <w:bCs/>
                <w:color w:val="000000"/>
                <w:sz w:val="20"/>
                <w:szCs w:val="20"/>
                <w:lang w:val="sk-SK" w:eastAsia="sk-SK"/>
              </w:rPr>
            </w:pPr>
            <w:r>
              <w:rPr>
                <w:rFonts w:ascii="Calibri Light" w:eastAsia="Calibri Light" w:hAnsi="Calibri Light" w:cs="Calibri Light"/>
                <w:b/>
                <w:bCs/>
                <w:color w:val="000000"/>
                <w:sz w:val="20"/>
                <w:szCs w:val="20"/>
                <w:lang w:val="sk-SK" w:eastAsia="sk-SK"/>
              </w:rPr>
              <w:t>114.5</w:t>
            </w:r>
          </w:p>
        </w:tc>
      </w:tr>
      <w:tr w:rsidR="003F7412" w14:paraId="7D9870ED" w14:textId="77777777" w:rsidTr="009F2E3A">
        <w:tc>
          <w:tcPr>
            <w:tcW w:w="2417"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1C4BD59A" w14:textId="77777777" w:rsidR="003F7412" w:rsidRPr="0091029E" w:rsidRDefault="003F7412" w:rsidP="00855F2F">
            <w:pPr>
              <w:spacing w:after="0"/>
              <w:textAlignment w:val="auto"/>
              <w:rPr>
                <w:rFonts w:ascii="Calibri Light" w:eastAsia="Calibri Light" w:hAnsi="Calibri Light" w:cs="Calibri Light"/>
                <w:b/>
                <w:bCs/>
                <w:i/>
                <w:color w:val="FFFFFF" w:themeColor="background1"/>
                <w:sz w:val="20"/>
                <w:szCs w:val="20"/>
                <w:lang w:val="sk-SK" w:eastAsia="sk-SK"/>
              </w:rPr>
            </w:pPr>
            <w:r w:rsidRPr="0091029E">
              <w:rPr>
                <w:rFonts w:ascii="Calibri Light" w:eastAsia="Calibri Light" w:hAnsi="Calibri Light" w:cs="Calibri Light"/>
                <w:b/>
                <w:bCs/>
                <w:i/>
                <w:color w:val="FFFFFF" w:themeColor="background1"/>
                <w:sz w:val="20"/>
                <w:szCs w:val="20"/>
                <w:lang w:val="sk-SK" w:eastAsia="sk-SK"/>
              </w:rPr>
              <w:t>Prosječna specifična ušteda energije (po kvadratnom metru)</w:t>
            </w:r>
          </w:p>
        </w:tc>
        <w:tc>
          <w:tcPr>
            <w:tcW w:w="1594"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44E2A12" w14:textId="77777777" w:rsidR="003F7412" w:rsidRDefault="003F7412" w:rsidP="009F2E3A">
            <w:pPr>
              <w:spacing w:after="0"/>
              <w:jc w:val="center"/>
              <w:textAlignment w:val="auto"/>
            </w:pPr>
            <w:r>
              <w:rPr>
                <w:rFonts w:ascii="Calibri Light" w:eastAsia="Calibri Light" w:hAnsi="Calibri Light" w:cs="Calibri Light"/>
                <w:color w:val="000000"/>
                <w:sz w:val="20"/>
                <w:szCs w:val="20"/>
                <w:lang w:val="sk-SK" w:eastAsia="sk-SK"/>
              </w:rPr>
              <w:t>kWh/(m</w:t>
            </w:r>
            <w:r>
              <w:rPr>
                <w:rFonts w:ascii="Calibri Light" w:eastAsia="Calibri Light" w:hAnsi="Calibri Light" w:cs="Calibri Light"/>
                <w:color w:val="000000"/>
                <w:sz w:val="20"/>
                <w:szCs w:val="20"/>
                <w:vertAlign w:val="superscript"/>
                <w:lang w:val="sk-SK" w:eastAsia="sk-SK"/>
              </w:rPr>
              <w:t>2</w:t>
            </w:r>
            <w:r>
              <w:rPr>
                <w:rFonts w:ascii="Calibri Light" w:eastAsia="Calibri Light" w:hAnsi="Calibri Light" w:cs="Calibri Light"/>
                <w:color w:val="000000"/>
                <w:sz w:val="20"/>
                <w:szCs w:val="20"/>
                <w:lang w:val="sk-SK" w:eastAsia="sk-SK"/>
              </w:rPr>
              <w:t>·godina)</w:t>
            </w:r>
          </w:p>
        </w:tc>
        <w:tc>
          <w:tcPr>
            <w:tcW w:w="11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5B0C60F"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121.2</w:t>
            </w:r>
          </w:p>
        </w:tc>
        <w:tc>
          <w:tcPr>
            <w:tcW w:w="117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9AB1F44"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95.4</w:t>
            </w:r>
          </w:p>
        </w:tc>
        <w:tc>
          <w:tcPr>
            <w:tcW w:w="134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4DB4A2C"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98.6</w:t>
            </w:r>
          </w:p>
        </w:tc>
        <w:tc>
          <w:tcPr>
            <w:tcW w:w="138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BB944FD" w14:textId="77777777" w:rsidR="003F7412" w:rsidRDefault="003F7412" w:rsidP="009F2E3A">
            <w:pPr>
              <w:spacing w:after="0"/>
              <w:jc w:val="right"/>
              <w:textAlignment w:val="auto"/>
              <w:rPr>
                <w:rFonts w:ascii="Calibri Light" w:eastAsia="Calibri Light" w:hAnsi="Calibri Light" w:cs="Calibri Light"/>
                <w:b/>
                <w:bCs/>
                <w:color w:val="000000"/>
                <w:sz w:val="20"/>
                <w:szCs w:val="20"/>
                <w:lang w:val="sk-SK" w:eastAsia="sk-SK"/>
              </w:rPr>
            </w:pPr>
            <w:r>
              <w:rPr>
                <w:rFonts w:ascii="Calibri Light" w:eastAsia="Calibri Light" w:hAnsi="Calibri Light" w:cs="Calibri Light"/>
                <w:b/>
                <w:bCs/>
                <w:color w:val="000000"/>
                <w:sz w:val="20"/>
                <w:szCs w:val="20"/>
                <w:lang w:val="sk-SK" w:eastAsia="sk-SK"/>
              </w:rPr>
              <w:t>103.2</w:t>
            </w:r>
          </w:p>
        </w:tc>
      </w:tr>
      <w:tr w:rsidR="003F7412" w14:paraId="5C8354D2" w14:textId="77777777" w:rsidTr="009F2E3A">
        <w:trPr>
          <w:trHeight w:val="300"/>
        </w:trPr>
        <w:tc>
          <w:tcPr>
            <w:tcW w:w="2417"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5C313E30" w14:textId="77777777" w:rsidR="003F7412" w:rsidRPr="0091029E" w:rsidRDefault="003F7412" w:rsidP="00855F2F">
            <w:pPr>
              <w:spacing w:after="0"/>
              <w:textAlignment w:val="auto"/>
              <w:rPr>
                <w:rFonts w:ascii="Calibri Light" w:eastAsia="Calibri Light" w:hAnsi="Calibri Light" w:cs="Calibri Light"/>
                <w:b/>
                <w:bCs/>
                <w:i/>
                <w:color w:val="FFFFFF" w:themeColor="background1"/>
                <w:sz w:val="20"/>
                <w:szCs w:val="20"/>
                <w:lang w:val="sk-SK" w:eastAsia="sk-SK"/>
              </w:rPr>
            </w:pPr>
            <w:r w:rsidRPr="0091029E">
              <w:rPr>
                <w:rFonts w:ascii="Calibri Light" w:eastAsia="Calibri Light" w:hAnsi="Calibri Light" w:cs="Calibri Light"/>
                <w:b/>
                <w:bCs/>
                <w:i/>
                <w:color w:val="FFFFFF" w:themeColor="background1"/>
                <w:sz w:val="20"/>
                <w:szCs w:val="20"/>
                <w:lang w:val="sk-SK" w:eastAsia="sk-SK"/>
              </w:rPr>
              <w:t>Prosječna ušteda energije</w:t>
            </w:r>
          </w:p>
        </w:tc>
        <w:tc>
          <w:tcPr>
            <w:tcW w:w="1594"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82BAEA5" w14:textId="0C25D922" w:rsidR="003F7412" w:rsidRDefault="003F7412" w:rsidP="009F2E3A">
            <w:pPr>
              <w:spacing w:after="0"/>
              <w:jc w:val="center"/>
              <w:textAlignment w:val="auto"/>
              <w:rPr>
                <w:rFonts w:ascii="Calibri Light" w:eastAsia="Calibri Light" w:hAnsi="Calibri Light" w:cs="Calibri Light"/>
                <w:color w:val="000000"/>
                <w:sz w:val="20"/>
                <w:szCs w:val="20"/>
                <w:lang w:val="sk-SK" w:eastAsia="sk-SK"/>
              </w:rPr>
            </w:pPr>
          </w:p>
        </w:tc>
        <w:tc>
          <w:tcPr>
            <w:tcW w:w="11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ED7EFC4"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46.6%</w:t>
            </w:r>
          </w:p>
        </w:tc>
        <w:tc>
          <w:tcPr>
            <w:tcW w:w="117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D162DC2"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43.2%</w:t>
            </w:r>
          </w:p>
        </w:tc>
        <w:tc>
          <w:tcPr>
            <w:tcW w:w="134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6E6598D"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51.4%</w:t>
            </w:r>
          </w:p>
        </w:tc>
        <w:tc>
          <w:tcPr>
            <w:tcW w:w="138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E062341" w14:textId="77777777" w:rsidR="003F7412" w:rsidRDefault="003F7412" w:rsidP="009F2E3A">
            <w:pPr>
              <w:spacing w:after="0"/>
              <w:jc w:val="right"/>
              <w:textAlignment w:val="auto"/>
              <w:rPr>
                <w:rFonts w:ascii="Calibri Light" w:eastAsia="Calibri Light" w:hAnsi="Calibri Light" w:cs="Calibri Light"/>
                <w:b/>
                <w:bCs/>
                <w:color w:val="000000"/>
                <w:sz w:val="20"/>
                <w:szCs w:val="20"/>
                <w:lang w:val="sk-SK" w:eastAsia="sk-SK"/>
              </w:rPr>
            </w:pPr>
            <w:r>
              <w:rPr>
                <w:rFonts w:ascii="Calibri Light" w:eastAsia="Calibri Light" w:hAnsi="Calibri Light" w:cs="Calibri Light"/>
                <w:b/>
                <w:bCs/>
                <w:color w:val="000000"/>
                <w:sz w:val="20"/>
                <w:szCs w:val="20"/>
                <w:lang w:val="sk-SK" w:eastAsia="sk-SK"/>
              </w:rPr>
              <w:t>47.4%</w:t>
            </w:r>
          </w:p>
        </w:tc>
      </w:tr>
      <w:tr w:rsidR="003F7412" w14:paraId="301FD363" w14:textId="77777777" w:rsidTr="009F2E3A">
        <w:tc>
          <w:tcPr>
            <w:tcW w:w="2417"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3559DED2" w14:textId="77777777" w:rsidR="003F7412" w:rsidRPr="0091029E" w:rsidRDefault="003F7412" w:rsidP="00855F2F">
            <w:pPr>
              <w:spacing w:after="0"/>
              <w:textAlignment w:val="auto"/>
              <w:rPr>
                <w:i/>
                <w:color w:val="FFFFFF" w:themeColor="background1"/>
              </w:rPr>
            </w:pPr>
            <w:r w:rsidRPr="0091029E">
              <w:rPr>
                <w:rFonts w:ascii="Calibri Light" w:eastAsia="Calibri Light" w:hAnsi="Calibri Light" w:cs="Calibri Light"/>
                <w:b/>
                <w:bCs/>
                <w:i/>
                <w:color w:val="FFFFFF" w:themeColor="background1"/>
                <w:sz w:val="20"/>
                <w:szCs w:val="20"/>
                <w:lang w:val="sk-SK" w:eastAsia="sk-SK"/>
              </w:rPr>
              <w:t>Prosječna specifična ušteda CO2 (po kvadratnom metru)</w:t>
            </w:r>
          </w:p>
        </w:tc>
        <w:tc>
          <w:tcPr>
            <w:tcW w:w="1594"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3C5F2A8" w14:textId="77777777" w:rsidR="003F7412" w:rsidRDefault="003F7412" w:rsidP="009F2E3A">
            <w:pPr>
              <w:spacing w:after="0"/>
              <w:jc w:val="center"/>
              <w:textAlignment w:val="auto"/>
            </w:pPr>
            <w:r>
              <w:rPr>
                <w:rFonts w:ascii="Calibri Light" w:eastAsia="Calibri Light" w:hAnsi="Calibri Light" w:cs="Calibri Light"/>
                <w:color w:val="000000"/>
                <w:sz w:val="20"/>
                <w:szCs w:val="20"/>
                <w:lang w:val="sk-SK" w:eastAsia="sk-SK"/>
              </w:rPr>
              <w:t>kg CO</w:t>
            </w:r>
            <w:r>
              <w:rPr>
                <w:rFonts w:ascii="Calibri Light" w:eastAsia="Calibri Light" w:hAnsi="Calibri Light" w:cs="Calibri Light"/>
                <w:color w:val="000000"/>
                <w:sz w:val="20"/>
                <w:szCs w:val="20"/>
                <w:vertAlign w:val="subscript"/>
                <w:lang w:val="sk-SK" w:eastAsia="sk-SK"/>
              </w:rPr>
              <w:t>2</w:t>
            </w:r>
            <w:r>
              <w:rPr>
                <w:rFonts w:ascii="Calibri Light" w:eastAsia="Calibri Light" w:hAnsi="Calibri Light" w:cs="Calibri Light"/>
                <w:color w:val="000000"/>
                <w:sz w:val="20"/>
                <w:szCs w:val="20"/>
                <w:lang w:val="sk-SK" w:eastAsia="sk-SK"/>
              </w:rPr>
              <w:t>/(m</w:t>
            </w:r>
            <w:r>
              <w:rPr>
                <w:rFonts w:ascii="Calibri Light" w:eastAsia="Calibri Light" w:hAnsi="Calibri Light" w:cs="Calibri Light"/>
                <w:color w:val="000000"/>
                <w:sz w:val="20"/>
                <w:szCs w:val="20"/>
                <w:vertAlign w:val="superscript"/>
                <w:lang w:val="sk-SK" w:eastAsia="sk-SK"/>
              </w:rPr>
              <w:t>2</w:t>
            </w:r>
            <w:r>
              <w:rPr>
                <w:rFonts w:ascii="Calibri Light" w:eastAsia="Calibri Light" w:hAnsi="Calibri Light" w:cs="Calibri Light"/>
                <w:color w:val="000000"/>
                <w:sz w:val="20"/>
                <w:szCs w:val="20"/>
                <w:lang w:val="sk-SK" w:eastAsia="sk-SK"/>
              </w:rPr>
              <w:t>·godina)</w:t>
            </w:r>
          </w:p>
        </w:tc>
        <w:tc>
          <w:tcPr>
            <w:tcW w:w="11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BFB0519"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46.9</w:t>
            </w:r>
          </w:p>
        </w:tc>
        <w:tc>
          <w:tcPr>
            <w:tcW w:w="117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7FF89C5"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42.1</w:t>
            </w:r>
          </w:p>
        </w:tc>
        <w:tc>
          <w:tcPr>
            <w:tcW w:w="134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154FD71"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43.6</w:t>
            </w:r>
          </w:p>
        </w:tc>
        <w:tc>
          <w:tcPr>
            <w:tcW w:w="138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48BBEB3" w14:textId="77777777" w:rsidR="003F7412" w:rsidRDefault="003F7412" w:rsidP="009F2E3A">
            <w:pPr>
              <w:spacing w:after="0"/>
              <w:jc w:val="right"/>
              <w:textAlignment w:val="auto"/>
              <w:rPr>
                <w:rFonts w:ascii="Calibri Light" w:eastAsia="Calibri Light" w:hAnsi="Calibri Light" w:cs="Calibri Light"/>
                <w:b/>
                <w:bCs/>
                <w:color w:val="000000"/>
                <w:sz w:val="20"/>
                <w:szCs w:val="20"/>
                <w:lang w:val="sk-SK" w:eastAsia="sk-SK"/>
              </w:rPr>
            </w:pPr>
            <w:r>
              <w:rPr>
                <w:rFonts w:ascii="Calibri Light" w:eastAsia="Calibri Light" w:hAnsi="Calibri Light" w:cs="Calibri Light"/>
                <w:b/>
                <w:bCs/>
                <w:color w:val="000000"/>
                <w:sz w:val="20"/>
                <w:szCs w:val="20"/>
                <w:lang w:val="sk-SK" w:eastAsia="sk-SK"/>
              </w:rPr>
              <w:t>43.9</w:t>
            </w:r>
          </w:p>
        </w:tc>
      </w:tr>
      <w:tr w:rsidR="003F7412" w14:paraId="4D644466" w14:textId="77777777" w:rsidTr="009F2E3A">
        <w:tc>
          <w:tcPr>
            <w:tcW w:w="2417"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4FFD4844" w14:textId="77777777" w:rsidR="003F7412" w:rsidRPr="0091029E" w:rsidRDefault="003F7412" w:rsidP="00855F2F">
            <w:pPr>
              <w:spacing w:after="0"/>
              <w:textAlignment w:val="auto"/>
              <w:rPr>
                <w:rFonts w:ascii="Calibri Light" w:eastAsia="Calibri Light" w:hAnsi="Calibri Light" w:cs="Calibri Light"/>
                <w:b/>
                <w:bCs/>
                <w:i/>
                <w:color w:val="FFFFFF" w:themeColor="background1"/>
                <w:sz w:val="20"/>
                <w:szCs w:val="20"/>
                <w:lang w:val="sk-SK" w:eastAsia="sk-SK"/>
              </w:rPr>
            </w:pPr>
            <w:r w:rsidRPr="0091029E">
              <w:rPr>
                <w:rFonts w:ascii="Calibri Light" w:eastAsia="Calibri Light" w:hAnsi="Calibri Light" w:cs="Calibri Light"/>
                <w:b/>
                <w:bCs/>
                <w:i/>
                <w:color w:val="FFFFFF" w:themeColor="background1"/>
                <w:sz w:val="20"/>
                <w:szCs w:val="20"/>
                <w:lang w:val="sk-SK" w:eastAsia="sk-SK"/>
              </w:rPr>
              <w:t>Prosječna cijena potprojekta</w:t>
            </w:r>
          </w:p>
        </w:tc>
        <w:tc>
          <w:tcPr>
            <w:tcW w:w="1594"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2CA4799" w14:textId="230797B0" w:rsidR="003F7412" w:rsidRDefault="003F7412" w:rsidP="009F2E3A">
            <w:pPr>
              <w:spacing w:after="0"/>
              <w:jc w:val="center"/>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w:t>
            </w:r>
          </w:p>
        </w:tc>
        <w:tc>
          <w:tcPr>
            <w:tcW w:w="11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5298BD3"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353,201</w:t>
            </w:r>
          </w:p>
        </w:tc>
        <w:tc>
          <w:tcPr>
            <w:tcW w:w="117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05E6164A"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370,288</w:t>
            </w:r>
          </w:p>
        </w:tc>
        <w:tc>
          <w:tcPr>
            <w:tcW w:w="134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6F1D94A"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439.426</w:t>
            </w:r>
          </w:p>
        </w:tc>
        <w:tc>
          <w:tcPr>
            <w:tcW w:w="138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729E5DD" w14:textId="77777777" w:rsidR="003F7412" w:rsidRDefault="003F7412" w:rsidP="009F2E3A">
            <w:pPr>
              <w:spacing w:after="0"/>
              <w:jc w:val="right"/>
              <w:textAlignment w:val="auto"/>
            </w:pPr>
            <w:r>
              <w:rPr>
                <w:rFonts w:ascii="Calibri Light" w:eastAsia="Calibri Light" w:hAnsi="Calibri Light" w:cs="Calibri Light"/>
                <w:b/>
                <w:bCs/>
                <w:color w:val="000000"/>
                <w:sz w:val="20"/>
                <w:szCs w:val="20"/>
                <w:lang w:val="sk-SK" w:eastAsia="sk-SK"/>
              </w:rPr>
              <w:t>398.062</w:t>
            </w:r>
          </w:p>
        </w:tc>
      </w:tr>
      <w:tr w:rsidR="003F7412" w14:paraId="06224D0B" w14:textId="77777777" w:rsidTr="009F2E3A">
        <w:tc>
          <w:tcPr>
            <w:tcW w:w="2417"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1AA0D33A" w14:textId="77777777" w:rsidR="003F7412" w:rsidRPr="0091029E" w:rsidRDefault="003F7412" w:rsidP="00855F2F">
            <w:pPr>
              <w:spacing w:after="0"/>
              <w:textAlignment w:val="auto"/>
              <w:rPr>
                <w:i/>
                <w:color w:val="FFFFFF" w:themeColor="background1"/>
              </w:rPr>
            </w:pPr>
            <w:r w:rsidRPr="0091029E">
              <w:rPr>
                <w:rFonts w:ascii="Calibri Light" w:eastAsia="Calibri Light" w:hAnsi="Calibri Light" w:cs="Calibri Light"/>
                <w:b/>
                <w:bCs/>
                <w:i/>
                <w:color w:val="FFFFFF" w:themeColor="background1"/>
                <w:sz w:val="18"/>
                <w:szCs w:val="18"/>
                <w:lang w:val="sk-SK" w:eastAsia="sk-SK"/>
              </w:rPr>
              <w:t>Prosječan period povrata investicije</w:t>
            </w:r>
          </w:p>
        </w:tc>
        <w:tc>
          <w:tcPr>
            <w:tcW w:w="1594"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6D40734" w14:textId="77777777" w:rsidR="003F7412" w:rsidRDefault="003F7412" w:rsidP="009F2E3A">
            <w:pPr>
              <w:spacing w:after="0"/>
              <w:jc w:val="center"/>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 godina</w:t>
            </w:r>
          </w:p>
        </w:tc>
        <w:tc>
          <w:tcPr>
            <w:tcW w:w="11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F251309"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12.6</w:t>
            </w:r>
          </w:p>
        </w:tc>
        <w:tc>
          <w:tcPr>
            <w:tcW w:w="117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C57FC23"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9.1</w:t>
            </w:r>
          </w:p>
        </w:tc>
        <w:tc>
          <w:tcPr>
            <w:tcW w:w="134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1670A994"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12.2</w:t>
            </w:r>
          </w:p>
        </w:tc>
        <w:tc>
          <w:tcPr>
            <w:tcW w:w="138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B264497" w14:textId="77777777" w:rsidR="003F7412" w:rsidRDefault="003F7412" w:rsidP="009F2E3A">
            <w:pPr>
              <w:spacing w:after="0"/>
              <w:jc w:val="right"/>
              <w:textAlignment w:val="auto"/>
            </w:pPr>
            <w:r>
              <w:rPr>
                <w:rFonts w:ascii="Calibri Light" w:eastAsia="Calibri Light" w:hAnsi="Calibri Light" w:cs="Calibri Light"/>
                <w:b/>
                <w:bCs/>
                <w:color w:val="000000"/>
                <w:sz w:val="20"/>
                <w:szCs w:val="20"/>
                <w:lang w:val="sk-SK" w:eastAsia="sk-SK"/>
              </w:rPr>
              <w:t>11.3</w:t>
            </w:r>
          </w:p>
        </w:tc>
      </w:tr>
      <w:tr w:rsidR="003F7412" w14:paraId="0F35309B" w14:textId="77777777" w:rsidTr="009F2E3A">
        <w:tc>
          <w:tcPr>
            <w:tcW w:w="2417"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6CF25FF5" w14:textId="77777777" w:rsidR="003F7412" w:rsidRPr="0091029E" w:rsidRDefault="003F7412" w:rsidP="00855F2F">
            <w:pPr>
              <w:spacing w:after="0"/>
              <w:textAlignment w:val="auto"/>
              <w:rPr>
                <w:i/>
                <w:color w:val="FFFFFF" w:themeColor="background1"/>
              </w:rPr>
            </w:pPr>
            <w:r w:rsidRPr="0091029E">
              <w:rPr>
                <w:rFonts w:ascii="Calibri Light" w:eastAsia="Calibri Light" w:hAnsi="Calibri Light" w:cs="Calibri Light"/>
                <w:b/>
                <w:bCs/>
                <w:i/>
                <w:color w:val="FFFFFF" w:themeColor="background1"/>
                <w:sz w:val="18"/>
                <w:szCs w:val="18"/>
                <w:lang w:val="sk-SK" w:eastAsia="sk-SK"/>
              </w:rPr>
              <w:t>Prosječna specifična ulaganja (po kvadratnom metru)</w:t>
            </w:r>
          </w:p>
        </w:tc>
        <w:tc>
          <w:tcPr>
            <w:tcW w:w="1594"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2958265A" w14:textId="77777777" w:rsidR="003F7412" w:rsidRDefault="003F7412" w:rsidP="009F2E3A">
            <w:pPr>
              <w:spacing w:after="0"/>
              <w:jc w:val="center"/>
              <w:textAlignment w:val="auto"/>
            </w:pPr>
            <w:r>
              <w:rPr>
                <w:rFonts w:ascii="Calibri Light" w:eastAsia="Calibri Light" w:hAnsi="Calibri Light" w:cs="Calibri Light"/>
                <w:color w:val="000000"/>
                <w:sz w:val="20"/>
                <w:szCs w:val="20"/>
                <w:lang w:val="sk-SK" w:eastAsia="sk-SK"/>
              </w:rPr>
              <w:t>€/m</w:t>
            </w:r>
            <w:r>
              <w:rPr>
                <w:rFonts w:ascii="Calibri Light" w:eastAsia="Calibri Light" w:hAnsi="Calibri Light" w:cs="Calibri Light"/>
                <w:color w:val="000000"/>
                <w:sz w:val="20"/>
                <w:szCs w:val="20"/>
                <w:vertAlign w:val="superscript"/>
                <w:lang w:val="sk-SK" w:eastAsia="sk-SK"/>
              </w:rPr>
              <w:t>2</w:t>
            </w:r>
          </w:p>
        </w:tc>
        <w:tc>
          <w:tcPr>
            <w:tcW w:w="11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5C41759"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108</w:t>
            </w:r>
          </w:p>
        </w:tc>
        <w:tc>
          <w:tcPr>
            <w:tcW w:w="117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EC08434"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96</w:t>
            </w:r>
          </w:p>
        </w:tc>
        <w:tc>
          <w:tcPr>
            <w:tcW w:w="134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7A9C94AE"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135</w:t>
            </w:r>
          </w:p>
        </w:tc>
        <w:tc>
          <w:tcPr>
            <w:tcW w:w="138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400D696" w14:textId="77777777" w:rsidR="003F7412" w:rsidRDefault="003F7412" w:rsidP="009F2E3A">
            <w:pPr>
              <w:spacing w:after="0"/>
              <w:jc w:val="right"/>
              <w:textAlignment w:val="auto"/>
            </w:pPr>
            <w:r>
              <w:rPr>
                <w:rFonts w:ascii="Calibri Light" w:eastAsia="Calibri Light" w:hAnsi="Calibri Light" w:cs="Calibri Light"/>
                <w:b/>
                <w:bCs/>
                <w:color w:val="000000"/>
                <w:sz w:val="20"/>
                <w:szCs w:val="20"/>
                <w:lang w:val="sk-SK" w:eastAsia="sk-SK"/>
              </w:rPr>
              <w:t>116</w:t>
            </w:r>
          </w:p>
        </w:tc>
      </w:tr>
      <w:tr w:rsidR="003F7412" w14:paraId="362FCE50" w14:textId="77777777" w:rsidTr="009F2E3A">
        <w:tc>
          <w:tcPr>
            <w:tcW w:w="2417"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tcPr>
          <w:p w14:paraId="0696644F" w14:textId="77777777" w:rsidR="003F7412" w:rsidRPr="0091029E" w:rsidRDefault="003F7412" w:rsidP="00855F2F">
            <w:pPr>
              <w:spacing w:after="0"/>
              <w:textAlignment w:val="auto"/>
              <w:rPr>
                <w:i/>
                <w:color w:val="FFFFFF" w:themeColor="background1"/>
              </w:rPr>
            </w:pPr>
            <w:r w:rsidRPr="0091029E">
              <w:rPr>
                <w:rFonts w:ascii="Calibri Light" w:eastAsia="Calibri Light" w:hAnsi="Calibri Light" w:cs="Calibri Light"/>
                <w:b/>
                <w:bCs/>
                <w:i/>
                <w:color w:val="FFFFFF" w:themeColor="background1"/>
                <w:sz w:val="18"/>
                <w:szCs w:val="18"/>
                <w:lang w:val="sk-SK" w:eastAsia="sk-SK"/>
              </w:rPr>
              <w:t>Prosječna štednja po uloženom € (rok trajanja)</w:t>
            </w:r>
          </w:p>
        </w:tc>
        <w:tc>
          <w:tcPr>
            <w:tcW w:w="1594"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5292CE70" w14:textId="77777777" w:rsidR="003F7412" w:rsidRDefault="003F7412" w:rsidP="009F2E3A">
            <w:pPr>
              <w:spacing w:after="0"/>
              <w:jc w:val="center"/>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kWh/€</w:t>
            </w:r>
          </w:p>
        </w:tc>
        <w:tc>
          <w:tcPr>
            <w:tcW w:w="11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6506912D"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1.121</w:t>
            </w:r>
          </w:p>
        </w:tc>
        <w:tc>
          <w:tcPr>
            <w:tcW w:w="1171"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7FC5A2B" w14:textId="77777777" w:rsidR="003F7412" w:rsidRDefault="003F7412" w:rsidP="009F2E3A">
            <w:pPr>
              <w:spacing w:after="0"/>
              <w:jc w:val="right"/>
              <w:textAlignment w:val="auto"/>
            </w:pPr>
            <w:r>
              <w:rPr>
                <w:rFonts w:ascii="Calibri Light" w:eastAsia="Calibri Light" w:hAnsi="Calibri Light" w:cs="Calibri Light"/>
                <w:color w:val="000000"/>
                <w:sz w:val="20"/>
                <w:szCs w:val="20"/>
                <w:lang w:val="sk-SK" w:eastAsia="sk-SK"/>
              </w:rPr>
              <w:t>0.995</w:t>
            </w:r>
          </w:p>
        </w:tc>
        <w:tc>
          <w:tcPr>
            <w:tcW w:w="134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371BEFE6" w14:textId="77777777" w:rsidR="003F7412" w:rsidRDefault="003F7412" w:rsidP="009F2E3A">
            <w:pPr>
              <w:spacing w:after="0"/>
              <w:jc w:val="right"/>
              <w:textAlignment w:val="auto"/>
              <w:rPr>
                <w:rFonts w:ascii="Calibri Light" w:eastAsia="Calibri Light" w:hAnsi="Calibri Light" w:cs="Calibri Light"/>
                <w:color w:val="000000"/>
                <w:sz w:val="20"/>
                <w:szCs w:val="20"/>
                <w:lang w:val="sk-SK" w:eastAsia="sk-SK"/>
              </w:rPr>
            </w:pPr>
            <w:r>
              <w:rPr>
                <w:rFonts w:ascii="Calibri Light" w:eastAsia="Calibri Light" w:hAnsi="Calibri Light" w:cs="Calibri Light"/>
                <w:color w:val="000000"/>
                <w:sz w:val="20"/>
                <w:szCs w:val="20"/>
                <w:lang w:val="sk-SK" w:eastAsia="sk-SK"/>
              </w:rPr>
              <w:t>0.733</w:t>
            </w:r>
          </w:p>
        </w:tc>
        <w:tc>
          <w:tcPr>
            <w:tcW w:w="1380"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vAlign w:val="center"/>
          </w:tcPr>
          <w:p w14:paraId="45CF20F2" w14:textId="77777777" w:rsidR="003F7412" w:rsidRDefault="003F7412" w:rsidP="009F2E3A">
            <w:pPr>
              <w:spacing w:after="0"/>
              <w:jc w:val="right"/>
              <w:textAlignment w:val="auto"/>
              <w:rPr>
                <w:rFonts w:ascii="Calibri Light" w:eastAsia="Calibri Light" w:hAnsi="Calibri Light" w:cs="Calibri Light"/>
                <w:b/>
                <w:bCs/>
                <w:color w:val="000000"/>
                <w:sz w:val="20"/>
                <w:szCs w:val="20"/>
                <w:lang w:val="sk-SK" w:eastAsia="sk-SK"/>
              </w:rPr>
            </w:pPr>
            <w:r>
              <w:rPr>
                <w:rFonts w:ascii="Calibri Light" w:eastAsia="Calibri Light" w:hAnsi="Calibri Light" w:cs="Calibri Light"/>
                <w:b/>
                <w:bCs/>
                <w:color w:val="000000"/>
                <w:sz w:val="20"/>
                <w:szCs w:val="20"/>
                <w:lang w:val="sk-SK" w:eastAsia="sk-SK"/>
              </w:rPr>
              <w:t>0.889</w:t>
            </w:r>
          </w:p>
        </w:tc>
      </w:tr>
    </w:tbl>
    <w:p w14:paraId="630AAA34" w14:textId="77777777" w:rsidR="003F7412" w:rsidRDefault="003F7412" w:rsidP="003F7412">
      <w:pPr>
        <w:jc w:val="both"/>
        <w:rPr>
          <w:sz w:val="24"/>
          <w:szCs w:val="24"/>
        </w:rPr>
      </w:pPr>
      <w:r>
        <w:rPr>
          <w:sz w:val="24"/>
          <w:szCs w:val="24"/>
        </w:rPr>
        <w:t>Prema podacima iz „Programa energetske efikasnosti u javnim zgradama (EEPPB - I i II faza) “, ciljne vrijednosti za objekte prema klimatskim zonama su: Sjeverna regija: 150 kVh/m² godišnje; Centralna regija: 125 /m² godišnje; Južna regija 100 /m² godišnje.</w:t>
      </w:r>
    </w:p>
    <w:p w14:paraId="2B30703F" w14:textId="1782327F" w:rsidR="003F7412" w:rsidRDefault="00715D7C" w:rsidP="003F7412">
      <w:pPr>
        <w:jc w:val="both"/>
      </w:pPr>
      <w:r>
        <w:rPr>
          <w:sz w:val="24"/>
          <w:szCs w:val="24"/>
        </w:rPr>
        <w:lastRenderedPageBreak/>
        <w:t>Upoređujući podatke iz Tabele 8</w:t>
      </w:r>
      <w:r w:rsidR="003F7412">
        <w:rPr>
          <w:sz w:val="24"/>
          <w:szCs w:val="24"/>
        </w:rPr>
        <w:t xml:space="preserve"> prosječne specifične potrošnje energije (posle po kvadratnom metru), ove ciljne vrednosti se dostižu u proseku i idu ispod njih i one su: 138.9 kVh /m² godišnje za sjevernu regiju, 125,3 /m² godišnje za centralnu regiju i 93,3 /m² godišnje za južnu regiju.</w:t>
      </w:r>
    </w:p>
    <w:p w14:paraId="7C4EF52D" w14:textId="7D9376C4" w:rsidR="003F7412" w:rsidRDefault="003F7412" w:rsidP="003F7412">
      <w:pPr>
        <w:jc w:val="both"/>
        <w:rPr>
          <w:sz w:val="24"/>
          <w:szCs w:val="24"/>
        </w:rPr>
      </w:pPr>
      <w:r>
        <w:rPr>
          <w:sz w:val="24"/>
          <w:szCs w:val="24"/>
        </w:rPr>
        <w:t>Računi za energiju za osnovne</w:t>
      </w:r>
      <w:r w:rsidR="0070027C">
        <w:rPr>
          <w:sz w:val="24"/>
          <w:szCs w:val="24"/>
        </w:rPr>
        <w:t>,</w:t>
      </w:r>
      <w:r>
        <w:rPr>
          <w:sz w:val="24"/>
          <w:szCs w:val="24"/>
        </w:rPr>
        <w:t xml:space="preserve"> srednje škole</w:t>
      </w:r>
      <w:r w:rsidR="0070027C">
        <w:rPr>
          <w:sz w:val="24"/>
          <w:szCs w:val="24"/>
        </w:rPr>
        <w:t xml:space="preserve"> i kulturne objekte</w:t>
      </w:r>
      <w:r>
        <w:rPr>
          <w:sz w:val="24"/>
          <w:szCs w:val="24"/>
        </w:rPr>
        <w:t xml:space="preserve"> su u nadležnosti Centralne Vlade i plaća ih </w:t>
      </w:r>
      <w:r w:rsidR="0070027C" w:rsidRPr="0070027C">
        <w:rPr>
          <w:sz w:val="24"/>
          <w:szCs w:val="24"/>
        </w:rPr>
        <w:t>Ministarstvo prosvjete, nauke, kulture i sporta</w:t>
      </w:r>
      <w:r w:rsidR="0070027C">
        <w:rPr>
          <w:sz w:val="24"/>
          <w:szCs w:val="24"/>
        </w:rPr>
        <w:t>. Takođe, ovo ministarstvo je</w:t>
      </w:r>
      <w:r>
        <w:rPr>
          <w:sz w:val="24"/>
          <w:szCs w:val="24"/>
        </w:rPr>
        <w:t xml:space="preserve"> preko Fonda za zdravstveno osiguranje zaduženo za plaćanje računa za bolnice i domove zdravlja. Za ostale javne objekte račune plaćaju nadležne institucije, Ministarstvo </w:t>
      </w:r>
      <w:r w:rsidR="0070027C">
        <w:rPr>
          <w:sz w:val="24"/>
          <w:szCs w:val="24"/>
        </w:rPr>
        <w:t xml:space="preserve">finansija I </w:t>
      </w:r>
      <w:r>
        <w:rPr>
          <w:sz w:val="24"/>
          <w:szCs w:val="24"/>
        </w:rPr>
        <w:t>socijaln</w:t>
      </w:r>
      <w:r w:rsidR="0070027C">
        <w:rPr>
          <w:sz w:val="24"/>
          <w:szCs w:val="24"/>
        </w:rPr>
        <w:t>og staranja</w:t>
      </w:r>
      <w:r>
        <w:rPr>
          <w:sz w:val="24"/>
          <w:szCs w:val="24"/>
        </w:rPr>
        <w:t xml:space="preserve"> za društvene objekte, Uprava</w:t>
      </w:r>
      <w:r w:rsidR="0070027C">
        <w:rPr>
          <w:sz w:val="24"/>
          <w:szCs w:val="24"/>
        </w:rPr>
        <w:t xml:space="preserve"> za državni katastar i imovinu</w:t>
      </w:r>
      <w:r>
        <w:rPr>
          <w:sz w:val="24"/>
          <w:szCs w:val="24"/>
        </w:rPr>
        <w:t xml:space="preserve"> za ostale javne objekte koje koristi država, dok su opštinske vlasti zadužene za plaćanje računa za energiju za javne objekte u vlasništvu opština</w:t>
      </w:r>
      <w:r w:rsidR="0070027C">
        <w:rPr>
          <w:sz w:val="24"/>
          <w:szCs w:val="24"/>
        </w:rPr>
        <w:t>.</w:t>
      </w:r>
    </w:p>
    <w:p w14:paraId="7C20CCCF" w14:textId="77777777" w:rsidR="003F7412" w:rsidRDefault="003F7412" w:rsidP="003F7412">
      <w:pPr>
        <w:spacing w:line="240" w:lineRule="atLeast"/>
        <w:jc w:val="both"/>
        <w:rPr>
          <w:sz w:val="24"/>
          <w:szCs w:val="24"/>
          <w:u w:val="single"/>
        </w:rPr>
      </w:pPr>
      <w:r>
        <w:rPr>
          <w:sz w:val="24"/>
          <w:szCs w:val="24"/>
          <w:u w:val="single"/>
        </w:rPr>
        <w:t>Ne postoje zvanično dostupni podaci o postojećem fondu zgrada u Crnoj Gori.</w:t>
      </w:r>
    </w:p>
    <w:p w14:paraId="115E1F02" w14:textId="57586B81" w:rsidR="003F7412" w:rsidRDefault="003F7412" w:rsidP="003F7412">
      <w:pPr>
        <w:spacing w:line="240" w:lineRule="atLeast"/>
        <w:jc w:val="both"/>
      </w:pPr>
      <w:r>
        <w:rPr>
          <w:rFonts w:eastAsia="Calibri Light" w:cs="Calibri Light"/>
          <w:sz w:val="24"/>
          <w:szCs w:val="24"/>
        </w:rPr>
        <w:t>Za procjenu potencijalne uštede energije u javnim zgradama koriste se podaci prikupljeni o javnim zgradama u Crnoj Gori u okviru projekta energetske efikasnosti - MEEP 2 (EE4GreenMNE).</w:t>
      </w:r>
      <w:r>
        <w:rPr>
          <w:rFonts w:eastAsia="Calibri Light" w:cs="Calibri Light"/>
          <w:sz w:val="24"/>
          <w:szCs w:val="24"/>
          <w:vertAlign w:val="superscript"/>
        </w:rPr>
        <w:t xml:space="preserve"> </w:t>
      </w:r>
      <w:r>
        <w:rPr>
          <w:rFonts w:eastAsia="Calibri Light" w:cs="Calibri Light"/>
          <w:sz w:val="24"/>
          <w:szCs w:val="24"/>
          <w:vertAlign w:val="superscript"/>
        </w:rPr>
        <w:footnoteReference w:id="28"/>
      </w:r>
    </w:p>
    <w:p w14:paraId="1D74751E" w14:textId="6CD1B6D2" w:rsidR="003F7412" w:rsidRDefault="003F7412" w:rsidP="003F7412">
      <w:pPr>
        <w:spacing w:line="240" w:lineRule="atLeast"/>
        <w:jc w:val="both"/>
        <w:rPr>
          <w:rFonts w:eastAsia="Calibri Light" w:cs="Calibri Light"/>
          <w:sz w:val="24"/>
          <w:szCs w:val="24"/>
          <w:u w:val="single"/>
        </w:rPr>
      </w:pPr>
      <w:r>
        <w:rPr>
          <w:rFonts w:eastAsia="Calibri Light" w:cs="Calibri Light"/>
          <w:sz w:val="24"/>
          <w:szCs w:val="24"/>
          <w:u w:val="single"/>
        </w:rPr>
        <w:t xml:space="preserve">U prikazanim podacima pojavljuje se određeni broj zgrada nerealno velikih površina (od približno 10.000 </w:t>
      </w:r>
      <w:r w:rsidR="00EB4698" w:rsidRPr="00EB4698">
        <w:rPr>
          <w:rFonts w:cs="Calibri"/>
          <w:sz w:val="24"/>
          <w:szCs w:val="24"/>
          <w:u w:val="single"/>
        </w:rPr>
        <w:t>m</w:t>
      </w:r>
      <w:r w:rsidR="00EB4698" w:rsidRPr="00EB4698">
        <w:rPr>
          <w:rFonts w:cs="Calibri"/>
          <w:sz w:val="24"/>
          <w:szCs w:val="24"/>
          <w:u w:val="single"/>
          <w:vertAlign w:val="superscript"/>
        </w:rPr>
        <w:t>2</w:t>
      </w:r>
      <w:r w:rsidRPr="00EB4698">
        <w:rPr>
          <w:rFonts w:eastAsia="Calibri Light" w:cs="Calibri Light"/>
          <w:sz w:val="24"/>
          <w:szCs w:val="24"/>
          <w:u w:val="single"/>
        </w:rPr>
        <w:t xml:space="preserve"> do 3.009.573 </w:t>
      </w:r>
      <w:r w:rsidR="00EB4698" w:rsidRPr="00EB4698">
        <w:rPr>
          <w:rFonts w:cs="Calibri"/>
          <w:sz w:val="24"/>
          <w:szCs w:val="24"/>
          <w:u w:val="single"/>
        </w:rPr>
        <w:t>m</w:t>
      </w:r>
      <w:r w:rsidR="00EB4698" w:rsidRPr="00EB4698">
        <w:rPr>
          <w:rFonts w:cs="Calibri"/>
          <w:sz w:val="24"/>
          <w:szCs w:val="24"/>
          <w:u w:val="single"/>
          <w:vertAlign w:val="superscript"/>
        </w:rPr>
        <w:t>2</w:t>
      </w:r>
      <w:r>
        <w:rPr>
          <w:rFonts w:eastAsia="Calibri Light" w:cs="Calibri Light"/>
          <w:sz w:val="24"/>
          <w:szCs w:val="24"/>
          <w:u w:val="single"/>
        </w:rPr>
        <w:t>). Takođe se može zaključiti da baza podataka prikazuje podatke kao da se radi o dvije zgrade, ali u stvari je to jedna u okviru koje se nalaze dvije ili više institucija.</w:t>
      </w:r>
    </w:p>
    <w:p w14:paraId="17BDBE04" w14:textId="77777777" w:rsidR="003F7412" w:rsidRPr="00001DE2" w:rsidRDefault="003F7412" w:rsidP="003F7412">
      <w:pPr>
        <w:spacing w:line="240" w:lineRule="atLeast"/>
        <w:jc w:val="both"/>
        <w:rPr>
          <w:rFonts w:eastAsia="Calibri Light" w:cs="Calibri Light"/>
          <w:sz w:val="24"/>
          <w:szCs w:val="24"/>
        </w:rPr>
      </w:pPr>
      <w:r w:rsidRPr="00001DE2">
        <w:rPr>
          <w:rFonts w:eastAsia="Calibri Light" w:cs="Calibri Light"/>
          <w:sz w:val="24"/>
          <w:szCs w:val="24"/>
        </w:rPr>
        <w:t>Radi preciznijeg izračuna energetskog potencijala, ovi objekti su isključeni iz proračuna.</w:t>
      </w:r>
    </w:p>
    <w:p w14:paraId="652F692E" w14:textId="0484BA44" w:rsidR="003F7412" w:rsidRPr="00001DE2" w:rsidRDefault="003F7412" w:rsidP="003F7412">
      <w:pPr>
        <w:spacing w:line="240" w:lineRule="atLeast"/>
        <w:jc w:val="both"/>
      </w:pPr>
      <w:r w:rsidRPr="00001DE2">
        <w:rPr>
          <w:rFonts w:eastAsia="Calibri Light" w:cs="Calibri Light"/>
          <w:sz w:val="24"/>
          <w:szCs w:val="24"/>
        </w:rPr>
        <w:t>Na osnovu informacija prikupljenih iz izvještaja DEA i baze podataka iz projekta EE4GreenMNE, procjena tehničkog i ekonomskog potencijala energetske efikasnosti javnih zgrada po tipu u Crnoj Gori</w:t>
      </w:r>
      <w:r w:rsidRPr="00001DE2">
        <w:rPr>
          <w:rFonts w:ascii="Calibri Light" w:eastAsia="Calibri Light" w:hAnsi="Calibri Light" w:cs="Calibri Light"/>
          <w:sz w:val="24"/>
          <w:szCs w:val="24"/>
        </w:rPr>
        <w:t xml:space="preserve"> </w:t>
      </w:r>
      <w:r w:rsidR="00E623F7" w:rsidRPr="00001DE2">
        <w:rPr>
          <w:rFonts w:eastAsia="Calibri Light" w:cs="Calibri Light"/>
          <w:sz w:val="24"/>
          <w:szCs w:val="24"/>
        </w:rPr>
        <w:t>p</w:t>
      </w:r>
      <w:r w:rsidR="00715D7C">
        <w:rPr>
          <w:rFonts w:eastAsia="Calibri Light" w:cs="Calibri Light"/>
          <w:sz w:val="24"/>
          <w:szCs w:val="24"/>
        </w:rPr>
        <w:t>rikazana je u Tabeli 9</w:t>
      </w:r>
      <w:r w:rsidR="003543A3" w:rsidRPr="00001DE2">
        <w:rPr>
          <w:rFonts w:eastAsia="Calibri Light" w:cs="Calibri Light"/>
          <w:sz w:val="24"/>
          <w:szCs w:val="24"/>
        </w:rPr>
        <w:t>. Ova tabela</w:t>
      </w:r>
      <w:r w:rsidRPr="00001DE2">
        <w:rPr>
          <w:rFonts w:eastAsia="Calibri Light" w:cs="Calibri Light"/>
          <w:sz w:val="24"/>
          <w:szCs w:val="24"/>
        </w:rPr>
        <w:t xml:space="preserve"> ne uključuje podatke o zgradama za koje su urađene DEA.</w:t>
      </w:r>
    </w:p>
    <w:p w14:paraId="66E2FFB9" w14:textId="77777777" w:rsidR="003F7412" w:rsidRDefault="003F7412" w:rsidP="003F7412">
      <w:pPr>
        <w:spacing w:line="240" w:lineRule="atLeast"/>
        <w:jc w:val="both"/>
        <w:rPr>
          <w:b/>
          <w:bCs/>
          <w:caps/>
          <w:color w:val="1F3864"/>
          <w:sz w:val="20"/>
          <w:szCs w:val="20"/>
        </w:rPr>
      </w:pPr>
    </w:p>
    <w:p w14:paraId="2D793945" w14:textId="77777777" w:rsidR="003F7412" w:rsidRDefault="003F7412" w:rsidP="003F7412">
      <w:pPr>
        <w:spacing w:line="240" w:lineRule="atLeast"/>
        <w:jc w:val="both"/>
        <w:rPr>
          <w:b/>
          <w:bCs/>
          <w:caps/>
          <w:color w:val="1F3864"/>
          <w:sz w:val="20"/>
          <w:szCs w:val="20"/>
        </w:rPr>
      </w:pPr>
    </w:p>
    <w:p w14:paraId="1E96D679" w14:textId="77777777" w:rsidR="003F7412" w:rsidRDefault="003F7412" w:rsidP="003F7412">
      <w:pPr>
        <w:spacing w:line="240" w:lineRule="atLeast"/>
        <w:jc w:val="both"/>
        <w:rPr>
          <w:b/>
          <w:bCs/>
          <w:caps/>
          <w:color w:val="1F3864"/>
          <w:sz w:val="20"/>
          <w:szCs w:val="20"/>
        </w:rPr>
      </w:pPr>
    </w:p>
    <w:p w14:paraId="1BAEA199" w14:textId="77777777" w:rsidR="003F7412" w:rsidRDefault="003F7412" w:rsidP="003F7412">
      <w:pPr>
        <w:spacing w:line="240" w:lineRule="atLeast"/>
        <w:jc w:val="both"/>
        <w:rPr>
          <w:b/>
          <w:bCs/>
          <w:caps/>
          <w:color w:val="1F3864"/>
          <w:sz w:val="20"/>
          <w:szCs w:val="20"/>
        </w:rPr>
      </w:pPr>
    </w:p>
    <w:p w14:paraId="157A228E" w14:textId="77777777" w:rsidR="003F7412" w:rsidRDefault="003F7412" w:rsidP="003F7412">
      <w:pPr>
        <w:spacing w:line="240" w:lineRule="atLeast"/>
        <w:jc w:val="both"/>
        <w:rPr>
          <w:b/>
          <w:bCs/>
          <w:caps/>
          <w:color w:val="1F3864"/>
          <w:sz w:val="20"/>
          <w:szCs w:val="20"/>
        </w:rPr>
      </w:pPr>
    </w:p>
    <w:p w14:paraId="098C6F5D" w14:textId="77777777" w:rsidR="003F7412" w:rsidRDefault="003F7412" w:rsidP="003F7412">
      <w:pPr>
        <w:spacing w:line="240" w:lineRule="atLeast"/>
        <w:jc w:val="both"/>
        <w:rPr>
          <w:b/>
          <w:bCs/>
          <w:caps/>
          <w:color w:val="1F3864"/>
          <w:sz w:val="20"/>
          <w:szCs w:val="20"/>
        </w:rPr>
      </w:pPr>
    </w:p>
    <w:p w14:paraId="6B990B17" w14:textId="77777777" w:rsidR="003F7412" w:rsidRDefault="003F7412" w:rsidP="003F7412">
      <w:pPr>
        <w:spacing w:line="240" w:lineRule="atLeast"/>
        <w:jc w:val="both"/>
        <w:rPr>
          <w:b/>
          <w:bCs/>
          <w:caps/>
          <w:color w:val="1F3864"/>
          <w:sz w:val="20"/>
          <w:szCs w:val="20"/>
        </w:rPr>
        <w:sectPr w:rsidR="003F7412">
          <w:headerReference w:type="default" r:id="rId43"/>
          <w:pgSz w:w="11906" w:h="16838"/>
          <w:pgMar w:top="1440" w:right="1440" w:bottom="1440" w:left="1440" w:header="720" w:footer="720" w:gutter="0"/>
          <w:cols w:space="720"/>
        </w:sectPr>
      </w:pPr>
      <w:bookmarkStart w:id="73" w:name="_Toc63146822"/>
    </w:p>
    <w:p w14:paraId="694B560F" w14:textId="1C3C5481" w:rsidR="003F7412" w:rsidRPr="000C7E97" w:rsidRDefault="000C7E97" w:rsidP="00517F54">
      <w:pPr>
        <w:pStyle w:val="Caption"/>
        <w:keepNext/>
        <w:jc w:val="center"/>
        <w:rPr>
          <w:rFonts w:ascii="Calibri" w:hAnsi="Calibri"/>
          <w:color w:val="0D0D0D" w:themeColor="text1" w:themeTint="F2"/>
          <w:sz w:val="22"/>
          <w:szCs w:val="22"/>
        </w:rPr>
      </w:pPr>
      <w:bookmarkStart w:id="74" w:name="_Toc82415542"/>
      <w:r>
        <w:rPr>
          <w:rFonts w:ascii="Calibri" w:hAnsi="Calibri"/>
          <w:color w:val="0D0D0D" w:themeColor="text1" w:themeTint="F2"/>
          <w:sz w:val="22"/>
          <w:szCs w:val="22"/>
        </w:rPr>
        <w:lastRenderedPageBreak/>
        <w:t>Tabela</w:t>
      </w:r>
      <w:r w:rsidRPr="000C7E97">
        <w:rPr>
          <w:rFonts w:ascii="Calibri" w:hAnsi="Calibri"/>
          <w:color w:val="0D0D0D" w:themeColor="text1" w:themeTint="F2"/>
          <w:sz w:val="22"/>
          <w:szCs w:val="22"/>
        </w:rPr>
        <w:t xml:space="preserve"> </w:t>
      </w:r>
      <w:r w:rsidRPr="000C7E97">
        <w:rPr>
          <w:rFonts w:ascii="Calibri" w:hAnsi="Calibri"/>
          <w:color w:val="0D0D0D" w:themeColor="text1" w:themeTint="F2"/>
          <w:sz w:val="22"/>
          <w:szCs w:val="22"/>
        </w:rPr>
        <w:fldChar w:fldCharType="begin"/>
      </w:r>
      <w:r w:rsidRPr="000C7E97">
        <w:rPr>
          <w:rFonts w:ascii="Calibri" w:hAnsi="Calibri"/>
          <w:color w:val="0D0D0D" w:themeColor="text1" w:themeTint="F2"/>
          <w:sz w:val="22"/>
          <w:szCs w:val="22"/>
        </w:rPr>
        <w:instrText xml:space="preserve"> SEQ Table \* ARABIC </w:instrText>
      </w:r>
      <w:r w:rsidRPr="000C7E97">
        <w:rPr>
          <w:rFonts w:ascii="Calibri" w:hAnsi="Calibri"/>
          <w:color w:val="0D0D0D" w:themeColor="text1" w:themeTint="F2"/>
          <w:sz w:val="22"/>
          <w:szCs w:val="22"/>
        </w:rPr>
        <w:fldChar w:fldCharType="separate"/>
      </w:r>
      <w:r w:rsidR="002E7036">
        <w:rPr>
          <w:rFonts w:ascii="Calibri" w:hAnsi="Calibri"/>
          <w:noProof/>
          <w:color w:val="0D0D0D" w:themeColor="text1" w:themeTint="F2"/>
          <w:sz w:val="22"/>
          <w:szCs w:val="22"/>
        </w:rPr>
        <w:t>9</w:t>
      </w:r>
      <w:r w:rsidRPr="000C7E97">
        <w:rPr>
          <w:rFonts w:ascii="Calibri" w:hAnsi="Calibri"/>
          <w:color w:val="0D0D0D" w:themeColor="text1" w:themeTint="F2"/>
          <w:sz w:val="22"/>
          <w:szCs w:val="22"/>
        </w:rPr>
        <w:fldChar w:fldCharType="end"/>
      </w:r>
      <w:bookmarkEnd w:id="73"/>
      <w:r w:rsidRPr="000C7E97">
        <w:rPr>
          <w:rFonts w:ascii="Calibri" w:hAnsi="Calibri"/>
          <w:bCs/>
          <w:color w:val="0D0D0D" w:themeColor="text1" w:themeTint="F2"/>
          <w:sz w:val="22"/>
          <w:szCs w:val="22"/>
        </w:rPr>
        <w:t xml:space="preserve"> </w:t>
      </w:r>
      <w:r>
        <w:rPr>
          <w:rFonts w:ascii="Calibri" w:hAnsi="Calibri" w:cs="Calibri"/>
          <w:bCs/>
          <w:color w:val="0D0D0D" w:themeColor="text1" w:themeTint="F2"/>
          <w:sz w:val="22"/>
          <w:szCs w:val="22"/>
        </w:rPr>
        <w:t>P</w:t>
      </w:r>
      <w:r w:rsidRPr="000C7E97">
        <w:rPr>
          <w:rFonts w:ascii="Calibri" w:hAnsi="Calibri" w:cs="Calibri"/>
          <w:bCs/>
          <w:color w:val="0D0D0D" w:themeColor="text1" w:themeTint="F2"/>
          <w:sz w:val="22"/>
          <w:szCs w:val="22"/>
        </w:rPr>
        <w:t>otencijal za ušted</w:t>
      </w:r>
      <w:r>
        <w:rPr>
          <w:rFonts w:ascii="Calibri" w:hAnsi="Calibri" w:cs="Calibri"/>
          <w:bCs/>
          <w:color w:val="0D0D0D" w:themeColor="text1" w:themeTint="F2"/>
          <w:sz w:val="22"/>
          <w:szCs w:val="22"/>
        </w:rPr>
        <w:t>u energije u javnim zgradama u Crnoj G</w:t>
      </w:r>
      <w:r w:rsidRPr="000C7E97">
        <w:rPr>
          <w:rFonts w:ascii="Calibri" w:hAnsi="Calibri" w:cs="Calibri"/>
          <w:bCs/>
          <w:color w:val="0D0D0D" w:themeColor="text1" w:themeTint="F2"/>
          <w:sz w:val="22"/>
          <w:szCs w:val="22"/>
        </w:rPr>
        <w:t>ori</w:t>
      </w:r>
      <w:bookmarkEnd w:id="74"/>
    </w:p>
    <w:tbl>
      <w:tblPr>
        <w:tblW w:w="5282" w:type="pct"/>
        <w:tblInd w:w="-294" w:type="dxa"/>
        <w:tblLayout w:type="fixed"/>
        <w:tblCellMar>
          <w:left w:w="10" w:type="dxa"/>
          <w:right w:w="10" w:type="dxa"/>
        </w:tblCellMar>
        <w:tblLook w:val="0000" w:firstRow="0" w:lastRow="0" w:firstColumn="0" w:lastColumn="0" w:noHBand="0" w:noVBand="0"/>
      </w:tblPr>
      <w:tblGrid>
        <w:gridCol w:w="1665"/>
        <w:gridCol w:w="1096"/>
        <w:gridCol w:w="1317"/>
        <w:gridCol w:w="1204"/>
        <w:gridCol w:w="1204"/>
        <w:gridCol w:w="1009"/>
        <w:gridCol w:w="1120"/>
        <w:gridCol w:w="1292"/>
        <w:gridCol w:w="1300"/>
        <w:gridCol w:w="1296"/>
        <w:gridCol w:w="1152"/>
        <w:gridCol w:w="1069"/>
      </w:tblGrid>
      <w:tr w:rsidR="003E3117" w14:paraId="7F030A18" w14:textId="77777777" w:rsidTr="003E3117">
        <w:trPr>
          <w:trHeight w:val="2785"/>
        </w:trPr>
        <w:tc>
          <w:tcPr>
            <w:tcW w:w="1666"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0A315C16" w14:textId="77777777" w:rsidR="003F7412" w:rsidRPr="0091029E" w:rsidRDefault="003F7412" w:rsidP="00855F2F">
            <w:pPr>
              <w:rPr>
                <w:rFonts w:ascii="Calibri Light" w:eastAsia="Calibri Light" w:hAnsi="Calibri Light" w:cs="Calibri Light"/>
                <w:b/>
                <w:i/>
                <w:color w:val="FFFFFF" w:themeColor="background1"/>
                <w:sz w:val="20"/>
                <w:szCs w:val="20"/>
              </w:rPr>
            </w:pPr>
            <w:r w:rsidRPr="0091029E">
              <w:rPr>
                <w:rFonts w:ascii="Calibri Light" w:eastAsia="Calibri Light" w:hAnsi="Calibri Light" w:cs="Calibri Light"/>
                <w:b/>
                <w:i/>
                <w:color w:val="FFFFFF" w:themeColor="background1"/>
                <w:sz w:val="20"/>
                <w:szCs w:val="20"/>
              </w:rPr>
              <w:t>Tip zgrade</w:t>
            </w:r>
          </w:p>
        </w:tc>
        <w:tc>
          <w:tcPr>
            <w:tcW w:w="1096" w:type="dxa"/>
            <w:tcBorders>
              <w:top w:val="single" w:sz="8" w:space="0" w:color="000000"/>
              <w:left w:val="single" w:sz="8" w:space="0" w:color="000000"/>
              <w:bottom w:val="single" w:sz="8" w:space="0" w:color="000000"/>
            </w:tcBorders>
            <w:shd w:val="clear" w:color="auto" w:fill="2E74B5" w:themeFill="accent1" w:themeFillShade="BF"/>
            <w:tcMar>
              <w:top w:w="0" w:type="dxa"/>
              <w:left w:w="108" w:type="dxa"/>
              <w:bottom w:w="0" w:type="dxa"/>
              <w:right w:w="108" w:type="dxa"/>
            </w:tcMar>
            <w:vAlign w:val="center"/>
          </w:tcPr>
          <w:p w14:paraId="22A67B48" w14:textId="77777777" w:rsidR="003F7412" w:rsidRPr="0091029E" w:rsidRDefault="003F7412" w:rsidP="00855F2F">
            <w:pPr>
              <w:jc w:val="center"/>
              <w:rPr>
                <w:i/>
                <w:color w:val="FFFFFF" w:themeColor="background1"/>
              </w:rPr>
            </w:pPr>
            <w:r w:rsidRPr="0091029E">
              <w:rPr>
                <w:rFonts w:ascii="Calibri Light" w:eastAsia="Calibri Light" w:hAnsi="Calibri Light" w:cs="Calibri Light"/>
                <w:b/>
                <w:i/>
                <w:color w:val="FFFFFF" w:themeColor="background1"/>
                <w:sz w:val="20"/>
                <w:szCs w:val="20"/>
              </w:rPr>
              <w:t>Grijna površina [m</w:t>
            </w:r>
            <w:r w:rsidRPr="0091029E">
              <w:rPr>
                <w:rFonts w:ascii="Calibri Light" w:eastAsia="Calibri Light" w:hAnsi="Calibri Light" w:cs="Calibri Light"/>
                <w:b/>
                <w:i/>
                <w:color w:val="FFFFFF" w:themeColor="background1"/>
                <w:sz w:val="20"/>
                <w:szCs w:val="20"/>
                <w:vertAlign w:val="superscript"/>
              </w:rPr>
              <w:t>2</w:t>
            </w:r>
            <w:r w:rsidRPr="0091029E">
              <w:rPr>
                <w:rFonts w:ascii="Calibri Light" w:eastAsia="Calibri Light" w:hAnsi="Calibri Light" w:cs="Calibri Light"/>
                <w:b/>
                <w:i/>
                <w:color w:val="FFFFFF" w:themeColor="background1"/>
                <w:sz w:val="20"/>
                <w:szCs w:val="20"/>
              </w:rPr>
              <w:t>]</w:t>
            </w:r>
          </w:p>
        </w:tc>
        <w:tc>
          <w:tcPr>
            <w:tcW w:w="1317"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67D430FA" w14:textId="77777777" w:rsidR="003F7412" w:rsidRPr="0091029E" w:rsidRDefault="003F7412" w:rsidP="00855F2F">
            <w:pPr>
              <w:jc w:val="center"/>
              <w:rPr>
                <w:rFonts w:ascii="Calibri Light" w:eastAsia="Calibri Light" w:hAnsi="Calibri Light" w:cs="Calibri Light"/>
                <w:b/>
                <w:i/>
                <w:color w:val="FFFFFF" w:themeColor="background1"/>
                <w:sz w:val="20"/>
                <w:szCs w:val="20"/>
              </w:rPr>
            </w:pPr>
            <w:r w:rsidRPr="0091029E">
              <w:rPr>
                <w:rFonts w:ascii="Calibri Light" w:eastAsia="Calibri Light" w:hAnsi="Calibri Light" w:cs="Calibri Light"/>
                <w:b/>
                <w:i/>
                <w:color w:val="FFFFFF" w:themeColor="background1"/>
                <w:sz w:val="20"/>
                <w:szCs w:val="20"/>
              </w:rPr>
              <w:t>Ukupna potrošnja energije [MWh]</w:t>
            </w:r>
          </w:p>
        </w:tc>
        <w:tc>
          <w:tcPr>
            <w:tcW w:w="1204"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5267CD06" w14:textId="77777777" w:rsidR="003F7412" w:rsidRPr="0091029E" w:rsidRDefault="003F7412" w:rsidP="00855F2F">
            <w:pPr>
              <w:jc w:val="center"/>
              <w:rPr>
                <w:i/>
                <w:color w:val="FFFFFF" w:themeColor="background1"/>
              </w:rPr>
            </w:pPr>
            <w:r w:rsidRPr="0091029E">
              <w:rPr>
                <w:rFonts w:ascii="Calibri Light" w:eastAsia="Calibri Light" w:hAnsi="Calibri Light" w:cs="Calibri Light"/>
                <w:b/>
                <w:i/>
                <w:color w:val="FFFFFF" w:themeColor="background1"/>
                <w:sz w:val="20"/>
                <w:szCs w:val="20"/>
              </w:rPr>
              <w:t>Potrošnja energije po kvadratnom metru [kWh/m</w:t>
            </w:r>
            <w:r w:rsidRPr="0091029E">
              <w:rPr>
                <w:rFonts w:ascii="Calibri Light" w:eastAsia="Calibri Light" w:hAnsi="Calibri Light" w:cs="Calibri Light"/>
                <w:b/>
                <w:i/>
                <w:color w:val="FFFFFF" w:themeColor="background1"/>
                <w:sz w:val="20"/>
                <w:szCs w:val="20"/>
                <w:vertAlign w:val="superscript"/>
              </w:rPr>
              <w:t>2</w:t>
            </w:r>
            <w:r w:rsidRPr="0091029E">
              <w:rPr>
                <w:rFonts w:ascii="Calibri Light" w:eastAsia="Calibri Light" w:hAnsi="Calibri Light" w:cs="Calibri Light"/>
                <w:b/>
                <w:i/>
                <w:color w:val="FFFFFF" w:themeColor="background1"/>
                <w:sz w:val="20"/>
                <w:szCs w:val="20"/>
              </w:rPr>
              <w:t>godina]</w:t>
            </w:r>
          </w:p>
        </w:tc>
        <w:tc>
          <w:tcPr>
            <w:tcW w:w="1204"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73312FBA" w14:textId="77777777" w:rsidR="003F7412" w:rsidRPr="0091029E" w:rsidRDefault="003F7412" w:rsidP="00855F2F">
            <w:pPr>
              <w:jc w:val="center"/>
              <w:rPr>
                <w:rFonts w:ascii="Calibri Light" w:eastAsia="Calibri Light" w:hAnsi="Calibri Light" w:cs="Calibri Light"/>
                <w:b/>
                <w:i/>
                <w:color w:val="FFFFFF" w:themeColor="background1"/>
                <w:sz w:val="20"/>
                <w:szCs w:val="20"/>
              </w:rPr>
            </w:pPr>
            <w:r w:rsidRPr="0091029E">
              <w:rPr>
                <w:rFonts w:ascii="Calibri Light" w:eastAsia="Calibri Light" w:hAnsi="Calibri Light" w:cs="Calibri Light"/>
                <w:b/>
                <w:i/>
                <w:color w:val="FFFFFF" w:themeColor="background1"/>
                <w:sz w:val="20"/>
                <w:szCs w:val="20"/>
              </w:rPr>
              <w:t>Ukupni troškovi energije [€]</w:t>
            </w:r>
          </w:p>
        </w:tc>
        <w:tc>
          <w:tcPr>
            <w:tcW w:w="1009"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4100D686" w14:textId="77777777" w:rsidR="003F7412" w:rsidRPr="0091029E" w:rsidRDefault="003F7412" w:rsidP="00855F2F">
            <w:pPr>
              <w:jc w:val="center"/>
              <w:rPr>
                <w:i/>
                <w:color w:val="FFFFFF" w:themeColor="background1"/>
              </w:rPr>
            </w:pPr>
            <w:r w:rsidRPr="0091029E">
              <w:rPr>
                <w:rFonts w:ascii="Calibri Light" w:eastAsia="Calibri Light" w:hAnsi="Calibri Light" w:cs="Calibri Light"/>
                <w:b/>
                <w:i/>
                <w:color w:val="FFFFFF" w:themeColor="background1"/>
                <w:sz w:val="20"/>
                <w:szCs w:val="20"/>
              </w:rPr>
              <w:t>Specifični troškovi energije [€/m</w:t>
            </w:r>
            <w:r w:rsidRPr="0091029E">
              <w:rPr>
                <w:rFonts w:ascii="Calibri Light" w:eastAsia="Calibri Light" w:hAnsi="Calibri Light" w:cs="Calibri Light"/>
                <w:b/>
                <w:i/>
                <w:color w:val="FFFFFF" w:themeColor="background1"/>
                <w:sz w:val="20"/>
                <w:szCs w:val="20"/>
                <w:vertAlign w:val="superscript"/>
              </w:rPr>
              <w:t>2</w:t>
            </w:r>
            <w:r w:rsidRPr="0091029E">
              <w:rPr>
                <w:rFonts w:ascii="Calibri Light" w:eastAsia="Calibri Light" w:hAnsi="Calibri Light" w:cs="Calibri Light"/>
                <w:b/>
                <w:i/>
                <w:color w:val="FFFFFF" w:themeColor="background1"/>
                <w:sz w:val="20"/>
                <w:szCs w:val="20"/>
              </w:rPr>
              <w:t>godina]</w:t>
            </w:r>
          </w:p>
        </w:tc>
        <w:tc>
          <w:tcPr>
            <w:tcW w:w="112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5832B882" w14:textId="77777777" w:rsidR="003F7412" w:rsidRPr="0091029E" w:rsidRDefault="003F7412" w:rsidP="00855F2F">
            <w:pPr>
              <w:jc w:val="center"/>
              <w:rPr>
                <w:i/>
                <w:color w:val="FFFFFF" w:themeColor="background1"/>
              </w:rPr>
            </w:pPr>
            <w:r w:rsidRPr="0091029E">
              <w:rPr>
                <w:rFonts w:ascii="Calibri Light" w:eastAsia="Calibri Light" w:hAnsi="Calibri Light" w:cs="Calibri Light"/>
                <w:b/>
                <w:i/>
                <w:color w:val="FFFFFF" w:themeColor="background1"/>
                <w:sz w:val="20"/>
                <w:szCs w:val="20"/>
              </w:rPr>
              <w:t>Prosječne grijane površine (po objektu) [m</w:t>
            </w:r>
            <w:r w:rsidRPr="0091029E">
              <w:rPr>
                <w:rFonts w:ascii="Calibri Light" w:eastAsia="Calibri Light" w:hAnsi="Calibri Light" w:cs="Calibri Light"/>
                <w:b/>
                <w:i/>
                <w:color w:val="FFFFFF" w:themeColor="background1"/>
                <w:sz w:val="20"/>
                <w:szCs w:val="20"/>
                <w:vertAlign w:val="superscript"/>
              </w:rPr>
              <w:t>2</w:t>
            </w:r>
            <w:r w:rsidRPr="0091029E">
              <w:rPr>
                <w:rFonts w:ascii="Calibri Light" w:eastAsia="Calibri Light" w:hAnsi="Calibri Light" w:cs="Calibri Light"/>
                <w:b/>
                <w:i/>
                <w:color w:val="FFFFFF" w:themeColor="background1"/>
                <w:sz w:val="20"/>
                <w:szCs w:val="20"/>
              </w:rPr>
              <w:t>]</w:t>
            </w:r>
          </w:p>
        </w:tc>
        <w:tc>
          <w:tcPr>
            <w:tcW w:w="1292"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2CDD274C" w14:textId="77777777" w:rsidR="003F7412" w:rsidRPr="0091029E" w:rsidRDefault="003F7412" w:rsidP="00855F2F">
            <w:pPr>
              <w:jc w:val="center"/>
              <w:rPr>
                <w:rFonts w:ascii="Calibri Light" w:eastAsia="Calibri Light" w:hAnsi="Calibri Light" w:cs="Calibri Light"/>
                <w:b/>
                <w:i/>
                <w:color w:val="FFFFFF" w:themeColor="background1"/>
                <w:sz w:val="20"/>
                <w:szCs w:val="20"/>
              </w:rPr>
            </w:pPr>
            <w:r w:rsidRPr="0091029E">
              <w:rPr>
                <w:rFonts w:ascii="Calibri Light" w:eastAsia="Calibri Light" w:hAnsi="Calibri Light" w:cs="Calibri Light"/>
                <w:b/>
                <w:i/>
                <w:color w:val="FFFFFF" w:themeColor="background1"/>
                <w:sz w:val="20"/>
                <w:szCs w:val="20"/>
              </w:rPr>
              <w:t>Potrebna ulaganja [€]</w:t>
            </w:r>
          </w:p>
        </w:tc>
        <w:tc>
          <w:tcPr>
            <w:tcW w:w="1300"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3B3960CE" w14:textId="77777777" w:rsidR="003F7412" w:rsidRPr="0091029E" w:rsidRDefault="003F7412" w:rsidP="00855F2F">
            <w:pPr>
              <w:jc w:val="center"/>
              <w:rPr>
                <w:rFonts w:ascii="Calibri Light" w:eastAsia="Calibri Light" w:hAnsi="Calibri Light" w:cs="Calibri Light"/>
                <w:b/>
                <w:i/>
                <w:color w:val="FFFFFF" w:themeColor="background1"/>
                <w:sz w:val="20"/>
                <w:szCs w:val="20"/>
              </w:rPr>
            </w:pPr>
            <w:r w:rsidRPr="0091029E">
              <w:rPr>
                <w:rFonts w:ascii="Calibri Light" w:eastAsia="Calibri Light" w:hAnsi="Calibri Light" w:cs="Calibri Light"/>
                <w:b/>
                <w:i/>
                <w:color w:val="FFFFFF" w:themeColor="background1"/>
                <w:sz w:val="20"/>
                <w:szCs w:val="20"/>
              </w:rPr>
              <w:t>Ušteda po kvadratnom metru</w:t>
            </w:r>
          </w:p>
        </w:tc>
        <w:tc>
          <w:tcPr>
            <w:tcW w:w="1296"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2343A2A4" w14:textId="77777777" w:rsidR="003F7412" w:rsidRPr="0091029E" w:rsidRDefault="003F7412" w:rsidP="00855F2F">
            <w:pPr>
              <w:jc w:val="center"/>
              <w:rPr>
                <w:rFonts w:ascii="Calibri Light" w:eastAsia="Calibri Light" w:hAnsi="Calibri Light" w:cs="Calibri Light"/>
                <w:b/>
                <w:i/>
                <w:color w:val="FFFFFF" w:themeColor="background1"/>
                <w:sz w:val="20"/>
                <w:szCs w:val="20"/>
              </w:rPr>
            </w:pPr>
            <w:r w:rsidRPr="0091029E">
              <w:rPr>
                <w:rFonts w:ascii="Calibri Light" w:eastAsia="Calibri Light" w:hAnsi="Calibri Light" w:cs="Calibri Light"/>
                <w:b/>
                <w:i/>
                <w:color w:val="FFFFFF" w:themeColor="background1"/>
                <w:sz w:val="20"/>
                <w:szCs w:val="20"/>
              </w:rPr>
              <w:t xml:space="preserve">Potencijalna ušteda troškova [€] </w:t>
            </w:r>
          </w:p>
        </w:tc>
        <w:tc>
          <w:tcPr>
            <w:tcW w:w="1152"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74C34551" w14:textId="77777777" w:rsidR="003F7412" w:rsidRPr="0091029E" w:rsidRDefault="003F7412" w:rsidP="00855F2F">
            <w:pPr>
              <w:jc w:val="center"/>
              <w:rPr>
                <w:rFonts w:ascii="Calibri Light" w:eastAsia="Calibri Light" w:hAnsi="Calibri Light" w:cs="Calibri Light"/>
                <w:b/>
                <w:i/>
                <w:color w:val="FFFFFF" w:themeColor="background1"/>
                <w:sz w:val="20"/>
                <w:szCs w:val="20"/>
              </w:rPr>
            </w:pPr>
            <w:r w:rsidRPr="0091029E">
              <w:rPr>
                <w:rFonts w:ascii="Calibri Light" w:eastAsia="Calibri Light" w:hAnsi="Calibri Light" w:cs="Calibri Light"/>
                <w:b/>
                <w:i/>
                <w:color w:val="FFFFFF" w:themeColor="background1"/>
                <w:sz w:val="20"/>
                <w:szCs w:val="20"/>
              </w:rPr>
              <w:t>Prosječan poeriod povrata investicije[godišnje]</w:t>
            </w:r>
          </w:p>
        </w:tc>
        <w:tc>
          <w:tcPr>
            <w:tcW w:w="1069"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0247292B" w14:textId="77777777" w:rsidR="003F7412" w:rsidRPr="0091029E" w:rsidRDefault="003F7412" w:rsidP="00855F2F">
            <w:pPr>
              <w:jc w:val="center"/>
              <w:rPr>
                <w:rFonts w:ascii="Calibri Light" w:eastAsia="Calibri Light" w:hAnsi="Calibri Light" w:cs="Calibri Light"/>
                <w:b/>
                <w:i/>
                <w:color w:val="FFFFFF" w:themeColor="background1"/>
                <w:sz w:val="20"/>
                <w:szCs w:val="20"/>
              </w:rPr>
            </w:pPr>
            <w:r w:rsidRPr="0091029E">
              <w:rPr>
                <w:rFonts w:ascii="Calibri Light" w:eastAsia="Calibri Light" w:hAnsi="Calibri Light" w:cs="Calibri Light"/>
                <w:b/>
                <w:i/>
                <w:color w:val="FFFFFF" w:themeColor="background1"/>
                <w:sz w:val="20"/>
                <w:szCs w:val="20"/>
              </w:rPr>
              <w:t>Ušteda po uloženom dolaru [kWh/€]</w:t>
            </w:r>
          </w:p>
        </w:tc>
      </w:tr>
      <w:tr w:rsidR="003F7412" w14:paraId="26E96BD7" w14:textId="77777777" w:rsidTr="003E3117">
        <w:trPr>
          <w:trHeight w:val="1176"/>
        </w:trPr>
        <w:tc>
          <w:tcPr>
            <w:tcW w:w="1666"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32A732C2" w14:textId="77777777" w:rsidR="003F7412" w:rsidRPr="0091029E" w:rsidRDefault="003F7412" w:rsidP="00855F2F">
            <w:pPr>
              <w:rPr>
                <w:i/>
                <w:color w:val="FFFFFF" w:themeColor="background1"/>
              </w:rPr>
            </w:pPr>
            <w:r w:rsidRPr="0091029E">
              <w:rPr>
                <w:rFonts w:ascii="Calibri Light" w:eastAsia="Calibri Light" w:hAnsi="Calibri Light" w:cs="Calibri Light"/>
                <w:b/>
                <w:i/>
                <w:color w:val="FFFFFF" w:themeColor="background1"/>
                <w:sz w:val="20"/>
                <w:szCs w:val="20"/>
              </w:rPr>
              <w:t>Administrativni I kulturni</w:t>
            </w:r>
          </w:p>
        </w:tc>
        <w:tc>
          <w:tcPr>
            <w:tcW w:w="10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530694"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317,409</w:t>
            </w:r>
          </w:p>
        </w:tc>
        <w:tc>
          <w:tcPr>
            <w:tcW w:w="13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304E42"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55,059,635</w:t>
            </w: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F37026E"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173</w:t>
            </w: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65289A"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6,602,712</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D37257"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21</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D637A4"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925</w:t>
            </w:r>
          </w:p>
        </w:tc>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E2165B7"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28,059,418</w:t>
            </w: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2482732"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77.3</w:t>
            </w:r>
          </w:p>
        </w:tc>
        <w:tc>
          <w:tcPr>
            <w:tcW w:w="1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514A3FA"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2,943,626</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3E35623"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9.5</w:t>
            </w:r>
          </w:p>
        </w:tc>
        <w:tc>
          <w:tcPr>
            <w:tcW w:w="10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6C258D"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0.875</w:t>
            </w:r>
          </w:p>
        </w:tc>
      </w:tr>
      <w:tr w:rsidR="003F7412" w14:paraId="6A71399C" w14:textId="77777777" w:rsidTr="003E3117">
        <w:trPr>
          <w:trHeight w:val="602"/>
        </w:trPr>
        <w:tc>
          <w:tcPr>
            <w:tcW w:w="1666"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63DAD3DF" w14:textId="77777777" w:rsidR="003F7412" w:rsidRPr="0091029E" w:rsidRDefault="003F7412" w:rsidP="00855F2F">
            <w:pPr>
              <w:rPr>
                <w:i/>
                <w:color w:val="FFFFFF" w:themeColor="background1"/>
              </w:rPr>
            </w:pPr>
            <w:r w:rsidRPr="0091029E">
              <w:rPr>
                <w:rFonts w:ascii="Calibri Light" w:eastAsia="Calibri Light" w:hAnsi="Calibri Light" w:cs="Calibri Light"/>
                <w:b/>
                <w:i/>
                <w:color w:val="FFFFFF" w:themeColor="background1"/>
                <w:sz w:val="20"/>
                <w:szCs w:val="20"/>
              </w:rPr>
              <w:t>Obrazovni</w:t>
            </w:r>
          </w:p>
        </w:tc>
        <w:tc>
          <w:tcPr>
            <w:tcW w:w="10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FEF7C3"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440,433</w:t>
            </w:r>
          </w:p>
        </w:tc>
        <w:tc>
          <w:tcPr>
            <w:tcW w:w="13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73E74E"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89,032,605</w:t>
            </w: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7D71A7"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202</w:t>
            </w: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7DF718"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9,495,312</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7D5559"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22</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3FF419"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1,159</w:t>
            </w:r>
          </w:p>
        </w:tc>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8448D6"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60,583,600</w:t>
            </w: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7EB06D7"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116.7</w:t>
            </w:r>
          </w:p>
        </w:tc>
        <w:tc>
          <w:tcPr>
            <w:tcW w:w="1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7262CA"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5,479,933</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5449C73"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11.1</w:t>
            </w:r>
          </w:p>
        </w:tc>
        <w:tc>
          <w:tcPr>
            <w:tcW w:w="10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32C30A"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0.848</w:t>
            </w:r>
          </w:p>
        </w:tc>
      </w:tr>
      <w:tr w:rsidR="003F7412" w14:paraId="79023C5B" w14:textId="77777777" w:rsidTr="003E3117">
        <w:trPr>
          <w:trHeight w:val="602"/>
        </w:trPr>
        <w:tc>
          <w:tcPr>
            <w:tcW w:w="1666"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14BC13DB" w14:textId="77777777" w:rsidR="003F7412" w:rsidRPr="0091029E" w:rsidRDefault="003F7412" w:rsidP="00855F2F">
            <w:pPr>
              <w:rPr>
                <w:i/>
                <w:color w:val="FFFFFF" w:themeColor="background1"/>
              </w:rPr>
            </w:pPr>
            <w:r w:rsidRPr="0091029E">
              <w:rPr>
                <w:rFonts w:ascii="Calibri Light" w:eastAsia="Calibri Light" w:hAnsi="Calibri Light" w:cs="Calibri Light"/>
                <w:b/>
                <w:i/>
                <w:color w:val="FFFFFF" w:themeColor="background1"/>
                <w:sz w:val="20"/>
                <w:szCs w:val="20"/>
              </w:rPr>
              <w:t>Zdravstveni</w:t>
            </w:r>
          </w:p>
        </w:tc>
        <w:tc>
          <w:tcPr>
            <w:tcW w:w="10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52678B"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28,220</w:t>
            </w:r>
          </w:p>
        </w:tc>
        <w:tc>
          <w:tcPr>
            <w:tcW w:w="13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A5AEEB4"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5,746,500</w:t>
            </w: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843380"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204</w:t>
            </w: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B8939C"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723,087</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03A6E8"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26</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26E6F3"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543</w:t>
            </w:r>
          </w:p>
        </w:tc>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76DBDB"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2,419,234</w:t>
            </w: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DD49C2"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69.6</w:t>
            </w:r>
          </w:p>
        </w:tc>
        <w:tc>
          <w:tcPr>
            <w:tcW w:w="1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B637236"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247,049</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121808B"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9.8</w:t>
            </w:r>
          </w:p>
        </w:tc>
        <w:tc>
          <w:tcPr>
            <w:tcW w:w="10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D4D494F"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0.812</w:t>
            </w:r>
          </w:p>
        </w:tc>
      </w:tr>
      <w:tr w:rsidR="003F7412" w14:paraId="178EDA39" w14:textId="77777777" w:rsidTr="003E3117">
        <w:trPr>
          <w:trHeight w:val="602"/>
        </w:trPr>
        <w:tc>
          <w:tcPr>
            <w:tcW w:w="1666"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65D25509" w14:textId="77777777" w:rsidR="003F7412" w:rsidRPr="0091029E" w:rsidRDefault="003F7412" w:rsidP="00855F2F">
            <w:pPr>
              <w:rPr>
                <w:i/>
                <w:color w:val="FFFFFF" w:themeColor="background1"/>
              </w:rPr>
            </w:pPr>
            <w:r w:rsidRPr="0091029E">
              <w:rPr>
                <w:rFonts w:ascii="Calibri Light" w:eastAsia="Calibri Light" w:hAnsi="Calibri Light" w:cs="Calibri Light"/>
                <w:b/>
                <w:i/>
                <w:color w:val="FFFFFF" w:themeColor="background1"/>
                <w:sz w:val="20"/>
                <w:szCs w:val="20"/>
              </w:rPr>
              <w:t>Bolnice</w:t>
            </w:r>
          </w:p>
        </w:tc>
        <w:tc>
          <w:tcPr>
            <w:tcW w:w="10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1151C5A"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40,372</w:t>
            </w:r>
          </w:p>
        </w:tc>
        <w:tc>
          <w:tcPr>
            <w:tcW w:w="13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1ED799E"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11,427,596</w:t>
            </w: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E5F82D4"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283</w:t>
            </w: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12AF674"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1,079,556</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3D884C"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27</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BA2A260"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2,019</w:t>
            </w:r>
          </w:p>
        </w:tc>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93C23C1"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3,541,591</w:t>
            </w: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3465A6"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98.5</w:t>
            </w:r>
          </w:p>
        </w:tc>
        <w:tc>
          <w:tcPr>
            <w:tcW w:w="1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C2C7689"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375,648</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0CC2874"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9.4</w:t>
            </w:r>
          </w:p>
        </w:tc>
        <w:tc>
          <w:tcPr>
            <w:tcW w:w="10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338DD4E"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1.123</w:t>
            </w:r>
          </w:p>
        </w:tc>
      </w:tr>
      <w:tr w:rsidR="003F7412" w14:paraId="54091048" w14:textId="77777777" w:rsidTr="003E3117">
        <w:trPr>
          <w:trHeight w:val="602"/>
        </w:trPr>
        <w:tc>
          <w:tcPr>
            <w:tcW w:w="1666"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5E566ADD" w14:textId="77777777" w:rsidR="003F7412" w:rsidRPr="0091029E" w:rsidRDefault="003F7412" w:rsidP="00855F2F">
            <w:pPr>
              <w:rPr>
                <w:i/>
                <w:color w:val="FFFFFF" w:themeColor="background1"/>
              </w:rPr>
            </w:pPr>
            <w:r w:rsidRPr="0091029E">
              <w:rPr>
                <w:rFonts w:ascii="Calibri Light" w:eastAsia="Calibri Light" w:hAnsi="Calibri Light" w:cs="Calibri Light"/>
                <w:b/>
                <w:i/>
                <w:color w:val="FFFFFF" w:themeColor="background1"/>
                <w:sz w:val="20"/>
                <w:szCs w:val="20"/>
              </w:rPr>
              <w:t>Smještajni</w:t>
            </w:r>
          </w:p>
        </w:tc>
        <w:tc>
          <w:tcPr>
            <w:tcW w:w="10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4E75EE"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31,973</w:t>
            </w:r>
          </w:p>
        </w:tc>
        <w:tc>
          <w:tcPr>
            <w:tcW w:w="13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10EF68A"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9,731,452</w:t>
            </w: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614E61E"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304</w:t>
            </w: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CD12DF"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1,045,678</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59C629"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33</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13E1DF"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1,881</w:t>
            </w:r>
          </w:p>
        </w:tc>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0CCECB9"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4,658,433</w:t>
            </w: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0A23E57"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132.6</w:t>
            </w:r>
          </w:p>
        </w:tc>
        <w:tc>
          <w:tcPr>
            <w:tcW w:w="1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3E4DE0"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455,512</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03E3BAD"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10.2</w:t>
            </w:r>
          </w:p>
        </w:tc>
        <w:tc>
          <w:tcPr>
            <w:tcW w:w="10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E84499F"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0.910</w:t>
            </w:r>
          </w:p>
        </w:tc>
      </w:tr>
      <w:tr w:rsidR="003F7412" w14:paraId="6D8697E0" w14:textId="77777777" w:rsidTr="003E3117">
        <w:trPr>
          <w:trHeight w:val="602"/>
        </w:trPr>
        <w:tc>
          <w:tcPr>
            <w:tcW w:w="1666"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7AC28AD8" w14:textId="77777777" w:rsidR="003F7412" w:rsidRPr="0091029E" w:rsidRDefault="003F7412" w:rsidP="00855F2F">
            <w:pPr>
              <w:rPr>
                <w:i/>
                <w:color w:val="FFFFFF" w:themeColor="background1"/>
              </w:rPr>
            </w:pPr>
            <w:r w:rsidRPr="0091029E">
              <w:rPr>
                <w:rFonts w:ascii="Calibri Light" w:eastAsia="Calibri Light" w:hAnsi="Calibri Light" w:cs="Calibri Light"/>
                <w:b/>
                <w:i/>
                <w:color w:val="FFFFFF" w:themeColor="background1"/>
                <w:sz w:val="20"/>
                <w:szCs w:val="20"/>
              </w:rPr>
              <w:t>Ostalo</w:t>
            </w:r>
          </w:p>
        </w:tc>
        <w:tc>
          <w:tcPr>
            <w:tcW w:w="10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45587DE"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79,979</w:t>
            </w:r>
          </w:p>
        </w:tc>
        <w:tc>
          <w:tcPr>
            <w:tcW w:w="13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04A0BD1"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17,403,618</w:t>
            </w: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B4254C"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218</w:t>
            </w: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1079C51"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1.728,904</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C04A2BF"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22</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E452A0"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4,443</w:t>
            </w:r>
          </w:p>
        </w:tc>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A42AAC6"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9,277,157</w:t>
            </w: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A9E6849"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103.2</w:t>
            </w:r>
          </w:p>
        </w:tc>
        <w:tc>
          <w:tcPr>
            <w:tcW w:w="1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13AA2F"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819,571</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74BBF8"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11.3</w:t>
            </w:r>
          </w:p>
        </w:tc>
        <w:tc>
          <w:tcPr>
            <w:tcW w:w="10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C5BEC56" w14:textId="77777777" w:rsidR="003F7412" w:rsidRDefault="003F7412" w:rsidP="00855F2F">
            <w:pPr>
              <w:jc w:val="right"/>
              <w:rPr>
                <w:rFonts w:ascii="Calibri Light" w:eastAsia="Calibri Light" w:hAnsi="Calibri Light" w:cs="Calibri Light"/>
                <w:sz w:val="20"/>
                <w:szCs w:val="20"/>
              </w:rPr>
            </w:pPr>
            <w:r>
              <w:rPr>
                <w:rFonts w:ascii="Calibri Light" w:eastAsia="Calibri Light" w:hAnsi="Calibri Light" w:cs="Calibri Light"/>
                <w:sz w:val="20"/>
                <w:szCs w:val="20"/>
              </w:rPr>
              <w:t>0.889</w:t>
            </w:r>
          </w:p>
        </w:tc>
      </w:tr>
      <w:tr w:rsidR="003F7412" w14:paraId="65727E0A" w14:textId="77777777" w:rsidTr="003E3117">
        <w:trPr>
          <w:trHeight w:val="602"/>
        </w:trPr>
        <w:tc>
          <w:tcPr>
            <w:tcW w:w="1666" w:type="dxa"/>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0" w:type="dxa"/>
              <w:left w:w="108" w:type="dxa"/>
              <w:bottom w:w="0" w:type="dxa"/>
              <w:right w:w="108" w:type="dxa"/>
            </w:tcMar>
            <w:vAlign w:val="center"/>
          </w:tcPr>
          <w:p w14:paraId="5F7D574C" w14:textId="77777777" w:rsidR="003F7412" w:rsidRPr="0091029E" w:rsidRDefault="003F7412" w:rsidP="00855F2F">
            <w:pPr>
              <w:rPr>
                <w:i/>
                <w:color w:val="FFFFFF" w:themeColor="background1"/>
              </w:rPr>
            </w:pPr>
            <w:r w:rsidRPr="0091029E">
              <w:rPr>
                <w:rFonts w:ascii="Calibri Light" w:eastAsia="Calibri Light" w:hAnsi="Calibri Light" w:cs="Calibri Light"/>
                <w:b/>
                <w:i/>
                <w:color w:val="FFFFFF" w:themeColor="background1"/>
                <w:sz w:val="20"/>
                <w:szCs w:val="20"/>
              </w:rPr>
              <w:t>Ukupno</w:t>
            </w:r>
          </w:p>
        </w:tc>
        <w:tc>
          <w:tcPr>
            <w:tcW w:w="10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8AE03D" w14:textId="77777777" w:rsidR="003F7412" w:rsidRDefault="003F7412" w:rsidP="00855F2F">
            <w:pPr>
              <w:jc w:val="right"/>
              <w:rPr>
                <w:rFonts w:ascii="Calibri Light" w:eastAsia="Calibri Light" w:hAnsi="Calibri Light" w:cs="Calibri Light"/>
                <w:b/>
                <w:bCs/>
                <w:sz w:val="20"/>
                <w:szCs w:val="20"/>
              </w:rPr>
            </w:pPr>
            <w:r>
              <w:rPr>
                <w:rFonts w:ascii="Calibri Light" w:eastAsia="Calibri Light" w:hAnsi="Calibri Light" w:cs="Calibri Light"/>
                <w:b/>
                <w:bCs/>
                <w:sz w:val="20"/>
                <w:szCs w:val="20"/>
              </w:rPr>
              <w:t>938,386</w:t>
            </w:r>
          </w:p>
        </w:tc>
        <w:tc>
          <w:tcPr>
            <w:tcW w:w="13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C977FF" w14:textId="77777777" w:rsidR="003F7412" w:rsidRDefault="003F7412" w:rsidP="00855F2F">
            <w:pPr>
              <w:jc w:val="right"/>
              <w:rPr>
                <w:rFonts w:ascii="Calibri Light" w:eastAsia="Calibri Light" w:hAnsi="Calibri Light" w:cs="Calibri Light"/>
                <w:b/>
                <w:bCs/>
                <w:sz w:val="20"/>
                <w:szCs w:val="20"/>
              </w:rPr>
            </w:pPr>
            <w:r>
              <w:rPr>
                <w:rFonts w:ascii="Calibri Light" w:eastAsia="Calibri Light" w:hAnsi="Calibri Light" w:cs="Calibri Light"/>
                <w:b/>
                <w:bCs/>
                <w:sz w:val="20"/>
                <w:szCs w:val="20"/>
              </w:rPr>
              <w:t>188,401,407</w:t>
            </w: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40D6ACB" w14:textId="77777777" w:rsidR="003F7412" w:rsidRDefault="003F7412" w:rsidP="00855F2F">
            <w:pPr>
              <w:jc w:val="right"/>
              <w:rPr>
                <w:rFonts w:ascii="Calibri Light" w:eastAsia="Calibri Light" w:hAnsi="Calibri Light" w:cs="Calibri Light"/>
                <w:b/>
                <w:bCs/>
                <w:sz w:val="20"/>
                <w:szCs w:val="20"/>
              </w:rPr>
            </w:pPr>
          </w:p>
        </w:tc>
        <w:tc>
          <w:tcPr>
            <w:tcW w:w="12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C6E302" w14:textId="77777777" w:rsidR="003F7412" w:rsidRDefault="003F7412" w:rsidP="00855F2F">
            <w:pPr>
              <w:jc w:val="right"/>
              <w:rPr>
                <w:rFonts w:ascii="Calibri Light" w:eastAsia="Calibri Light" w:hAnsi="Calibri Light" w:cs="Calibri Light"/>
                <w:b/>
                <w:bCs/>
                <w:sz w:val="20"/>
                <w:szCs w:val="20"/>
              </w:rPr>
            </w:pPr>
            <w:r>
              <w:rPr>
                <w:rFonts w:ascii="Calibri Light" w:eastAsia="Calibri Light" w:hAnsi="Calibri Light" w:cs="Calibri Light"/>
                <w:b/>
                <w:bCs/>
                <w:sz w:val="20"/>
                <w:szCs w:val="20"/>
              </w:rPr>
              <w:t>20,675,250</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5FFA7D4" w14:textId="77777777" w:rsidR="003F7412" w:rsidRDefault="003F7412" w:rsidP="00855F2F">
            <w:pPr>
              <w:jc w:val="right"/>
              <w:rPr>
                <w:rFonts w:ascii="Calibri Light" w:eastAsia="Calibri Light" w:hAnsi="Calibri Light" w:cs="Calibri Light"/>
                <w:b/>
                <w:bCs/>
                <w:sz w:val="20"/>
                <w:szCs w:val="20"/>
              </w:rPr>
            </w:pP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BD663A1" w14:textId="77777777" w:rsidR="003F7412" w:rsidRDefault="003F7412" w:rsidP="00855F2F">
            <w:pPr>
              <w:jc w:val="right"/>
              <w:rPr>
                <w:rFonts w:ascii="Calibri Light" w:eastAsia="Calibri Light" w:hAnsi="Calibri Light" w:cs="Calibri Light"/>
                <w:b/>
                <w:sz w:val="20"/>
                <w:szCs w:val="20"/>
              </w:rPr>
            </w:pPr>
          </w:p>
        </w:tc>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AB8FBD2" w14:textId="77777777" w:rsidR="003F7412" w:rsidRDefault="003F7412" w:rsidP="00855F2F">
            <w:pPr>
              <w:jc w:val="right"/>
              <w:rPr>
                <w:rFonts w:ascii="Calibri Light" w:eastAsia="Calibri Light" w:hAnsi="Calibri Light" w:cs="Calibri Light"/>
                <w:b/>
                <w:sz w:val="20"/>
                <w:szCs w:val="20"/>
              </w:rPr>
            </w:pPr>
            <w:r>
              <w:rPr>
                <w:rFonts w:ascii="Calibri Light" w:eastAsia="Calibri Light" w:hAnsi="Calibri Light" w:cs="Calibri Light"/>
                <w:b/>
                <w:sz w:val="20"/>
                <w:szCs w:val="20"/>
              </w:rPr>
              <w:t>108,539,433</w:t>
            </w: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A16328" w14:textId="77777777" w:rsidR="003F7412" w:rsidRDefault="003F7412" w:rsidP="00855F2F">
            <w:pPr>
              <w:jc w:val="right"/>
              <w:rPr>
                <w:rFonts w:ascii="Calibri Light" w:eastAsia="Calibri Light" w:hAnsi="Calibri Light" w:cs="Calibri Light"/>
                <w:b/>
                <w:sz w:val="20"/>
                <w:szCs w:val="20"/>
              </w:rPr>
            </w:pPr>
          </w:p>
        </w:tc>
        <w:tc>
          <w:tcPr>
            <w:tcW w:w="1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B65D464" w14:textId="77777777" w:rsidR="003F7412" w:rsidRDefault="003F7412" w:rsidP="00855F2F">
            <w:pPr>
              <w:jc w:val="right"/>
              <w:rPr>
                <w:rFonts w:ascii="Calibri Light" w:eastAsia="Calibri Light" w:hAnsi="Calibri Light" w:cs="Calibri Light"/>
                <w:b/>
                <w:sz w:val="20"/>
                <w:szCs w:val="20"/>
              </w:rPr>
            </w:pPr>
            <w:r>
              <w:rPr>
                <w:rFonts w:ascii="Calibri Light" w:eastAsia="Calibri Light" w:hAnsi="Calibri Light" w:cs="Calibri Light"/>
                <w:b/>
                <w:sz w:val="20"/>
                <w:szCs w:val="20"/>
              </w:rPr>
              <w:t>10,321,339</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C91D884" w14:textId="77777777" w:rsidR="003F7412" w:rsidRDefault="003F7412" w:rsidP="00855F2F">
            <w:pPr>
              <w:jc w:val="right"/>
              <w:rPr>
                <w:rFonts w:ascii="Calibri Light" w:eastAsia="Calibri Light" w:hAnsi="Calibri Light" w:cs="Calibri Light"/>
                <w:b/>
                <w:bCs/>
                <w:sz w:val="20"/>
                <w:szCs w:val="20"/>
              </w:rPr>
            </w:pPr>
            <w:r>
              <w:rPr>
                <w:rFonts w:ascii="Calibri Light" w:eastAsia="Calibri Light" w:hAnsi="Calibri Light" w:cs="Calibri Light"/>
                <w:b/>
                <w:bCs/>
                <w:sz w:val="20"/>
                <w:szCs w:val="20"/>
              </w:rPr>
              <w:t>10.5</w:t>
            </w:r>
          </w:p>
        </w:tc>
        <w:tc>
          <w:tcPr>
            <w:tcW w:w="10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22C3824" w14:textId="77777777" w:rsidR="003F7412" w:rsidRDefault="003F7412" w:rsidP="00855F2F">
            <w:pPr>
              <w:jc w:val="right"/>
              <w:rPr>
                <w:rFonts w:ascii="Calibri Light" w:eastAsia="Calibri Light" w:hAnsi="Calibri Light" w:cs="Calibri Light"/>
                <w:b/>
                <w:sz w:val="20"/>
                <w:szCs w:val="20"/>
              </w:rPr>
            </w:pPr>
            <w:r>
              <w:rPr>
                <w:rFonts w:ascii="Calibri Light" w:eastAsia="Calibri Light" w:hAnsi="Calibri Light" w:cs="Calibri Light"/>
                <w:b/>
                <w:sz w:val="20"/>
                <w:szCs w:val="20"/>
              </w:rPr>
              <w:t>0.892</w:t>
            </w:r>
          </w:p>
        </w:tc>
      </w:tr>
    </w:tbl>
    <w:p w14:paraId="745A31FA" w14:textId="77777777" w:rsidR="003F7412" w:rsidRDefault="003F7412" w:rsidP="003F7412">
      <w:pPr>
        <w:sectPr w:rsidR="003F7412">
          <w:headerReference w:type="default" r:id="rId44"/>
          <w:pgSz w:w="16838" w:h="11906" w:orient="landscape"/>
          <w:pgMar w:top="1440" w:right="1440" w:bottom="1440" w:left="1440" w:header="720" w:footer="720" w:gutter="0"/>
          <w:cols w:space="720"/>
        </w:sectPr>
      </w:pPr>
    </w:p>
    <w:p w14:paraId="433C36AF" w14:textId="77777777" w:rsidR="003F7412" w:rsidRDefault="003F7412" w:rsidP="003F7412">
      <w:pPr>
        <w:jc w:val="both"/>
      </w:pPr>
      <w:r>
        <w:rPr>
          <w:rFonts w:cs="Calibri"/>
          <w:b/>
          <w:sz w:val="24"/>
          <w:szCs w:val="24"/>
        </w:rPr>
        <w:lastRenderedPageBreak/>
        <w:t>"Program energetske efikasnosti u javnim zgradama (EEPPB)"</w:t>
      </w:r>
      <w:r>
        <w:rPr>
          <w:rFonts w:cs="Calibri"/>
          <w:sz w:val="24"/>
          <w:szCs w:val="24"/>
        </w:rPr>
        <w:t xml:space="preserve"> </w:t>
      </w:r>
    </w:p>
    <w:p w14:paraId="780AC2F2" w14:textId="77777777" w:rsidR="003F7412" w:rsidRDefault="003F7412" w:rsidP="003F7412">
      <w:pPr>
        <w:jc w:val="both"/>
      </w:pPr>
    </w:p>
    <w:p w14:paraId="4FE5A2EB" w14:textId="33120D3D" w:rsidR="003F7412" w:rsidRDefault="003F7412" w:rsidP="003F7412">
      <w:pPr>
        <w:jc w:val="both"/>
      </w:pPr>
      <w:r>
        <w:rPr>
          <w:rFonts w:cs="Calibri"/>
          <w:sz w:val="24"/>
          <w:szCs w:val="24"/>
        </w:rPr>
        <w:t xml:space="preserve">Program se realizuje u dvije faze po osnovu ugovora o kreditu i finansijskom doprinosu, potpisanih između Vlade Crne Gore i KfW banke. Za realizaciju obje faze programa opredjeljena su sredstva iz </w:t>
      </w:r>
      <w:r w:rsidR="00E623F7">
        <w:rPr>
          <w:rFonts w:cs="Calibri"/>
          <w:sz w:val="24"/>
          <w:szCs w:val="24"/>
        </w:rPr>
        <w:t>kredita u</w:t>
      </w:r>
      <w:r>
        <w:rPr>
          <w:rFonts w:cs="Calibri"/>
          <w:sz w:val="24"/>
          <w:szCs w:val="24"/>
        </w:rPr>
        <w:t xml:space="preserve"> iznosu od 31,5 mil eura i donacija u iznosu od 4,683 mil eura.  </w:t>
      </w:r>
    </w:p>
    <w:p w14:paraId="37A7E584" w14:textId="5E671017" w:rsidR="003F7412" w:rsidRDefault="003F7412" w:rsidP="003F7412">
      <w:pPr>
        <w:jc w:val="both"/>
        <w:rPr>
          <w:rFonts w:cs="Calibri"/>
          <w:sz w:val="24"/>
          <w:szCs w:val="24"/>
        </w:rPr>
      </w:pPr>
      <w:r>
        <w:rPr>
          <w:rFonts w:cs="Calibri"/>
          <w:sz w:val="24"/>
          <w:szCs w:val="24"/>
        </w:rPr>
        <w:t>Prva faza je implementirana u periodu od januara 2012. godine do kraja 2015. godine, u okviru koje je izvršena rekonstrukcija i adaptacija 20 osnovnih i srednjih škola i jednog stu</w:t>
      </w:r>
      <w:r w:rsidR="002175D1">
        <w:rPr>
          <w:rFonts w:cs="Calibri"/>
          <w:sz w:val="24"/>
          <w:szCs w:val="24"/>
        </w:rPr>
        <w:t>dentskog doma, sa ciljem unapr</w:t>
      </w:r>
      <w:r>
        <w:rPr>
          <w:rFonts w:cs="Calibri"/>
          <w:sz w:val="24"/>
          <w:szCs w:val="24"/>
        </w:rPr>
        <w:t>eđenja energetske efikasnosti i poboljšanja uslova za boravak i rad korisnika. Ukupna vrijednost uloženih sredstava u objekte iz faze I, uključujući i konsultantske usluge je iznosila 15,2 miliona eura, pri čemu su nedostajuća sredstva obezbijeđena iz kredita za fazu II.</w:t>
      </w:r>
    </w:p>
    <w:p w14:paraId="3F1CD21E" w14:textId="75F51B65" w:rsidR="003F7412" w:rsidRDefault="003F7412" w:rsidP="003F7412">
      <w:pPr>
        <w:jc w:val="both"/>
        <w:rPr>
          <w:rFonts w:cs="Calibri"/>
          <w:sz w:val="24"/>
          <w:szCs w:val="24"/>
        </w:rPr>
      </w:pPr>
      <w:r>
        <w:rPr>
          <w:rFonts w:cs="Calibri"/>
          <w:sz w:val="24"/>
          <w:szCs w:val="24"/>
        </w:rPr>
        <w:t xml:space="preserve">Drugom fazom "Programa energetske efikasnosti u javnim </w:t>
      </w:r>
      <w:r w:rsidR="00E623F7">
        <w:rPr>
          <w:rFonts w:cs="Calibri"/>
          <w:sz w:val="24"/>
          <w:szCs w:val="24"/>
        </w:rPr>
        <w:t>zgradama “obuhvaćena</w:t>
      </w:r>
      <w:r>
        <w:rPr>
          <w:rFonts w:cs="Calibri"/>
          <w:sz w:val="24"/>
          <w:szCs w:val="24"/>
        </w:rPr>
        <w:t xml:space="preserve"> je primjena mjera energetske efikasnosti u odabranim obrazovnim i socijalnim ustanovama i administrativnim objektima, za koje se troškovi za energiju i vodu finansiraju iz budžeta Crne Gore. Implementacija druge faze je počela u januaru 2015. godine, dok je završetak planiran za avgust 2021.godine.</w:t>
      </w:r>
    </w:p>
    <w:p w14:paraId="4FB5A895" w14:textId="77777777" w:rsidR="003F7412" w:rsidRDefault="003F7412" w:rsidP="003F7412">
      <w:pPr>
        <w:jc w:val="both"/>
        <w:rPr>
          <w:rFonts w:cs="Calibri"/>
          <w:sz w:val="24"/>
          <w:szCs w:val="24"/>
        </w:rPr>
      </w:pPr>
      <w:r>
        <w:rPr>
          <w:rFonts w:cs="Calibri"/>
          <w:sz w:val="24"/>
          <w:szCs w:val="24"/>
        </w:rPr>
        <w:t>Osim navedenog, drugom fazom su obuhvaćene i aktivnosti na uspostavljanju sistema energetskog menadžmenta u objektima koji su obuhvaćeni programom, uspostavljanju centralnog informacionog sistema za praćenje potrošnje energije i vode u javnom sektoru, izrada nacionalnog inventara zgrada i nabavka softvera za proračun energetskih karakteristika zgrada, kao i izvođenje energetskih pregleda i sertifikacija objekata nakon završene primjene mjera enrgetske efikasnosti. Sve nevedeno se realizuje u cilju prodrške ispunjenju obaveza proisteklih iz Zakona o efikasnom korišćenju energije.</w:t>
      </w:r>
    </w:p>
    <w:p w14:paraId="07113440" w14:textId="77777777" w:rsidR="003F7412" w:rsidRDefault="003F7412" w:rsidP="003F7412">
      <w:pPr>
        <w:jc w:val="both"/>
        <w:rPr>
          <w:rFonts w:cs="Calibri"/>
          <w:sz w:val="24"/>
          <w:szCs w:val="24"/>
        </w:rPr>
      </w:pPr>
      <w:r>
        <w:rPr>
          <w:rFonts w:cs="Calibri"/>
          <w:sz w:val="24"/>
          <w:szCs w:val="24"/>
        </w:rPr>
        <w:t>Cilj programa je unaprijeđenje energetskih karakteristika objekta kako bi se obezbijedila potrošnja energije od najviše 150kWh/m² za objekte na sjeveru, 125 kWh/m² za objekte u centralnoj zoni i 100 kWh/m² za objekte na jugu Crne Gore. Ciljna grupa programa su učenici, nastavno i ostalo osoblje u obrazovnim ustanovama, zaposleni u administrativnim objektima i korisnici i zaposleno osoblje u socijalnim ustanovama.</w:t>
      </w:r>
    </w:p>
    <w:p w14:paraId="3A0E1FBE" w14:textId="77777777" w:rsidR="003F7412" w:rsidRDefault="003F7412" w:rsidP="003F7412">
      <w:pPr>
        <w:jc w:val="both"/>
        <w:rPr>
          <w:rFonts w:cs="Calibri"/>
          <w:sz w:val="24"/>
          <w:szCs w:val="24"/>
        </w:rPr>
      </w:pPr>
      <w:r>
        <w:rPr>
          <w:rFonts w:cs="Calibri"/>
          <w:sz w:val="24"/>
          <w:szCs w:val="24"/>
        </w:rPr>
        <w:t>Do sada je u okviru druge faze programa izvršena rekonstrukcija i adaptacija 12 obrazovnih, jedne socijalne ustanove i jednog administrativnog objekta, pri čemu ukupna vrijednost izvedenih radova iznosi 19,6 miliona eura. U toku je izvođenje radova na rekonstrukciji JPU „Naša radost“ u Herceg Novom pri čemu je vrijednost ugovorenih radova 2,197 miliona eura.</w:t>
      </w:r>
    </w:p>
    <w:p w14:paraId="4AE4811B" w14:textId="0125D513" w:rsidR="003F7412" w:rsidRDefault="003F7412" w:rsidP="003F7412">
      <w:pPr>
        <w:jc w:val="both"/>
      </w:pPr>
      <w:r>
        <w:rPr>
          <w:rFonts w:cs="Calibri"/>
          <w:sz w:val="24"/>
          <w:szCs w:val="24"/>
        </w:rPr>
        <w:t xml:space="preserve">U aprilu 2019.godine, potpisan je ugovor za razvoj softvera za proračun energetskih karakteristika zgrada, nakon čega će biti omogućeno izdavanje energetskih sertifikata za zgrade, što je i jedna od obaveza predviđena Zakonom o efikasnom korišćenju energije (Sl.CG 057/14, 003/15, 025/19). Izrada softvera za u završnoj fazi. Prva verzija softvera je objavljena na stranici </w:t>
      </w:r>
      <w:hyperlink r:id="rId45" w:history="1">
        <w:r>
          <w:rPr>
            <w:rStyle w:val="Hyperlink"/>
            <w:rFonts w:cs="Calibri"/>
            <w:sz w:val="24"/>
            <w:szCs w:val="24"/>
          </w:rPr>
          <w:t>www.meec.me</w:t>
        </w:r>
      </w:hyperlink>
      <w:r>
        <w:rPr>
          <w:rFonts w:cs="Calibri"/>
          <w:sz w:val="24"/>
          <w:szCs w:val="24"/>
        </w:rPr>
        <w:t xml:space="preserve"> </w:t>
      </w:r>
      <w:r w:rsidR="00352CB5">
        <w:rPr>
          <w:rFonts w:cs="Calibri"/>
          <w:sz w:val="24"/>
          <w:szCs w:val="24"/>
        </w:rPr>
        <w:t>.</w:t>
      </w:r>
    </w:p>
    <w:p w14:paraId="3B39D4C8" w14:textId="6A1AF7B4" w:rsidR="003F7412" w:rsidRDefault="003F7412" w:rsidP="003F7412">
      <w:pPr>
        <w:jc w:val="both"/>
        <w:rPr>
          <w:rFonts w:cs="Calibri"/>
          <w:sz w:val="24"/>
          <w:szCs w:val="24"/>
        </w:rPr>
      </w:pPr>
      <w:r>
        <w:rPr>
          <w:rFonts w:cs="Calibri"/>
          <w:sz w:val="24"/>
          <w:szCs w:val="24"/>
        </w:rPr>
        <w:t>Krajem avgusta 2020.godine, potpisan je ugovor o uspostavljanju Centralnog informacionog sistema za monitoring potrošnje energije i vode u javnom sektoru. Odluku o uspostavljanju centralnog infromacionog sistema za monitoring potrošnje energije i vode je donijela Vlada Crne Gore na sjednici održanoj 13.</w:t>
      </w:r>
      <w:r w:rsidR="00352CB5">
        <w:rPr>
          <w:rFonts w:cs="Calibri"/>
          <w:sz w:val="24"/>
          <w:szCs w:val="24"/>
        </w:rPr>
        <w:t xml:space="preserve"> decembra </w:t>
      </w:r>
      <w:r>
        <w:rPr>
          <w:rFonts w:cs="Calibri"/>
          <w:sz w:val="24"/>
          <w:szCs w:val="24"/>
        </w:rPr>
        <w:t>2018.godine.</w:t>
      </w:r>
    </w:p>
    <w:p w14:paraId="41471046" w14:textId="10036028" w:rsidR="00344694" w:rsidRDefault="003F7412" w:rsidP="003F7412">
      <w:pPr>
        <w:jc w:val="both"/>
        <w:rPr>
          <w:rFonts w:cs="Calibri"/>
          <w:b/>
          <w:sz w:val="24"/>
          <w:szCs w:val="24"/>
        </w:rPr>
      </w:pPr>
      <w:r>
        <w:rPr>
          <w:rFonts w:cs="Calibri"/>
          <w:b/>
          <w:sz w:val="24"/>
          <w:szCs w:val="24"/>
        </w:rPr>
        <w:lastRenderedPageBreak/>
        <w:t>Podaci o rezultatima koji su prikupljeni za objekte koji su obuhvaćeni projektom (33 obrazovne ustanove i 1 socijalna ustanova) su sledeći:</w:t>
      </w:r>
    </w:p>
    <w:tbl>
      <w:tblPr>
        <w:tblW w:w="5000" w:type="pct"/>
        <w:tblCellMar>
          <w:left w:w="10" w:type="dxa"/>
          <w:right w:w="10" w:type="dxa"/>
        </w:tblCellMar>
        <w:tblLook w:val="0000" w:firstRow="0" w:lastRow="0" w:firstColumn="0" w:lastColumn="0" w:noHBand="0" w:noVBand="0"/>
      </w:tblPr>
      <w:tblGrid>
        <w:gridCol w:w="6513"/>
        <w:gridCol w:w="2503"/>
      </w:tblGrid>
      <w:tr w:rsidR="003F7412" w:rsidRPr="00B34D17" w14:paraId="33989985" w14:textId="77777777" w:rsidTr="00344694">
        <w:trPr>
          <w:trHeight w:val="525"/>
        </w:trPr>
        <w:tc>
          <w:tcPr>
            <w:tcW w:w="3612"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noWrap/>
            <w:tcMar>
              <w:top w:w="0" w:type="dxa"/>
              <w:left w:w="108" w:type="dxa"/>
              <w:bottom w:w="0" w:type="dxa"/>
              <w:right w:w="108" w:type="dxa"/>
            </w:tcMar>
            <w:vAlign w:val="center"/>
          </w:tcPr>
          <w:p w14:paraId="314D08C0" w14:textId="77777777" w:rsidR="003F7412" w:rsidRPr="00B34D17" w:rsidRDefault="003F7412" w:rsidP="00855F2F">
            <w:pPr>
              <w:suppressAutoHyphens w:val="0"/>
              <w:spacing w:after="0"/>
              <w:jc w:val="both"/>
              <w:textAlignment w:val="auto"/>
              <w:rPr>
                <w:rFonts w:eastAsia="Times New Roman" w:cs="Calibri"/>
                <w:b/>
                <w:bCs/>
                <w:color w:val="0D0D0D" w:themeColor="text1" w:themeTint="F2"/>
                <w:sz w:val="20"/>
                <w:szCs w:val="20"/>
                <w:lang w:eastAsia="en-GB"/>
              </w:rPr>
            </w:pPr>
            <w:r w:rsidRPr="00B34D17">
              <w:rPr>
                <w:rFonts w:eastAsia="Times New Roman" w:cs="Calibri"/>
                <w:b/>
                <w:bCs/>
                <w:color w:val="0D0D0D" w:themeColor="text1" w:themeTint="F2"/>
                <w:sz w:val="20"/>
                <w:szCs w:val="20"/>
                <w:lang w:eastAsia="en-GB"/>
              </w:rPr>
              <w:t>Ukupna potrošnja energije prije rekonstrukcije:</w:t>
            </w:r>
          </w:p>
        </w:tc>
        <w:tc>
          <w:tcPr>
            <w:tcW w:w="1388" w:type="pct"/>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5589E9" w14:textId="77777777" w:rsidR="003F7412" w:rsidRPr="00B34D17" w:rsidRDefault="003F7412" w:rsidP="00855F2F">
            <w:pPr>
              <w:suppressAutoHyphens w:val="0"/>
              <w:spacing w:after="0"/>
              <w:jc w:val="center"/>
              <w:textAlignment w:val="auto"/>
              <w:rPr>
                <w:rFonts w:eastAsia="Times New Roman" w:cs="Calibri"/>
                <w:b/>
                <w:bCs/>
                <w:color w:val="000000"/>
                <w:sz w:val="20"/>
                <w:szCs w:val="20"/>
                <w:lang w:eastAsia="en-GB"/>
              </w:rPr>
            </w:pPr>
            <w:r w:rsidRPr="00B34D17">
              <w:rPr>
                <w:rFonts w:eastAsia="Times New Roman" w:cs="Calibri"/>
                <w:b/>
                <w:bCs/>
                <w:color w:val="000000"/>
                <w:sz w:val="20"/>
                <w:szCs w:val="20"/>
                <w:lang w:eastAsia="en-GB"/>
              </w:rPr>
              <w:t>24,75 mil kWh</w:t>
            </w:r>
          </w:p>
        </w:tc>
      </w:tr>
      <w:tr w:rsidR="003F7412" w:rsidRPr="00B34D17" w14:paraId="54D6404E" w14:textId="77777777" w:rsidTr="00344694">
        <w:trPr>
          <w:trHeight w:val="591"/>
        </w:trPr>
        <w:tc>
          <w:tcPr>
            <w:tcW w:w="3612" w:type="pct"/>
            <w:tcBorders>
              <w:left w:val="single" w:sz="4" w:space="0" w:color="000000"/>
              <w:bottom w:val="single" w:sz="4" w:space="0" w:color="000000"/>
              <w:right w:val="single" w:sz="4" w:space="0" w:color="000000"/>
            </w:tcBorders>
            <w:shd w:val="clear" w:color="auto" w:fill="9CC2E5" w:themeFill="accent1" w:themeFillTint="99"/>
            <w:noWrap/>
            <w:tcMar>
              <w:top w:w="0" w:type="dxa"/>
              <w:left w:w="108" w:type="dxa"/>
              <w:bottom w:w="0" w:type="dxa"/>
              <w:right w:w="108" w:type="dxa"/>
            </w:tcMar>
            <w:vAlign w:val="center"/>
          </w:tcPr>
          <w:p w14:paraId="0046501F" w14:textId="77777777" w:rsidR="003F7412" w:rsidRPr="00B34D17" w:rsidRDefault="003F7412" w:rsidP="00855F2F">
            <w:pPr>
              <w:suppressAutoHyphens w:val="0"/>
              <w:spacing w:after="0"/>
              <w:jc w:val="both"/>
              <w:textAlignment w:val="auto"/>
              <w:rPr>
                <w:rFonts w:eastAsia="Times New Roman" w:cs="Calibri"/>
                <w:b/>
                <w:bCs/>
                <w:color w:val="0D0D0D" w:themeColor="text1" w:themeTint="F2"/>
                <w:sz w:val="20"/>
                <w:szCs w:val="20"/>
                <w:lang w:eastAsia="en-GB"/>
              </w:rPr>
            </w:pPr>
            <w:r w:rsidRPr="00B34D17">
              <w:rPr>
                <w:rFonts w:eastAsia="Times New Roman" w:cs="Calibri"/>
                <w:b/>
                <w:bCs/>
                <w:color w:val="0D0D0D" w:themeColor="text1" w:themeTint="F2"/>
                <w:sz w:val="20"/>
                <w:szCs w:val="20"/>
                <w:lang w:eastAsia="en-GB"/>
              </w:rPr>
              <w:t>Ukupna potrošnja električne energije prije rekonstrukcije:</w:t>
            </w:r>
          </w:p>
        </w:tc>
        <w:tc>
          <w:tcPr>
            <w:tcW w:w="1388" w:type="pct"/>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47C6FB5" w14:textId="77777777" w:rsidR="003F7412" w:rsidRPr="00B34D17" w:rsidRDefault="003F7412" w:rsidP="00855F2F">
            <w:pPr>
              <w:suppressAutoHyphens w:val="0"/>
              <w:spacing w:after="0"/>
              <w:jc w:val="center"/>
              <w:textAlignment w:val="auto"/>
              <w:rPr>
                <w:rFonts w:eastAsia="Times New Roman" w:cs="Calibri"/>
                <w:b/>
                <w:bCs/>
                <w:color w:val="000000"/>
                <w:sz w:val="20"/>
                <w:szCs w:val="20"/>
                <w:lang w:eastAsia="en-GB"/>
              </w:rPr>
            </w:pPr>
            <w:r w:rsidRPr="00B34D17">
              <w:rPr>
                <w:rFonts w:eastAsia="Times New Roman" w:cs="Calibri"/>
                <w:b/>
                <w:bCs/>
                <w:color w:val="000000"/>
                <w:sz w:val="20"/>
                <w:szCs w:val="20"/>
                <w:lang w:eastAsia="en-GB"/>
              </w:rPr>
              <w:t>5,4  mil kWh</w:t>
            </w:r>
          </w:p>
        </w:tc>
      </w:tr>
      <w:tr w:rsidR="003F7412" w:rsidRPr="00B34D17" w14:paraId="43678453" w14:textId="77777777" w:rsidTr="00344694">
        <w:trPr>
          <w:trHeight w:val="370"/>
        </w:trPr>
        <w:tc>
          <w:tcPr>
            <w:tcW w:w="3612" w:type="pct"/>
            <w:tcBorders>
              <w:left w:val="single" w:sz="4" w:space="0" w:color="000000"/>
              <w:bottom w:val="single" w:sz="4" w:space="0" w:color="000000"/>
              <w:right w:val="single" w:sz="4" w:space="0" w:color="000000"/>
            </w:tcBorders>
            <w:shd w:val="clear" w:color="auto" w:fill="9CC2E5" w:themeFill="accent1" w:themeFillTint="99"/>
            <w:noWrap/>
            <w:tcMar>
              <w:top w:w="0" w:type="dxa"/>
              <w:left w:w="108" w:type="dxa"/>
              <w:bottom w:w="0" w:type="dxa"/>
              <w:right w:w="108" w:type="dxa"/>
            </w:tcMar>
            <w:vAlign w:val="center"/>
          </w:tcPr>
          <w:p w14:paraId="3A6DD87D" w14:textId="77777777" w:rsidR="003F7412" w:rsidRPr="00B34D17" w:rsidRDefault="003F7412" w:rsidP="00855F2F">
            <w:pPr>
              <w:suppressAutoHyphens w:val="0"/>
              <w:spacing w:after="0"/>
              <w:jc w:val="both"/>
              <w:textAlignment w:val="auto"/>
              <w:rPr>
                <w:rFonts w:eastAsia="Times New Roman" w:cs="Calibri"/>
                <w:b/>
                <w:bCs/>
                <w:color w:val="0D0D0D" w:themeColor="text1" w:themeTint="F2"/>
                <w:sz w:val="20"/>
                <w:szCs w:val="20"/>
                <w:lang w:eastAsia="en-GB"/>
              </w:rPr>
            </w:pPr>
            <w:r w:rsidRPr="00B34D17">
              <w:rPr>
                <w:rFonts w:eastAsia="Times New Roman" w:cs="Calibri"/>
                <w:b/>
                <w:bCs/>
                <w:color w:val="0D0D0D" w:themeColor="text1" w:themeTint="F2"/>
                <w:sz w:val="20"/>
                <w:szCs w:val="20"/>
                <w:lang w:eastAsia="en-GB"/>
              </w:rPr>
              <w:t>Ukupna potrošnja energije nakon rekonstrukcije:</w:t>
            </w:r>
          </w:p>
        </w:tc>
        <w:tc>
          <w:tcPr>
            <w:tcW w:w="1388" w:type="pct"/>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316F952" w14:textId="77777777" w:rsidR="003F7412" w:rsidRPr="00B34D17" w:rsidRDefault="003F7412" w:rsidP="00855F2F">
            <w:pPr>
              <w:suppressAutoHyphens w:val="0"/>
              <w:spacing w:after="0"/>
              <w:jc w:val="center"/>
              <w:textAlignment w:val="auto"/>
              <w:rPr>
                <w:rFonts w:eastAsia="Times New Roman" w:cs="Calibri"/>
                <w:b/>
                <w:bCs/>
                <w:color w:val="000000"/>
                <w:sz w:val="20"/>
                <w:szCs w:val="20"/>
                <w:lang w:eastAsia="en-GB"/>
              </w:rPr>
            </w:pPr>
            <w:r w:rsidRPr="00B34D17">
              <w:rPr>
                <w:rFonts w:eastAsia="Times New Roman" w:cs="Calibri"/>
                <w:b/>
                <w:bCs/>
                <w:color w:val="000000"/>
                <w:sz w:val="20"/>
                <w:szCs w:val="20"/>
                <w:lang w:eastAsia="en-GB"/>
              </w:rPr>
              <w:t>9,7 mil kWh</w:t>
            </w:r>
          </w:p>
        </w:tc>
      </w:tr>
      <w:tr w:rsidR="003F7412" w:rsidRPr="00B34D17" w14:paraId="715B17F1" w14:textId="77777777" w:rsidTr="00344694">
        <w:trPr>
          <w:trHeight w:val="564"/>
        </w:trPr>
        <w:tc>
          <w:tcPr>
            <w:tcW w:w="3612" w:type="pct"/>
            <w:tcBorders>
              <w:left w:val="single" w:sz="4" w:space="0" w:color="000000"/>
              <w:bottom w:val="single" w:sz="4" w:space="0" w:color="000000"/>
              <w:right w:val="single" w:sz="4" w:space="0" w:color="000000"/>
            </w:tcBorders>
            <w:shd w:val="clear" w:color="auto" w:fill="9CC2E5" w:themeFill="accent1" w:themeFillTint="99"/>
            <w:noWrap/>
            <w:tcMar>
              <w:top w:w="0" w:type="dxa"/>
              <w:left w:w="108" w:type="dxa"/>
              <w:bottom w:w="0" w:type="dxa"/>
              <w:right w:w="108" w:type="dxa"/>
            </w:tcMar>
            <w:vAlign w:val="center"/>
          </w:tcPr>
          <w:p w14:paraId="754C2D34" w14:textId="77777777" w:rsidR="003F7412" w:rsidRPr="00B34D17" w:rsidRDefault="003F7412" w:rsidP="00855F2F">
            <w:pPr>
              <w:suppressAutoHyphens w:val="0"/>
              <w:spacing w:after="0"/>
              <w:jc w:val="both"/>
              <w:textAlignment w:val="auto"/>
              <w:rPr>
                <w:rFonts w:eastAsia="Times New Roman" w:cs="Calibri"/>
                <w:b/>
                <w:bCs/>
                <w:color w:val="0D0D0D" w:themeColor="text1" w:themeTint="F2"/>
                <w:sz w:val="20"/>
                <w:szCs w:val="20"/>
                <w:lang w:eastAsia="en-GB"/>
              </w:rPr>
            </w:pPr>
            <w:r w:rsidRPr="00B34D17">
              <w:rPr>
                <w:rFonts w:eastAsia="Times New Roman" w:cs="Calibri"/>
                <w:b/>
                <w:bCs/>
                <w:color w:val="0D0D0D" w:themeColor="text1" w:themeTint="F2"/>
                <w:sz w:val="20"/>
                <w:szCs w:val="20"/>
                <w:lang w:eastAsia="en-GB"/>
              </w:rPr>
              <w:t>Ukupna potrošnja el.energije nakon rekonstrukcije:</w:t>
            </w:r>
          </w:p>
        </w:tc>
        <w:tc>
          <w:tcPr>
            <w:tcW w:w="1388" w:type="pct"/>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6F27EB" w14:textId="77777777" w:rsidR="003F7412" w:rsidRPr="00B34D17" w:rsidRDefault="003F7412" w:rsidP="00855F2F">
            <w:pPr>
              <w:suppressAutoHyphens w:val="0"/>
              <w:spacing w:after="0"/>
              <w:jc w:val="center"/>
              <w:textAlignment w:val="auto"/>
              <w:rPr>
                <w:rFonts w:eastAsia="Times New Roman" w:cs="Calibri"/>
                <w:b/>
                <w:bCs/>
                <w:color w:val="000000"/>
                <w:sz w:val="20"/>
                <w:szCs w:val="20"/>
                <w:lang w:eastAsia="en-GB"/>
              </w:rPr>
            </w:pPr>
            <w:r w:rsidRPr="00B34D17">
              <w:rPr>
                <w:rFonts w:eastAsia="Times New Roman" w:cs="Calibri"/>
                <w:b/>
                <w:bCs/>
                <w:color w:val="000000"/>
                <w:sz w:val="20"/>
                <w:szCs w:val="20"/>
                <w:lang w:eastAsia="en-GB"/>
              </w:rPr>
              <w:t>2,97 mil kWh</w:t>
            </w:r>
          </w:p>
        </w:tc>
      </w:tr>
      <w:tr w:rsidR="003F7412" w:rsidRPr="00B34D17" w14:paraId="403FB642" w14:textId="77777777" w:rsidTr="00344694">
        <w:trPr>
          <w:trHeight w:val="420"/>
        </w:trPr>
        <w:tc>
          <w:tcPr>
            <w:tcW w:w="3612" w:type="pct"/>
            <w:tcBorders>
              <w:left w:val="single" w:sz="4" w:space="0" w:color="000000"/>
              <w:bottom w:val="single" w:sz="4" w:space="0" w:color="000000"/>
              <w:right w:val="single" w:sz="4" w:space="0" w:color="000000"/>
            </w:tcBorders>
            <w:shd w:val="clear" w:color="auto" w:fill="9CC2E5" w:themeFill="accent1" w:themeFillTint="99"/>
            <w:noWrap/>
            <w:tcMar>
              <w:top w:w="0" w:type="dxa"/>
              <w:left w:w="108" w:type="dxa"/>
              <w:bottom w:w="0" w:type="dxa"/>
              <w:right w:w="108" w:type="dxa"/>
            </w:tcMar>
            <w:vAlign w:val="center"/>
          </w:tcPr>
          <w:p w14:paraId="4EB273E2" w14:textId="77777777" w:rsidR="003F7412" w:rsidRPr="00B34D17" w:rsidRDefault="003F7412" w:rsidP="00855F2F">
            <w:pPr>
              <w:suppressAutoHyphens w:val="0"/>
              <w:spacing w:after="0"/>
              <w:jc w:val="both"/>
              <w:textAlignment w:val="auto"/>
              <w:rPr>
                <w:rFonts w:eastAsia="Times New Roman" w:cs="Calibri"/>
                <w:b/>
                <w:bCs/>
                <w:color w:val="0D0D0D" w:themeColor="text1" w:themeTint="F2"/>
                <w:sz w:val="20"/>
                <w:szCs w:val="20"/>
                <w:lang w:eastAsia="en-GB"/>
              </w:rPr>
            </w:pPr>
            <w:r w:rsidRPr="00B34D17">
              <w:rPr>
                <w:rFonts w:eastAsia="Times New Roman" w:cs="Calibri"/>
                <w:b/>
                <w:bCs/>
                <w:color w:val="0D0D0D" w:themeColor="text1" w:themeTint="F2"/>
                <w:sz w:val="20"/>
                <w:szCs w:val="20"/>
                <w:lang w:eastAsia="en-GB"/>
              </w:rPr>
              <w:t>Ukupna ušteda:</w:t>
            </w:r>
          </w:p>
        </w:tc>
        <w:tc>
          <w:tcPr>
            <w:tcW w:w="1388" w:type="pct"/>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F147E58" w14:textId="77777777" w:rsidR="003F7412" w:rsidRPr="00B34D17" w:rsidRDefault="003F7412" w:rsidP="00855F2F">
            <w:pPr>
              <w:suppressAutoHyphens w:val="0"/>
              <w:spacing w:after="0"/>
              <w:jc w:val="center"/>
              <w:textAlignment w:val="auto"/>
              <w:rPr>
                <w:rFonts w:eastAsia="Times New Roman" w:cs="Calibri"/>
                <w:b/>
                <w:bCs/>
                <w:color w:val="000000"/>
                <w:sz w:val="20"/>
                <w:szCs w:val="20"/>
                <w:lang w:eastAsia="en-GB"/>
              </w:rPr>
            </w:pPr>
            <w:r w:rsidRPr="00B34D17">
              <w:rPr>
                <w:rFonts w:eastAsia="Times New Roman" w:cs="Calibri"/>
                <w:b/>
                <w:bCs/>
                <w:color w:val="000000"/>
                <w:sz w:val="20"/>
                <w:szCs w:val="20"/>
                <w:lang w:eastAsia="en-GB"/>
              </w:rPr>
              <w:t>15,09 mil kWh</w:t>
            </w:r>
          </w:p>
        </w:tc>
      </w:tr>
    </w:tbl>
    <w:p w14:paraId="673FD5F8" w14:textId="77777777" w:rsidR="003F7412" w:rsidRDefault="003F7412" w:rsidP="003F7412">
      <w:pPr>
        <w:jc w:val="both"/>
        <w:rPr>
          <w:rFonts w:cs="Calibri"/>
          <w:b/>
          <w:color w:val="000000"/>
          <w:sz w:val="24"/>
          <w:szCs w:val="24"/>
        </w:rPr>
      </w:pPr>
    </w:p>
    <w:tbl>
      <w:tblPr>
        <w:tblW w:w="5000" w:type="pct"/>
        <w:tblCellMar>
          <w:left w:w="10" w:type="dxa"/>
          <w:right w:w="10" w:type="dxa"/>
        </w:tblCellMar>
        <w:tblLook w:val="0000" w:firstRow="0" w:lastRow="0" w:firstColumn="0" w:lastColumn="0" w:noHBand="0" w:noVBand="0"/>
      </w:tblPr>
      <w:tblGrid>
        <w:gridCol w:w="6513"/>
        <w:gridCol w:w="2503"/>
      </w:tblGrid>
      <w:tr w:rsidR="003F7412" w:rsidRPr="00B34D17" w14:paraId="362A5EDE" w14:textId="77777777" w:rsidTr="00344694">
        <w:trPr>
          <w:trHeight w:val="564"/>
        </w:trPr>
        <w:tc>
          <w:tcPr>
            <w:tcW w:w="3612"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noWrap/>
            <w:tcMar>
              <w:top w:w="0" w:type="dxa"/>
              <w:left w:w="108" w:type="dxa"/>
              <w:bottom w:w="0" w:type="dxa"/>
              <w:right w:w="108" w:type="dxa"/>
            </w:tcMar>
            <w:vAlign w:val="center"/>
          </w:tcPr>
          <w:p w14:paraId="17007CB0" w14:textId="77777777" w:rsidR="003F7412" w:rsidRPr="00DE579F" w:rsidRDefault="003F7412" w:rsidP="00855F2F">
            <w:pPr>
              <w:suppressAutoHyphens w:val="0"/>
              <w:spacing w:after="0"/>
              <w:jc w:val="both"/>
              <w:textAlignment w:val="auto"/>
              <w:rPr>
                <w:rFonts w:eastAsia="Times New Roman" w:cs="Calibri"/>
                <w:b/>
                <w:bCs/>
                <w:color w:val="FFFFFF" w:themeColor="background1"/>
                <w:sz w:val="20"/>
                <w:szCs w:val="20"/>
                <w:lang w:eastAsia="en-GB"/>
              </w:rPr>
            </w:pPr>
            <w:r w:rsidRPr="00DE579F">
              <w:rPr>
                <w:rFonts w:eastAsia="Times New Roman" w:cs="Calibri"/>
                <w:b/>
                <w:bCs/>
                <w:color w:val="FFFFFF" w:themeColor="background1"/>
                <w:sz w:val="20"/>
                <w:szCs w:val="20"/>
                <w:lang w:eastAsia="en-GB"/>
              </w:rPr>
              <w:t>Prosječna specifična potrošnja prije rekonstrukcije:</w:t>
            </w:r>
          </w:p>
        </w:tc>
        <w:tc>
          <w:tcPr>
            <w:tcW w:w="1388" w:type="pct"/>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8BC2D81" w14:textId="77777777" w:rsidR="003F7412" w:rsidRPr="00B34D17" w:rsidRDefault="003F7412" w:rsidP="00855F2F">
            <w:pPr>
              <w:suppressAutoHyphens w:val="0"/>
              <w:spacing w:after="0"/>
              <w:jc w:val="center"/>
              <w:textAlignment w:val="auto"/>
              <w:rPr>
                <w:rFonts w:eastAsia="Times New Roman" w:cs="Calibri"/>
                <w:b/>
                <w:bCs/>
                <w:color w:val="000000"/>
                <w:sz w:val="20"/>
                <w:szCs w:val="20"/>
                <w:lang w:eastAsia="en-GB"/>
              </w:rPr>
            </w:pPr>
            <w:r w:rsidRPr="00B34D17">
              <w:rPr>
                <w:rFonts w:eastAsia="Times New Roman" w:cs="Calibri"/>
                <w:b/>
                <w:bCs/>
                <w:color w:val="000000"/>
                <w:sz w:val="20"/>
                <w:szCs w:val="20"/>
                <w:lang w:eastAsia="en-GB"/>
              </w:rPr>
              <w:t>239 kWh/m² god</w:t>
            </w:r>
          </w:p>
        </w:tc>
      </w:tr>
      <w:tr w:rsidR="003F7412" w:rsidRPr="00B34D17" w14:paraId="62EBC39B" w14:textId="77777777" w:rsidTr="00344694">
        <w:trPr>
          <w:trHeight w:val="516"/>
        </w:trPr>
        <w:tc>
          <w:tcPr>
            <w:tcW w:w="3612" w:type="pct"/>
            <w:tcBorders>
              <w:left w:val="single" w:sz="4" w:space="0" w:color="000000"/>
              <w:bottom w:val="single" w:sz="4" w:space="0" w:color="000000"/>
              <w:right w:val="single" w:sz="4" w:space="0" w:color="000000"/>
            </w:tcBorders>
            <w:shd w:val="clear" w:color="auto" w:fill="2E74B5" w:themeFill="accent1" w:themeFillShade="BF"/>
            <w:noWrap/>
            <w:tcMar>
              <w:top w:w="0" w:type="dxa"/>
              <w:left w:w="108" w:type="dxa"/>
              <w:bottom w:w="0" w:type="dxa"/>
              <w:right w:w="108" w:type="dxa"/>
            </w:tcMar>
            <w:vAlign w:val="center"/>
          </w:tcPr>
          <w:p w14:paraId="12863C8C" w14:textId="77777777" w:rsidR="003F7412" w:rsidRPr="00DE579F" w:rsidRDefault="003F7412" w:rsidP="00855F2F">
            <w:pPr>
              <w:suppressAutoHyphens w:val="0"/>
              <w:spacing w:after="0"/>
              <w:jc w:val="both"/>
              <w:textAlignment w:val="auto"/>
              <w:rPr>
                <w:rFonts w:eastAsia="Times New Roman" w:cs="Calibri"/>
                <w:b/>
                <w:bCs/>
                <w:color w:val="FFFFFF" w:themeColor="background1"/>
                <w:sz w:val="20"/>
                <w:szCs w:val="20"/>
                <w:lang w:eastAsia="en-GB"/>
              </w:rPr>
            </w:pPr>
            <w:r w:rsidRPr="00DE579F">
              <w:rPr>
                <w:rFonts w:eastAsia="Times New Roman" w:cs="Calibri"/>
                <w:b/>
                <w:bCs/>
                <w:color w:val="FFFFFF" w:themeColor="background1"/>
                <w:sz w:val="20"/>
                <w:szCs w:val="20"/>
                <w:lang w:eastAsia="en-GB"/>
              </w:rPr>
              <w:t>Prosječna specifična potrošnja nakon rekonstrukcije:</w:t>
            </w:r>
          </w:p>
        </w:tc>
        <w:tc>
          <w:tcPr>
            <w:tcW w:w="1388" w:type="pct"/>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2CD8ECA" w14:textId="77777777" w:rsidR="003F7412" w:rsidRPr="00B34D17" w:rsidRDefault="003F7412" w:rsidP="00855F2F">
            <w:pPr>
              <w:suppressAutoHyphens w:val="0"/>
              <w:spacing w:after="0"/>
              <w:jc w:val="center"/>
              <w:textAlignment w:val="auto"/>
              <w:rPr>
                <w:rFonts w:eastAsia="Times New Roman" w:cs="Calibri"/>
                <w:b/>
                <w:bCs/>
                <w:color w:val="000000"/>
                <w:sz w:val="20"/>
                <w:szCs w:val="20"/>
                <w:lang w:eastAsia="en-GB"/>
              </w:rPr>
            </w:pPr>
            <w:r w:rsidRPr="00B34D17">
              <w:rPr>
                <w:rFonts w:eastAsia="Times New Roman" w:cs="Calibri"/>
                <w:b/>
                <w:bCs/>
                <w:color w:val="000000"/>
                <w:sz w:val="20"/>
                <w:szCs w:val="20"/>
                <w:lang w:eastAsia="en-GB"/>
              </w:rPr>
              <w:t>92 kWh/m² god</w:t>
            </w:r>
          </w:p>
        </w:tc>
      </w:tr>
      <w:tr w:rsidR="003F7412" w:rsidRPr="00B34D17" w14:paraId="6D9374A4" w14:textId="77777777" w:rsidTr="00344694">
        <w:trPr>
          <w:trHeight w:val="540"/>
        </w:trPr>
        <w:tc>
          <w:tcPr>
            <w:tcW w:w="3612" w:type="pct"/>
            <w:tcBorders>
              <w:left w:val="single" w:sz="4" w:space="0" w:color="000000"/>
              <w:bottom w:val="single" w:sz="4" w:space="0" w:color="000000"/>
              <w:right w:val="single" w:sz="4" w:space="0" w:color="000000"/>
            </w:tcBorders>
            <w:shd w:val="clear" w:color="auto" w:fill="2E74B5" w:themeFill="accent1" w:themeFillShade="BF"/>
            <w:noWrap/>
            <w:tcMar>
              <w:top w:w="0" w:type="dxa"/>
              <w:left w:w="108" w:type="dxa"/>
              <w:bottom w:w="0" w:type="dxa"/>
              <w:right w:w="108" w:type="dxa"/>
            </w:tcMar>
            <w:vAlign w:val="center"/>
          </w:tcPr>
          <w:p w14:paraId="09BC048D" w14:textId="753BA6FC" w:rsidR="003F7412" w:rsidRPr="00DE579F" w:rsidRDefault="003F7412" w:rsidP="00855F2F">
            <w:pPr>
              <w:suppressAutoHyphens w:val="0"/>
              <w:spacing w:after="0"/>
              <w:jc w:val="both"/>
              <w:textAlignment w:val="auto"/>
              <w:rPr>
                <w:rFonts w:eastAsia="Times New Roman" w:cs="Calibri"/>
                <w:b/>
                <w:bCs/>
                <w:color w:val="FFFFFF" w:themeColor="background1"/>
                <w:sz w:val="20"/>
                <w:szCs w:val="20"/>
                <w:lang w:eastAsia="en-GB"/>
              </w:rPr>
            </w:pPr>
            <w:r w:rsidRPr="00DE579F">
              <w:rPr>
                <w:rFonts w:eastAsia="Times New Roman" w:cs="Calibri"/>
                <w:b/>
                <w:bCs/>
                <w:color w:val="FFFFFF" w:themeColor="background1"/>
                <w:sz w:val="20"/>
                <w:szCs w:val="20"/>
                <w:lang w:eastAsia="en-GB"/>
              </w:rPr>
              <w:t>Ukupno smanjenje emisije CO</w:t>
            </w:r>
            <w:r w:rsidR="00E377CE">
              <w:rPr>
                <w:rFonts w:eastAsia="Times New Roman" w:cs="Calibri"/>
                <w:b/>
                <w:bCs/>
                <w:color w:val="FFFFFF" w:themeColor="background1"/>
                <w:sz w:val="20"/>
                <w:szCs w:val="20"/>
                <w:vertAlign w:val="subscript"/>
                <w:lang w:eastAsia="en-GB"/>
              </w:rPr>
              <w:t>2</w:t>
            </w:r>
            <w:r w:rsidRPr="00DE579F">
              <w:rPr>
                <w:rFonts w:eastAsia="Times New Roman" w:cs="Calibri"/>
                <w:b/>
                <w:bCs/>
                <w:color w:val="FFFFFF" w:themeColor="background1"/>
                <w:sz w:val="20"/>
                <w:szCs w:val="20"/>
                <w:lang w:eastAsia="en-GB"/>
              </w:rPr>
              <w:t>:</w:t>
            </w:r>
          </w:p>
        </w:tc>
        <w:tc>
          <w:tcPr>
            <w:tcW w:w="1388" w:type="pct"/>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D0756A3" w14:textId="77777777" w:rsidR="003F7412" w:rsidRPr="00B34D17" w:rsidRDefault="003F7412" w:rsidP="00855F2F">
            <w:pPr>
              <w:suppressAutoHyphens w:val="0"/>
              <w:spacing w:after="0"/>
              <w:jc w:val="center"/>
              <w:textAlignment w:val="auto"/>
              <w:rPr>
                <w:rFonts w:eastAsia="Times New Roman" w:cs="Calibri"/>
                <w:b/>
                <w:bCs/>
                <w:color w:val="000000"/>
                <w:sz w:val="20"/>
                <w:szCs w:val="20"/>
                <w:lang w:eastAsia="en-GB"/>
              </w:rPr>
            </w:pPr>
            <w:r w:rsidRPr="00B34D17">
              <w:rPr>
                <w:rFonts w:eastAsia="Times New Roman" w:cs="Calibri"/>
                <w:b/>
                <w:bCs/>
                <w:color w:val="000000"/>
                <w:sz w:val="20"/>
                <w:szCs w:val="20"/>
                <w:lang w:eastAsia="en-GB"/>
              </w:rPr>
              <w:t>6502 t/god</w:t>
            </w:r>
          </w:p>
        </w:tc>
      </w:tr>
      <w:tr w:rsidR="003F7412" w:rsidRPr="00B34D17" w14:paraId="3A460857" w14:textId="77777777" w:rsidTr="00344694">
        <w:trPr>
          <w:trHeight w:val="420"/>
        </w:trPr>
        <w:tc>
          <w:tcPr>
            <w:tcW w:w="3612" w:type="pct"/>
            <w:tcBorders>
              <w:left w:val="single" w:sz="4" w:space="0" w:color="000000"/>
              <w:bottom w:val="single" w:sz="4" w:space="0" w:color="000000"/>
              <w:right w:val="single" w:sz="4" w:space="0" w:color="000000"/>
            </w:tcBorders>
            <w:shd w:val="clear" w:color="auto" w:fill="2E74B5" w:themeFill="accent1" w:themeFillShade="BF"/>
            <w:noWrap/>
            <w:tcMar>
              <w:top w:w="0" w:type="dxa"/>
              <w:left w:w="108" w:type="dxa"/>
              <w:bottom w:w="0" w:type="dxa"/>
              <w:right w:w="108" w:type="dxa"/>
            </w:tcMar>
            <w:vAlign w:val="center"/>
          </w:tcPr>
          <w:p w14:paraId="4CEEB814" w14:textId="77777777" w:rsidR="003F7412" w:rsidRPr="00DE579F" w:rsidRDefault="003F7412" w:rsidP="00855F2F">
            <w:pPr>
              <w:suppressAutoHyphens w:val="0"/>
              <w:spacing w:after="0"/>
              <w:jc w:val="both"/>
              <w:textAlignment w:val="auto"/>
              <w:rPr>
                <w:rFonts w:eastAsia="Times New Roman" w:cs="Calibri"/>
                <w:b/>
                <w:bCs/>
                <w:color w:val="FFFFFF" w:themeColor="background1"/>
                <w:sz w:val="20"/>
                <w:szCs w:val="20"/>
                <w:lang w:eastAsia="en-GB"/>
              </w:rPr>
            </w:pPr>
            <w:r w:rsidRPr="00DE579F">
              <w:rPr>
                <w:rFonts w:eastAsia="Times New Roman" w:cs="Calibri"/>
                <w:b/>
                <w:bCs/>
                <w:color w:val="FFFFFF" w:themeColor="background1"/>
                <w:sz w:val="20"/>
                <w:szCs w:val="20"/>
                <w:lang w:eastAsia="en-GB"/>
              </w:rPr>
              <w:t>Ukupno uloženo sredstava:</w:t>
            </w:r>
          </w:p>
        </w:tc>
        <w:tc>
          <w:tcPr>
            <w:tcW w:w="1388" w:type="pct"/>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D18C4E2" w14:textId="77777777" w:rsidR="003F7412" w:rsidRPr="00B34D17" w:rsidRDefault="003F7412" w:rsidP="00855F2F">
            <w:pPr>
              <w:suppressAutoHyphens w:val="0"/>
              <w:spacing w:after="0"/>
              <w:jc w:val="center"/>
              <w:textAlignment w:val="auto"/>
              <w:rPr>
                <w:rFonts w:eastAsia="Times New Roman" w:cs="Calibri"/>
                <w:b/>
                <w:bCs/>
                <w:color w:val="000000"/>
                <w:sz w:val="20"/>
                <w:szCs w:val="20"/>
                <w:lang w:eastAsia="en-GB"/>
              </w:rPr>
            </w:pPr>
            <w:r w:rsidRPr="00B34D17">
              <w:rPr>
                <w:rFonts w:eastAsia="Times New Roman" w:cs="Calibri"/>
                <w:b/>
                <w:bCs/>
                <w:color w:val="000000"/>
                <w:sz w:val="20"/>
                <w:szCs w:val="20"/>
                <w:lang w:eastAsia="en-GB"/>
              </w:rPr>
              <w:t>27 mil eura</w:t>
            </w:r>
          </w:p>
        </w:tc>
      </w:tr>
    </w:tbl>
    <w:p w14:paraId="0419AE40" w14:textId="7CE68E75" w:rsidR="00344694" w:rsidRDefault="00344694" w:rsidP="00344694">
      <w:pPr>
        <w:pStyle w:val="Caption"/>
        <w:jc w:val="center"/>
        <w:rPr>
          <w:rFonts w:ascii="Calibri" w:hAnsi="Calibri"/>
          <w:sz w:val="22"/>
        </w:rPr>
      </w:pPr>
      <w:bookmarkStart w:id="75" w:name="_Toc82415543"/>
      <w:r w:rsidRPr="00344694">
        <w:rPr>
          <w:rFonts w:ascii="Calibri" w:hAnsi="Calibri"/>
          <w:sz w:val="22"/>
        </w:rPr>
        <w:t xml:space="preserve">Tabela </w:t>
      </w:r>
      <w:r w:rsidRPr="00344694">
        <w:rPr>
          <w:rFonts w:ascii="Calibri" w:hAnsi="Calibri"/>
          <w:sz w:val="22"/>
        </w:rPr>
        <w:fldChar w:fldCharType="begin"/>
      </w:r>
      <w:r w:rsidRPr="00344694">
        <w:rPr>
          <w:rFonts w:ascii="Calibri" w:hAnsi="Calibri"/>
          <w:sz w:val="22"/>
        </w:rPr>
        <w:instrText xml:space="preserve"> SEQ Table \* ARABIC </w:instrText>
      </w:r>
      <w:r w:rsidRPr="00344694">
        <w:rPr>
          <w:rFonts w:ascii="Calibri" w:hAnsi="Calibri"/>
          <w:sz w:val="22"/>
        </w:rPr>
        <w:fldChar w:fldCharType="separate"/>
      </w:r>
      <w:r w:rsidR="002E7036">
        <w:rPr>
          <w:rFonts w:ascii="Calibri" w:hAnsi="Calibri"/>
          <w:noProof/>
          <w:sz w:val="22"/>
        </w:rPr>
        <w:t>10</w:t>
      </w:r>
      <w:r w:rsidRPr="00344694">
        <w:rPr>
          <w:rFonts w:ascii="Calibri" w:hAnsi="Calibri"/>
          <w:sz w:val="22"/>
        </w:rPr>
        <w:fldChar w:fldCharType="end"/>
      </w:r>
      <w:r w:rsidRPr="00344694">
        <w:rPr>
          <w:rFonts w:ascii="Calibri" w:hAnsi="Calibri"/>
          <w:sz w:val="22"/>
        </w:rPr>
        <w:t xml:space="preserve"> Rezultati projekta, za obuhvaćene objekte</w:t>
      </w:r>
      <w:bookmarkEnd w:id="75"/>
    </w:p>
    <w:p w14:paraId="1B8FBD76" w14:textId="76211B1D" w:rsidR="00344694" w:rsidRDefault="00344694" w:rsidP="00344694">
      <w:pPr>
        <w:rPr>
          <w:lang w:val="hr-HR" w:eastAsia="de-DE"/>
        </w:rPr>
      </w:pPr>
    </w:p>
    <w:p w14:paraId="6F1A0CE9" w14:textId="77777777" w:rsidR="00B11DFD" w:rsidRPr="00344694" w:rsidRDefault="00B11DFD" w:rsidP="00344694">
      <w:pPr>
        <w:rPr>
          <w:lang w:val="hr-HR" w:eastAsia="de-DE"/>
        </w:rPr>
      </w:pPr>
    </w:p>
    <w:p w14:paraId="35FF3E66" w14:textId="68C8AD98" w:rsidR="003F7412" w:rsidRPr="008B70C8" w:rsidRDefault="003F7412" w:rsidP="008B70C8">
      <w:p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cs="Calibri"/>
          <w:bCs/>
          <w:sz w:val="24"/>
          <w:szCs w:val="24"/>
        </w:rPr>
      </w:pPr>
      <w:r w:rsidRPr="008B70C8">
        <w:rPr>
          <w:rFonts w:cs="Calibri"/>
          <w:bCs/>
          <w:sz w:val="24"/>
          <w:szCs w:val="24"/>
        </w:rPr>
        <w:t xml:space="preserve">Period povrata investicije je u prosjeku 18 godina, odnosno </w:t>
      </w:r>
      <w:r w:rsidRPr="00DE579F">
        <w:rPr>
          <w:rFonts w:cs="Calibri"/>
          <w:bCs/>
          <w:sz w:val="24"/>
          <w:szCs w:val="24"/>
          <w:u w:val="single"/>
        </w:rPr>
        <w:t>10,7 godi</w:t>
      </w:r>
      <w:r w:rsidR="003763B8" w:rsidRPr="00DE579F">
        <w:rPr>
          <w:rFonts w:cs="Calibri"/>
          <w:bCs/>
          <w:sz w:val="24"/>
          <w:szCs w:val="24"/>
          <w:u w:val="single"/>
        </w:rPr>
        <w:t>n</w:t>
      </w:r>
      <w:r w:rsidRPr="00DE579F">
        <w:rPr>
          <w:rFonts w:cs="Calibri"/>
          <w:bCs/>
          <w:sz w:val="24"/>
          <w:szCs w:val="24"/>
          <w:u w:val="single"/>
        </w:rPr>
        <w:t>a za 27 objekata, dok je za sedam objek</w:t>
      </w:r>
      <w:r w:rsidR="003763B8" w:rsidRPr="00DE579F">
        <w:rPr>
          <w:rFonts w:cs="Calibri"/>
          <w:bCs/>
          <w:sz w:val="24"/>
          <w:szCs w:val="24"/>
          <w:u w:val="single"/>
        </w:rPr>
        <w:t>a</w:t>
      </w:r>
      <w:r w:rsidRPr="00DE579F">
        <w:rPr>
          <w:rFonts w:cs="Calibri"/>
          <w:bCs/>
          <w:sz w:val="24"/>
          <w:szCs w:val="24"/>
          <w:u w:val="single"/>
        </w:rPr>
        <w:t>ta period povrata veći od 20 godina. Navedeno se odnosi na objekte bez centralnog sistema grijanja, objekte koji su koristili ugalj i sl.</w:t>
      </w:r>
      <w:r w:rsidRPr="00DE579F">
        <w:rPr>
          <w:rFonts w:cs="Calibri"/>
          <w:bCs/>
          <w:sz w:val="24"/>
          <w:szCs w:val="24"/>
        </w:rPr>
        <w:t xml:space="preserve"> </w:t>
      </w:r>
    </w:p>
    <w:p w14:paraId="1C09AFF1" w14:textId="08F576CD" w:rsidR="003F7412" w:rsidRDefault="003F7412" w:rsidP="003F7412"/>
    <w:p w14:paraId="4BDB5950" w14:textId="38FE1D6F" w:rsidR="00DE579F" w:rsidRDefault="00DE579F" w:rsidP="003F7412"/>
    <w:p w14:paraId="07BBEB8B" w14:textId="328D0013" w:rsidR="00DE579F" w:rsidRDefault="00DE579F" w:rsidP="003F7412"/>
    <w:p w14:paraId="6648B3CA" w14:textId="0A038C27" w:rsidR="00DE579F" w:rsidRDefault="00DE579F" w:rsidP="003F7412"/>
    <w:p w14:paraId="452474FB" w14:textId="14EAEDEB" w:rsidR="00DE579F" w:rsidRDefault="00DE579F" w:rsidP="003F7412"/>
    <w:p w14:paraId="13B60F17" w14:textId="324ED541" w:rsidR="00DE579F" w:rsidRDefault="00DE579F" w:rsidP="003F7412"/>
    <w:p w14:paraId="1557F336" w14:textId="4BBDC7AC" w:rsidR="00DE579F" w:rsidRDefault="00DE579F" w:rsidP="003F7412"/>
    <w:p w14:paraId="4AA1ED92" w14:textId="078A124F" w:rsidR="00DE579F" w:rsidRDefault="00DE579F" w:rsidP="003F7412"/>
    <w:p w14:paraId="56ED0F87" w14:textId="312D5BE9" w:rsidR="00DE579F" w:rsidRDefault="00DE579F" w:rsidP="003F7412"/>
    <w:p w14:paraId="342BB98F" w14:textId="4250D6DD" w:rsidR="00DE579F" w:rsidRDefault="00DE579F" w:rsidP="003F7412"/>
    <w:p w14:paraId="324FC543" w14:textId="4E9C132F" w:rsidR="00DE579F" w:rsidRDefault="00DE579F" w:rsidP="003F7412"/>
    <w:p w14:paraId="31C114FA" w14:textId="77777777" w:rsidR="00DE579F" w:rsidRDefault="00DE579F" w:rsidP="003F7412"/>
    <w:p w14:paraId="3AAF5EB5" w14:textId="77777777" w:rsidR="003F7412" w:rsidRPr="000142CE" w:rsidRDefault="003F7412" w:rsidP="003F7412">
      <w:pPr>
        <w:pStyle w:val="Heading1"/>
        <w:numPr>
          <w:ilvl w:val="0"/>
          <w:numId w:val="25"/>
        </w:numPr>
        <w:rPr>
          <w:color w:val="171717" w:themeColor="background2" w:themeShade="1A"/>
        </w:rPr>
      </w:pPr>
      <w:bookmarkStart w:id="76" w:name="_Toc80181923"/>
      <w:bookmarkStart w:id="77" w:name="_Toc82271955"/>
      <w:r w:rsidRPr="000142CE">
        <w:rPr>
          <w:color w:val="171717" w:themeColor="background2" w:themeShade="1A"/>
        </w:rPr>
        <w:lastRenderedPageBreak/>
        <w:t>UVOĐENJE ELEKTRIČNIH VOZILA U JAVNOJ UPRAVI CRNE GORE</w:t>
      </w:r>
      <w:bookmarkEnd w:id="76"/>
      <w:bookmarkEnd w:id="77"/>
      <w:r w:rsidRPr="000142CE">
        <w:rPr>
          <w:color w:val="171717" w:themeColor="background2" w:themeShade="1A"/>
        </w:rPr>
        <w:t xml:space="preserve"> </w:t>
      </w:r>
    </w:p>
    <w:p w14:paraId="74D11B65" w14:textId="77777777" w:rsidR="003F7412" w:rsidRDefault="003F7412" w:rsidP="003F7412">
      <w:pPr>
        <w:jc w:val="both"/>
        <w:rPr>
          <w:rFonts w:ascii="Candara" w:hAnsi="Candara"/>
        </w:rPr>
      </w:pPr>
    </w:p>
    <w:p w14:paraId="1514E323" w14:textId="57264D81" w:rsidR="003F7412" w:rsidRPr="00BD46FE" w:rsidRDefault="003F7412" w:rsidP="003F7412">
      <w:pPr>
        <w:jc w:val="both"/>
        <w:rPr>
          <w:sz w:val="24"/>
          <w:szCs w:val="24"/>
        </w:rPr>
      </w:pPr>
      <w:r w:rsidRPr="00BD46FE">
        <w:rPr>
          <w:sz w:val="24"/>
          <w:szCs w:val="24"/>
          <w:lang w:eastAsia="hr-HR"/>
        </w:rPr>
        <w:t>Za studiju slučaja izračuna i analize troškova i koristi u segmentu javnog sektora razmatrano je nekoliko državnih i lokalnih organizacijskih jedinica koja je sprovedena u okviru Studije “Analize troškova i koristi koncepta e-mobilnosti u Crnoj Gori”</w:t>
      </w:r>
      <w:r w:rsidR="00DE579F">
        <w:rPr>
          <w:rStyle w:val="FootnoteReference"/>
          <w:sz w:val="24"/>
          <w:szCs w:val="24"/>
          <w:lang w:eastAsia="hr-HR"/>
        </w:rPr>
        <w:footnoteReference w:id="29"/>
      </w:r>
      <w:r w:rsidRPr="00BD46FE">
        <w:rPr>
          <w:sz w:val="24"/>
          <w:szCs w:val="24"/>
          <w:lang w:eastAsia="hr-HR"/>
        </w:rPr>
        <w:t xml:space="preserve"> – čiji je autor Institut Hrvoje Požar iz Zagreba. Ocjenom stanja voznih parkova, karakteristika korišćenja vozila te dostupnosti relevantnih podataka, za analizu je odabrana </w:t>
      </w:r>
      <w:r w:rsidRPr="00BD46FE">
        <w:rPr>
          <w:b/>
          <w:sz w:val="24"/>
          <w:szCs w:val="24"/>
          <w:lang w:eastAsia="hr-HR"/>
        </w:rPr>
        <w:t>Komunalna policija</w:t>
      </w:r>
      <w:r w:rsidRPr="00BD46FE">
        <w:rPr>
          <w:sz w:val="24"/>
          <w:szCs w:val="24"/>
          <w:lang w:eastAsia="hr-HR"/>
        </w:rPr>
        <w:t xml:space="preserve"> grada Podgorice.</w:t>
      </w:r>
      <w:r w:rsidR="00001DE2">
        <w:rPr>
          <w:sz w:val="24"/>
          <w:szCs w:val="24"/>
          <w:lang w:eastAsia="hr-HR"/>
        </w:rPr>
        <w:t xml:space="preserve"> Ostvareni rezultati studije su kori</w:t>
      </w:r>
      <w:r w:rsidR="006A3FF1">
        <w:rPr>
          <w:sz w:val="24"/>
          <w:szCs w:val="24"/>
          <w:lang w:val="sr-Latn-BA" w:eastAsia="hr-HR"/>
        </w:rPr>
        <w:t>šćeni</w:t>
      </w:r>
      <w:r w:rsidR="00001DE2">
        <w:rPr>
          <w:sz w:val="24"/>
          <w:szCs w:val="24"/>
          <w:lang w:eastAsia="hr-HR"/>
        </w:rPr>
        <w:t xml:space="preserve"> i za ovu analizu.</w:t>
      </w:r>
    </w:p>
    <w:p w14:paraId="5D5A697D" w14:textId="7A844D73" w:rsidR="003F7412" w:rsidRDefault="003F7412" w:rsidP="003F7412">
      <w:pPr>
        <w:jc w:val="both"/>
        <w:rPr>
          <w:sz w:val="24"/>
          <w:szCs w:val="24"/>
          <w:lang w:eastAsia="hr-HR"/>
        </w:rPr>
      </w:pPr>
      <w:r w:rsidRPr="00BD46FE">
        <w:rPr>
          <w:sz w:val="24"/>
          <w:szCs w:val="24"/>
          <w:lang w:eastAsia="hr-HR"/>
        </w:rPr>
        <w:t xml:space="preserve">Zakonom </w:t>
      </w:r>
      <w:r w:rsidR="00E623F7" w:rsidRPr="00BD46FE">
        <w:rPr>
          <w:sz w:val="24"/>
          <w:szCs w:val="24"/>
          <w:lang w:eastAsia="hr-HR"/>
        </w:rPr>
        <w:t>o Komunalnoj</w:t>
      </w:r>
      <w:r w:rsidRPr="00BD46FE">
        <w:rPr>
          <w:sz w:val="24"/>
          <w:szCs w:val="24"/>
          <w:lang w:eastAsia="hr-HR"/>
        </w:rPr>
        <w:t xml:space="preserve"> </w:t>
      </w:r>
      <w:r w:rsidR="00E623F7" w:rsidRPr="00BD46FE">
        <w:rPr>
          <w:sz w:val="24"/>
          <w:szCs w:val="24"/>
          <w:lang w:eastAsia="hr-HR"/>
        </w:rPr>
        <w:t>policiji uređuju</w:t>
      </w:r>
      <w:r w:rsidRPr="00BD46FE">
        <w:rPr>
          <w:sz w:val="24"/>
          <w:szCs w:val="24"/>
          <w:lang w:eastAsia="hr-HR"/>
        </w:rPr>
        <w:t xml:space="preserve"> se poslovi i ovlašćenja komunalne policije, organizacija i druga pitanja od značaja za rad komunalne policije. Poslovi komunalne policije obuhvataju komunalni nadzor i obezbeđivanje komunalnog reda u skladu sa zakonom kojim se uređuje oblast komunalnih djelatnosti i druge oblasti u kojima opština vrši sopstvene poslove ili poslove iz nadležnosti državne uprave koji su joj preneseni zakonom ili povjereni na osnovu zakona.</w:t>
      </w:r>
      <w:bookmarkStart w:id="78" w:name="_Toc8296779"/>
      <w:bookmarkStart w:id="79" w:name="_Toc80181924"/>
    </w:p>
    <w:p w14:paraId="0B22F8EA" w14:textId="77777777" w:rsidR="003F7412" w:rsidRDefault="003F7412" w:rsidP="003F7412">
      <w:pPr>
        <w:jc w:val="both"/>
        <w:rPr>
          <w:rFonts w:ascii="Candara" w:hAnsi="Candara"/>
          <w:lang w:eastAsia="hr-HR"/>
        </w:rPr>
      </w:pPr>
    </w:p>
    <w:p w14:paraId="57B3D271" w14:textId="77777777" w:rsidR="003F7412" w:rsidRPr="000142CE" w:rsidRDefault="003F7412" w:rsidP="003F7412">
      <w:pPr>
        <w:pStyle w:val="Heading2"/>
        <w:numPr>
          <w:ilvl w:val="1"/>
          <w:numId w:val="25"/>
        </w:numPr>
        <w:rPr>
          <w:rFonts w:ascii="Calibri" w:hAnsi="Calibri"/>
          <w:color w:val="171717" w:themeColor="background2" w:themeShade="1A"/>
        </w:rPr>
      </w:pPr>
      <w:bookmarkStart w:id="80" w:name="_Toc82271956"/>
      <w:r w:rsidRPr="000142CE">
        <w:rPr>
          <w:rFonts w:ascii="Calibri" w:hAnsi="Calibri"/>
          <w:color w:val="171717" w:themeColor="background2" w:themeShade="1A"/>
        </w:rPr>
        <w:t>Scenarij i ulazne pretpostavke</w:t>
      </w:r>
      <w:bookmarkEnd w:id="78"/>
      <w:bookmarkEnd w:id="79"/>
      <w:bookmarkEnd w:id="80"/>
    </w:p>
    <w:p w14:paraId="289D240D" w14:textId="77777777" w:rsidR="003F7412" w:rsidRDefault="003F7412" w:rsidP="003F7412"/>
    <w:p w14:paraId="2F7CC8E3" w14:textId="30D85315" w:rsidR="003F7412" w:rsidRPr="00BD46FE" w:rsidRDefault="003F7412" w:rsidP="003F7412">
      <w:pPr>
        <w:jc w:val="both"/>
        <w:rPr>
          <w:sz w:val="24"/>
        </w:rPr>
      </w:pPr>
      <w:r w:rsidRPr="00BD46FE">
        <w:rPr>
          <w:sz w:val="24"/>
          <w:lang w:eastAsia="hr-HR"/>
        </w:rPr>
        <w:t>U vršenju poslova iz svoje nadležnosti, komunalna policija raspolaže s voznim parkom koji se sastoji od devet vozila u sopstvenom vlasništvu (</w:t>
      </w:r>
      <w:r w:rsidR="006737F1">
        <w:rPr>
          <w:sz w:val="24"/>
          <w:lang w:eastAsia="hr-HR"/>
        </w:rPr>
        <w:t xml:space="preserve">Tabela </w:t>
      </w:r>
      <w:r w:rsidR="00715D7C">
        <w:rPr>
          <w:sz w:val="24"/>
        </w:rPr>
        <w:t>11</w:t>
      </w:r>
      <w:r w:rsidRPr="00BD46FE">
        <w:rPr>
          <w:sz w:val="24"/>
          <w:lang w:eastAsia="hr-HR"/>
        </w:rPr>
        <w:t>). Dva vozila za pogon koriste dizelsko, a njih sedam benzinsko gorivo. Prosječna starost voznog parka iznosi 10 godina, a prosječna godišnja kilometraža iznosi 14.100 km.</w:t>
      </w:r>
    </w:p>
    <w:p w14:paraId="61336EDA" w14:textId="40DF7E83" w:rsidR="003F7412" w:rsidRPr="00DC0962" w:rsidRDefault="00DC0962" w:rsidP="00C25F77">
      <w:pPr>
        <w:pStyle w:val="Caption"/>
        <w:keepNext/>
        <w:jc w:val="center"/>
        <w:rPr>
          <w:rFonts w:ascii="Calibri" w:hAnsi="Calibri"/>
          <w:color w:val="0D0D0D" w:themeColor="text1" w:themeTint="F2"/>
          <w:sz w:val="22"/>
          <w:szCs w:val="22"/>
        </w:rPr>
      </w:pPr>
      <w:bookmarkStart w:id="81" w:name="_Toc8296452"/>
      <w:bookmarkStart w:id="82" w:name="_Toc82415544"/>
      <w:r w:rsidRPr="00DC0962">
        <w:rPr>
          <w:rFonts w:ascii="Calibri" w:hAnsi="Calibri"/>
          <w:color w:val="0D0D0D" w:themeColor="text1" w:themeTint="F2"/>
          <w:sz w:val="22"/>
          <w:szCs w:val="22"/>
        </w:rPr>
        <w:t xml:space="preserve">Tabela </w:t>
      </w:r>
      <w:r w:rsidRPr="00DC0962">
        <w:rPr>
          <w:rFonts w:ascii="Calibri" w:hAnsi="Calibri"/>
          <w:color w:val="0D0D0D" w:themeColor="text1" w:themeTint="F2"/>
          <w:sz w:val="22"/>
          <w:szCs w:val="22"/>
        </w:rPr>
        <w:fldChar w:fldCharType="begin"/>
      </w:r>
      <w:r w:rsidRPr="00DC0962">
        <w:rPr>
          <w:rFonts w:ascii="Calibri" w:hAnsi="Calibri"/>
          <w:color w:val="0D0D0D" w:themeColor="text1" w:themeTint="F2"/>
          <w:sz w:val="22"/>
          <w:szCs w:val="22"/>
        </w:rPr>
        <w:instrText xml:space="preserve"> SEQ Table \* ARABIC </w:instrText>
      </w:r>
      <w:r w:rsidRPr="00DC0962">
        <w:rPr>
          <w:rFonts w:ascii="Calibri" w:hAnsi="Calibri"/>
          <w:color w:val="0D0D0D" w:themeColor="text1" w:themeTint="F2"/>
          <w:sz w:val="22"/>
          <w:szCs w:val="22"/>
        </w:rPr>
        <w:fldChar w:fldCharType="separate"/>
      </w:r>
      <w:r w:rsidR="002E7036">
        <w:rPr>
          <w:rFonts w:ascii="Calibri" w:hAnsi="Calibri"/>
          <w:noProof/>
          <w:color w:val="0D0D0D" w:themeColor="text1" w:themeTint="F2"/>
          <w:sz w:val="22"/>
          <w:szCs w:val="22"/>
        </w:rPr>
        <w:t>11</w:t>
      </w:r>
      <w:r w:rsidRPr="00DC0962">
        <w:rPr>
          <w:rFonts w:ascii="Calibri" w:hAnsi="Calibri"/>
          <w:color w:val="0D0D0D" w:themeColor="text1" w:themeTint="F2"/>
          <w:sz w:val="22"/>
          <w:szCs w:val="22"/>
        </w:rPr>
        <w:fldChar w:fldCharType="end"/>
      </w:r>
      <w:r w:rsidRPr="00DC0962">
        <w:rPr>
          <w:rFonts w:ascii="Calibri" w:hAnsi="Calibri"/>
          <w:color w:val="0D0D0D" w:themeColor="text1" w:themeTint="F2"/>
          <w:sz w:val="22"/>
          <w:szCs w:val="22"/>
        </w:rPr>
        <w:t xml:space="preserve"> </w:t>
      </w:r>
      <w:r w:rsidR="003F7412" w:rsidRPr="00DC0962">
        <w:rPr>
          <w:rFonts w:ascii="Calibri" w:hAnsi="Calibri"/>
          <w:color w:val="0D0D0D" w:themeColor="text1" w:themeTint="F2"/>
          <w:sz w:val="22"/>
          <w:szCs w:val="22"/>
        </w:rPr>
        <w:t>Vozni park Komunalne policije (2019.)</w:t>
      </w:r>
      <w:bookmarkEnd w:id="81"/>
      <w:bookmarkEnd w:id="82"/>
    </w:p>
    <w:tbl>
      <w:tblPr>
        <w:tblW w:w="9016" w:type="dxa"/>
        <w:tblCellMar>
          <w:left w:w="10" w:type="dxa"/>
          <w:right w:w="10" w:type="dxa"/>
        </w:tblCellMar>
        <w:tblLook w:val="0000" w:firstRow="0" w:lastRow="0" w:firstColumn="0" w:lastColumn="0" w:noHBand="0" w:noVBand="0"/>
      </w:tblPr>
      <w:tblGrid>
        <w:gridCol w:w="672"/>
        <w:gridCol w:w="831"/>
        <w:gridCol w:w="962"/>
        <w:gridCol w:w="1365"/>
        <w:gridCol w:w="1705"/>
        <w:gridCol w:w="1027"/>
        <w:gridCol w:w="1214"/>
        <w:gridCol w:w="1240"/>
      </w:tblGrid>
      <w:tr w:rsidR="003F7412" w14:paraId="422517D4" w14:textId="77777777" w:rsidTr="00B34D17">
        <w:trPr>
          <w:trHeight w:val="675"/>
        </w:trPr>
        <w:tc>
          <w:tcPr>
            <w:tcW w:w="672"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0D30787D" w14:textId="77777777" w:rsidR="003F7412" w:rsidRPr="0091029E" w:rsidRDefault="003F7412" w:rsidP="00855F2F">
            <w:pPr>
              <w:spacing w:before="100" w:after="100"/>
              <w:jc w:val="center"/>
              <w:textAlignment w:val="auto"/>
              <w:rPr>
                <w:i/>
                <w:color w:val="FFFFFF" w:themeColor="background1"/>
              </w:rPr>
            </w:pPr>
            <w:r w:rsidRPr="0091029E">
              <w:rPr>
                <w:rFonts w:cs="Tahoma"/>
                <w:b/>
                <w:bCs/>
                <w:i/>
                <w:color w:val="FFFFFF" w:themeColor="background1"/>
                <w:sz w:val="18"/>
                <w:szCs w:val="18"/>
                <w:lang w:val="hr-HR" w:eastAsia="hr-HR"/>
              </w:rPr>
              <w:t>R.br.</w:t>
            </w:r>
          </w:p>
        </w:tc>
        <w:tc>
          <w:tcPr>
            <w:tcW w:w="831"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178B1E57" w14:textId="77777777" w:rsidR="003F7412" w:rsidRPr="0091029E" w:rsidRDefault="003F7412" w:rsidP="00855F2F">
            <w:pPr>
              <w:spacing w:before="100" w:after="100"/>
              <w:jc w:val="center"/>
              <w:textAlignment w:val="auto"/>
              <w:rPr>
                <w:rFonts w:cs="Tahoma"/>
                <w:b/>
                <w:bCs/>
                <w:i/>
                <w:color w:val="FFFFFF" w:themeColor="background1"/>
                <w:sz w:val="18"/>
                <w:szCs w:val="18"/>
                <w:lang w:val="hr-HR" w:eastAsia="hr-HR"/>
              </w:rPr>
            </w:pPr>
            <w:r w:rsidRPr="0091029E">
              <w:rPr>
                <w:rFonts w:cs="Tahoma"/>
                <w:b/>
                <w:bCs/>
                <w:i/>
                <w:color w:val="FFFFFF" w:themeColor="background1"/>
                <w:sz w:val="18"/>
                <w:szCs w:val="18"/>
                <w:lang w:val="hr-HR" w:eastAsia="hr-HR"/>
              </w:rPr>
              <w:t>Vrsta goriva</w:t>
            </w:r>
          </w:p>
        </w:tc>
        <w:tc>
          <w:tcPr>
            <w:tcW w:w="962"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4F17BBA8" w14:textId="77777777" w:rsidR="003F7412" w:rsidRPr="0091029E" w:rsidRDefault="003F7412" w:rsidP="00855F2F">
            <w:pPr>
              <w:spacing w:before="100" w:after="100"/>
              <w:jc w:val="center"/>
              <w:textAlignment w:val="auto"/>
              <w:rPr>
                <w:rFonts w:cs="Tahoma"/>
                <w:b/>
                <w:bCs/>
                <w:i/>
                <w:color w:val="FFFFFF" w:themeColor="background1"/>
                <w:sz w:val="18"/>
                <w:szCs w:val="18"/>
                <w:lang w:val="hr-HR" w:eastAsia="hr-HR"/>
              </w:rPr>
            </w:pPr>
            <w:r w:rsidRPr="0091029E">
              <w:rPr>
                <w:rFonts w:cs="Tahoma"/>
                <w:b/>
                <w:bCs/>
                <w:i/>
                <w:color w:val="FFFFFF" w:themeColor="background1"/>
                <w:sz w:val="18"/>
                <w:szCs w:val="18"/>
                <w:lang w:val="hr-HR" w:eastAsia="hr-HR"/>
              </w:rPr>
              <w:t>Snaga motora (kW)</w:t>
            </w:r>
          </w:p>
        </w:tc>
        <w:tc>
          <w:tcPr>
            <w:tcW w:w="1365"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5C8703E1" w14:textId="77777777" w:rsidR="003F7412" w:rsidRPr="0091029E" w:rsidRDefault="003F7412" w:rsidP="00855F2F">
            <w:pPr>
              <w:spacing w:before="100" w:after="100"/>
              <w:jc w:val="center"/>
              <w:textAlignment w:val="auto"/>
              <w:rPr>
                <w:rFonts w:cs="Tahoma"/>
                <w:b/>
                <w:bCs/>
                <w:i/>
                <w:color w:val="FFFFFF" w:themeColor="background1"/>
                <w:sz w:val="18"/>
                <w:szCs w:val="18"/>
                <w:lang w:val="hr-HR" w:eastAsia="hr-HR"/>
              </w:rPr>
            </w:pPr>
            <w:r w:rsidRPr="0091029E">
              <w:rPr>
                <w:rFonts w:cs="Tahoma"/>
                <w:b/>
                <w:bCs/>
                <w:i/>
                <w:color w:val="FFFFFF" w:themeColor="background1"/>
                <w:sz w:val="18"/>
                <w:szCs w:val="18"/>
                <w:lang w:val="hr-HR" w:eastAsia="hr-HR"/>
              </w:rPr>
              <w:t>Godina proizvodnje</w:t>
            </w:r>
          </w:p>
        </w:tc>
        <w:tc>
          <w:tcPr>
            <w:tcW w:w="1705"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42ACC580" w14:textId="77777777" w:rsidR="003F7412" w:rsidRPr="0091029E" w:rsidRDefault="003F7412" w:rsidP="00855F2F">
            <w:pPr>
              <w:spacing w:before="100" w:after="100"/>
              <w:jc w:val="center"/>
              <w:textAlignment w:val="auto"/>
              <w:rPr>
                <w:rFonts w:cs="Tahoma"/>
                <w:b/>
                <w:bCs/>
                <w:i/>
                <w:color w:val="FFFFFF" w:themeColor="background1"/>
                <w:sz w:val="18"/>
                <w:szCs w:val="18"/>
                <w:lang w:val="hr-HR" w:eastAsia="hr-HR"/>
              </w:rPr>
            </w:pPr>
            <w:r w:rsidRPr="0091029E">
              <w:rPr>
                <w:rFonts w:cs="Tahoma"/>
                <w:b/>
                <w:bCs/>
                <w:i/>
                <w:color w:val="FFFFFF" w:themeColor="background1"/>
                <w:sz w:val="18"/>
                <w:szCs w:val="18"/>
                <w:lang w:val="hr-HR" w:eastAsia="hr-HR"/>
              </w:rPr>
              <w:t>Model vozila</w:t>
            </w:r>
          </w:p>
        </w:tc>
        <w:tc>
          <w:tcPr>
            <w:tcW w:w="1027"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79219584" w14:textId="77777777" w:rsidR="003F7412" w:rsidRPr="0091029E" w:rsidRDefault="003F7412" w:rsidP="00855F2F">
            <w:pPr>
              <w:spacing w:before="100" w:after="100"/>
              <w:jc w:val="center"/>
              <w:textAlignment w:val="auto"/>
              <w:rPr>
                <w:rFonts w:cs="Tahoma"/>
                <w:b/>
                <w:bCs/>
                <w:i/>
                <w:color w:val="FFFFFF" w:themeColor="background1"/>
                <w:sz w:val="18"/>
                <w:szCs w:val="18"/>
                <w:lang w:val="hr-HR" w:eastAsia="hr-HR"/>
              </w:rPr>
            </w:pPr>
            <w:r w:rsidRPr="0091029E">
              <w:rPr>
                <w:rFonts w:cs="Tahoma"/>
                <w:b/>
                <w:bCs/>
                <w:i/>
                <w:color w:val="FFFFFF" w:themeColor="background1"/>
                <w:sz w:val="18"/>
                <w:szCs w:val="18"/>
                <w:lang w:val="hr-HR" w:eastAsia="hr-HR"/>
              </w:rPr>
              <w:t>Euro standard</w:t>
            </w:r>
          </w:p>
        </w:tc>
        <w:tc>
          <w:tcPr>
            <w:tcW w:w="1214"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1871D6E0" w14:textId="77777777" w:rsidR="003F7412" w:rsidRPr="0091029E" w:rsidRDefault="003F7412" w:rsidP="00855F2F">
            <w:pPr>
              <w:spacing w:before="100" w:after="100"/>
              <w:jc w:val="center"/>
              <w:textAlignment w:val="auto"/>
              <w:rPr>
                <w:rFonts w:cs="Tahoma"/>
                <w:b/>
                <w:bCs/>
                <w:i/>
                <w:color w:val="FFFFFF" w:themeColor="background1"/>
                <w:sz w:val="18"/>
                <w:szCs w:val="18"/>
                <w:lang w:val="hr-HR" w:eastAsia="hr-HR"/>
              </w:rPr>
            </w:pPr>
            <w:r w:rsidRPr="0091029E">
              <w:rPr>
                <w:rFonts w:cs="Tahoma"/>
                <w:b/>
                <w:bCs/>
                <w:i/>
                <w:color w:val="FFFFFF" w:themeColor="background1"/>
                <w:sz w:val="18"/>
                <w:szCs w:val="18"/>
                <w:lang w:val="hr-HR" w:eastAsia="hr-HR"/>
              </w:rPr>
              <w:t>Prosječna potrošnja [l/100 km]</w:t>
            </w:r>
          </w:p>
        </w:tc>
        <w:tc>
          <w:tcPr>
            <w:tcW w:w="1240"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624D14D5" w14:textId="77777777" w:rsidR="003F7412" w:rsidRPr="0091029E" w:rsidRDefault="003F7412" w:rsidP="00855F2F">
            <w:pPr>
              <w:spacing w:before="100" w:after="100"/>
              <w:jc w:val="center"/>
              <w:textAlignment w:val="auto"/>
              <w:rPr>
                <w:rFonts w:cs="Tahoma"/>
                <w:b/>
                <w:bCs/>
                <w:i/>
                <w:color w:val="FFFFFF" w:themeColor="background1"/>
                <w:sz w:val="18"/>
                <w:szCs w:val="18"/>
                <w:lang w:val="hr-HR" w:eastAsia="hr-HR"/>
              </w:rPr>
            </w:pPr>
            <w:r w:rsidRPr="0091029E">
              <w:rPr>
                <w:rFonts w:cs="Tahoma"/>
                <w:b/>
                <w:bCs/>
                <w:i/>
                <w:color w:val="FFFFFF" w:themeColor="background1"/>
                <w:sz w:val="18"/>
                <w:szCs w:val="18"/>
                <w:lang w:val="hr-HR" w:eastAsia="hr-HR"/>
              </w:rPr>
              <w:t>Godišnja kilometraža</w:t>
            </w:r>
          </w:p>
        </w:tc>
      </w:tr>
      <w:tr w:rsidR="003F7412" w14:paraId="0F81D5E1" w14:textId="77777777" w:rsidTr="00855F2F">
        <w:trPr>
          <w:trHeight w:val="300"/>
        </w:trPr>
        <w:tc>
          <w:tcPr>
            <w:tcW w:w="67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241001CD" w14:textId="77777777" w:rsidR="003F7412" w:rsidRDefault="003F7412" w:rsidP="00855F2F">
            <w:pPr>
              <w:spacing w:before="100" w:after="100"/>
              <w:jc w:val="center"/>
              <w:textAlignment w:val="auto"/>
              <w:rPr>
                <w:rFonts w:cs="Tahoma"/>
                <w:b/>
                <w:bCs/>
                <w:sz w:val="18"/>
                <w:szCs w:val="18"/>
                <w:lang w:val="hr-HR" w:eastAsia="hr-HR"/>
              </w:rPr>
            </w:pPr>
            <w:r>
              <w:rPr>
                <w:rFonts w:cs="Tahoma"/>
                <w:b/>
                <w:bCs/>
                <w:sz w:val="18"/>
                <w:szCs w:val="18"/>
                <w:lang w:val="hr-HR" w:eastAsia="hr-HR"/>
              </w:rPr>
              <w:t>1</w:t>
            </w:r>
          </w:p>
        </w:tc>
        <w:tc>
          <w:tcPr>
            <w:tcW w:w="831"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1521CA86"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Dizel</w:t>
            </w:r>
          </w:p>
        </w:tc>
        <w:tc>
          <w:tcPr>
            <w:tcW w:w="96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C63413C"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81</w:t>
            </w:r>
          </w:p>
        </w:tc>
        <w:tc>
          <w:tcPr>
            <w:tcW w:w="136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16CA6A60"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2016</w:t>
            </w:r>
          </w:p>
        </w:tc>
        <w:tc>
          <w:tcPr>
            <w:tcW w:w="170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6E5F949A"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Škoda Octavia</w:t>
            </w:r>
          </w:p>
        </w:tc>
        <w:tc>
          <w:tcPr>
            <w:tcW w:w="1027"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63D4CCD5"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6</w:t>
            </w:r>
          </w:p>
        </w:tc>
        <w:tc>
          <w:tcPr>
            <w:tcW w:w="1214"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5C2EF00"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6,5</w:t>
            </w:r>
          </w:p>
        </w:tc>
        <w:tc>
          <w:tcPr>
            <w:tcW w:w="1240"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5257DB38"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13.900</w:t>
            </w:r>
          </w:p>
        </w:tc>
      </w:tr>
      <w:tr w:rsidR="003F7412" w14:paraId="0FD3500E" w14:textId="77777777" w:rsidTr="00855F2F">
        <w:trPr>
          <w:trHeight w:val="300"/>
        </w:trPr>
        <w:tc>
          <w:tcPr>
            <w:tcW w:w="67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02F6C6C0" w14:textId="77777777" w:rsidR="003F7412" w:rsidRDefault="003F7412" w:rsidP="00855F2F">
            <w:pPr>
              <w:spacing w:before="100" w:after="100"/>
              <w:jc w:val="center"/>
              <w:textAlignment w:val="auto"/>
              <w:rPr>
                <w:rFonts w:cs="Tahoma"/>
                <w:b/>
                <w:bCs/>
                <w:sz w:val="18"/>
                <w:szCs w:val="18"/>
                <w:lang w:val="hr-HR" w:eastAsia="hr-HR"/>
              </w:rPr>
            </w:pPr>
            <w:r>
              <w:rPr>
                <w:rFonts w:cs="Tahoma"/>
                <w:b/>
                <w:bCs/>
                <w:sz w:val="18"/>
                <w:szCs w:val="18"/>
                <w:lang w:val="hr-HR" w:eastAsia="hr-HR"/>
              </w:rPr>
              <w:t>2</w:t>
            </w:r>
          </w:p>
        </w:tc>
        <w:tc>
          <w:tcPr>
            <w:tcW w:w="831"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50335518"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Benzin</w:t>
            </w:r>
          </w:p>
        </w:tc>
        <w:tc>
          <w:tcPr>
            <w:tcW w:w="96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5C544D0A"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55</w:t>
            </w:r>
          </w:p>
        </w:tc>
        <w:tc>
          <w:tcPr>
            <w:tcW w:w="136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291C68E1"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2008</w:t>
            </w:r>
          </w:p>
        </w:tc>
        <w:tc>
          <w:tcPr>
            <w:tcW w:w="170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1F036F6"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Dacia Logan</w:t>
            </w:r>
          </w:p>
        </w:tc>
        <w:tc>
          <w:tcPr>
            <w:tcW w:w="1027"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37795030"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4</w:t>
            </w:r>
          </w:p>
        </w:tc>
        <w:tc>
          <w:tcPr>
            <w:tcW w:w="1214"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4060C97"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9,5</w:t>
            </w:r>
          </w:p>
        </w:tc>
        <w:tc>
          <w:tcPr>
            <w:tcW w:w="1240"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371DDDD0"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10.200</w:t>
            </w:r>
          </w:p>
        </w:tc>
      </w:tr>
      <w:tr w:rsidR="003F7412" w14:paraId="150A2EF3" w14:textId="77777777" w:rsidTr="00855F2F">
        <w:trPr>
          <w:trHeight w:val="300"/>
        </w:trPr>
        <w:tc>
          <w:tcPr>
            <w:tcW w:w="67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38B2D43F" w14:textId="77777777" w:rsidR="003F7412" w:rsidRDefault="003F7412" w:rsidP="00855F2F">
            <w:pPr>
              <w:spacing w:before="100" w:after="100"/>
              <w:jc w:val="center"/>
              <w:textAlignment w:val="auto"/>
              <w:rPr>
                <w:rFonts w:cs="Tahoma"/>
                <w:b/>
                <w:bCs/>
                <w:sz w:val="18"/>
                <w:szCs w:val="18"/>
                <w:lang w:val="hr-HR" w:eastAsia="hr-HR"/>
              </w:rPr>
            </w:pPr>
            <w:r>
              <w:rPr>
                <w:rFonts w:cs="Tahoma"/>
                <w:b/>
                <w:bCs/>
                <w:sz w:val="18"/>
                <w:szCs w:val="18"/>
                <w:lang w:val="hr-HR" w:eastAsia="hr-HR"/>
              </w:rPr>
              <w:t>3</w:t>
            </w:r>
          </w:p>
        </w:tc>
        <w:tc>
          <w:tcPr>
            <w:tcW w:w="831"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3F854057"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Benzin</w:t>
            </w:r>
          </w:p>
        </w:tc>
        <w:tc>
          <w:tcPr>
            <w:tcW w:w="96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6022012"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43</w:t>
            </w:r>
          </w:p>
        </w:tc>
        <w:tc>
          <w:tcPr>
            <w:tcW w:w="136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A9543E8"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2000</w:t>
            </w:r>
          </w:p>
        </w:tc>
        <w:tc>
          <w:tcPr>
            <w:tcW w:w="170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5B5AEE60"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Renault Clio</w:t>
            </w:r>
          </w:p>
        </w:tc>
        <w:tc>
          <w:tcPr>
            <w:tcW w:w="1027"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A77C393"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2</w:t>
            </w:r>
          </w:p>
        </w:tc>
        <w:tc>
          <w:tcPr>
            <w:tcW w:w="1214"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6F96AB0D"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8,5</w:t>
            </w:r>
          </w:p>
        </w:tc>
        <w:tc>
          <w:tcPr>
            <w:tcW w:w="1240"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022D0AF6"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12.600</w:t>
            </w:r>
          </w:p>
        </w:tc>
      </w:tr>
      <w:tr w:rsidR="003F7412" w14:paraId="26B84CAE" w14:textId="77777777" w:rsidTr="00855F2F">
        <w:trPr>
          <w:trHeight w:val="300"/>
        </w:trPr>
        <w:tc>
          <w:tcPr>
            <w:tcW w:w="67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2B7E0DE" w14:textId="77777777" w:rsidR="003F7412" w:rsidRDefault="003F7412" w:rsidP="00855F2F">
            <w:pPr>
              <w:spacing w:before="100" w:after="100"/>
              <w:jc w:val="center"/>
              <w:textAlignment w:val="auto"/>
              <w:rPr>
                <w:rFonts w:cs="Tahoma"/>
                <w:b/>
                <w:bCs/>
                <w:sz w:val="18"/>
                <w:szCs w:val="18"/>
                <w:lang w:val="hr-HR" w:eastAsia="hr-HR"/>
              </w:rPr>
            </w:pPr>
            <w:r>
              <w:rPr>
                <w:rFonts w:cs="Tahoma"/>
                <w:b/>
                <w:bCs/>
                <w:sz w:val="18"/>
                <w:szCs w:val="18"/>
                <w:lang w:val="hr-HR" w:eastAsia="hr-HR"/>
              </w:rPr>
              <w:t>4</w:t>
            </w:r>
          </w:p>
        </w:tc>
        <w:tc>
          <w:tcPr>
            <w:tcW w:w="831"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233A8528"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Benzin</w:t>
            </w:r>
          </w:p>
        </w:tc>
        <w:tc>
          <w:tcPr>
            <w:tcW w:w="96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17132793"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66</w:t>
            </w:r>
          </w:p>
        </w:tc>
        <w:tc>
          <w:tcPr>
            <w:tcW w:w="136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54E1F649"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2014</w:t>
            </w:r>
          </w:p>
        </w:tc>
        <w:tc>
          <w:tcPr>
            <w:tcW w:w="170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BB23E16"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Dacia Stepway</w:t>
            </w:r>
          </w:p>
        </w:tc>
        <w:tc>
          <w:tcPr>
            <w:tcW w:w="1027"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0004BD98"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5</w:t>
            </w:r>
          </w:p>
        </w:tc>
        <w:tc>
          <w:tcPr>
            <w:tcW w:w="1214"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50EA1D66"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7,5</w:t>
            </w:r>
          </w:p>
        </w:tc>
        <w:tc>
          <w:tcPr>
            <w:tcW w:w="1240"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076C033"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11.100</w:t>
            </w:r>
          </w:p>
        </w:tc>
      </w:tr>
      <w:tr w:rsidR="003F7412" w14:paraId="1EA42761" w14:textId="77777777" w:rsidTr="00855F2F">
        <w:trPr>
          <w:trHeight w:val="300"/>
        </w:trPr>
        <w:tc>
          <w:tcPr>
            <w:tcW w:w="67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0762751F" w14:textId="77777777" w:rsidR="003F7412" w:rsidRDefault="003F7412" w:rsidP="00855F2F">
            <w:pPr>
              <w:spacing w:before="100" w:after="100"/>
              <w:jc w:val="center"/>
              <w:textAlignment w:val="auto"/>
              <w:rPr>
                <w:rFonts w:cs="Tahoma"/>
                <w:b/>
                <w:bCs/>
                <w:sz w:val="18"/>
                <w:szCs w:val="18"/>
                <w:lang w:val="hr-HR" w:eastAsia="hr-HR"/>
              </w:rPr>
            </w:pPr>
            <w:r>
              <w:rPr>
                <w:rFonts w:cs="Tahoma"/>
                <w:b/>
                <w:bCs/>
                <w:sz w:val="18"/>
                <w:szCs w:val="18"/>
                <w:lang w:val="hr-HR" w:eastAsia="hr-HR"/>
              </w:rPr>
              <w:t>5</w:t>
            </w:r>
          </w:p>
        </w:tc>
        <w:tc>
          <w:tcPr>
            <w:tcW w:w="831"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6733EBCB"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Dizel</w:t>
            </w:r>
          </w:p>
        </w:tc>
        <w:tc>
          <w:tcPr>
            <w:tcW w:w="96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DE9BA2A"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55</w:t>
            </w:r>
          </w:p>
        </w:tc>
        <w:tc>
          <w:tcPr>
            <w:tcW w:w="136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1A97BAEC"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2015</w:t>
            </w:r>
          </w:p>
        </w:tc>
        <w:tc>
          <w:tcPr>
            <w:tcW w:w="170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9EAA528"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Dacia Sandero</w:t>
            </w:r>
          </w:p>
        </w:tc>
        <w:tc>
          <w:tcPr>
            <w:tcW w:w="1027"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9CEDCED"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5</w:t>
            </w:r>
          </w:p>
        </w:tc>
        <w:tc>
          <w:tcPr>
            <w:tcW w:w="1214"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1FFE516F"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6,6</w:t>
            </w:r>
          </w:p>
        </w:tc>
        <w:tc>
          <w:tcPr>
            <w:tcW w:w="1240"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A86C0EC"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15.600</w:t>
            </w:r>
          </w:p>
        </w:tc>
      </w:tr>
      <w:tr w:rsidR="003F7412" w14:paraId="01E2FC91" w14:textId="77777777" w:rsidTr="00855F2F">
        <w:trPr>
          <w:trHeight w:val="300"/>
        </w:trPr>
        <w:tc>
          <w:tcPr>
            <w:tcW w:w="67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1A8781A4" w14:textId="77777777" w:rsidR="003F7412" w:rsidRDefault="003F7412" w:rsidP="00855F2F">
            <w:pPr>
              <w:spacing w:before="100" w:after="100"/>
              <w:jc w:val="center"/>
              <w:textAlignment w:val="auto"/>
              <w:rPr>
                <w:rFonts w:cs="Tahoma"/>
                <w:b/>
                <w:bCs/>
                <w:sz w:val="18"/>
                <w:szCs w:val="18"/>
                <w:lang w:val="hr-HR" w:eastAsia="hr-HR"/>
              </w:rPr>
            </w:pPr>
            <w:r>
              <w:rPr>
                <w:rFonts w:cs="Tahoma"/>
                <w:b/>
                <w:bCs/>
                <w:sz w:val="18"/>
                <w:szCs w:val="18"/>
                <w:lang w:val="hr-HR" w:eastAsia="hr-HR"/>
              </w:rPr>
              <w:t>6</w:t>
            </w:r>
          </w:p>
        </w:tc>
        <w:tc>
          <w:tcPr>
            <w:tcW w:w="831"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5B853C67"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Benzin</w:t>
            </w:r>
          </w:p>
        </w:tc>
        <w:tc>
          <w:tcPr>
            <w:tcW w:w="96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216B34BB"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55</w:t>
            </w:r>
          </w:p>
        </w:tc>
        <w:tc>
          <w:tcPr>
            <w:tcW w:w="136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28D2A055"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2005</w:t>
            </w:r>
          </w:p>
        </w:tc>
        <w:tc>
          <w:tcPr>
            <w:tcW w:w="170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335DB1C6"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Dacia Logan</w:t>
            </w:r>
          </w:p>
        </w:tc>
        <w:tc>
          <w:tcPr>
            <w:tcW w:w="1027"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2C79CB0D"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3</w:t>
            </w:r>
          </w:p>
        </w:tc>
        <w:tc>
          <w:tcPr>
            <w:tcW w:w="1214"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576F8E8F"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10</w:t>
            </w:r>
          </w:p>
        </w:tc>
        <w:tc>
          <w:tcPr>
            <w:tcW w:w="1240"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6DBCDFCF"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16.200</w:t>
            </w:r>
          </w:p>
        </w:tc>
      </w:tr>
      <w:tr w:rsidR="003F7412" w14:paraId="0B4F793A" w14:textId="77777777" w:rsidTr="00855F2F">
        <w:trPr>
          <w:trHeight w:val="300"/>
        </w:trPr>
        <w:tc>
          <w:tcPr>
            <w:tcW w:w="67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BFFFD98" w14:textId="77777777" w:rsidR="003F7412" w:rsidRDefault="003F7412" w:rsidP="00855F2F">
            <w:pPr>
              <w:spacing w:before="100" w:after="100"/>
              <w:jc w:val="center"/>
              <w:textAlignment w:val="auto"/>
              <w:rPr>
                <w:rFonts w:cs="Tahoma"/>
                <w:b/>
                <w:bCs/>
                <w:sz w:val="18"/>
                <w:szCs w:val="18"/>
                <w:lang w:val="hr-HR" w:eastAsia="hr-HR"/>
              </w:rPr>
            </w:pPr>
            <w:r>
              <w:rPr>
                <w:rFonts w:cs="Tahoma"/>
                <w:b/>
                <w:bCs/>
                <w:sz w:val="18"/>
                <w:szCs w:val="18"/>
                <w:lang w:val="hr-HR" w:eastAsia="hr-HR"/>
              </w:rPr>
              <w:t>7</w:t>
            </w:r>
          </w:p>
        </w:tc>
        <w:tc>
          <w:tcPr>
            <w:tcW w:w="831"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26B0B5E5"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Benzin</w:t>
            </w:r>
          </w:p>
        </w:tc>
        <w:tc>
          <w:tcPr>
            <w:tcW w:w="96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643EDE8B"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55</w:t>
            </w:r>
          </w:p>
        </w:tc>
        <w:tc>
          <w:tcPr>
            <w:tcW w:w="136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5AEC57DB"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2005</w:t>
            </w:r>
          </w:p>
        </w:tc>
        <w:tc>
          <w:tcPr>
            <w:tcW w:w="170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37F352D6"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Dacia Logan</w:t>
            </w:r>
          </w:p>
        </w:tc>
        <w:tc>
          <w:tcPr>
            <w:tcW w:w="1027"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0CBDB343"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3</w:t>
            </w:r>
          </w:p>
        </w:tc>
        <w:tc>
          <w:tcPr>
            <w:tcW w:w="1214"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6492CACF"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10</w:t>
            </w:r>
          </w:p>
        </w:tc>
        <w:tc>
          <w:tcPr>
            <w:tcW w:w="1240"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6E7B4D40"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16.130</w:t>
            </w:r>
          </w:p>
        </w:tc>
      </w:tr>
      <w:tr w:rsidR="003F7412" w14:paraId="508E4403" w14:textId="77777777" w:rsidTr="00855F2F">
        <w:trPr>
          <w:trHeight w:val="300"/>
        </w:trPr>
        <w:tc>
          <w:tcPr>
            <w:tcW w:w="67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02EA6BFC" w14:textId="77777777" w:rsidR="003F7412" w:rsidRDefault="003F7412" w:rsidP="00855F2F">
            <w:pPr>
              <w:spacing w:before="100" w:after="100"/>
              <w:jc w:val="center"/>
              <w:textAlignment w:val="auto"/>
              <w:rPr>
                <w:rFonts w:cs="Tahoma"/>
                <w:b/>
                <w:bCs/>
                <w:sz w:val="18"/>
                <w:szCs w:val="18"/>
                <w:lang w:val="hr-HR" w:eastAsia="hr-HR"/>
              </w:rPr>
            </w:pPr>
            <w:r>
              <w:rPr>
                <w:rFonts w:cs="Tahoma"/>
                <w:b/>
                <w:bCs/>
                <w:sz w:val="18"/>
                <w:szCs w:val="18"/>
                <w:lang w:val="hr-HR" w:eastAsia="hr-HR"/>
              </w:rPr>
              <w:t>8</w:t>
            </w:r>
          </w:p>
        </w:tc>
        <w:tc>
          <w:tcPr>
            <w:tcW w:w="831"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63D41B7"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Benzin</w:t>
            </w:r>
          </w:p>
        </w:tc>
        <w:tc>
          <w:tcPr>
            <w:tcW w:w="96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270EF8E7"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55</w:t>
            </w:r>
          </w:p>
        </w:tc>
        <w:tc>
          <w:tcPr>
            <w:tcW w:w="136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046F8439"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2007</w:t>
            </w:r>
          </w:p>
        </w:tc>
        <w:tc>
          <w:tcPr>
            <w:tcW w:w="170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5302B11"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Dacia Logan</w:t>
            </w:r>
          </w:p>
        </w:tc>
        <w:tc>
          <w:tcPr>
            <w:tcW w:w="1027"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63F0F308"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4</w:t>
            </w:r>
          </w:p>
        </w:tc>
        <w:tc>
          <w:tcPr>
            <w:tcW w:w="1214"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2DA85B2A"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10</w:t>
            </w:r>
          </w:p>
        </w:tc>
        <w:tc>
          <w:tcPr>
            <w:tcW w:w="1240"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2EBE2B42"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15.800</w:t>
            </w:r>
          </w:p>
        </w:tc>
      </w:tr>
      <w:tr w:rsidR="003F7412" w14:paraId="0ED72096" w14:textId="77777777" w:rsidTr="00855F2F">
        <w:trPr>
          <w:trHeight w:val="300"/>
        </w:trPr>
        <w:tc>
          <w:tcPr>
            <w:tcW w:w="67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CD41A67" w14:textId="77777777" w:rsidR="003F7412" w:rsidRDefault="003F7412" w:rsidP="00855F2F">
            <w:pPr>
              <w:spacing w:before="100" w:after="100"/>
              <w:jc w:val="center"/>
              <w:textAlignment w:val="auto"/>
              <w:rPr>
                <w:rFonts w:cs="Tahoma"/>
                <w:b/>
                <w:bCs/>
                <w:sz w:val="18"/>
                <w:szCs w:val="18"/>
                <w:lang w:val="hr-HR" w:eastAsia="hr-HR"/>
              </w:rPr>
            </w:pPr>
            <w:r>
              <w:rPr>
                <w:rFonts w:cs="Tahoma"/>
                <w:b/>
                <w:bCs/>
                <w:sz w:val="18"/>
                <w:szCs w:val="18"/>
                <w:lang w:val="hr-HR" w:eastAsia="hr-HR"/>
              </w:rPr>
              <w:t>9</w:t>
            </w:r>
          </w:p>
        </w:tc>
        <w:tc>
          <w:tcPr>
            <w:tcW w:w="831"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005D029"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Benzin</w:t>
            </w:r>
          </w:p>
        </w:tc>
        <w:tc>
          <w:tcPr>
            <w:tcW w:w="962"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2A0FA0B8"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55</w:t>
            </w:r>
          </w:p>
        </w:tc>
        <w:tc>
          <w:tcPr>
            <w:tcW w:w="136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34957502"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2007</w:t>
            </w:r>
          </w:p>
        </w:tc>
        <w:tc>
          <w:tcPr>
            <w:tcW w:w="1705"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64B6901C"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Dacia Logan</w:t>
            </w:r>
          </w:p>
        </w:tc>
        <w:tc>
          <w:tcPr>
            <w:tcW w:w="1027"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AC37FD4"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4</w:t>
            </w:r>
          </w:p>
        </w:tc>
        <w:tc>
          <w:tcPr>
            <w:tcW w:w="1214"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90BB2F2"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10</w:t>
            </w:r>
          </w:p>
        </w:tc>
        <w:tc>
          <w:tcPr>
            <w:tcW w:w="1240"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60DCB9F7" w14:textId="77777777" w:rsidR="003F7412" w:rsidRDefault="003F7412" w:rsidP="00855F2F">
            <w:pPr>
              <w:spacing w:before="100" w:after="100"/>
              <w:jc w:val="center"/>
              <w:textAlignment w:val="auto"/>
              <w:rPr>
                <w:rFonts w:cs="Tahoma"/>
                <w:sz w:val="18"/>
                <w:szCs w:val="18"/>
                <w:lang w:val="hr-HR" w:eastAsia="hr-HR"/>
              </w:rPr>
            </w:pPr>
            <w:r>
              <w:rPr>
                <w:rFonts w:cs="Tahoma"/>
                <w:sz w:val="18"/>
                <w:szCs w:val="18"/>
                <w:lang w:val="hr-HR" w:eastAsia="hr-HR"/>
              </w:rPr>
              <w:t>15.650</w:t>
            </w:r>
          </w:p>
        </w:tc>
      </w:tr>
    </w:tbl>
    <w:p w14:paraId="6E09C486" w14:textId="77777777" w:rsidR="003F7412" w:rsidRDefault="003F7412" w:rsidP="003F7412">
      <w:pPr>
        <w:jc w:val="both"/>
        <w:rPr>
          <w:lang w:eastAsia="hr-HR"/>
        </w:rPr>
      </w:pPr>
    </w:p>
    <w:p w14:paraId="07C54510" w14:textId="31F38070" w:rsidR="003F7412" w:rsidRPr="00B34D17" w:rsidRDefault="003F7412" w:rsidP="003F7412">
      <w:pPr>
        <w:jc w:val="both"/>
        <w:rPr>
          <w:sz w:val="24"/>
        </w:rPr>
      </w:pPr>
      <w:r w:rsidRPr="00B34D17">
        <w:rPr>
          <w:sz w:val="24"/>
          <w:lang w:eastAsia="hr-HR"/>
        </w:rPr>
        <w:lastRenderedPageBreak/>
        <w:t>Za svako vozilo raspoloživo je sopstveno parkirano mjesto,</w:t>
      </w:r>
      <w:r w:rsidR="002175D1">
        <w:rPr>
          <w:sz w:val="24"/>
          <w:lang w:eastAsia="hr-HR"/>
        </w:rPr>
        <w:t xml:space="preserve"> čime je ispunjen važan preduslov</w:t>
      </w:r>
      <w:r w:rsidRPr="00B34D17">
        <w:rPr>
          <w:sz w:val="24"/>
          <w:lang w:eastAsia="hr-HR"/>
        </w:rPr>
        <w:t xml:space="preserve"> u pogledu mogućnosti postavljanja odgovarajuće infrastrukture za punjenje električnih vozila. Udaljenost parkiranih mjesta od sopstvene zgrade Komunalne policije iznosi 20 metara, a svako parking mjesto je povezano i obilježeno. Udaljenost parkiranih mjesta od električne instalacije sopstvenog objekta iznosi 20 metara.</w:t>
      </w:r>
    </w:p>
    <w:p w14:paraId="35F73E5F" w14:textId="77777777" w:rsidR="003F7412" w:rsidRDefault="003F7412" w:rsidP="003F7412">
      <w:pPr>
        <w:keepNext/>
        <w:jc w:val="center"/>
      </w:pPr>
      <w:r>
        <w:rPr>
          <w:noProof/>
          <w:lang w:val="en-US"/>
        </w:rPr>
        <w:drawing>
          <wp:inline distT="0" distB="0" distL="0" distR="0" wp14:anchorId="26D24648" wp14:editId="585DA1E3">
            <wp:extent cx="3672840" cy="2524125"/>
            <wp:effectExtent l="0" t="0" r="3810" b="9525"/>
            <wp:docPr id="14"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rcRect/>
                    <a:stretch>
                      <a:fillRect/>
                    </a:stretch>
                  </pic:blipFill>
                  <pic:spPr>
                    <a:xfrm>
                      <a:off x="0" y="0"/>
                      <a:ext cx="3673706" cy="2524720"/>
                    </a:xfrm>
                    <a:prstGeom prst="rect">
                      <a:avLst/>
                    </a:prstGeom>
                    <a:noFill/>
                    <a:ln>
                      <a:noFill/>
                      <a:prstDash/>
                    </a:ln>
                  </pic:spPr>
                </pic:pic>
              </a:graphicData>
            </a:graphic>
          </wp:inline>
        </w:drawing>
      </w:r>
    </w:p>
    <w:p w14:paraId="692087E5" w14:textId="18D25985" w:rsidR="003F7412" w:rsidRPr="00B25ABA" w:rsidRDefault="00B25ABA" w:rsidP="00B25ABA">
      <w:pPr>
        <w:pStyle w:val="Caption"/>
        <w:jc w:val="center"/>
        <w:rPr>
          <w:rFonts w:ascii="Calibri" w:hAnsi="Calibri"/>
          <w:sz w:val="22"/>
        </w:rPr>
      </w:pPr>
      <w:bookmarkStart w:id="83" w:name="_Toc8296431"/>
      <w:bookmarkStart w:id="84" w:name="_Toc82415551"/>
      <w:r w:rsidRPr="00B25ABA">
        <w:rPr>
          <w:rFonts w:ascii="Calibri" w:hAnsi="Calibri"/>
          <w:sz w:val="22"/>
        </w:rPr>
        <w:t xml:space="preserve">Slika </w:t>
      </w:r>
      <w:r w:rsidRPr="00B25ABA">
        <w:rPr>
          <w:rFonts w:ascii="Calibri" w:hAnsi="Calibri"/>
          <w:sz w:val="22"/>
        </w:rPr>
        <w:fldChar w:fldCharType="begin"/>
      </w:r>
      <w:r w:rsidRPr="00B25ABA">
        <w:rPr>
          <w:rFonts w:ascii="Calibri" w:hAnsi="Calibri"/>
          <w:sz w:val="22"/>
        </w:rPr>
        <w:instrText xml:space="preserve"> SEQ Equation \* ARABIC </w:instrText>
      </w:r>
      <w:r w:rsidRPr="00B25ABA">
        <w:rPr>
          <w:rFonts w:ascii="Calibri" w:hAnsi="Calibri"/>
          <w:sz w:val="22"/>
        </w:rPr>
        <w:fldChar w:fldCharType="separate"/>
      </w:r>
      <w:r w:rsidR="00AC666D">
        <w:rPr>
          <w:rFonts w:ascii="Calibri" w:hAnsi="Calibri"/>
          <w:noProof/>
          <w:sz w:val="22"/>
        </w:rPr>
        <w:t>4</w:t>
      </w:r>
      <w:r w:rsidRPr="00B25ABA">
        <w:rPr>
          <w:rFonts w:ascii="Calibri" w:hAnsi="Calibri"/>
          <w:sz w:val="22"/>
        </w:rPr>
        <w:fldChar w:fldCharType="end"/>
      </w:r>
      <w:r w:rsidRPr="00B25ABA">
        <w:rPr>
          <w:rFonts w:ascii="Calibri" w:hAnsi="Calibri"/>
          <w:sz w:val="22"/>
        </w:rPr>
        <w:t xml:space="preserve"> </w:t>
      </w:r>
      <w:r w:rsidR="003F7412" w:rsidRPr="00B25ABA">
        <w:rPr>
          <w:rFonts w:ascii="Calibri" w:hAnsi="Calibri"/>
          <w:sz w:val="22"/>
        </w:rPr>
        <w:t>Sopstveno parkiralište Komunalne policije</w:t>
      </w:r>
      <w:bookmarkEnd w:id="83"/>
      <w:bookmarkEnd w:id="84"/>
    </w:p>
    <w:p w14:paraId="200A3DAD" w14:textId="3DF224A1" w:rsidR="003F7412" w:rsidRPr="00B34D17" w:rsidRDefault="003F7412" w:rsidP="003F7412">
      <w:pPr>
        <w:jc w:val="both"/>
        <w:rPr>
          <w:sz w:val="24"/>
        </w:rPr>
      </w:pPr>
      <w:r w:rsidRPr="00B34D17">
        <w:rPr>
          <w:sz w:val="24"/>
          <w:lang w:eastAsia="hr-HR"/>
        </w:rPr>
        <w:t xml:space="preserve">Prema prikupljenim informacijama, u skoro vrijeme planirana je zamjena četiri automobila iz trenutnog voznog parka. Za potrebe analize troškova i koristi u ovoj studiji, kreiran </w:t>
      </w:r>
      <w:r w:rsidRPr="00B34D17">
        <w:rPr>
          <w:b/>
          <w:sz w:val="24"/>
          <w:lang w:eastAsia="hr-HR"/>
        </w:rPr>
        <w:t xml:space="preserve">je scenarij u kojem četiri </w:t>
      </w:r>
      <w:r w:rsidRPr="00DA3C6D">
        <w:rPr>
          <w:b/>
          <w:sz w:val="24"/>
          <w:lang w:eastAsia="hr-HR"/>
        </w:rPr>
        <w:t>vozila (</w:t>
      </w:r>
      <w:r w:rsidR="006737F1">
        <w:rPr>
          <w:b/>
          <w:sz w:val="24"/>
          <w:lang w:eastAsia="hr-HR"/>
        </w:rPr>
        <w:t xml:space="preserve">Tabela </w:t>
      </w:r>
      <w:r w:rsidR="00715D7C">
        <w:rPr>
          <w:b/>
          <w:sz w:val="24"/>
          <w:lang w:eastAsia="hr-HR"/>
        </w:rPr>
        <w:t>12</w:t>
      </w:r>
      <w:r w:rsidRPr="00DA3C6D">
        <w:rPr>
          <w:b/>
          <w:sz w:val="24"/>
          <w:lang w:eastAsia="hr-HR"/>
        </w:rPr>
        <w:t>)</w:t>
      </w:r>
      <w:r w:rsidRPr="00B34D17">
        <w:rPr>
          <w:b/>
          <w:sz w:val="24"/>
          <w:lang w:eastAsia="hr-HR"/>
        </w:rPr>
        <w:t xml:space="preserve"> zamjenjuju novim vozilima jednakih karakteristika, odnosno odgovarajućim električnim vozilima</w:t>
      </w:r>
      <w:r w:rsidRPr="00B34D17">
        <w:rPr>
          <w:sz w:val="24"/>
          <w:lang w:eastAsia="hr-HR"/>
        </w:rPr>
        <w:t>. Dakle, pretpostavlja se da će nova vozila pre</w:t>
      </w:r>
      <w:r w:rsidR="00B11DFD">
        <w:rPr>
          <w:sz w:val="24"/>
          <w:lang w:eastAsia="hr-HR"/>
        </w:rPr>
        <w:t xml:space="preserve">laziti </w:t>
      </w:r>
      <w:r w:rsidRPr="00B34D17">
        <w:rPr>
          <w:sz w:val="24"/>
          <w:lang w:eastAsia="hr-HR"/>
        </w:rPr>
        <w:t>jednaku godišnju kilometražu kao vozila koja se zamjenjuju.</w:t>
      </w:r>
    </w:p>
    <w:p w14:paraId="43ECD563" w14:textId="7472EEA2" w:rsidR="003F7412" w:rsidRPr="005873EF" w:rsidRDefault="005873EF" w:rsidP="00517F54">
      <w:pPr>
        <w:pStyle w:val="Caption"/>
        <w:keepNext/>
        <w:jc w:val="center"/>
        <w:rPr>
          <w:rFonts w:ascii="Calibri" w:hAnsi="Calibri"/>
          <w:color w:val="0D0D0D" w:themeColor="text1" w:themeTint="F2"/>
          <w:sz w:val="22"/>
          <w:szCs w:val="22"/>
        </w:rPr>
      </w:pPr>
      <w:bookmarkStart w:id="85" w:name="_Ref8284605"/>
      <w:bookmarkStart w:id="86" w:name="_Toc8296453"/>
      <w:bookmarkStart w:id="87" w:name="_Toc82415545"/>
      <w:r w:rsidRPr="005873EF">
        <w:rPr>
          <w:rFonts w:ascii="Calibri" w:hAnsi="Calibri"/>
          <w:color w:val="0D0D0D" w:themeColor="text1" w:themeTint="F2"/>
          <w:sz w:val="22"/>
          <w:szCs w:val="22"/>
        </w:rPr>
        <w:t xml:space="preserve">Tabela </w:t>
      </w:r>
      <w:r w:rsidRPr="005873EF">
        <w:rPr>
          <w:rFonts w:ascii="Calibri" w:hAnsi="Calibri"/>
          <w:color w:val="0D0D0D" w:themeColor="text1" w:themeTint="F2"/>
          <w:sz w:val="22"/>
          <w:szCs w:val="22"/>
        </w:rPr>
        <w:fldChar w:fldCharType="begin"/>
      </w:r>
      <w:r w:rsidRPr="005873EF">
        <w:rPr>
          <w:rFonts w:ascii="Calibri" w:hAnsi="Calibri"/>
          <w:color w:val="0D0D0D" w:themeColor="text1" w:themeTint="F2"/>
          <w:sz w:val="22"/>
          <w:szCs w:val="22"/>
        </w:rPr>
        <w:instrText xml:space="preserve"> SEQ Table \* ARABIC </w:instrText>
      </w:r>
      <w:r w:rsidRPr="005873EF">
        <w:rPr>
          <w:rFonts w:ascii="Calibri" w:hAnsi="Calibri"/>
          <w:color w:val="0D0D0D" w:themeColor="text1" w:themeTint="F2"/>
          <w:sz w:val="22"/>
          <w:szCs w:val="22"/>
        </w:rPr>
        <w:fldChar w:fldCharType="separate"/>
      </w:r>
      <w:r w:rsidR="002E7036">
        <w:rPr>
          <w:rFonts w:ascii="Calibri" w:hAnsi="Calibri"/>
          <w:noProof/>
          <w:color w:val="0D0D0D" w:themeColor="text1" w:themeTint="F2"/>
          <w:sz w:val="22"/>
          <w:szCs w:val="22"/>
        </w:rPr>
        <w:t>12</w:t>
      </w:r>
      <w:r w:rsidRPr="005873EF">
        <w:rPr>
          <w:rFonts w:ascii="Calibri" w:hAnsi="Calibri"/>
          <w:color w:val="0D0D0D" w:themeColor="text1" w:themeTint="F2"/>
          <w:sz w:val="22"/>
          <w:szCs w:val="22"/>
        </w:rPr>
        <w:fldChar w:fldCharType="end"/>
      </w:r>
      <w:bookmarkEnd w:id="85"/>
      <w:r w:rsidRPr="005873EF">
        <w:rPr>
          <w:rFonts w:ascii="Calibri" w:hAnsi="Calibri"/>
          <w:color w:val="0D0D0D" w:themeColor="text1" w:themeTint="F2"/>
          <w:sz w:val="22"/>
          <w:szCs w:val="22"/>
        </w:rPr>
        <w:t xml:space="preserve"> </w:t>
      </w:r>
      <w:r w:rsidR="003F7412" w:rsidRPr="005873EF">
        <w:rPr>
          <w:rFonts w:ascii="Calibri" w:hAnsi="Calibri"/>
          <w:color w:val="0D0D0D" w:themeColor="text1" w:themeTint="F2"/>
          <w:sz w:val="22"/>
          <w:szCs w:val="22"/>
        </w:rPr>
        <w:t>Vozila koje je potrebno zamijeniti iz voznog parka Komunalne policije</w:t>
      </w:r>
      <w:bookmarkEnd w:id="86"/>
      <w:bookmarkEnd w:id="87"/>
    </w:p>
    <w:tbl>
      <w:tblPr>
        <w:tblW w:w="5000" w:type="pct"/>
        <w:tblCellMar>
          <w:left w:w="10" w:type="dxa"/>
          <w:right w:w="10" w:type="dxa"/>
        </w:tblCellMar>
        <w:tblLook w:val="0000" w:firstRow="0" w:lastRow="0" w:firstColumn="0" w:lastColumn="0" w:noHBand="0" w:noVBand="0"/>
      </w:tblPr>
      <w:tblGrid>
        <w:gridCol w:w="1286"/>
        <w:gridCol w:w="1291"/>
        <w:gridCol w:w="1697"/>
        <w:gridCol w:w="1536"/>
        <w:gridCol w:w="1536"/>
        <w:gridCol w:w="1670"/>
      </w:tblGrid>
      <w:tr w:rsidR="003F7412" w14:paraId="351ABD93" w14:textId="77777777" w:rsidTr="00B34D17">
        <w:trPr>
          <w:trHeight w:val="366"/>
        </w:trPr>
        <w:tc>
          <w:tcPr>
            <w:tcW w:w="1286"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6FC31200" w14:textId="77777777" w:rsidR="003F7412" w:rsidRPr="0091029E" w:rsidRDefault="003F7412" w:rsidP="00855F2F">
            <w:pPr>
              <w:spacing w:before="100" w:after="100"/>
              <w:jc w:val="center"/>
              <w:textAlignment w:val="auto"/>
              <w:rPr>
                <w:i/>
                <w:color w:val="FFFFFF" w:themeColor="background1"/>
              </w:rPr>
            </w:pPr>
            <w:r w:rsidRPr="0091029E">
              <w:rPr>
                <w:b/>
                <w:bCs/>
                <w:i/>
                <w:color w:val="FFFFFF" w:themeColor="background1"/>
                <w:sz w:val="18"/>
                <w:lang w:val="hr-HR" w:eastAsia="hr-HR"/>
              </w:rPr>
              <w:t>Vrsta goriva</w:t>
            </w:r>
          </w:p>
        </w:tc>
        <w:tc>
          <w:tcPr>
            <w:tcW w:w="1291"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29967E71" w14:textId="77777777" w:rsidR="003F7412" w:rsidRPr="0091029E" w:rsidRDefault="003F7412" w:rsidP="00855F2F">
            <w:pPr>
              <w:spacing w:before="100" w:after="100"/>
              <w:jc w:val="center"/>
              <w:textAlignment w:val="auto"/>
              <w:rPr>
                <w:b/>
                <w:bCs/>
                <w:i/>
                <w:color w:val="FFFFFF" w:themeColor="background1"/>
                <w:sz w:val="18"/>
                <w:lang w:val="hr-HR" w:eastAsia="hr-HR"/>
              </w:rPr>
            </w:pPr>
            <w:r w:rsidRPr="0091029E">
              <w:rPr>
                <w:b/>
                <w:bCs/>
                <w:i/>
                <w:color w:val="FFFFFF" w:themeColor="background1"/>
                <w:sz w:val="18"/>
                <w:lang w:val="hr-HR" w:eastAsia="hr-HR"/>
              </w:rPr>
              <w:t>Snaga motora (kW)</w:t>
            </w:r>
          </w:p>
        </w:tc>
        <w:tc>
          <w:tcPr>
            <w:tcW w:w="1697"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0D7D7305" w14:textId="77777777" w:rsidR="003F7412" w:rsidRPr="0091029E" w:rsidRDefault="003F7412" w:rsidP="00855F2F">
            <w:pPr>
              <w:spacing w:before="100" w:after="100"/>
              <w:jc w:val="center"/>
              <w:textAlignment w:val="auto"/>
              <w:rPr>
                <w:b/>
                <w:bCs/>
                <w:i/>
                <w:color w:val="FFFFFF" w:themeColor="background1"/>
                <w:sz w:val="18"/>
                <w:lang w:val="hr-HR" w:eastAsia="hr-HR"/>
              </w:rPr>
            </w:pPr>
            <w:r w:rsidRPr="0091029E">
              <w:rPr>
                <w:b/>
                <w:bCs/>
                <w:i/>
                <w:color w:val="FFFFFF" w:themeColor="background1"/>
                <w:sz w:val="18"/>
                <w:lang w:val="hr-HR" w:eastAsia="hr-HR"/>
              </w:rPr>
              <w:t>Godina proizvodnje</w:t>
            </w:r>
          </w:p>
        </w:tc>
        <w:tc>
          <w:tcPr>
            <w:tcW w:w="1536"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20B2429D" w14:textId="77777777" w:rsidR="003F7412" w:rsidRPr="0091029E" w:rsidRDefault="003F7412" w:rsidP="00855F2F">
            <w:pPr>
              <w:spacing w:before="100" w:after="100"/>
              <w:jc w:val="center"/>
              <w:textAlignment w:val="auto"/>
              <w:rPr>
                <w:b/>
                <w:bCs/>
                <w:i/>
                <w:color w:val="FFFFFF" w:themeColor="background1"/>
                <w:sz w:val="18"/>
                <w:lang w:val="hr-HR" w:eastAsia="hr-HR"/>
              </w:rPr>
            </w:pPr>
            <w:r w:rsidRPr="0091029E">
              <w:rPr>
                <w:b/>
                <w:bCs/>
                <w:i/>
                <w:color w:val="FFFFFF" w:themeColor="background1"/>
                <w:sz w:val="18"/>
                <w:lang w:val="hr-HR" w:eastAsia="hr-HR"/>
              </w:rPr>
              <w:t>Model vozila</w:t>
            </w:r>
          </w:p>
        </w:tc>
        <w:tc>
          <w:tcPr>
            <w:tcW w:w="1536"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71B2328F" w14:textId="77777777" w:rsidR="003F7412" w:rsidRPr="0091029E" w:rsidRDefault="003F7412" w:rsidP="00855F2F">
            <w:pPr>
              <w:spacing w:before="100" w:after="100"/>
              <w:jc w:val="center"/>
              <w:textAlignment w:val="auto"/>
              <w:rPr>
                <w:b/>
                <w:bCs/>
                <w:i/>
                <w:color w:val="FFFFFF" w:themeColor="background1"/>
                <w:sz w:val="18"/>
                <w:lang w:val="hr-HR" w:eastAsia="hr-HR"/>
              </w:rPr>
            </w:pPr>
            <w:r w:rsidRPr="0091029E">
              <w:rPr>
                <w:b/>
                <w:bCs/>
                <w:i/>
                <w:color w:val="FFFFFF" w:themeColor="background1"/>
                <w:sz w:val="18"/>
                <w:lang w:val="hr-HR" w:eastAsia="hr-HR"/>
              </w:rPr>
              <w:t>Euro standard</w:t>
            </w:r>
          </w:p>
        </w:tc>
        <w:tc>
          <w:tcPr>
            <w:tcW w:w="1670"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5C4A9A9F" w14:textId="77777777" w:rsidR="003F7412" w:rsidRPr="0091029E" w:rsidRDefault="003F7412" w:rsidP="00855F2F">
            <w:pPr>
              <w:spacing w:before="100" w:after="100"/>
              <w:jc w:val="center"/>
              <w:textAlignment w:val="auto"/>
              <w:rPr>
                <w:b/>
                <w:bCs/>
                <w:i/>
                <w:color w:val="FFFFFF" w:themeColor="background1"/>
                <w:sz w:val="18"/>
                <w:lang w:val="hr-HR" w:eastAsia="hr-HR"/>
              </w:rPr>
            </w:pPr>
            <w:r w:rsidRPr="0091029E">
              <w:rPr>
                <w:b/>
                <w:bCs/>
                <w:i/>
                <w:color w:val="FFFFFF" w:themeColor="background1"/>
                <w:sz w:val="18"/>
                <w:lang w:val="hr-HR" w:eastAsia="hr-HR"/>
              </w:rPr>
              <w:t>Godišnja kilometraža</w:t>
            </w:r>
          </w:p>
        </w:tc>
      </w:tr>
      <w:tr w:rsidR="003F7412" w14:paraId="2BDDFC48" w14:textId="77777777" w:rsidTr="00855F2F">
        <w:trPr>
          <w:trHeight w:val="244"/>
        </w:trPr>
        <w:tc>
          <w:tcPr>
            <w:tcW w:w="1286"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5DE774E3" w14:textId="77777777" w:rsidR="003F7412" w:rsidRDefault="003F7412" w:rsidP="00855F2F">
            <w:pPr>
              <w:spacing w:before="100" w:after="100"/>
              <w:jc w:val="center"/>
              <w:textAlignment w:val="auto"/>
              <w:rPr>
                <w:b/>
                <w:bCs/>
                <w:sz w:val="18"/>
                <w:lang w:val="hr-HR" w:eastAsia="hr-HR"/>
              </w:rPr>
            </w:pPr>
            <w:r>
              <w:rPr>
                <w:b/>
                <w:bCs/>
                <w:sz w:val="18"/>
                <w:lang w:val="hr-HR" w:eastAsia="hr-HR"/>
              </w:rPr>
              <w:t>Benzin</w:t>
            </w:r>
          </w:p>
        </w:tc>
        <w:tc>
          <w:tcPr>
            <w:tcW w:w="1291"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137C030E" w14:textId="77777777" w:rsidR="003F7412" w:rsidRDefault="003F7412" w:rsidP="00855F2F">
            <w:pPr>
              <w:spacing w:before="100" w:after="100"/>
              <w:jc w:val="center"/>
              <w:textAlignment w:val="auto"/>
              <w:rPr>
                <w:sz w:val="18"/>
                <w:lang w:val="hr-HR" w:eastAsia="hr-HR"/>
              </w:rPr>
            </w:pPr>
            <w:r>
              <w:rPr>
                <w:sz w:val="18"/>
                <w:lang w:val="hr-HR" w:eastAsia="hr-HR"/>
              </w:rPr>
              <w:t>43</w:t>
            </w:r>
          </w:p>
        </w:tc>
        <w:tc>
          <w:tcPr>
            <w:tcW w:w="1697"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178DFAB8" w14:textId="77777777" w:rsidR="003F7412" w:rsidRDefault="003F7412" w:rsidP="00855F2F">
            <w:pPr>
              <w:spacing w:before="100" w:after="100"/>
              <w:jc w:val="center"/>
              <w:textAlignment w:val="auto"/>
              <w:rPr>
                <w:sz w:val="18"/>
                <w:lang w:val="hr-HR" w:eastAsia="hr-HR"/>
              </w:rPr>
            </w:pPr>
            <w:r>
              <w:rPr>
                <w:sz w:val="18"/>
                <w:lang w:val="hr-HR" w:eastAsia="hr-HR"/>
              </w:rPr>
              <w:t>2000</w:t>
            </w:r>
          </w:p>
        </w:tc>
        <w:tc>
          <w:tcPr>
            <w:tcW w:w="1536"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3CD81506" w14:textId="77777777" w:rsidR="003F7412" w:rsidRDefault="003F7412" w:rsidP="00855F2F">
            <w:pPr>
              <w:spacing w:before="100" w:after="100"/>
              <w:jc w:val="center"/>
              <w:textAlignment w:val="auto"/>
              <w:rPr>
                <w:sz w:val="18"/>
                <w:lang w:val="hr-HR" w:eastAsia="hr-HR"/>
              </w:rPr>
            </w:pPr>
            <w:r>
              <w:rPr>
                <w:sz w:val="18"/>
                <w:lang w:val="hr-HR" w:eastAsia="hr-HR"/>
              </w:rPr>
              <w:t>Renault Clio</w:t>
            </w:r>
          </w:p>
        </w:tc>
        <w:tc>
          <w:tcPr>
            <w:tcW w:w="1536"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8AB5927" w14:textId="77777777" w:rsidR="003F7412" w:rsidRDefault="003F7412" w:rsidP="00855F2F">
            <w:pPr>
              <w:spacing w:before="100" w:after="100"/>
              <w:jc w:val="center"/>
              <w:textAlignment w:val="auto"/>
              <w:rPr>
                <w:sz w:val="18"/>
                <w:lang w:val="hr-HR" w:eastAsia="hr-HR"/>
              </w:rPr>
            </w:pPr>
            <w:r>
              <w:rPr>
                <w:sz w:val="18"/>
                <w:lang w:val="hr-HR" w:eastAsia="hr-HR"/>
              </w:rPr>
              <w:t>2</w:t>
            </w:r>
          </w:p>
        </w:tc>
        <w:tc>
          <w:tcPr>
            <w:tcW w:w="1670"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087FC11" w14:textId="77777777" w:rsidR="003F7412" w:rsidRDefault="003F7412" w:rsidP="00855F2F">
            <w:pPr>
              <w:spacing w:before="100" w:after="100"/>
              <w:jc w:val="center"/>
              <w:textAlignment w:val="auto"/>
              <w:rPr>
                <w:sz w:val="18"/>
                <w:lang w:val="hr-HR" w:eastAsia="hr-HR"/>
              </w:rPr>
            </w:pPr>
            <w:r>
              <w:rPr>
                <w:sz w:val="18"/>
                <w:lang w:val="hr-HR" w:eastAsia="hr-HR"/>
              </w:rPr>
              <w:t>12.600</w:t>
            </w:r>
          </w:p>
        </w:tc>
      </w:tr>
      <w:tr w:rsidR="003F7412" w14:paraId="4F7C5CCF" w14:textId="77777777" w:rsidTr="00855F2F">
        <w:trPr>
          <w:trHeight w:val="244"/>
        </w:trPr>
        <w:tc>
          <w:tcPr>
            <w:tcW w:w="1286"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E242367" w14:textId="77777777" w:rsidR="003F7412" w:rsidRDefault="003F7412" w:rsidP="00855F2F">
            <w:pPr>
              <w:spacing w:before="100" w:after="100"/>
              <w:jc w:val="center"/>
              <w:textAlignment w:val="auto"/>
              <w:rPr>
                <w:b/>
                <w:bCs/>
                <w:sz w:val="18"/>
                <w:lang w:val="hr-HR" w:eastAsia="hr-HR"/>
              </w:rPr>
            </w:pPr>
            <w:r>
              <w:rPr>
                <w:b/>
                <w:bCs/>
                <w:sz w:val="18"/>
                <w:lang w:val="hr-HR" w:eastAsia="hr-HR"/>
              </w:rPr>
              <w:t>Benzin</w:t>
            </w:r>
          </w:p>
        </w:tc>
        <w:tc>
          <w:tcPr>
            <w:tcW w:w="1291"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B6F3109" w14:textId="77777777" w:rsidR="003F7412" w:rsidRDefault="003F7412" w:rsidP="00855F2F">
            <w:pPr>
              <w:spacing w:before="100" w:after="100"/>
              <w:jc w:val="center"/>
              <w:textAlignment w:val="auto"/>
              <w:rPr>
                <w:sz w:val="18"/>
                <w:lang w:val="hr-HR" w:eastAsia="hr-HR"/>
              </w:rPr>
            </w:pPr>
            <w:r>
              <w:rPr>
                <w:sz w:val="18"/>
                <w:lang w:val="hr-HR" w:eastAsia="hr-HR"/>
              </w:rPr>
              <w:t>55</w:t>
            </w:r>
          </w:p>
        </w:tc>
        <w:tc>
          <w:tcPr>
            <w:tcW w:w="1697"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03B9019C" w14:textId="77777777" w:rsidR="003F7412" w:rsidRDefault="003F7412" w:rsidP="00855F2F">
            <w:pPr>
              <w:spacing w:before="100" w:after="100"/>
              <w:jc w:val="center"/>
              <w:textAlignment w:val="auto"/>
              <w:rPr>
                <w:sz w:val="18"/>
                <w:lang w:val="hr-HR" w:eastAsia="hr-HR"/>
              </w:rPr>
            </w:pPr>
            <w:r>
              <w:rPr>
                <w:sz w:val="18"/>
                <w:lang w:val="hr-HR" w:eastAsia="hr-HR"/>
              </w:rPr>
              <w:t>2005</w:t>
            </w:r>
          </w:p>
        </w:tc>
        <w:tc>
          <w:tcPr>
            <w:tcW w:w="1536"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6B7F8141" w14:textId="77777777" w:rsidR="003F7412" w:rsidRDefault="003F7412" w:rsidP="00855F2F">
            <w:pPr>
              <w:spacing w:before="100" w:after="100"/>
              <w:jc w:val="center"/>
              <w:textAlignment w:val="auto"/>
              <w:rPr>
                <w:sz w:val="18"/>
                <w:lang w:val="hr-HR" w:eastAsia="hr-HR"/>
              </w:rPr>
            </w:pPr>
            <w:r>
              <w:rPr>
                <w:sz w:val="18"/>
                <w:lang w:val="hr-HR" w:eastAsia="hr-HR"/>
              </w:rPr>
              <w:t>Dacia Logan</w:t>
            </w:r>
          </w:p>
        </w:tc>
        <w:tc>
          <w:tcPr>
            <w:tcW w:w="1536"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158E94AD" w14:textId="77777777" w:rsidR="003F7412" w:rsidRDefault="003F7412" w:rsidP="00855F2F">
            <w:pPr>
              <w:spacing w:before="100" w:after="100"/>
              <w:jc w:val="center"/>
              <w:textAlignment w:val="auto"/>
              <w:rPr>
                <w:sz w:val="18"/>
                <w:lang w:val="hr-HR" w:eastAsia="hr-HR"/>
              </w:rPr>
            </w:pPr>
            <w:r>
              <w:rPr>
                <w:sz w:val="18"/>
                <w:lang w:val="hr-HR" w:eastAsia="hr-HR"/>
              </w:rPr>
              <w:t>3</w:t>
            </w:r>
          </w:p>
        </w:tc>
        <w:tc>
          <w:tcPr>
            <w:tcW w:w="1670"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19EA6048" w14:textId="77777777" w:rsidR="003F7412" w:rsidRDefault="003F7412" w:rsidP="00855F2F">
            <w:pPr>
              <w:spacing w:before="100" w:after="100"/>
              <w:jc w:val="center"/>
              <w:textAlignment w:val="auto"/>
              <w:rPr>
                <w:sz w:val="18"/>
                <w:lang w:val="hr-HR" w:eastAsia="hr-HR"/>
              </w:rPr>
            </w:pPr>
            <w:r>
              <w:rPr>
                <w:sz w:val="18"/>
                <w:lang w:val="hr-HR" w:eastAsia="hr-HR"/>
              </w:rPr>
              <w:t>16.200</w:t>
            </w:r>
          </w:p>
        </w:tc>
      </w:tr>
      <w:tr w:rsidR="003F7412" w14:paraId="56A0FA26" w14:textId="77777777" w:rsidTr="00855F2F">
        <w:trPr>
          <w:trHeight w:val="244"/>
        </w:trPr>
        <w:tc>
          <w:tcPr>
            <w:tcW w:w="1286"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10142F1" w14:textId="77777777" w:rsidR="003F7412" w:rsidRDefault="003F7412" w:rsidP="00855F2F">
            <w:pPr>
              <w:spacing w:before="100" w:after="100"/>
              <w:jc w:val="center"/>
              <w:textAlignment w:val="auto"/>
              <w:rPr>
                <w:b/>
                <w:bCs/>
                <w:sz w:val="18"/>
                <w:lang w:val="hr-HR" w:eastAsia="hr-HR"/>
              </w:rPr>
            </w:pPr>
            <w:r>
              <w:rPr>
                <w:b/>
                <w:bCs/>
                <w:sz w:val="18"/>
                <w:lang w:val="hr-HR" w:eastAsia="hr-HR"/>
              </w:rPr>
              <w:t>Benzin</w:t>
            </w:r>
          </w:p>
        </w:tc>
        <w:tc>
          <w:tcPr>
            <w:tcW w:w="1291"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58721E45" w14:textId="77777777" w:rsidR="003F7412" w:rsidRDefault="003F7412" w:rsidP="00855F2F">
            <w:pPr>
              <w:spacing w:before="100" w:after="100"/>
              <w:jc w:val="center"/>
              <w:textAlignment w:val="auto"/>
              <w:rPr>
                <w:sz w:val="18"/>
                <w:lang w:val="hr-HR" w:eastAsia="hr-HR"/>
              </w:rPr>
            </w:pPr>
            <w:r>
              <w:rPr>
                <w:sz w:val="18"/>
                <w:lang w:val="hr-HR" w:eastAsia="hr-HR"/>
              </w:rPr>
              <w:t>55</w:t>
            </w:r>
          </w:p>
        </w:tc>
        <w:tc>
          <w:tcPr>
            <w:tcW w:w="1697"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2D002DAF" w14:textId="77777777" w:rsidR="003F7412" w:rsidRDefault="003F7412" w:rsidP="00855F2F">
            <w:pPr>
              <w:spacing w:before="100" w:after="100"/>
              <w:jc w:val="center"/>
              <w:textAlignment w:val="auto"/>
              <w:rPr>
                <w:sz w:val="18"/>
                <w:lang w:val="hr-HR" w:eastAsia="hr-HR"/>
              </w:rPr>
            </w:pPr>
            <w:r>
              <w:rPr>
                <w:sz w:val="18"/>
                <w:lang w:val="hr-HR" w:eastAsia="hr-HR"/>
              </w:rPr>
              <w:t>2005</w:t>
            </w:r>
          </w:p>
        </w:tc>
        <w:tc>
          <w:tcPr>
            <w:tcW w:w="1536"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AE56CA2" w14:textId="77777777" w:rsidR="003F7412" w:rsidRDefault="003F7412" w:rsidP="00855F2F">
            <w:pPr>
              <w:spacing w:before="100" w:after="100"/>
              <w:jc w:val="center"/>
              <w:textAlignment w:val="auto"/>
              <w:rPr>
                <w:sz w:val="18"/>
                <w:lang w:val="hr-HR" w:eastAsia="hr-HR"/>
              </w:rPr>
            </w:pPr>
            <w:r>
              <w:rPr>
                <w:sz w:val="18"/>
                <w:lang w:val="hr-HR" w:eastAsia="hr-HR"/>
              </w:rPr>
              <w:t>Dacia Logan</w:t>
            </w:r>
          </w:p>
        </w:tc>
        <w:tc>
          <w:tcPr>
            <w:tcW w:w="1536"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4E858FCB" w14:textId="77777777" w:rsidR="003F7412" w:rsidRDefault="003F7412" w:rsidP="00855F2F">
            <w:pPr>
              <w:spacing w:before="100" w:after="100"/>
              <w:jc w:val="center"/>
              <w:textAlignment w:val="auto"/>
              <w:rPr>
                <w:sz w:val="18"/>
                <w:lang w:val="hr-HR" w:eastAsia="hr-HR"/>
              </w:rPr>
            </w:pPr>
            <w:r>
              <w:rPr>
                <w:sz w:val="18"/>
                <w:lang w:val="hr-HR" w:eastAsia="hr-HR"/>
              </w:rPr>
              <w:t>3</w:t>
            </w:r>
          </w:p>
        </w:tc>
        <w:tc>
          <w:tcPr>
            <w:tcW w:w="1670"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4EA2BD8" w14:textId="77777777" w:rsidR="003F7412" w:rsidRDefault="003F7412" w:rsidP="00855F2F">
            <w:pPr>
              <w:spacing w:before="100" w:after="100"/>
              <w:jc w:val="center"/>
              <w:textAlignment w:val="auto"/>
              <w:rPr>
                <w:sz w:val="18"/>
                <w:lang w:val="hr-HR" w:eastAsia="hr-HR"/>
              </w:rPr>
            </w:pPr>
            <w:r>
              <w:rPr>
                <w:sz w:val="18"/>
                <w:lang w:val="hr-HR" w:eastAsia="hr-HR"/>
              </w:rPr>
              <w:t>16.130</w:t>
            </w:r>
          </w:p>
        </w:tc>
      </w:tr>
      <w:tr w:rsidR="003F7412" w14:paraId="4ACDFFDE" w14:textId="77777777" w:rsidTr="00855F2F">
        <w:trPr>
          <w:trHeight w:val="244"/>
        </w:trPr>
        <w:tc>
          <w:tcPr>
            <w:tcW w:w="1286"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8A9673B" w14:textId="77777777" w:rsidR="003F7412" w:rsidRDefault="003F7412" w:rsidP="00855F2F">
            <w:pPr>
              <w:spacing w:before="100" w:after="100"/>
              <w:jc w:val="center"/>
              <w:textAlignment w:val="auto"/>
              <w:rPr>
                <w:b/>
                <w:bCs/>
                <w:sz w:val="18"/>
                <w:lang w:val="hr-HR" w:eastAsia="hr-HR"/>
              </w:rPr>
            </w:pPr>
            <w:r>
              <w:rPr>
                <w:b/>
                <w:bCs/>
                <w:sz w:val="18"/>
                <w:lang w:val="hr-HR" w:eastAsia="hr-HR"/>
              </w:rPr>
              <w:t>Benzin</w:t>
            </w:r>
          </w:p>
        </w:tc>
        <w:tc>
          <w:tcPr>
            <w:tcW w:w="1291"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15EA4410" w14:textId="77777777" w:rsidR="003F7412" w:rsidRDefault="003F7412" w:rsidP="00855F2F">
            <w:pPr>
              <w:spacing w:before="100" w:after="100"/>
              <w:jc w:val="center"/>
              <w:textAlignment w:val="auto"/>
              <w:rPr>
                <w:sz w:val="18"/>
                <w:lang w:val="hr-HR" w:eastAsia="hr-HR"/>
              </w:rPr>
            </w:pPr>
            <w:r>
              <w:rPr>
                <w:sz w:val="18"/>
                <w:lang w:val="hr-HR" w:eastAsia="hr-HR"/>
              </w:rPr>
              <w:t>55</w:t>
            </w:r>
          </w:p>
        </w:tc>
        <w:tc>
          <w:tcPr>
            <w:tcW w:w="1697"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5741D694" w14:textId="77777777" w:rsidR="003F7412" w:rsidRDefault="003F7412" w:rsidP="00855F2F">
            <w:pPr>
              <w:spacing w:before="100" w:after="100"/>
              <w:jc w:val="center"/>
              <w:textAlignment w:val="auto"/>
              <w:rPr>
                <w:sz w:val="18"/>
                <w:lang w:val="hr-HR" w:eastAsia="hr-HR"/>
              </w:rPr>
            </w:pPr>
            <w:r>
              <w:rPr>
                <w:sz w:val="18"/>
                <w:lang w:val="hr-HR" w:eastAsia="hr-HR"/>
              </w:rPr>
              <w:t>2007</w:t>
            </w:r>
          </w:p>
        </w:tc>
        <w:tc>
          <w:tcPr>
            <w:tcW w:w="1536"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13D1D185" w14:textId="77777777" w:rsidR="003F7412" w:rsidRDefault="003F7412" w:rsidP="00855F2F">
            <w:pPr>
              <w:spacing w:before="100" w:after="100"/>
              <w:jc w:val="center"/>
              <w:textAlignment w:val="auto"/>
              <w:rPr>
                <w:sz w:val="18"/>
                <w:lang w:val="hr-HR" w:eastAsia="hr-HR"/>
              </w:rPr>
            </w:pPr>
            <w:r>
              <w:rPr>
                <w:sz w:val="18"/>
                <w:lang w:val="hr-HR" w:eastAsia="hr-HR"/>
              </w:rPr>
              <w:t>Dacia Logan</w:t>
            </w:r>
          </w:p>
        </w:tc>
        <w:tc>
          <w:tcPr>
            <w:tcW w:w="1536"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735FA86A" w14:textId="77777777" w:rsidR="003F7412" w:rsidRDefault="003F7412" w:rsidP="00855F2F">
            <w:pPr>
              <w:spacing w:before="100" w:after="100"/>
              <w:jc w:val="center"/>
              <w:textAlignment w:val="auto"/>
              <w:rPr>
                <w:sz w:val="18"/>
                <w:lang w:val="hr-HR" w:eastAsia="hr-HR"/>
              </w:rPr>
            </w:pPr>
            <w:r>
              <w:rPr>
                <w:sz w:val="18"/>
                <w:lang w:val="hr-HR" w:eastAsia="hr-HR"/>
              </w:rPr>
              <w:t>4</w:t>
            </w:r>
          </w:p>
        </w:tc>
        <w:tc>
          <w:tcPr>
            <w:tcW w:w="1670" w:type="dxa"/>
            <w:tcBorders>
              <w:top w:val="single" w:sz="4" w:space="0" w:color="999999"/>
              <w:left w:val="single" w:sz="4" w:space="0" w:color="999999"/>
              <w:bottom w:val="single" w:sz="4" w:space="0" w:color="999999"/>
              <w:right w:val="single" w:sz="4" w:space="0" w:color="999999"/>
            </w:tcBorders>
            <w:shd w:val="clear" w:color="auto" w:fill="auto"/>
            <w:noWrap/>
            <w:tcMar>
              <w:top w:w="0" w:type="dxa"/>
              <w:left w:w="108" w:type="dxa"/>
              <w:bottom w:w="0" w:type="dxa"/>
              <w:right w:w="108" w:type="dxa"/>
            </w:tcMar>
          </w:tcPr>
          <w:p w14:paraId="37CCE730" w14:textId="77777777" w:rsidR="003F7412" w:rsidRDefault="003F7412" w:rsidP="00855F2F">
            <w:pPr>
              <w:spacing w:before="100" w:after="100"/>
              <w:jc w:val="center"/>
              <w:textAlignment w:val="auto"/>
              <w:rPr>
                <w:sz w:val="18"/>
                <w:lang w:val="hr-HR" w:eastAsia="hr-HR"/>
              </w:rPr>
            </w:pPr>
            <w:r>
              <w:rPr>
                <w:sz w:val="18"/>
                <w:lang w:val="hr-HR" w:eastAsia="hr-HR"/>
              </w:rPr>
              <w:t>15.650</w:t>
            </w:r>
          </w:p>
        </w:tc>
      </w:tr>
      <w:tr w:rsidR="003F7412" w14:paraId="2B479CF1" w14:textId="77777777" w:rsidTr="00B34D17">
        <w:trPr>
          <w:trHeight w:val="244"/>
        </w:trPr>
        <w:tc>
          <w:tcPr>
            <w:tcW w:w="7346" w:type="dxa"/>
            <w:gridSpan w:val="5"/>
            <w:tcBorders>
              <w:top w:val="single" w:sz="4" w:space="0" w:color="999999"/>
              <w:left w:val="single" w:sz="4" w:space="0" w:color="999999"/>
              <w:bottom w:val="single" w:sz="4" w:space="0" w:color="999999"/>
              <w:right w:val="single" w:sz="4" w:space="0" w:color="999999"/>
            </w:tcBorders>
            <w:shd w:val="clear" w:color="auto" w:fill="2E74B5" w:themeFill="accent1" w:themeFillShade="BF"/>
            <w:noWrap/>
            <w:tcMar>
              <w:top w:w="0" w:type="dxa"/>
              <w:left w:w="108" w:type="dxa"/>
              <w:bottom w:w="0" w:type="dxa"/>
              <w:right w:w="108" w:type="dxa"/>
            </w:tcMar>
          </w:tcPr>
          <w:p w14:paraId="5BDDC2E9" w14:textId="77777777" w:rsidR="003F7412" w:rsidRPr="0091029E" w:rsidRDefault="003F7412" w:rsidP="00855F2F">
            <w:pPr>
              <w:spacing w:before="100" w:after="100"/>
              <w:jc w:val="right"/>
              <w:textAlignment w:val="auto"/>
              <w:rPr>
                <w:b/>
                <w:bCs/>
                <w:i/>
                <w:color w:val="FFFFFF" w:themeColor="background1"/>
                <w:sz w:val="18"/>
                <w:lang w:val="hr-HR" w:eastAsia="hr-HR"/>
              </w:rPr>
            </w:pPr>
            <w:r w:rsidRPr="0091029E">
              <w:rPr>
                <w:b/>
                <w:bCs/>
                <w:i/>
                <w:color w:val="FFFFFF" w:themeColor="background1"/>
                <w:sz w:val="18"/>
                <w:lang w:val="hr-HR" w:eastAsia="hr-HR"/>
              </w:rPr>
              <w:t>Ukupno</w:t>
            </w:r>
          </w:p>
        </w:tc>
        <w:tc>
          <w:tcPr>
            <w:tcW w:w="1670"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noWrap/>
            <w:tcMar>
              <w:top w:w="0" w:type="dxa"/>
              <w:left w:w="108" w:type="dxa"/>
              <w:bottom w:w="0" w:type="dxa"/>
              <w:right w:w="108" w:type="dxa"/>
            </w:tcMar>
          </w:tcPr>
          <w:p w14:paraId="658B479F" w14:textId="77777777" w:rsidR="003F7412" w:rsidRPr="0091029E" w:rsidRDefault="003F7412" w:rsidP="00855F2F">
            <w:pPr>
              <w:spacing w:before="100" w:after="100"/>
              <w:jc w:val="center"/>
              <w:textAlignment w:val="auto"/>
              <w:rPr>
                <w:b/>
                <w:i/>
                <w:color w:val="FFFFFF" w:themeColor="background1"/>
                <w:sz w:val="18"/>
                <w:lang w:val="hr-HR" w:eastAsia="hr-HR"/>
              </w:rPr>
            </w:pPr>
            <w:r w:rsidRPr="0091029E">
              <w:rPr>
                <w:b/>
                <w:i/>
                <w:color w:val="FFFFFF" w:themeColor="background1"/>
                <w:sz w:val="18"/>
                <w:lang w:val="hr-HR" w:eastAsia="hr-HR"/>
              </w:rPr>
              <w:t>60.580</w:t>
            </w:r>
          </w:p>
        </w:tc>
      </w:tr>
    </w:tbl>
    <w:p w14:paraId="755C9EE4" w14:textId="5E5F9893" w:rsidR="003F7412" w:rsidRPr="00B34D17" w:rsidRDefault="003F7412" w:rsidP="003F7412">
      <w:pPr>
        <w:jc w:val="both"/>
        <w:rPr>
          <w:sz w:val="24"/>
        </w:rPr>
      </w:pPr>
      <w:r w:rsidRPr="00B34D17">
        <w:rPr>
          <w:sz w:val="24"/>
          <w:lang w:eastAsia="hr-HR"/>
        </w:rPr>
        <w:t>Prema prikupljenim informacijama, skoro svako vozilo Komunalne policije koristi se u tri smjene, a vozila se koriste i vikendom. Vozila uobičajeno dnevno p</w:t>
      </w:r>
      <w:r w:rsidR="00B11DFD">
        <w:rPr>
          <w:sz w:val="24"/>
          <w:lang w:eastAsia="hr-HR"/>
        </w:rPr>
        <w:t>re</w:t>
      </w:r>
      <w:r w:rsidR="00B11DFD">
        <w:rPr>
          <w:sz w:val="24"/>
          <w:lang w:val="sr-Latn-BA" w:eastAsia="hr-HR"/>
        </w:rPr>
        <w:t>đu</w:t>
      </w:r>
      <w:r w:rsidRPr="00B34D17">
        <w:rPr>
          <w:sz w:val="24"/>
          <w:lang w:eastAsia="hr-HR"/>
        </w:rPr>
        <w:t xml:space="preserve"> maksimalno 120 km, a izuzev specifičnih situacija ne dešava se da auto u jednom danu </w:t>
      </w:r>
      <w:r w:rsidRPr="00E35DB8">
        <w:rPr>
          <w:sz w:val="24"/>
          <w:lang w:eastAsia="hr-HR"/>
        </w:rPr>
        <w:t>pre</w:t>
      </w:r>
      <w:r w:rsidR="00B11DFD" w:rsidRPr="00E35DB8">
        <w:rPr>
          <w:sz w:val="24"/>
          <w:lang w:eastAsia="hr-HR"/>
        </w:rPr>
        <w:t>đu</w:t>
      </w:r>
      <w:r w:rsidRPr="00B34D17">
        <w:rPr>
          <w:sz w:val="24"/>
          <w:lang w:eastAsia="hr-HR"/>
        </w:rPr>
        <w:t xml:space="preserve"> više od 200 km. Iz toga proizlazi zaključak da većina trenutno dostupnih električnih automobila dostupnih na EU tržištu može zadovoljiti sve potrebe Komunalne policije.</w:t>
      </w:r>
    </w:p>
    <w:p w14:paraId="1D5E83B9" w14:textId="26FDA2E9" w:rsidR="00CE389B" w:rsidRDefault="003F7412" w:rsidP="003F7412">
      <w:pPr>
        <w:jc w:val="both"/>
        <w:rPr>
          <w:sz w:val="24"/>
          <w:lang w:eastAsia="hr-HR"/>
        </w:rPr>
      </w:pPr>
      <w:r w:rsidRPr="00B34D17">
        <w:rPr>
          <w:sz w:val="24"/>
          <w:lang w:eastAsia="hr-HR"/>
        </w:rPr>
        <w:t xml:space="preserve">Budući da je na tržištu EU dostupan još uvijek relativno mali broj modela električnih automobila pojedinog segmenta, nije moguće precizno odrediti ekvivalent električnog automobila u odnosu na konvencionalni. Stoga je za potrebe ove analize napravljen pregled ponude električnih automobila s obzirom na njihov domet i okvirnu cijenu, te je za daljnje </w:t>
      </w:r>
      <w:r w:rsidRPr="00B34D17">
        <w:rPr>
          <w:sz w:val="24"/>
          <w:lang w:eastAsia="hr-HR"/>
        </w:rPr>
        <w:lastRenderedPageBreak/>
        <w:t>proračune korišćena prosječna cijena nekoliko modela automobila iz istog segmenta. Na sljedećem graf</w:t>
      </w:r>
      <w:r w:rsidR="006401E4">
        <w:rPr>
          <w:sz w:val="24"/>
          <w:lang w:eastAsia="hr-HR"/>
        </w:rPr>
        <w:t>ikonu</w:t>
      </w:r>
      <w:r w:rsidRPr="00B34D17">
        <w:rPr>
          <w:sz w:val="24"/>
          <w:lang w:eastAsia="hr-HR"/>
        </w:rPr>
        <w:t xml:space="preserve"> naznačena je </w:t>
      </w:r>
      <w:r w:rsidR="006401E4">
        <w:rPr>
          <w:sz w:val="24"/>
          <w:lang w:eastAsia="hr-HR"/>
        </w:rPr>
        <w:t>grupa</w:t>
      </w:r>
      <w:r w:rsidRPr="00B34D17">
        <w:rPr>
          <w:sz w:val="24"/>
          <w:lang w:eastAsia="hr-HR"/>
        </w:rPr>
        <w:t xml:space="preserve"> vozila koja odgovora potrebama i zahtjevima Komunalne policije. Radi se o električnim automobilima s autonomijom od oko 250 do 500 km te cijenom od oko 25 do 40 </w:t>
      </w:r>
      <w:r w:rsidR="006401E4">
        <w:rPr>
          <w:sz w:val="24"/>
          <w:lang w:eastAsia="hr-HR"/>
        </w:rPr>
        <w:t xml:space="preserve">hiljada </w:t>
      </w:r>
      <w:r w:rsidRPr="00B34D17">
        <w:rPr>
          <w:sz w:val="24"/>
          <w:lang w:eastAsia="hr-HR"/>
        </w:rPr>
        <w:t>Eura. Kao trenutni predstavnici ovog segmenta ističu se automobili Nissan Leaf i Renault Zoe.</w:t>
      </w:r>
    </w:p>
    <w:p w14:paraId="6B5F793E" w14:textId="14B179B7" w:rsidR="00AC666D" w:rsidRPr="00AC666D" w:rsidRDefault="00AC666D" w:rsidP="00AC666D">
      <w:pPr>
        <w:pStyle w:val="Caption"/>
        <w:keepNext/>
        <w:jc w:val="center"/>
        <w:rPr>
          <w:rFonts w:ascii="Calibri" w:hAnsi="Calibri"/>
          <w:color w:val="0D0D0D" w:themeColor="text1" w:themeTint="F2"/>
          <w:sz w:val="22"/>
          <w:szCs w:val="22"/>
        </w:rPr>
      </w:pPr>
      <w:bookmarkStart w:id="88" w:name="_Toc82415552"/>
      <w:r>
        <w:rPr>
          <w:rFonts w:ascii="Calibri" w:hAnsi="Calibri"/>
          <w:color w:val="0D0D0D" w:themeColor="text1" w:themeTint="F2"/>
          <w:sz w:val="22"/>
          <w:szCs w:val="22"/>
        </w:rPr>
        <w:t>Slika</w:t>
      </w:r>
      <w:r w:rsidRPr="00AC666D">
        <w:rPr>
          <w:rFonts w:ascii="Calibri" w:hAnsi="Calibri"/>
          <w:color w:val="0D0D0D" w:themeColor="text1" w:themeTint="F2"/>
          <w:sz w:val="22"/>
          <w:szCs w:val="22"/>
        </w:rPr>
        <w:t xml:space="preserve"> </w:t>
      </w:r>
      <w:r w:rsidRPr="00AC666D">
        <w:rPr>
          <w:rFonts w:ascii="Calibri" w:hAnsi="Calibri"/>
          <w:color w:val="0D0D0D" w:themeColor="text1" w:themeTint="F2"/>
          <w:sz w:val="22"/>
          <w:szCs w:val="22"/>
        </w:rPr>
        <w:fldChar w:fldCharType="begin"/>
      </w:r>
      <w:r w:rsidRPr="00AC666D">
        <w:rPr>
          <w:rFonts w:ascii="Calibri" w:hAnsi="Calibri"/>
          <w:color w:val="0D0D0D" w:themeColor="text1" w:themeTint="F2"/>
          <w:sz w:val="22"/>
          <w:szCs w:val="22"/>
        </w:rPr>
        <w:instrText xml:space="preserve"> SEQ Equation \* ARABIC </w:instrText>
      </w:r>
      <w:r w:rsidRPr="00AC666D">
        <w:rPr>
          <w:rFonts w:ascii="Calibri" w:hAnsi="Calibri"/>
          <w:color w:val="0D0D0D" w:themeColor="text1" w:themeTint="F2"/>
          <w:sz w:val="22"/>
          <w:szCs w:val="22"/>
        </w:rPr>
        <w:fldChar w:fldCharType="separate"/>
      </w:r>
      <w:r w:rsidRPr="00AC666D">
        <w:rPr>
          <w:rFonts w:ascii="Calibri" w:hAnsi="Calibri"/>
          <w:color w:val="0D0D0D" w:themeColor="text1" w:themeTint="F2"/>
          <w:sz w:val="22"/>
          <w:szCs w:val="22"/>
        </w:rPr>
        <w:t>5</w:t>
      </w:r>
      <w:r w:rsidRPr="00AC666D">
        <w:rPr>
          <w:rFonts w:ascii="Calibri" w:hAnsi="Calibri"/>
          <w:color w:val="0D0D0D" w:themeColor="text1" w:themeTint="F2"/>
          <w:sz w:val="22"/>
          <w:szCs w:val="22"/>
        </w:rPr>
        <w:fldChar w:fldCharType="end"/>
      </w:r>
      <w:r w:rsidRPr="00AC666D">
        <w:rPr>
          <w:rFonts w:ascii="Calibri" w:hAnsi="Calibri"/>
          <w:color w:val="0D0D0D" w:themeColor="text1" w:themeTint="F2"/>
          <w:sz w:val="22"/>
          <w:szCs w:val="22"/>
        </w:rPr>
        <w:t xml:space="preserve"> Grupa vozila koja odgovara potrebama i zahtjevima Komunalne policije</w:t>
      </w:r>
      <w:bookmarkEnd w:id="88"/>
    </w:p>
    <w:p w14:paraId="122444A0" w14:textId="02D3B380" w:rsidR="006401E4" w:rsidRDefault="006401E4" w:rsidP="00E35DB8">
      <w:pPr>
        <w:jc w:val="both"/>
        <w:rPr>
          <w:sz w:val="24"/>
          <w:lang w:eastAsia="hr-HR"/>
        </w:rPr>
      </w:pPr>
      <w:r>
        <w:rPr>
          <w:noProof/>
          <w:lang w:val="en-US"/>
        </w:rPr>
        <w:drawing>
          <wp:inline distT="0" distB="0" distL="0" distR="0" wp14:anchorId="0770CCC2" wp14:editId="63F83ACF">
            <wp:extent cx="5731510" cy="2822714"/>
            <wp:effectExtent l="0" t="0" r="2540" b="0"/>
            <wp:docPr id="9"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rcRect/>
                    <a:stretch>
                      <a:fillRect/>
                    </a:stretch>
                  </pic:blipFill>
                  <pic:spPr>
                    <a:xfrm>
                      <a:off x="0" y="0"/>
                      <a:ext cx="5741362" cy="2827566"/>
                    </a:xfrm>
                    <a:prstGeom prst="rect">
                      <a:avLst/>
                    </a:prstGeom>
                    <a:noFill/>
                    <a:ln>
                      <a:noFill/>
                      <a:prstDash/>
                    </a:ln>
                  </pic:spPr>
                </pic:pic>
              </a:graphicData>
            </a:graphic>
          </wp:inline>
        </w:drawing>
      </w:r>
    </w:p>
    <w:p w14:paraId="634CD919" w14:textId="25E66102" w:rsidR="003F7412" w:rsidRPr="00B34D17" w:rsidRDefault="003F7412" w:rsidP="003F7412">
      <w:pPr>
        <w:rPr>
          <w:sz w:val="24"/>
          <w:lang w:eastAsia="hr-HR"/>
        </w:rPr>
      </w:pPr>
      <w:r w:rsidRPr="00B34D17">
        <w:rPr>
          <w:sz w:val="24"/>
          <w:lang w:eastAsia="hr-HR"/>
        </w:rPr>
        <w:t>Ostale pretpostavke koje su korišćene u analizi opisane su u sljedećoj tabeli.</w:t>
      </w:r>
    </w:p>
    <w:p w14:paraId="16318035" w14:textId="1D6297D9" w:rsidR="003F7412" w:rsidRPr="005873EF" w:rsidRDefault="005873EF" w:rsidP="00517F54">
      <w:pPr>
        <w:pStyle w:val="Caption"/>
        <w:keepNext/>
        <w:jc w:val="center"/>
        <w:rPr>
          <w:rFonts w:ascii="Calibri" w:hAnsi="Calibri"/>
          <w:color w:val="0D0D0D" w:themeColor="text1" w:themeTint="F2"/>
          <w:sz w:val="22"/>
          <w:szCs w:val="22"/>
        </w:rPr>
      </w:pPr>
      <w:bookmarkStart w:id="89" w:name="_Toc8296454"/>
      <w:bookmarkStart w:id="90" w:name="_Toc82415546"/>
      <w:r w:rsidRPr="005873EF">
        <w:rPr>
          <w:rFonts w:ascii="Calibri" w:hAnsi="Calibri"/>
          <w:color w:val="0D0D0D" w:themeColor="text1" w:themeTint="F2"/>
          <w:sz w:val="22"/>
          <w:szCs w:val="22"/>
        </w:rPr>
        <w:t xml:space="preserve">Tabela </w:t>
      </w:r>
      <w:r w:rsidRPr="005873EF">
        <w:rPr>
          <w:rFonts w:ascii="Calibri" w:hAnsi="Calibri"/>
          <w:color w:val="0D0D0D" w:themeColor="text1" w:themeTint="F2"/>
          <w:sz w:val="22"/>
          <w:szCs w:val="22"/>
        </w:rPr>
        <w:fldChar w:fldCharType="begin"/>
      </w:r>
      <w:r w:rsidRPr="005873EF">
        <w:rPr>
          <w:rFonts w:ascii="Calibri" w:hAnsi="Calibri"/>
          <w:color w:val="0D0D0D" w:themeColor="text1" w:themeTint="F2"/>
          <w:sz w:val="22"/>
          <w:szCs w:val="22"/>
        </w:rPr>
        <w:instrText xml:space="preserve"> SEQ Table \* ARABIC </w:instrText>
      </w:r>
      <w:r w:rsidRPr="005873EF">
        <w:rPr>
          <w:rFonts w:ascii="Calibri" w:hAnsi="Calibri"/>
          <w:color w:val="0D0D0D" w:themeColor="text1" w:themeTint="F2"/>
          <w:sz w:val="22"/>
          <w:szCs w:val="22"/>
        </w:rPr>
        <w:fldChar w:fldCharType="separate"/>
      </w:r>
      <w:r w:rsidR="002E7036">
        <w:rPr>
          <w:rFonts w:ascii="Calibri" w:hAnsi="Calibri"/>
          <w:noProof/>
          <w:color w:val="0D0D0D" w:themeColor="text1" w:themeTint="F2"/>
          <w:sz w:val="22"/>
          <w:szCs w:val="22"/>
        </w:rPr>
        <w:t>13</w:t>
      </w:r>
      <w:r w:rsidRPr="005873EF">
        <w:rPr>
          <w:rFonts w:ascii="Calibri" w:hAnsi="Calibri"/>
          <w:color w:val="0D0D0D" w:themeColor="text1" w:themeTint="F2"/>
          <w:sz w:val="22"/>
          <w:szCs w:val="22"/>
        </w:rPr>
        <w:fldChar w:fldCharType="end"/>
      </w:r>
      <w:r w:rsidRPr="005873EF">
        <w:rPr>
          <w:rFonts w:ascii="Calibri" w:hAnsi="Calibri"/>
          <w:color w:val="0D0D0D" w:themeColor="text1" w:themeTint="F2"/>
          <w:sz w:val="22"/>
          <w:szCs w:val="22"/>
        </w:rPr>
        <w:t xml:space="preserve"> P</w:t>
      </w:r>
      <w:r w:rsidR="003F7412" w:rsidRPr="005873EF">
        <w:rPr>
          <w:rFonts w:ascii="Calibri" w:hAnsi="Calibri"/>
          <w:color w:val="0D0D0D" w:themeColor="text1" w:themeTint="F2"/>
          <w:sz w:val="22"/>
          <w:szCs w:val="22"/>
        </w:rPr>
        <w:t>retpostavke za analizu – javni sektor</w:t>
      </w:r>
      <w:bookmarkEnd w:id="89"/>
      <w:bookmarkEnd w:id="90"/>
    </w:p>
    <w:tbl>
      <w:tblPr>
        <w:tblW w:w="9016" w:type="dxa"/>
        <w:tblCellMar>
          <w:left w:w="10" w:type="dxa"/>
          <w:right w:w="10" w:type="dxa"/>
        </w:tblCellMar>
        <w:tblLook w:val="0000" w:firstRow="0" w:lastRow="0" w:firstColumn="0" w:lastColumn="0" w:noHBand="0" w:noVBand="0"/>
      </w:tblPr>
      <w:tblGrid>
        <w:gridCol w:w="2621"/>
        <w:gridCol w:w="6395"/>
      </w:tblGrid>
      <w:tr w:rsidR="003F7412" w14:paraId="314532B0" w14:textId="77777777" w:rsidTr="00B34D17">
        <w:tc>
          <w:tcPr>
            <w:tcW w:w="2621"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041028DB" w14:textId="77777777" w:rsidR="003F7412" w:rsidRPr="0091029E" w:rsidRDefault="003F7412" w:rsidP="00855F2F">
            <w:pPr>
              <w:spacing w:after="0"/>
              <w:jc w:val="center"/>
              <w:textAlignment w:val="auto"/>
              <w:rPr>
                <w:i/>
                <w:color w:val="FFFFFF" w:themeColor="background1"/>
              </w:rPr>
            </w:pPr>
            <w:r w:rsidRPr="0091029E">
              <w:rPr>
                <w:b/>
                <w:bCs/>
                <w:i/>
                <w:color w:val="FFFFFF" w:themeColor="background1"/>
                <w:sz w:val="20"/>
              </w:rPr>
              <w:t>Pretpostavka</w:t>
            </w:r>
          </w:p>
        </w:tc>
        <w:tc>
          <w:tcPr>
            <w:tcW w:w="6395" w:type="dxa"/>
            <w:tcBorders>
              <w:top w:val="single" w:sz="4" w:space="0" w:color="999999"/>
              <w:left w:val="single" w:sz="4" w:space="0" w:color="999999"/>
              <w:bottom w:val="single" w:sz="12" w:space="0" w:color="666666"/>
              <w:right w:val="single" w:sz="4" w:space="0" w:color="999999"/>
            </w:tcBorders>
            <w:shd w:val="clear" w:color="auto" w:fill="2E74B5" w:themeFill="accent1" w:themeFillShade="BF"/>
            <w:tcMar>
              <w:top w:w="0" w:type="dxa"/>
              <w:left w:w="108" w:type="dxa"/>
              <w:bottom w:w="0" w:type="dxa"/>
              <w:right w:w="108" w:type="dxa"/>
            </w:tcMar>
          </w:tcPr>
          <w:p w14:paraId="7AFC047D" w14:textId="77777777" w:rsidR="003F7412" w:rsidRPr="0091029E" w:rsidRDefault="003F7412" w:rsidP="00855F2F">
            <w:pPr>
              <w:spacing w:after="0"/>
              <w:jc w:val="center"/>
              <w:textAlignment w:val="auto"/>
              <w:rPr>
                <w:b/>
                <w:bCs/>
                <w:i/>
                <w:color w:val="FFFFFF" w:themeColor="background1"/>
                <w:sz w:val="20"/>
              </w:rPr>
            </w:pPr>
            <w:r w:rsidRPr="0091029E">
              <w:rPr>
                <w:b/>
                <w:bCs/>
                <w:i/>
                <w:color w:val="FFFFFF" w:themeColor="background1"/>
                <w:sz w:val="20"/>
              </w:rPr>
              <w:t>Opis</w:t>
            </w:r>
          </w:p>
        </w:tc>
      </w:tr>
      <w:tr w:rsidR="003F7412" w14:paraId="7B59A9FA" w14:textId="77777777" w:rsidTr="00B34D17">
        <w:tc>
          <w:tcPr>
            <w:tcW w:w="262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46B64668" w14:textId="77777777" w:rsidR="003F7412" w:rsidRPr="0091029E" w:rsidRDefault="003F7412" w:rsidP="00B34D17">
            <w:pPr>
              <w:spacing w:after="0"/>
              <w:jc w:val="center"/>
              <w:textAlignment w:val="auto"/>
              <w:rPr>
                <w:b/>
                <w:i/>
                <w:color w:val="FFFFFF" w:themeColor="background1"/>
                <w:sz w:val="20"/>
              </w:rPr>
            </w:pPr>
            <w:r w:rsidRPr="0091029E">
              <w:rPr>
                <w:b/>
                <w:i/>
                <w:color w:val="FFFFFF" w:themeColor="background1"/>
                <w:sz w:val="20"/>
              </w:rPr>
              <w:t>Održavanje vozila</w:t>
            </w:r>
          </w:p>
        </w:tc>
        <w:tc>
          <w:tcPr>
            <w:tcW w:w="639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59B7CDA9" w14:textId="77777777" w:rsidR="003F7412" w:rsidRDefault="003F7412" w:rsidP="00855F2F">
            <w:pPr>
              <w:spacing w:after="0"/>
              <w:textAlignment w:val="auto"/>
              <w:rPr>
                <w:sz w:val="20"/>
              </w:rPr>
            </w:pPr>
            <w:r>
              <w:rPr>
                <w:sz w:val="20"/>
              </w:rPr>
              <w:t>Ukupan trošak održavanja vozila 50 % je manji za električna vozila u odnosu na konvencionalna. Trošak održavanja uključuje sve troškove koje snosi vlasnik tokom razdoblja eksploatacije vozila osim troškova registracije, osiguranja i goriva.</w:t>
            </w:r>
          </w:p>
        </w:tc>
      </w:tr>
      <w:tr w:rsidR="003F7412" w14:paraId="37513A22" w14:textId="77777777" w:rsidTr="00B34D17">
        <w:tc>
          <w:tcPr>
            <w:tcW w:w="262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39DAD701" w14:textId="77777777" w:rsidR="003F7412" w:rsidRPr="0091029E" w:rsidRDefault="003F7412" w:rsidP="00B34D17">
            <w:pPr>
              <w:spacing w:after="0"/>
              <w:jc w:val="center"/>
              <w:textAlignment w:val="auto"/>
              <w:rPr>
                <w:b/>
                <w:i/>
                <w:color w:val="FFFFFF" w:themeColor="background1"/>
                <w:sz w:val="20"/>
              </w:rPr>
            </w:pPr>
            <w:r w:rsidRPr="0091029E">
              <w:rPr>
                <w:b/>
                <w:i/>
                <w:color w:val="FFFFFF" w:themeColor="background1"/>
                <w:sz w:val="20"/>
              </w:rPr>
              <w:t>Cijene goriva</w:t>
            </w:r>
          </w:p>
        </w:tc>
        <w:tc>
          <w:tcPr>
            <w:tcW w:w="639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1B770C85" w14:textId="77777777" w:rsidR="003F7412" w:rsidRDefault="003F7412" w:rsidP="00855F2F">
            <w:pPr>
              <w:spacing w:after="0"/>
              <w:textAlignment w:val="auto"/>
              <w:rPr>
                <w:sz w:val="20"/>
              </w:rPr>
            </w:pPr>
            <w:r>
              <w:rPr>
                <w:sz w:val="20"/>
              </w:rPr>
              <w:t>U svrhu proračuna pretpostavljeno je da će cijene benzinskih goriva ostati na današnjoj razini tokom sljedećih 15 godina, uključujući i akcize.</w:t>
            </w:r>
          </w:p>
          <w:p w14:paraId="412804E9" w14:textId="77777777" w:rsidR="003F7412" w:rsidRDefault="003F7412" w:rsidP="00855F2F">
            <w:pPr>
              <w:spacing w:after="0"/>
              <w:textAlignment w:val="auto"/>
              <w:rPr>
                <w:sz w:val="20"/>
              </w:rPr>
            </w:pPr>
            <w:r>
              <w:rPr>
                <w:sz w:val="20"/>
              </w:rPr>
              <w:t>Za proračun je korištena cijena od 1,19 EUR/l benzina (bez PDV-a).</w:t>
            </w:r>
          </w:p>
        </w:tc>
      </w:tr>
      <w:tr w:rsidR="003F7412" w14:paraId="76AFD20C" w14:textId="77777777" w:rsidTr="00B34D17">
        <w:tc>
          <w:tcPr>
            <w:tcW w:w="262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422FFBE0" w14:textId="77777777" w:rsidR="003F7412" w:rsidRPr="0091029E" w:rsidRDefault="003F7412" w:rsidP="00B34D17">
            <w:pPr>
              <w:spacing w:after="0"/>
              <w:jc w:val="center"/>
              <w:textAlignment w:val="auto"/>
              <w:rPr>
                <w:b/>
                <w:i/>
                <w:color w:val="FFFFFF" w:themeColor="background1"/>
                <w:sz w:val="20"/>
              </w:rPr>
            </w:pPr>
            <w:r w:rsidRPr="0091029E">
              <w:rPr>
                <w:b/>
                <w:i/>
                <w:color w:val="FFFFFF" w:themeColor="background1"/>
                <w:sz w:val="20"/>
              </w:rPr>
              <w:t>Cijene električne energije</w:t>
            </w:r>
          </w:p>
        </w:tc>
        <w:tc>
          <w:tcPr>
            <w:tcW w:w="639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45DE8BD4" w14:textId="77777777" w:rsidR="003F7412" w:rsidRDefault="003F7412" w:rsidP="00855F2F">
            <w:pPr>
              <w:spacing w:after="0"/>
              <w:textAlignment w:val="auto"/>
              <w:rPr>
                <w:sz w:val="20"/>
              </w:rPr>
            </w:pPr>
            <w:r>
              <w:rPr>
                <w:sz w:val="20"/>
              </w:rPr>
              <w:t>U svrhu proračuna pretpostavljeno je da će cijene električne energije ostati na današnjoj razini, za sve kategorije kupaca.</w:t>
            </w:r>
          </w:p>
          <w:p w14:paraId="05A71A7D" w14:textId="77777777" w:rsidR="003F7412" w:rsidRDefault="003F7412" w:rsidP="00855F2F">
            <w:pPr>
              <w:spacing w:after="0"/>
              <w:textAlignment w:val="auto"/>
              <w:rPr>
                <w:sz w:val="20"/>
              </w:rPr>
            </w:pPr>
            <w:r>
              <w:rPr>
                <w:sz w:val="20"/>
              </w:rPr>
              <w:t>Za proračun je korišćena cijena od 0,077 EUR/kWh električne energije (bez PDV-a).</w:t>
            </w:r>
          </w:p>
        </w:tc>
      </w:tr>
      <w:tr w:rsidR="003F7412" w14:paraId="0160EFE4" w14:textId="77777777" w:rsidTr="00B34D17">
        <w:tc>
          <w:tcPr>
            <w:tcW w:w="262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521A0FBE" w14:textId="77777777" w:rsidR="003F7412" w:rsidRPr="0091029E" w:rsidRDefault="003F7412" w:rsidP="00B34D17">
            <w:pPr>
              <w:spacing w:after="0"/>
              <w:jc w:val="center"/>
              <w:textAlignment w:val="auto"/>
              <w:rPr>
                <w:b/>
                <w:i/>
                <w:color w:val="FFFFFF" w:themeColor="background1"/>
                <w:sz w:val="20"/>
              </w:rPr>
            </w:pPr>
            <w:r w:rsidRPr="0091029E">
              <w:rPr>
                <w:b/>
                <w:i/>
                <w:color w:val="FFFFFF" w:themeColor="background1"/>
                <w:sz w:val="20"/>
              </w:rPr>
              <w:t>Infrastruktura za punjenje EV</w:t>
            </w:r>
          </w:p>
        </w:tc>
        <w:tc>
          <w:tcPr>
            <w:tcW w:w="639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4CDACFC1" w14:textId="77777777" w:rsidR="003F7412" w:rsidRDefault="003F7412" w:rsidP="00855F2F">
            <w:pPr>
              <w:spacing w:after="0"/>
              <w:textAlignment w:val="auto"/>
              <w:rPr>
                <w:sz w:val="20"/>
              </w:rPr>
            </w:pPr>
            <w:r>
              <w:rPr>
                <w:sz w:val="20"/>
              </w:rPr>
              <w:t>U analizu su uključeni troškovi postavljanja infrastrukture za punjenje električnih vozila. Radi se o nadzidnoj punionici s ukupno četiri utičnice, 2x Tip2 11kW i 2x šuko 3,7kW. Trošak je procijenjen na 2.900 EUR (bez PDV-a).</w:t>
            </w:r>
          </w:p>
        </w:tc>
      </w:tr>
      <w:tr w:rsidR="003F7412" w14:paraId="319ADB5F" w14:textId="77777777" w:rsidTr="00B34D17">
        <w:tc>
          <w:tcPr>
            <w:tcW w:w="262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7EDFA9F5" w14:textId="77777777" w:rsidR="003F7412" w:rsidRPr="0091029E" w:rsidRDefault="003F7412" w:rsidP="00B34D17">
            <w:pPr>
              <w:spacing w:after="0"/>
              <w:jc w:val="center"/>
              <w:textAlignment w:val="auto"/>
              <w:rPr>
                <w:b/>
                <w:i/>
                <w:color w:val="FFFFFF" w:themeColor="background1"/>
                <w:sz w:val="20"/>
              </w:rPr>
            </w:pPr>
            <w:r w:rsidRPr="0091029E">
              <w:rPr>
                <w:b/>
                <w:i/>
                <w:color w:val="FFFFFF" w:themeColor="background1"/>
                <w:sz w:val="20"/>
              </w:rPr>
              <w:t>Električna energija – priključak</w:t>
            </w:r>
          </w:p>
        </w:tc>
        <w:tc>
          <w:tcPr>
            <w:tcW w:w="639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5881BAE" w14:textId="77777777" w:rsidR="003F7412" w:rsidRDefault="003F7412" w:rsidP="00855F2F">
            <w:pPr>
              <w:spacing w:after="0"/>
              <w:textAlignment w:val="auto"/>
              <w:rPr>
                <w:sz w:val="20"/>
              </w:rPr>
            </w:pPr>
            <w:r>
              <w:rPr>
                <w:sz w:val="20"/>
              </w:rPr>
              <w:t>Potrebno je izgraditi novi priključak električne energije i zakupiti kapacitete snage 30 kW. Troškovi ove stavke procijenjeni su na 3.000 EUR (bez PDV-a).</w:t>
            </w:r>
          </w:p>
        </w:tc>
      </w:tr>
      <w:tr w:rsidR="003F7412" w14:paraId="7410B88C" w14:textId="77777777" w:rsidTr="00B34D17">
        <w:tc>
          <w:tcPr>
            <w:tcW w:w="262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1CDE9A57" w14:textId="3D63FB6D" w:rsidR="003F7412" w:rsidRPr="0091029E" w:rsidRDefault="00D57908" w:rsidP="00B34D17">
            <w:pPr>
              <w:spacing w:after="0"/>
              <w:jc w:val="center"/>
              <w:textAlignment w:val="auto"/>
              <w:rPr>
                <w:b/>
                <w:i/>
                <w:color w:val="FFFFFF" w:themeColor="background1"/>
                <w:sz w:val="20"/>
              </w:rPr>
            </w:pPr>
            <w:r>
              <w:rPr>
                <w:b/>
                <w:i/>
                <w:color w:val="FFFFFF" w:themeColor="background1"/>
                <w:sz w:val="20"/>
              </w:rPr>
              <w:t>Pr</w:t>
            </w:r>
            <w:r w:rsidR="003F7412" w:rsidRPr="0091029E">
              <w:rPr>
                <w:b/>
                <w:i/>
                <w:color w:val="FFFFFF" w:themeColor="background1"/>
                <w:sz w:val="20"/>
              </w:rPr>
              <w:t>eđena godišnja kilometraža</w:t>
            </w:r>
          </w:p>
        </w:tc>
        <w:tc>
          <w:tcPr>
            <w:tcW w:w="639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2D3B261" w14:textId="77777777" w:rsidR="003F7412" w:rsidRDefault="003F7412" w:rsidP="00855F2F">
            <w:pPr>
              <w:spacing w:after="0"/>
              <w:textAlignment w:val="auto"/>
              <w:rPr>
                <w:sz w:val="20"/>
              </w:rPr>
            </w:pPr>
            <w:r>
              <w:rPr>
                <w:sz w:val="20"/>
              </w:rPr>
              <w:t>Pretpostavlja se da će nova vozila prevaljivati jednaku kilometražu kao i ona koja mijenjaju.</w:t>
            </w:r>
          </w:p>
          <w:p w14:paraId="2E6F049D" w14:textId="77777777" w:rsidR="003F7412" w:rsidRDefault="003F7412" w:rsidP="00855F2F">
            <w:pPr>
              <w:spacing w:after="0"/>
              <w:textAlignment w:val="auto"/>
              <w:rPr>
                <w:sz w:val="20"/>
              </w:rPr>
            </w:pPr>
            <w:r>
              <w:rPr>
                <w:sz w:val="20"/>
              </w:rPr>
              <w:t>Za proračun je korištena prosječna kilometraža od 15.100 km godišnje.</w:t>
            </w:r>
          </w:p>
        </w:tc>
      </w:tr>
      <w:tr w:rsidR="003F7412" w14:paraId="6A3A3817" w14:textId="77777777" w:rsidTr="00B34D17">
        <w:tc>
          <w:tcPr>
            <w:tcW w:w="2621" w:type="dxa"/>
            <w:tcBorders>
              <w:top w:val="single" w:sz="4" w:space="0" w:color="999999"/>
              <w:left w:val="single" w:sz="4" w:space="0" w:color="999999"/>
              <w:bottom w:val="single" w:sz="4" w:space="0" w:color="999999"/>
              <w:right w:val="single" w:sz="4" w:space="0" w:color="999999"/>
            </w:tcBorders>
            <w:shd w:val="clear" w:color="auto" w:fill="2E74B5" w:themeFill="accent1" w:themeFillShade="BF"/>
            <w:tcMar>
              <w:top w:w="0" w:type="dxa"/>
              <w:left w:w="108" w:type="dxa"/>
              <w:bottom w:w="0" w:type="dxa"/>
              <w:right w:w="108" w:type="dxa"/>
            </w:tcMar>
            <w:vAlign w:val="center"/>
          </w:tcPr>
          <w:p w14:paraId="4084D7EF" w14:textId="05840C08" w:rsidR="003F7412" w:rsidRPr="0091029E" w:rsidRDefault="00AC598F" w:rsidP="00B34D17">
            <w:pPr>
              <w:spacing w:after="0"/>
              <w:jc w:val="center"/>
              <w:textAlignment w:val="auto"/>
              <w:rPr>
                <w:b/>
                <w:i/>
                <w:color w:val="FFFFFF" w:themeColor="background1"/>
                <w:sz w:val="20"/>
              </w:rPr>
            </w:pPr>
            <w:r>
              <w:rPr>
                <w:b/>
                <w:i/>
                <w:color w:val="FFFFFF" w:themeColor="background1"/>
                <w:sz w:val="20"/>
              </w:rPr>
              <w:t>Visina podsticaja</w:t>
            </w:r>
          </w:p>
        </w:tc>
        <w:tc>
          <w:tcPr>
            <w:tcW w:w="639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435CB614" w14:textId="77777777" w:rsidR="003F7412" w:rsidRDefault="003F7412" w:rsidP="00855F2F">
            <w:pPr>
              <w:spacing w:after="0"/>
              <w:textAlignment w:val="auto"/>
              <w:rPr>
                <w:sz w:val="20"/>
              </w:rPr>
            </w:pPr>
            <w:r>
              <w:rPr>
                <w:sz w:val="20"/>
              </w:rPr>
              <w:t>U analizama su računati finansijski pokazatelji s obzirom na različite iznose direktnih subvencija za nabavu električnih vozila.</w:t>
            </w:r>
          </w:p>
          <w:p w14:paraId="56C1F754" w14:textId="77777777" w:rsidR="003F7412" w:rsidRDefault="003F7412" w:rsidP="00855F2F">
            <w:pPr>
              <w:spacing w:after="0"/>
              <w:textAlignment w:val="auto"/>
              <w:rPr>
                <w:sz w:val="20"/>
              </w:rPr>
            </w:pPr>
            <w:r>
              <w:rPr>
                <w:sz w:val="20"/>
              </w:rPr>
              <w:t>Za proračun su korištene razine subvencija u iznosu od 2.500, 5.000, 7.500 i 10.000 EUR, kao i opcija bez subvencija.</w:t>
            </w:r>
          </w:p>
        </w:tc>
      </w:tr>
    </w:tbl>
    <w:p w14:paraId="5686BDBE" w14:textId="77777777" w:rsidR="003F7412" w:rsidRDefault="003F7412" w:rsidP="003F7412">
      <w:pPr>
        <w:pStyle w:val="Subtitle"/>
      </w:pPr>
      <w:bookmarkStart w:id="91" w:name="_Toc8296780"/>
      <w:bookmarkStart w:id="92" w:name="_Toc80181925"/>
    </w:p>
    <w:p w14:paraId="0A2A17BD" w14:textId="77777777" w:rsidR="003F7412" w:rsidRPr="00A42306" w:rsidRDefault="003F7412" w:rsidP="003F7412">
      <w:pPr>
        <w:pStyle w:val="Heading2"/>
        <w:numPr>
          <w:ilvl w:val="1"/>
          <w:numId w:val="25"/>
        </w:numPr>
        <w:rPr>
          <w:rFonts w:ascii="Calibri" w:hAnsi="Calibri"/>
          <w:color w:val="171717" w:themeColor="background2" w:themeShade="1A"/>
        </w:rPr>
      </w:pPr>
      <w:bookmarkStart w:id="93" w:name="_Toc82271957"/>
      <w:r w:rsidRPr="00A42306">
        <w:rPr>
          <w:rFonts w:ascii="Calibri" w:hAnsi="Calibri"/>
          <w:color w:val="171717" w:themeColor="background2" w:themeShade="1A"/>
        </w:rPr>
        <w:lastRenderedPageBreak/>
        <w:t>Utvrđivanje isplativosti projekta</w:t>
      </w:r>
      <w:bookmarkEnd w:id="91"/>
      <w:bookmarkEnd w:id="92"/>
      <w:bookmarkEnd w:id="93"/>
    </w:p>
    <w:p w14:paraId="0BDD6EDA" w14:textId="77777777" w:rsidR="003F7412" w:rsidRDefault="003F7412" w:rsidP="003F7412"/>
    <w:p w14:paraId="48F255B8" w14:textId="3274C417" w:rsidR="003F7412" w:rsidRPr="00B34D17" w:rsidRDefault="003F7412" w:rsidP="00DA3C6D">
      <w:pPr>
        <w:jc w:val="both"/>
        <w:rPr>
          <w:sz w:val="24"/>
          <w:lang w:eastAsia="hr-HR"/>
        </w:rPr>
      </w:pPr>
      <w:r w:rsidRPr="00B34D17">
        <w:rPr>
          <w:sz w:val="24"/>
          <w:lang w:eastAsia="hr-HR"/>
        </w:rPr>
        <w:t>Slijedom ulaznih pretpostavki i razvijenog scenarija, ulaganjem dodatnih sredstava za nabavku 4 električna vozila te za nabavku odgovarajuće infrastrukture za punjenje kao i troškova priključka na elektroenergetsku mrežu, proiz</w:t>
      </w:r>
      <w:r w:rsidR="000B33FA">
        <w:rPr>
          <w:sz w:val="24"/>
          <w:lang w:eastAsia="hr-HR"/>
        </w:rPr>
        <w:t>i</w:t>
      </w:r>
      <w:r w:rsidRPr="00B34D17">
        <w:rPr>
          <w:sz w:val="24"/>
          <w:lang w:eastAsia="hr-HR"/>
        </w:rPr>
        <w:t>lazi ukupna investicija ovog projekta koja iznosi 84.400 Eura.</w:t>
      </w:r>
    </w:p>
    <w:p w14:paraId="13CF5A59" w14:textId="77777777" w:rsidR="003F7412" w:rsidRPr="00B34D17" w:rsidRDefault="003F7412" w:rsidP="003F7412">
      <w:pPr>
        <w:rPr>
          <w:sz w:val="24"/>
          <w:lang w:eastAsia="hr-HR"/>
        </w:rPr>
      </w:pPr>
      <w:r w:rsidRPr="00B34D17">
        <w:rPr>
          <w:sz w:val="24"/>
          <w:lang w:eastAsia="hr-HR"/>
        </w:rPr>
        <w:t xml:space="preserve">Kako bi se utvrdila isplativost projekta korišćeni su sljedeći pokazatelji: </w:t>
      </w:r>
    </w:p>
    <w:p w14:paraId="14C9CE65" w14:textId="77777777" w:rsidR="003F7412" w:rsidRPr="00B34D17" w:rsidRDefault="003F7412" w:rsidP="003F7412">
      <w:pPr>
        <w:pStyle w:val="ListParagraph"/>
        <w:keepLines/>
        <w:numPr>
          <w:ilvl w:val="0"/>
          <w:numId w:val="27"/>
        </w:numPr>
        <w:spacing w:before="60" w:after="60"/>
        <w:jc w:val="both"/>
        <w:textAlignment w:val="auto"/>
        <w:rPr>
          <w:sz w:val="24"/>
        </w:rPr>
      </w:pPr>
      <w:r w:rsidRPr="00B34D17">
        <w:rPr>
          <w:sz w:val="24"/>
        </w:rPr>
        <w:t xml:space="preserve">neto sadašnja vrijednost (NPV) projekta utvrđena pri diskontnoj stopi od 4%, </w:t>
      </w:r>
    </w:p>
    <w:p w14:paraId="1CFFA5CD" w14:textId="77777777" w:rsidR="003F7412" w:rsidRPr="00B34D17" w:rsidRDefault="003F7412" w:rsidP="003F7412">
      <w:pPr>
        <w:pStyle w:val="ListParagraph"/>
        <w:keepLines/>
        <w:numPr>
          <w:ilvl w:val="0"/>
          <w:numId w:val="27"/>
        </w:numPr>
        <w:spacing w:before="60" w:after="60"/>
        <w:jc w:val="both"/>
        <w:textAlignment w:val="auto"/>
        <w:rPr>
          <w:sz w:val="24"/>
        </w:rPr>
      </w:pPr>
      <w:r w:rsidRPr="00B34D17">
        <w:rPr>
          <w:sz w:val="24"/>
        </w:rPr>
        <w:t xml:space="preserve">interna stopa povrata (IRR), </w:t>
      </w:r>
    </w:p>
    <w:p w14:paraId="16886A4A" w14:textId="77777777" w:rsidR="003F7412" w:rsidRPr="00B34D17" w:rsidRDefault="003F7412" w:rsidP="003F7412">
      <w:pPr>
        <w:pStyle w:val="ListParagraph"/>
        <w:keepLines/>
        <w:numPr>
          <w:ilvl w:val="0"/>
          <w:numId w:val="27"/>
        </w:numPr>
        <w:spacing w:before="60" w:after="60"/>
        <w:jc w:val="both"/>
        <w:textAlignment w:val="auto"/>
        <w:rPr>
          <w:sz w:val="24"/>
        </w:rPr>
      </w:pPr>
      <w:r w:rsidRPr="00B34D17">
        <w:rPr>
          <w:sz w:val="24"/>
        </w:rPr>
        <w:t>indeks profitabilnosti (PI)</w:t>
      </w:r>
    </w:p>
    <w:p w14:paraId="0A6250EF" w14:textId="77777777" w:rsidR="003F7412" w:rsidRPr="00B34D17" w:rsidRDefault="003F7412" w:rsidP="003F7412">
      <w:pPr>
        <w:pStyle w:val="ListParagraph"/>
        <w:keepLines/>
        <w:numPr>
          <w:ilvl w:val="0"/>
          <w:numId w:val="27"/>
        </w:numPr>
        <w:spacing w:before="60" w:after="60"/>
        <w:jc w:val="both"/>
        <w:textAlignment w:val="auto"/>
        <w:rPr>
          <w:sz w:val="24"/>
        </w:rPr>
      </w:pPr>
      <w:r w:rsidRPr="00B34D17">
        <w:rPr>
          <w:sz w:val="24"/>
        </w:rPr>
        <w:t>diskontirani period povrata (PBP)</w:t>
      </w:r>
    </w:p>
    <w:p w14:paraId="78C78F34" w14:textId="735D842B" w:rsidR="003F7412" w:rsidRPr="00B34D17" w:rsidRDefault="003F7412" w:rsidP="000B33FA">
      <w:pPr>
        <w:jc w:val="both"/>
        <w:rPr>
          <w:sz w:val="24"/>
        </w:rPr>
      </w:pPr>
      <w:r w:rsidRPr="00B34D17">
        <w:rPr>
          <w:sz w:val="24"/>
          <w:lang w:eastAsia="hr-HR"/>
        </w:rPr>
        <w:t xml:space="preserve">NPV, IRR, PBP i PI su utvrđeni </w:t>
      </w:r>
      <w:r w:rsidR="00E35DB8">
        <w:rPr>
          <w:sz w:val="24"/>
          <w:lang w:eastAsia="hr-HR"/>
        </w:rPr>
        <w:t>na osnovu</w:t>
      </w:r>
      <w:r w:rsidR="00715D7C">
        <w:rPr>
          <w:sz w:val="24"/>
          <w:lang w:eastAsia="hr-HR"/>
        </w:rPr>
        <w:t xml:space="preserve"> finansijskog toka. Tabela 14</w:t>
      </w:r>
      <w:r w:rsidRPr="00B34D17">
        <w:rPr>
          <w:sz w:val="24"/>
          <w:lang w:eastAsia="hr-HR"/>
        </w:rPr>
        <w:t xml:space="preserve"> prikazuje sažetak finansijskog proračuna.</w:t>
      </w:r>
    </w:p>
    <w:p w14:paraId="1ACDA871" w14:textId="439E72ED" w:rsidR="003F7412" w:rsidRPr="005873EF" w:rsidRDefault="005873EF" w:rsidP="00517F54">
      <w:pPr>
        <w:pStyle w:val="Caption"/>
        <w:keepNext/>
        <w:jc w:val="center"/>
        <w:rPr>
          <w:rFonts w:ascii="Calibri" w:hAnsi="Calibri"/>
          <w:sz w:val="22"/>
          <w:szCs w:val="22"/>
        </w:rPr>
      </w:pPr>
      <w:bookmarkStart w:id="94" w:name="_Ref8284699"/>
      <w:bookmarkStart w:id="95" w:name="_Toc8296455"/>
      <w:bookmarkStart w:id="96" w:name="_Toc82415547"/>
      <w:bookmarkStart w:id="97" w:name="_Ref8136662"/>
      <w:r w:rsidRPr="005873EF">
        <w:rPr>
          <w:rFonts w:ascii="Calibri" w:hAnsi="Calibri"/>
          <w:sz w:val="22"/>
          <w:szCs w:val="22"/>
        </w:rPr>
        <w:t xml:space="preserve">Tabela </w:t>
      </w:r>
      <w:r w:rsidRPr="005873EF">
        <w:rPr>
          <w:rFonts w:ascii="Calibri" w:hAnsi="Calibri"/>
          <w:sz w:val="22"/>
          <w:szCs w:val="22"/>
        </w:rPr>
        <w:fldChar w:fldCharType="begin"/>
      </w:r>
      <w:r w:rsidRPr="005873EF">
        <w:rPr>
          <w:rFonts w:ascii="Calibri" w:hAnsi="Calibri"/>
          <w:sz w:val="22"/>
          <w:szCs w:val="22"/>
        </w:rPr>
        <w:instrText xml:space="preserve"> SEQ Table \* ARABIC </w:instrText>
      </w:r>
      <w:r w:rsidRPr="005873EF">
        <w:rPr>
          <w:rFonts w:ascii="Calibri" w:hAnsi="Calibri"/>
          <w:sz w:val="22"/>
          <w:szCs w:val="22"/>
        </w:rPr>
        <w:fldChar w:fldCharType="separate"/>
      </w:r>
      <w:r w:rsidR="002E7036">
        <w:rPr>
          <w:rFonts w:ascii="Calibri" w:hAnsi="Calibri"/>
          <w:noProof/>
          <w:sz w:val="22"/>
          <w:szCs w:val="22"/>
        </w:rPr>
        <w:t>14</w:t>
      </w:r>
      <w:r w:rsidRPr="005873EF">
        <w:rPr>
          <w:rFonts w:ascii="Calibri" w:hAnsi="Calibri"/>
          <w:sz w:val="22"/>
          <w:szCs w:val="22"/>
        </w:rPr>
        <w:fldChar w:fldCharType="end"/>
      </w:r>
      <w:bookmarkEnd w:id="94"/>
      <w:r w:rsidRPr="005873EF">
        <w:rPr>
          <w:rFonts w:ascii="Calibri" w:hAnsi="Calibri"/>
          <w:sz w:val="22"/>
          <w:szCs w:val="22"/>
        </w:rPr>
        <w:t xml:space="preserve"> </w:t>
      </w:r>
      <w:r w:rsidR="003F7412" w:rsidRPr="005873EF">
        <w:rPr>
          <w:rFonts w:ascii="Calibri" w:hAnsi="Calibri"/>
          <w:sz w:val="22"/>
          <w:szCs w:val="22"/>
        </w:rPr>
        <w:t>Rezultati finansijskog proračuna - Komunalna policija</w:t>
      </w:r>
      <w:bookmarkEnd w:id="95"/>
      <w:bookmarkEnd w:id="96"/>
    </w:p>
    <w:tbl>
      <w:tblPr>
        <w:tblW w:w="4408" w:type="pct"/>
        <w:jc w:val="center"/>
        <w:tblCellMar>
          <w:left w:w="10" w:type="dxa"/>
          <w:right w:w="10" w:type="dxa"/>
        </w:tblCellMar>
        <w:tblLook w:val="0000" w:firstRow="0" w:lastRow="0" w:firstColumn="0" w:lastColumn="0" w:noHBand="0" w:noVBand="0"/>
      </w:tblPr>
      <w:tblGrid>
        <w:gridCol w:w="2486"/>
        <w:gridCol w:w="1076"/>
        <w:gridCol w:w="1057"/>
        <w:gridCol w:w="1057"/>
        <w:gridCol w:w="1057"/>
        <w:gridCol w:w="1224"/>
      </w:tblGrid>
      <w:tr w:rsidR="003F7412" w14:paraId="1526BB0F" w14:textId="77777777" w:rsidTr="0091029E">
        <w:trPr>
          <w:trHeight w:val="274"/>
          <w:jc w:val="center"/>
        </w:trPr>
        <w:tc>
          <w:tcPr>
            <w:tcW w:w="7957" w:type="dxa"/>
            <w:gridSpan w:val="6"/>
            <w:shd w:val="clear" w:color="auto" w:fill="2E74B5" w:themeFill="accent1" w:themeFillShade="BF"/>
            <w:noWrap/>
            <w:tcMar>
              <w:top w:w="0" w:type="dxa"/>
              <w:left w:w="108" w:type="dxa"/>
              <w:bottom w:w="0" w:type="dxa"/>
              <w:right w:w="108" w:type="dxa"/>
            </w:tcMar>
            <w:vAlign w:val="center"/>
          </w:tcPr>
          <w:bookmarkEnd w:id="97"/>
          <w:p w14:paraId="5EC3B5EA" w14:textId="77777777" w:rsidR="003F7412" w:rsidRPr="0091029E" w:rsidRDefault="003F7412" w:rsidP="00855F2F">
            <w:pPr>
              <w:spacing w:after="0"/>
              <w:jc w:val="center"/>
              <w:rPr>
                <w:i/>
              </w:rPr>
            </w:pPr>
            <w:r w:rsidRPr="0091029E">
              <w:rPr>
                <w:rFonts w:cs="Tahoma"/>
                <w:b/>
                <w:i/>
                <w:color w:val="FFFFFF" w:themeColor="background1"/>
                <w:sz w:val="24"/>
                <w:szCs w:val="20"/>
              </w:rPr>
              <w:t>Rezultati finansijske analize</w:t>
            </w:r>
          </w:p>
        </w:tc>
      </w:tr>
      <w:tr w:rsidR="003F7412" w14:paraId="02CF2D76" w14:textId="77777777" w:rsidTr="00D170CE">
        <w:trPr>
          <w:trHeight w:val="219"/>
          <w:jc w:val="center"/>
        </w:trPr>
        <w:tc>
          <w:tcPr>
            <w:tcW w:w="2486" w:type="dxa"/>
            <w:tcBorders>
              <w:top w:val="single" w:sz="8"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1BD92C0" w14:textId="77777777" w:rsidR="003F7412" w:rsidRDefault="003F7412" w:rsidP="00855F2F">
            <w:pPr>
              <w:spacing w:after="0"/>
              <w:jc w:val="center"/>
            </w:pPr>
            <w:r>
              <w:rPr>
                <w:rFonts w:cs="Tahoma"/>
                <w:color w:val="000000"/>
                <w:szCs w:val="20"/>
                <w:lang w:eastAsia="hr-HR"/>
              </w:rPr>
              <w:t> </w:t>
            </w:r>
          </w:p>
        </w:tc>
        <w:tc>
          <w:tcPr>
            <w:tcW w:w="5471" w:type="dxa"/>
            <w:gridSpan w:val="5"/>
            <w:tcBorders>
              <w:top w:val="single" w:sz="8" w:space="0" w:color="000000"/>
              <w:bottom w:val="single" w:sz="4" w:space="0" w:color="000000"/>
              <w:right w:val="single" w:sz="8" w:space="0" w:color="000000"/>
            </w:tcBorders>
            <w:shd w:val="clear" w:color="auto" w:fill="2E74B5" w:themeFill="accent1" w:themeFillShade="BF"/>
            <w:noWrap/>
            <w:tcMar>
              <w:top w:w="0" w:type="dxa"/>
              <w:left w:w="108" w:type="dxa"/>
              <w:bottom w:w="0" w:type="dxa"/>
              <w:right w:w="108" w:type="dxa"/>
            </w:tcMar>
            <w:vAlign w:val="center"/>
          </w:tcPr>
          <w:p w14:paraId="00B38A59" w14:textId="279D9520" w:rsidR="003F7412" w:rsidRPr="00D170CE" w:rsidRDefault="003F7412" w:rsidP="00855F2F">
            <w:pPr>
              <w:spacing w:after="0"/>
              <w:jc w:val="center"/>
              <w:rPr>
                <w:i/>
              </w:rPr>
            </w:pPr>
            <w:r w:rsidRPr="00D170CE">
              <w:rPr>
                <w:rFonts w:cs="Tahoma"/>
                <w:b/>
                <w:bCs/>
                <w:i/>
                <w:color w:val="FFFFFF" w:themeColor="background1"/>
                <w:szCs w:val="20"/>
                <w:lang w:eastAsia="hr-HR"/>
              </w:rPr>
              <w:t>Iznos podsticaja za kup</w:t>
            </w:r>
            <w:r w:rsidR="00CF6FD7">
              <w:rPr>
                <w:rFonts w:cs="Tahoma"/>
                <w:b/>
                <w:bCs/>
                <w:i/>
                <w:color w:val="FFFFFF" w:themeColor="background1"/>
                <w:szCs w:val="20"/>
                <w:lang w:eastAsia="hr-HR"/>
              </w:rPr>
              <w:t>ovinu</w:t>
            </w:r>
            <w:r w:rsidRPr="00D170CE">
              <w:rPr>
                <w:rFonts w:cs="Tahoma"/>
                <w:b/>
                <w:bCs/>
                <w:i/>
                <w:color w:val="FFFFFF" w:themeColor="background1"/>
                <w:szCs w:val="20"/>
                <w:lang w:eastAsia="hr-HR"/>
              </w:rPr>
              <w:t xml:space="preserve"> EV</w:t>
            </w:r>
          </w:p>
        </w:tc>
      </w:tr>
      <w:tr w:rsidR="003F7412" w14:paraId="7F0BC63C" w14:textId="77777777" w:rsidTr="00CF6FD7">
        <w:trPr>
          <w:trHeight w:val="287"/>
          <w:jc w:val="center"/>
        </w:trPr>
        <w:tc>
          <w:tcPr>
            <w:tcW w:w="2486" w:type="dxa"/>
            <w:tcBorders>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FB306" w14:textId="77777777" w:rsidR="003F7412" w:rsidRDefault="003F7412" w:rsidP="00855F2F">
            <w:pPr>
              <w:spacing w:after="0"/>
              <w:jc w:val="center"/>
            </w:pPr>
            <w:r>
              <w:rPr>
                <w:rFonts w:cs="Tahoma"/>
                <w:color w:val="000000"/>
                <w:szCs w:val="20"/>
                <w:lang w:eastAsia="hr-HR"/>
              </w:rPr>
              <w:t> </w:t>
            </w:r>
          </w:p>
        </w:tc>
        <w:tc>
          <w:tcPr>
            <w:tcW w:w="1076" w:type="dxa"/>
            <w:tcBorders>
              <w:bottom w:val="single" w:sz="4" w:space="0" w:color="000000"/>
              <w:right w:val="single" w:sz="4" w:space="0" w:color="000000"/>
            </w:tcBorders>
            <w:shd w:val="clear" w:color="auto" w:fill="BDD6EE" w:themeFill="accent1" w:themeFillTint="66"/>
            <w:noWrap/>
            <w:tcMar>
              <w:top w:w="0" w:type="dxa"/>
              <w:left w:w="108" w:type="dxa"/>
              <w:bottom w:w="0" w:type="dxa"/>
              <w:right w:w="108" w:type="dxa"/>
            </w:tcMar>
            <w:vAlign w:val="center"/>
          </w:tcPr>
          <w:p w14:paraId="3253EA7F" w14:textId="77777777" w:rsidR="003F7412" w:rsidRDefault="003F7412" w:rsidP="00855F2F">
            <w:pPr>
              <w:spacing w:after="0"/>
              <w:jc w:val="center"/>
            </w:pPr>
            <w:r>
              <w:rPr>
                <w:rFonts w:cs="Tahoma"/>
                <w:b/>
                <w:bCs/>
                <w:i/>
                <w:iCs/>
                <w:color w:val="000000"/>
                <w:szCs w:val="20"/>
                <w:lang w:eastAsia="hr-HR"/>
              </w:rPr>
              <w:t>0 €</w:t>
            </w:r>
          </w:p>
        </w:tc>
        <w:tc>
          <w:tcPr>
            <w:tcW w:w="1057" w:type="dxa"/>
            <w:tcBorders>
              <w:bottom w:val="single" w:sz="4" w:space="0" w:color="000000"/>
              <w:right w:val="single" w:sz="4" w:space="0" w:color="000000"/>
            </w:tcBorders>
            <w:shd w:val="clear" w:color="auto" w:fill="BDD6EE" w:themeFill="accent1" w:themeFillTint="66"/>
            <w:noWrap/>
            <w:tcMar>
              <w:top w:w="0" w:type="dxa"/>
              <w:left w:w="108" w:type="dxa"/>
              <w:bottom w:w="0" w:type="dxa"/>
              <w:right w:w="108" w:type="dxa"/>
            </w:tcMar>
            <w:vAlign w:val="center"/>
          </w:tcPr>
          <w:p w14:paraId="5857D849" w14:textId="77777777" w:rsidR="003F7412" w:rsidRDefault="003F7412" w:rsidP="00855F2F">
            <w:pPr>
              <w:spacing w:after="0"/>
              <w:jc w:val="center"/>
              <w:rPr>
                <w:rFonts w:cs="Tahoma"/>
                <w:b/>
                <w:bCs/>
                <w:i/>
                <w:iCs/>
                <w:color w:val="000000"/>
                <w:szCs w:val="20"/>
                <w:lang w:eastAsia="hr-HR"/>
              </w:rPr>
            </w:pPr>
            <w:r>
              <w:rPr>
                <w:rFonts w:cs="Tahoma"/>
                <w:b/>
                <w:bCs/>
                <w:i/>
                <w:iCs/>
                <w:color w:val="000000"/>
                <w:szCs w:val="20"/>
                <w:lang w:eastAsia="hr-HR"/>
              </w:rPr>
              <w:t>2.500 €</w:t>
            </w:r>
          </w:p>
        </w:tc>
        <w:tc>
          <w:tcPr>
            <w:tcW w:w="1057" w:type="dxa"/>
            <w:tcBorders>
              <w:bottom w:val="single" w:sz="4" w:space="0" w:color="000000"/>
              <w:right w:val="single" w:sz="4" w:space="0" w:color="000000"/>
            </w:tcBorders>
            <w:shd w:val="clear" w:color="auto" w:fill="BDD6EE" w:themeFill="accent1" w:themeFillTint="66"/>
            <w:noWrap/>
            <w:tcMar>
              <w:top w:w="0" w:type="dxa"/>
              <w:left w:w="108" w:type="dxa"/>
              <w:bottom w:w="0" w:type="dxa"/>
              <w:right w:w="108" w:type="dxa"/>
            </w:tcMar>
            <w:vAlign w:val="center"/>
          </w:tcPr>
          <w:p w14:paraId="3D1153AB" w14:textId="77777777" w:rsidR="003F7412" w:rsidRDefault="003F7412" w:rsidP="00855F2F">
            <w:pPr>
              <w:spacing w:after="0"/>
              <w:jc w:val="center"/>
              <w:rPr>
                <w:rFonts w:cs="Tahoma"/>
                <w:b/>
                <w:bCs/>
                <w:i/>
                <w:iCs/>
                <w:color w:val="000000"/>
                <w:szCs w:val="20"/>
                <w:lang w:eastAsia="hr-HR"/>
              </w:rPr>
            </w:pPr>
            <w:r>
              <w:rPr>
                <w:rFonts w:cs="Tahoma"/>
                <w:b/>
                <w:bCs/>
                <w:i/>
                <w:iCs/>
                <w:color w:val="000000"/>
                <w:szCs w:val="20"/>
                <w:lang w:eastAsia="hr-HR"/>
              </w:rPr>
              <w:t>5.000 €</w:t>
            </w:r>
          </w:p>
        </w:tc>
        <w:tc>
          <w:tcPr>
            <w:tcW w:w="1057" w:type="dxa"/>
            <w:tcBorders>
              <w:bottom w:val="single" w:sz="4" w:space="0" w:color="000000"/>
              <w:right w:val="single" w:sz="4" w:space="0" w:color="000000"/>
            </w:tcBorders>
            <w:shd w:val="clear" w:color="auto" w:fill="BDD6EE" w:themeFill="accent1" w:themeFillTint="66"/>
            <w:noWrap/>
            <w:tcMar>
              <w:top w:w="0" w:type="dxa"/>
              <w:left w:w="108" w:type="dxa"/>
              <w:bottom w:w="0" w:type="dxa"/>
              <w:right w:w="108" w:type="dxa"/>
            </w:tcMar>
            <w:vAlign w:val="center"/>
          </w:tcPr>
          <w:p w14:paraId="5CC39738" w14:textId="77777777" w:rsidR="003F7412" w:rsidRDefault="003F7412" w:rsidP="00855F2F">
            <w:pPr>
              <w:spacing w:after="0"/>
              <w:jc w:val="center"/>
              <w:rPr>
                <w:rFonts w:cs="Tahoma"/>
                <w:b/>
                <w:bCs/>
                <w:i/>
                <w:iCs/>
                <w:color w:val="000000"/>
                <w:szCs w:val="20"/>
                <w:lang w:eastAsia="hr-HR"/>
              </w:rPr>
            </w:pPr>
            <w:r>
              <w:rPr>
                <w:rFonts w:cs="Tahoma"/>
                <w:b/>
                <w:bCs/>
                <w:i/>
                <w:iCs/>
                <w:color w:val="000000"/>
                <w:szCs w:val="20"/>
                <w:lang w:eastAsia="hr-HR"/>
              </w:rPr>
              <w:t>7.500 €</w:t>
            </w:r>
          </w:p>
        </w:tc>
        <w:tc>
          <w:tcPr>
            <w:tcW w:w="1224" w:type="dxa"/>
            <w:tcBorders>
              <w:bottom w:val="single" w:sz="4" w:space="0" w:color="000000"/>
              <w:right w:val="single" w:sz="8" w:space="0" w:color="000000"/>
            </w:tcBorders>
            <w:shd w:val="clear" w:color="auto" w:fill="BDD6EE" w:themeFill="accent1" w:themeFillTint="66"/>
            <w:noWrap/>
            <w:tcMar>
              <w:top w:w="0" w:type="dxa"/>
              <w:left w:w="108" w:type="dxa"/>
              <w:bottom w:w="0" w:type="dxa"/>
              <w:right w:w="108" w:type="dxa"/>
            </w:tcMar>
            <w:vAlign w:val="center"/>
          </w:tcPr>
          <w:p w14:paraId="568D1FDA" w14:textId="77777777" w:rsidR="003F7412" w:rsidRDefault="003F7412" w:rsidP="00855F2F">
            <w:pPr>
              <w:spacing w:after="0"/>
              <w:jc w:val="center"/>
              <w:rPr>
                <w:rFonts w:cs="Tahoma"/>
                <w:b/>
                <w:bCs/>
                <w:i/>
                <w:iCs/>
                <w:color w:val="000000"/>
                <w:szCs w:val="20"/>
                <w:lang w:eastAsia="hr-HR"/>
              </w:rPr>
            </w:pPr>
            <w:r>
              <w:rPr>
                <w:rFonts w:cs="Tahoma"/>
                <w:b/>
                <w:bCs/>
                <w:i/>
                <w:iCs/>
                <w:color w:val="000000"/>
                <w:szCs w:val="20"/>
                <w:lang w:eastAsia="hr-HR"/>
              </w:rPr>
              <w:t>10.000 €</w:t>
            </w:r>
          </w:p>
        </w:tc>
      </w:tr>
      <w:tr w:rsidR="003F7412" w14:paraId="5D6D5359" w14:textId="77777777" w:rsidTr="0091029E">
        <w:trPr>
          <w:trHeight w:val="219"/>
          <w:jc w:val="center"/>
        </w:trPr>
        <w:tc>
          <w:tcPr>
            <w:tcW w:w="2486" w:type="dxa"/>
            <w:tcBorders>
              <w:left w:val="single" w:sz="8" w:space="0" w:color="000000"/>
              <w:bottom w:val="single" w:sz="4" w:space="0" w:color="000000"/>
              <w:right w:val="single" w:sz="4" w:space="0" w:color="000000"/>
            </w:tcBorders>
            <w:shd w:val="clear" w:color="auto" w:fill="BDD6EE" w:themeFill="accent1" w:themeFillTint="66"/>
            <w:noWrap/>
            <w:tcMar>
              <w:top w:w="0" w:type="dxa"/>
              <w:left w:w="108" w:type="dxa"/>
              <w:bottom w:w="0" w:type="dxa"/>
              <w:right w:w="108" w:type="dxa"/>
            </w:tcMar>
            <w:vAlign w:val="center"/>
          </w:tcPr>
          <w:p w14:paraId="01C0D60D" w14:textId="77777777" w:rsidR="003F7412" w:rsidRPr="00CF6FD7" w:rsidRDefault="003F7412" w:rsidP="00855F2F">
            <w:pPr>
              <w:spacing w:after="0"/>
              <w:jc w:val="center"/>
              <w:rPr>
                <w:b/>
              </w:rPr>
            </w:pPr>
            <w:r w:rsidRPr="00CF6FD7">
              <w:rPr>
                <w:rFonts w:cs="Tahoma"/>
                <w:b/>
                <w:szCs w:val="20"/>
              </w:rPr>
              <w:t>FNPV (EUR)</w:t>
            </w:r>
          </w:p>
        </w:tc>
        <w:tc>
          <w:tcPr>
            <w:tcW w:w="1076" w:type="dxa"/>
            <w:tcBorders>
              <w:top w:val="single" w:sz="4" w:space="0" w:color="000000"/>
              <w:left w:val="single" w:sz="4" w:space="0" w:color="000000"/>
              <w:bottom w:val="single" w:sz="4" w:space="0" w:color="000000"/>
              <w:right w:val="single" w:sz="4" w:space="0" w:color="000000"/>
            </w:tcBorders>
            <w:shd w:val="clear" w:color="auto" w:fill="F8696B"/>
            <w:noWrap/>
            <w:tcMar>
              <w:top w:w="0" w:type="dxa"/>
              <w:left w:w="108" w:type="dxa"/>
              <w:bottom w:w="0" w:type="dxa"/>
              <w:right w:w="108" w:type="dxa"/>
            </w:tcMar>
            <w:vAlign w:val="center"/>
          </w:tcPr>
          <w:p w14:paraId="5DE053B6" w14:textId="77777777" w:rsidR="003F7412" w:rsidRDefault="003F7412" w:rsidP="00855F2F">
            <w:pPr>
              <w:spacing w:after="0"/>
              <w:jc w:val="center"/>
            </w:pPr>
            <w:r>
              <w:rPr>
                <w:rFonts w:cs="Tahoma"/>
              </w:rPr>
              <w:t>-15.541</w:t>
            </w:r>
          </w:p>
        </w:tc>
        <w:tc>
          <w:tcPr>
            <w:tcW w:w="1057" w:type="dxa"/>
            <w:tcBorders>
              <w:top w:val="single" w:sz="4" w:space="0" w:color="000000"/>
              <w:left w:val="single" w:sz="4" w:space="0" w:color="000000"/>
              <w:bottom w:val="single" w:sz="4" w:space="0" w:color="000000"/>
              <w:right w:val="single" w:sz="4" w:space="0" w:color="000000"/>
            </w:tcBorders>
            <w:shd w:val="clear" w:color="auto" w:fill="F8696B"/>
            <w:noWrap/>
            <w:tcMar>
              <w:top w:w="0" w:type="dxa"/>
              <w:left w:w="108" w:type="dxa"/>
              <w:bottom w:w="0" w:type="dxa"/>
              <w:right w:w="108" w:type="dxa"/>
            </w:tcMar>
            <w:vAlign w:val="center"/>
          </w:tcPr>
          <w:p w14:paraId="01F866A8" w14:textId="77777777" w:rsidR="003F7412" w:rsidRDefault="003F7412" w:rsidP="00855F2F">
            <w:pPr>
              <w:spacing w:after="0"/>
              <w:jc w:val="center"/>
            </w:pPr>
            <w:r>
              <w:rPr>
                <w:rFonts w:cs="Tahoma"/>
              </w:rPr>
              <w:t>-5.541</w:t>
            </w:r>
          </w:p>
        </w:tc>
        <w:tc>
          <w:tcPr>
            <w:tcW w:w="1057" w:type="dxa"/>
            <w:tcBorders>
              <w:top w:val="single" w:sz="4" w:space="0" w:color="000000"/>
              <w:left w:val="single" w:sz="4" w:space="0" w:color="000000"/>
              <w:bottom w:val="single" w:sz="4" w:space="0" w:color="000000"/>
              <w:right w:val="single" w:sz="4" w:space="0" w:color="000000"/>
            </w:tcBorders>
            <w:shd w:val="clear" w:color="auto" w:fill="FFEB84"/>
            <w:noWrap/>
            <w:tcMar>
              <w:top w:w="0" w:type="dxa"/>
              <w:left w:w="108" w:type="dxa"/>
              <w:bottom w:w="0" w:type="dxa"/>
              <w:right w:w="108" w:type="dxa"/>
            </w:tcMar>
            <w:vAlign w:val="center"/>
          </w:tcPr>
          <w:p w14:paraId="3186F6FA" w14:textId="77777777" w:rsidR="003F7412" w:rsidRDefault="003F7412" w:rsidP="00855F2F">
            <w:pPr>
              <w:spacing w:after="0"/>
              <w:jc w:val="center"/>
            </w:pPr>
            <w:r>
              <w:rPr>
                <w:rFonts w:cs="Tahoma"/>
                <w:color w:val="000000"/>
              </w:rPr>
              <w:t>4.459</w:t>
            </w:r>
          </w:p>
        </w:tc>
        <w:tc>
          <w:tcPr>
            <w:tcW w:w="1057" w:type="dxa"/>
            <w:tcBorders>
              <w:top w:val="single" w:sz="4" w:space="0" w:color="000000"/>
              <w:left w:val="single" w:sz="4" w:space="0" w:color="000000"/>
              <w:bottom w:val="single" w:sz="4" w:space="0" w:color="000000"/>
              <w:right w:val="single" w:sz="4" w:space="0" w:color="000000"/>
            </w:tcBorders>
            <w:shd w:val="clear" w:color="auto" w:fill="B1D580"/>
            <w:noWrap/>
            <w:tcMar>
              <w:top w:w="0" w:type="dxa"/>
              <w:left w:w="108" w:type="dxa"/>
              <w:bottom w:w="0" w:type="dxa"/>
              <w:right w:w="108" w:type="dxa"/>
            </w:tcMar>
            <w:vAlign w:val="center"/>
          </w:tcPr>
          <w:p w14:paraId="21BD944A" w14:textId="77777777" w:rsidR="003F7412" w:rsidRDefault="003F7412" w:rsidP="00855F2F">
            <w:pPr>
              <w:spacing w:after="0"/>
              <w:jc w:val="center"/>
            </w:pPr>
            <w:r>
              <w:rPr>
                <w:rFonts w:cs="Tahoma"/>
                <w:color w:val="000000"/>
              </w:rPr>
              <w:t>14.459</w:t>
            </w:r>
          </w:p>
        </w:tc>
        <w:tc>
          <w:tcPr>
            <w:tcW w:w="1224" w:type="dxa"/>
            <w:tcBorders>
              <w:top w:val="single" w:sz="4" w:space="0" w:color="000000"/>
              <w:left w:val="single" w:sz="4" w:space="0" w:color="000000"/>
              <w:bottom w:val="single" w:sz="4" w:space="0" w:color="000000"/>
              <w:right w:val="single" w:sz="4" w:space="0" w:color="000000"/>
            </w:tcBorders>
            <w:shd w:val="clear" w:color="auto" w:fill="63BE7B"/>
            <w:noWrap/>
            <w:tcMar>
              <w:top w:w="0" w:type="dxa"/>
              <w:left w:w="108" w:type="dxa"/>
              <w:bottom w:w="0" w:type="dxa"/>
              <w:right w:w="108" w:type="dxa"/>
            </w:tcMar>
            <w:vAlign w:val="center"/>
          </w:tcPr>
          <w:p w14:paraId="00EE9F99" w14:textId="77777777" w:rsidR="003F7412" w:rsidRDefault="003F7412" w:rsidP="00855F2F">
            <w:pPr>
              <w:spacing w:after="0"/>
              <w:jc w:val="center"/>
            </w:pPr>
            <w:r>
              <w:rPr>
                <w:rFonts w:cs="Tahoma"/>
                <w:color w:val="000000"/>
              </w:rPr>
              <w:t>24.459</w:t>
            </w:r>
          </w:p>
        </w:tc>
      </w:tr>
      <w:tr w:rsidR="003F7412" w14:paraId="0509A83C" w14:textId="77777777" w:rsidTr="0091029E">
        <w:trPr>
          <w:trHeight w:val="219"/>
          <w:jc w:val="center"/>
        </w:trPr>
        <w:tc>
          <w:tcPr>
            <w:tcW w:w="2486" w:type="dxa"/>
            <w:tcBorders>
              <w:left w:val="single" w:sz="8" w:space="0" w:color="000000"/>
              <w:bottom w:val="single" w:sz="4" w:space="0" w:color="000000"/>
              <w:right w:val="single" w:sz="4" w:space="0" w:color="000000"/>
            </w:tcBorders>
            <w:shd w:val="clear" w:color="auto" w:fill="BDD6EE" w:themeFill="accent1" w:themeFillTint="66"/>
            <w:noWrap/>
            <w:tcMar>
              <w:top w:w="0" w:type="dxa"/>
              <w:left w:w="108" w:type="dxa"/>
              <w:bottom w:w="0" w:type="dxa"/>
              <w:right w:w="108" w:type="dxa"/>
            </w:tcMar>
            <w:vAlign w:val="center"/>
          </w:tcPr>
          <w:p w14:paraId="462361F6" w14:textId="77777777" w:rsidR="003F7412" w:rsidRPr="00CF6FD7" w:rsidRDefault="003F7412" w:rsidP="00855F2F">
            <w:pPr>
              <w:spacing w:after="0"/>
              <w:jc w:val="center"/>
              <w:rPr>
                <w:b/>
              </w:rPr>
            </w:pPr>
            <w:r w:rsidRPr="00CF6FD7">
              <w:rPr>
                <w:rFonts w:cs="Tahoma"/>
                <w:b/>
                <w:szCs w:val="20"/>
              </w:rPr>
              <w:t>IRR</w:t>
            </w:r>
          </w:p>
        </w:tc>
        <w:tc>
          <w:tcPr>
            <w:tcW w:w="1076" w:type="dxa"/>
            <w:tcBorders>
              <w:top w:val="single" w:sz="4" w:space="0" w:color="000000"/>
              <w:left w:val="single" w:sz="4" w:space="0" w:color="000000"/>
              <w:bottom w:val="single" w:sz="4" w:space="0" w:color="000000"/>
              <w:right w:val="single" w:sz="4" w:space="0" w:color="000000"/>
            </w:tcBorders>
            <w:shd w:val="clear" w:color="auto" w:fill="F8696B"/>
            <w:noWrap/>
            <w:tcMar>
              <w:top w:w="0" w:type="dxa"/>
              <w:left w:w="108" w:type="dxa"/>
              <w:bottom w:w="0" w:type="dxa"/>
              <w:right w:w="108" w:type="dxa"/>
            </w:tcMar>
            <w:vAlign w:val="center"/>
          </w:tcPr>
          <w:p w14:paraId="5671FD7F" w14:textId="77777777" w:rsidR="003F7412" w:rsidRDefault="003F7412" w:rsidP="00855F2F">
            <w:pPr>
              <w:spacing w:after="0"/>
              <w:jc w:val="center"/>
            </w:pPr>
            <w:r>
              <w:rPr>
                <w:rFonts w:cs="Tahoma"/>
              </w:rPr>
              <w:t>1,2%</w:t>
            </w:r>
          </w:p>
        </w:tc>
        <w:tc>
          <w:tcPr>
            <w:tcW w:w="1057" w:type="dxa"/>
            <w:tcBorders>
              <w:top w:val="single" w:sz="4" w:space="0" w:color="000000"/>
              <w:left w:val="single" w:sz="4" w:space="0" w:color="000000"/>
              <w:bottom w:val="single" w:sz="4" w:space="0" w:color="000000"/>
              <w:right w:val="single" w:sz="4" w:space="0" w:color="000000"/>
            </w:tcBorders>
            <w:shd w:val="clear" w:color="auto" w:fill="F8696B"/>
            <w:noWrap/>
            <w:tcMar>
              <w:top w:w="0" w:type="dxa"/>
              <w:left w:w="108" w:type="dxa"/>
              <w:bottom w:w="0" w:type="dxa"/>
              <w:right w:w="108" w:type="dxa"/>
            </w:tcMar>
            <w:vAlign w:val="center"/>
          </w:tcPr>
          <w:p w14:paraId="6E16D6E3" w14:textId="77777777" w:rsidR="003F7412" w:rsidRDefault="003F7412" w:rsidP="00855F2F">
            <w:pPr>
              <w:spacing w:after="0"/>
              <w:jc w:val="center"/>
            </w:pPr>
            <w:r>
              <w:rPr>
                <w:rFonts w:cs="Tahoma"/>
              </w:rPr>
              <w:t>2,9%</w:t>
            </w:r>
          </w:p>
        </w:tc>
        <w:tc>
          <w:tcPr>
            <w:tcW w:w="1057" w:type="dxa"/>
            <w:tcBorders>
              <w:top w:val="single" w:sz="4" w:space="0" w:color="000000"/>
              <w:left w:val="single" w:sz="4" w:space="0" w:color="000000"/>
              <w:bottom w:val="single" w:sz="4" w:space="0" w:color="000000"/>
              <w:right w:val="single" w:sz="4" w:space="0" w:color="000000"/>
            </w:tcBorders>
            <w:shd w:val="clear" w:color="auto" w:fill="FFEB84"/>
            <w:noWrap/>
            <w:tcMar>
              <w:top w:w="0" w:type="dxa"/>
              <w:left w:w="108" w:type="dxa"/>
              <w:bottom w:w="0" w:type="dxa"/>
              <w:right w:w="108" w:type="dxa"/>
            </w:tcMar>
            <w:vAlign w:val="center"/>
          </w:tcPr>
          <w:p w14:paraId="7D3EB5ED" w14:textId="77777777" w:rsidR="003F7412" w:rsidRDefault="003F7412" w:rsidP="00855F2F">
            <w:pPr>
              <w:spacing w:after="0"/>
              <w:jc w:val="center"/>
            </w:pPr>
            <w:r>
              <w:rPr>
                <w:rFonts w:cs="Tahoma"/>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BAD780"/>
            <w:noWrap/>
            <w:tcMar>
              <w:top w:w="0" w:type="dxa"/>
              <w:left w:w="108" w:type="dxa"/>
              <w:bottom w:w="0" w:type="dxa"/>
              <w:right w:w="108" w:type="dxa"/>
            </w:tcMar>
            <w:vAlign w:val="center"/>
          </w:tcPr>
          <w:p w14:paraId="69D641DA" w14:textId="77777777" w:rsidR="003F7412" w:rsidRDefault="003F7412" w:rsidP="00855F2F">
            <w:pPr>
              <w:spacing w:after="0"/>
              <w:jc w:val="center"/>
            </w:pPr>
            <w:r>
              <w:rPr>
                <w:rFonts w:cs="Tahoma"/>
                <w:color w:val="000000"/>
              </w:rPr>
              <w:t>7,6%</w:t>
            </w:r>
          </w:p>
        </w:tc>
        <w:tc>
          <w:tcPr>
            <w:tcW w:w="1224" w:type="dxa"/>
            <w:tcBorders>
              <w:top w:val="single" w:sz="4" w:space="0" w:color="000000"/>
              <w:left w:val="single" w:sz="4" w:space="0" w:color="000000"/>
              <w:bottom w:val="single" w:sz="4" w:space="0" w:color="000000"/>
              <w:right w:val="single" w:sz="4" w:space="0" w:color="000000"/>
            </w:tcBorders>
            <w:shd w:val="clear" w:color="auto" w:fill="63BE7B"/>
            <w:noWrap/>
            <w:tcMar>
              <w:top w:w="0" w:type="dxa"/>
              <w:left w:w="108" w:type="dxa"/>
              <w:bottom w:w="0" w:type="dxa"/>
              <w:right w:w="108" w:type="dxa"/>
            </w:tcMar>
            <w:vAlign w:val="center"/>
          </w:tcPr>
          <w:p w14:paraId="5BA932AB" w14:textId="77777777" w:rsidR="003F7412" w:rsidRDefault="003F7412" w:rsidP="00855F2F">
            <w:pPr>
              <w:spacing w:after="0"/>
              <w:jc w:val="center"/>
            </w:pPr>
            <w:r>
              <w:rPr>
                <w:rFonts w:cs="Tahoma"/>
                <w:color w:val="000000"/>
              </w:rPr>
              <w:t>11,1%</w:t>
            </w:r>
          </w:p>
        </w:tc>
      </w:tr>
      <w:tr w:rsidR="003F7412" w14:paraId="54D10B34" w14:textId="77777777" w:rsidTr="0091029E">
        <w:trPr>
          <w:trHeight w:val="219"/>
          <w:jc w:val="center"/>
        </w:trPr>
        <w:tc>
          <w:tcPr>
            <w:tcW w:w="2486" w:type="dxa"/>
            <w:tcBorders>
              <w:left w:val="single" w:sz="8" w:space="0" w:color="000000"/>
              <w:bottom w:val="single" w:sz="4" w:space="0" w:color="000000"/>
              <w:right w:val="single" w:sz="4" w:space="0" w:color="000000"/>
            </w:tcBorders>
            <w:shd w:val="clear" w:color="auto" w:fill="BDD6EE" w:themeFill="accent1" w:themeFillTint="66"/>
            <w:noWrap/>
            <w:tcMar>
              <w:top w:w="0" w:type="dxa"/>
              <w:left w:w="108" w:type="dxa"/>
              <w:bottom w:w="0" w:type="dxa"/>
              <w:right w:w="108" w:type="dxa"/>
            </w:tcMar>
            <w:vAlign w:val="center"/>
          </w:tcPr>
          <w:p w14:paraId="5E87BEAA" w14:textId="77777777" w:rsidR="003F7412" w:rsidRPr="00CF6FD7" w:rsidRDefault="003F7412" w:rsidP="00855F2F">
            <w:pPr>
              <w:spacing w:after="0"/>
              <w:jc w:val="center"/>
              <w:rPr>
                <w:b/>
              </w:rPr>
            </w:pPr>
            <w:r w:rsidRPr="00CF6FD7">
              <w:rPr>
                <w:rFonts w:cs="Tahoma"/>
                <w:b/>
                <w:szCs w:val="20"/>
              </w:rPr>
              <w:t>PBP</w:t>
            </w:r>
          </w:p>
        </w:tc>
        <w:tc>
          <w:tcPr>
            <w:tcW w:w="1076" w:type="dxa"/>
            <w:tcBorders>
              <w:top w:val="single" w:sz="4" w:space="0" w:color="000000"/>
              <w:left w:val="single" w:sz="4" w:space="0" w:color="000000"/>
              <w:bottom w:val="single" w:sz="4" w:space="0" w:color="000000"/>
              <w:right w:val="single" w:sz="4" w:space="0" w:color="000000"/>
            </w:tcBorders>
            <w:shd w:val="clear" w:color="auto" w:fill="F8696B"/>
            <w:noWrap/>
            <w:tcMar>
              <w:top w:w="0" w:type="dxa"/>
              <w:left w:w="108" w:type="dxa"/>
              <w:bottom w:w="0" w:type="dxa"/>
              <w:right w:w="108" w:type="dxa"/>
            </w:tcMar>
            <w:vAlign w:val="center"/>
          </w:tcPr>
          <w:p w14:paraId="18AA7ACB" w14:textId="77777777" w:rsidR="003F7412" w:rsidRDefault="003F7412" w:rsidP="00855F2F">
            <w:pPr>
              <w:spacing w:after="0"/>
              <w:jc w:val="center"/>
            </w:pPr>
            <w:r>
              <w:rPr>
                <w:rFonts w:cs="Tahoma"/>
              </w:rPr>
              <w:t>15</w:t>
            </w:r>
          </w:p>
        </w:tc>
        <w:tc>
          <w:tcPr>
            <w:tcW w:w="1057" w:type="dxa"/>
            <w:tcBorders>
              <w:top w:val="single" w:sz="4" w:space="0" w:color="000000"/>
              <w:left w:val="single" w:sz="4" w:space="0" w:color="000000"/>
              <w:bottom w:val="single" w:sz="4" w:space="0" w:color="000000"/>
              <w:right w:val="single" w:sz="4" w:space="0" w:color="000000"/>
            </w:tcBorders>
            <w:shd w:val="clear" w:color="auto" w:fill="F8696B"/>
            <w:noWrap/>
            <w:tcMar>
              <w:top w:w="0" w:type="dxa"/>
              <w:left w:w="108" w:type="dxa"/>
              <w:bottom w:w="0" w:type="dxa"/>
              <w:right w:w="108" w:type="dxa"/>
            </w:tcMar>
            <w:vAlign w:val="center"/>
          </w:tcPr>
          <w:p w14:paraId="5F357AF6" w14:textId="77777777" w:rsidR="003F7412" w:rsidRDefault="003F7412" w:rsidP="00855F2F">
            <w:pPr>
              <w:spacing w:after="0"/>
              <w:jc w:val="center"/>
            </w:pPr>
            <w:r>
              <w:rPr>
                <w:rFonts w:cs="Tahoma"/>
              </w:rPr>
              <w:t>15</w:t>
            </w:r>
          </w:p>
        </w:tc>
        <w:tc>
          <w:tcPr>
            <w:tcW w:w="1057" w:type="dxa"/>
            <w:tcBorders>
              <w:top w:val="single" w:sz="4" w:space="0" w:color="000000"/>
              <w:left w:val="single" w:sz="4" w:space="0" w:color="000000"/>
              <w:bottom w:val="single" w:sz="4" w:space="0" w:color="000000"/>
              <w:right w:val="single" w:sz="4" w:space="0" w:color="000000"/>
            </w:tcBorders>
            <w:shd w:val="clear" w:color="auto" w:fill="FFEB84"/>
            <w:noWrap/>
            <w:tcMar>
              <w:top w:w="0" w:type="dxa"/>
              <w:left w:w="108" w:type="dxa"/>
              <w:bottom w:w="0" w:type="dxa"/>
              <w:right w:w="108" w:type="dxa"/>
            </w:tcMar>
            <w:vAlign w:val="center"/>
          </w:tcPr>
          <w:p w14:paraId="21BB1892" w14:textId="77777777" w:rsidR="003F7412" w:rsidRDefault="003F7412" w:rsidP="00855F2F">
            <w:pPr>
              <w:spacing w:after="0"/>
              <w:jc w:val="center"/>
            </w:pPr>
            <w:r>
              <w:rPr>
                <w:rFonts w:cs="Tahoma"/>
                <w:color w:val="000000"/>
              </w:rPr>
              <w:t>13</w:t>
            </w:r>
          </w:p>
        </w:tc>
        <w:tc>
          <w:tcPr>
            <w:tcW w:w="1057" w:type="dxa"/>
            <w:tcBorders>
              <w:top w:val="single" w:sz="4" w:space="0" w:color="000000"/>
              <w:left w:val="single" w:sz="4" w:space="0" w:color="000000"/>
              <w:bottom w:val="single" w:sz="4" w:space="0" w:color="000000"/>
              <w:right w:val="single" w:sz="4" w:space="0" w:color="000000"/>
            </w:tcBorders>
            <w:shd w:val="clear" w:color="auto" w:fill="B1D47F"/>
            <w:noWrap/>
            <w:tcMar>
              <w:top w:w="0" w:type="dxa"/>
              <w:left w:w="108" w:type="dxa"/>
              <w:bottom w:w="0" w:type="dxa"/>
              <w:right w:w="108" w:type="dxa"/>
            </w:tcMar>
            <w:vAlign w:val="center"/>
          </w:tcPr>
          <w:p w14:paraId="21AA4D6B" w14:textId="77777777" w:rsidR="003F7412" w:rsidRDefault="003F7412" w:rsidP="00855F2F">
            <w:pPr>
              <w:spacing w:after="0"/>
              <w:jc w:val="center"/>
            </w:pPr>
            <w:r>
              <w:rPr>
                <w:rFonts w:cs="Tahoma"/>
                <w:color w:val="000000"/>
              </w:rPr>
              <w:t>11</w:t>
            </w:r>
          </w:p>
        </w:tc>
        <w:tc>
          <w:tcPr>
            <w:tcW w:w="1224" w:type="dxa"/>
            <w:tcBorders>
              <w:top w:val="single" w:sz="4" w:space="0" w:color="000000"/>
              <w:left w:val="single" w:sz="4" w:space="0" w:color="000000"/>
              <w:bottom w:val="single" w:sz="4" w:space="0" w:color="000000"/>
              <w:right w:val="single" w:sz="4" w:space="0" w:color="000000"/>
            </w:tcBorders>
            <w:shd w:val="clear" w:color="auto" w:fill="63BE7B"/>
            <w:noWrap/>
            <w:tcMar>
              <w:top w:w="0" w:type="dxa"/>
              <w:left w:w="108" w:type="dxa"/>
              <w:bottom w:w="0" w:type="dxa"/>
              <w:right w:w="108" w:type="dxa"/>
            </w:tcMar>
            <w:vAlign w:val="center"/>
          </w:tcPr>
          <w:p w14:paraId="1D68B413" w14:textId="77777777" w:rsidR="003F7412" w:rsidRDefault="003F7412" w:rsidP="00855F2F">
            <w:pPr>
              <w:spacing w:after="0"/>
              <w:jc w:val="center"/>
            </w:pPr>
            <w:r>
              <w:rPr>
                <w:rFonts w:cs="Tahoma"/>
                <w:color w:val="000000"/>
              </w:rPr>
              <w:t>8</w:t>
            </w:r>
          </w:p>
        </w:tc>
      </w:tr>
      <w:tr w:rsidR="003F7412" w14:paraId="04C09A85" w14:textId="77777777" w:rsidTr="0091029E">
        <w:trPr>
          <w:trHeight w:val="230"/>
          <w:jc w:val="center"/>
        </w:trPr>
        <w:tc>
          <w:tcPr>
            <w:tcW w:w="2486" w:type="dxa"/>
            <w:tcBorders>
              <w:left w:val="single" w:sz="8" w:space="0" w:color="000000"/>
              <w:bottom w:val="single" w:sz="8" w:space="0" w:color="000000"/>
              <w:right w:val="single" w:sz="4" w:space="0" w:color="000000"/>
            </w:tcBorders>
            <w:shd w:val="clear" w:color="auto" w:fill="BDD6EE" w:themeFill="accent1" w:themeFillTint="66"/>
            <w:noWrap/>
            <w:tcMar>
              <w:top w:w="0" w:type="dxa"/>
              <w:left w:w="108" w:type="dxa"/>
              <w:bottom w:w="0" w:type="dxa"/>
              <w:right w:w="108" w:type="dxa"/>
            </w:tcMar>
            <w:vAlign w:val="center"/>
          </w:tcPr>
          <w:p w14:paraId="72A79C9C" w14:textId="77777777" w:rsidR="003F7412" w:rsidRPr="00CF6FD7" w:rsidRDefault="003F7412" w:rsidP="00855F2F">
            <w:pPr>
              <w:spacing w:after="0"/>
              <w:jc w:val="center"/>
              <w:rPr>
                <w:b/>
              </w:rPr>
            </w:pPr>
            <w:r w:rsidRPr="00CF6FD7">
              <w:rPr>
                <w:rFonts w:cs="Tahoma"/>
                <w:b/>
                <w:szCs w:val="20"/>
              </w:rPr>
              <w:t>PI</w:t>
            </w:r>
          </w:p>
        </w:tc>
        <w:tc>
          <w:tcPr>
            <w:tcW w:w="1076" w:type="dxa"/>
            <w:tcBorders>
              <w:top w:val="single" w:sz="4" w:space="0" w:color="000000"/>
              <w:left w:val="single" w:sz="4" w:space="0" w:color="000000"/>
              <w:bottom w:val="single" w:sz="4" w:space="0" w:color="000000"/>
              <w:right w:val="single" w:sz="4" w:space="0" w:color="000000"/>
            </w:tcBorders>
            <w:shd w:val="clear" w:color="auto" w:fill="F8696B"/>
            <w:noWrap/>
            <w:tcMar>
              <w:top w:w="0" w:type="dxa"/>
              <w:left w:w="108" w:type="dxa"/>
              <w:bottom w:w="0" w:type="dxa"/>
              <w:right w:w="108" w:type="dxa"/>
            </w:tcMar>
            <w:vAlign w:val="center"/>
          </w:tcPr>
          <w:p w14:paraId="232FFAE5" w14:textId="77777777" w:rsidR="003F7412" w:rsidRDefault="003F7412" w:rsidP="00855F2F">
            <w:pPr>
              <w:spacing w:after="0"/>
              <w:jc w:val="center"/>
            </w:pPr>
            <w:r>
              <w:rPr>
                <w:rFonts w:cs="Tahoma"/>
              </w:rPr>
              <w:t>0,8</w:t>
            </w:r>
          </w:p>
        </w:tc>
        <w:tc>
          <w:tcPr>
            <w:tcW w:w="1057" w:type="dxa"/>
            <w:tcBorders>
              <w:top w:val="single" w:sz="4" w:space="0" w:color="000000"/>
              <w:left w:val="single" w:sz="4" w:space="0" w:color="000000"/>
              <w:bottom w:val="single" w:sz="4" w:space="0" w:color="000000"/>
              <w:right w:val="single" w:sz="4" w:space="0" w:color="000000"/>
            </w:tcBorders>
            <w:shd w:val="clear" w:color="auto" w:fill="F8696B"/>
            <w:noWrap/>
            <w:tcMar>
              <w:top w:w="0" w:type="dxa"/>
              <w:left w:w="108" w:type="dxa"/>
              <w:bottom w:w="0" w:type="dxa"/>
              <w:right w:w="108" w:type="dxa"/>
            </w:tcMar>
            <w:vAlign w:val="center"/>
          </w:tcPr>
          <w:p w14:paraId="02B8DE2A" w14:textId="77777777" w:rsidR="003F7412" w:rsidRDefault="003F7412" w:rsidP="00855F2F">
            <w:pPr>
              <w:spacing w:after="0"/>
              <w:jc w:val="center"/>
            </w:pPr>
            <w:r>
              <w:rPr>
                <w:rFonts w:cs="Tahoma"/>
              </w:rPr>
              <w:t>0,9</w:t>
            </w:r>
          </w:p>
        </w:tc>
        <w:tc>
          <w:tcPr>
            <w:tcW w:w="1057" w:type="dxa"/>
            <w:tcBorders>
              <w:top w:val="single" w:sz="4" w:space="0" w:color="000000"/>
              <w:left w:val="single" w:sz="4" w:space="0" w:color="000000"/>
              <w:bottom w:val="single" w:sz="4" w:space="0" w:color="000000"/>
              <w:right w:val="single" w:sz="4" w:space="0" w:color="000000"/>
            </w:tcBorders>
            <w:shd w:val="clear" w:color="auto" w:fill="E2E383"/>
            <w:noWrap/>
            <w:tcMar>
              <w:top w:w="0" w:type="dxa"/>
              <w:left w:w="108" w:type="dxa"/>
              <w:bottom w:w="0" w:type="dxa"/>
              <w:right w:w="108" w:type="dxa"/>
            </w:tcMar>
            <w:vAlign w:val="center"/>
          </w:tcPr>
          <w:p w14:paraId="092FA2DD" w14:textId="77777777" w:rsidR="003F7412" w:rsidRDefault="003F7412" w:rsidP="00855F2F">
            <w:pPr>
              <w:spacing w:after="0"/>
              <w:jc w:val="center"/>
            </w:pPr>
            <w:r>
              <w:rPr>
                <w:rFonts w:cs="Tahoma"/>
                <w:color w:val="000000"/>
              </w:rPr>
              <w:t>1,1</w:t>
            </w:r>
          </w:p>
        </w:tc>
        <w:tc>
          <w:tcPr>
            <w:tcW w:w="1057" w:type="dxa"/>
            <w:tcBorders>
              <w:top w:val="single" w:sz="4" w:space="0" w:color="000000"/>
              <w:left w:val="single" w:sz="4" w:space="0" w:color="000000"/>
              <w:bottom w:val="single" w:sz="4" w:space="0" w:color="000000"/>
              <w:right w:val="single" w:sz="4" w:space="0" w:color="000000"/>
            </w:tcBorders>
            <w:shd w:val="clear" w:color="auto" w:fill="ABD380"/>
            <w:noWrap/>
            <w:tcMar>
              <w:top w:w="0" w:type="dxa"/>
              <w:left w:w="108" w:type="dxa"/>
              <w:bottom w:w="0" w:type="dxa"/>
              <w:right w:w="108" w:type="dxa"/>
            </w:tcMar>
            <w:vAlign w:val="center"/>
          </w:tcPr>
          <w:p w14:paraId="0387B535" w14:textId="77777777" w:rsidR="003F7412" w:rsidRDefault="003F7412" w:rsidP="00855F2F">
            <w:pPr>
              <w:spacing w:after="0"/>
              <w:jc w:val="center"/>
            </w:pPr>
            <w:r>
              <w:rPr>
                <w:rFonts w:cs="Tahoma"/>
                <w:color w:val="000000"/>
              </w:rPr>
              <w:t>1,3</w:t>
            </w:r>
          </w:p>
        </w:tc>
        <w:tc>
          <w:tcPr>
            <w:tcW w:w="1224" w:type="dxa"/>
            <w:tcBorders>
              <w:top w:val="single" w:sz="4" w:space="0" w:color="000000"/>
              <w:left w:val="single" w:sz="4" w:space="0" w:color="000000"/>
              <w:bottom w:val="single" w:sz="4" w:space="0" w:color="000000"/>
              <w:right w:val="single" w:sz="4" w:space="0" w:color="000000"/>
            </w:tcBorders>
            <w:shd w:val="clear" w:color="auto" w:fill="63BE7B"/>
            <w:noWrap/>
            <w:tcMar>
              <w:top w:w="0" w:type="dxa"/>
              <w:left w:w="108" w:type="dxa"/>
              <w:bottom w:w="0" w:type="dxa"/>
              <w:right w:w="108" w:type="dxa"/>
            </w:tcMar>
            <w:vAlign w:val="center"/>
          </w:tcPr>
          <w:p w14:paraId="083F7037" w14:textId="77777777" w:rsidR="003F7412" w:rsidRDefault="003F7412" w:rsidP="00855F2F">
            <w:pPr>
              <w:spacing w:after="0"/>
              <w:jc w:val="center"/>
            </w:pPr>
            <w:r>
              <w:rPr>
                <w:rFonts w:cs="Tahoma"/>
                <w:color w:val="000000"/>
              </w:rPr>
              <w:t>1,6</w:t>
            </w:r>
          </w:p>
        </w:tc>
      </w:tr>
    </w:tbl>
    <w:p w14:paraId="6BF49727" w14:textId="77777777" w:rsidR="003F7412" w:rsidRDefault="003F7412" w:rsidP="003F7412">
      <w:pPr>
        <w:rPr>
          <w:b/>
          <w:lang w:eastAsia="hr-HR"/>
        </w:rPr>
      </w:pPr>
    </w:p>
    <w:p w14:paraId="2157A29E" w14:textId="77777777" w:rsidR="003F7412" w:rsidRPr="00B34D17" w:rsidRDefault="003F7412" w:rsidP="003F7412">
      <w:pPr>
        <w:jc w:val="both"/>
        <w:rPr>
          <w:sz w:val="24"/>
        </w:rPr>
      </w:pPr>
      <w:r w:rsidRPr="00B34D17">
        <w:rPr>
          <w:b/>
          <w:sz w:val="24"/>
          <w:lang w:eastAsia="hr-HR"/>
        </w:rPr>
        <w:t>NPV</w:t>
      </w:r>
    </w:p>
    <w:p w14:paraId="3A06461D" w14:textId="45DC16C4" w:rsidR="003F7412" w:rsidRPr="00B34D17" w:rsidRDefault="003F7412" w:rsidP="003F7412">
      <w:pPr>
        <w:jc w:val="both"/>
        <w:rPr>
          <w:sz w:val="24"/>
          <w:lang w:eastAsia="hr-HR"/>
        </w:rPr>
      </w:pPr>
      <w:r w:rsidRPr="00B34D17">
        <w:rPr>
          <w:sz w:val="24"/>
          <w:lang w:eastAsia="hr-HR"/>
        </w:rPr>
        <w:t>Neto sadašnja vrijednost negativna je u slučaju bez podst</w:t>
      </w:r>
      <w:r w:rsidR="000B33FA">
        <w:rPr>
          <w:sz w:val="24"/>
          <w:lang w:eastAsia="hr-HR"/>
        </w:rPr>
        <w:t>icaja kao i u slučaju uz 2.500 e</w:t>
      </w:r>
      <w:r w:rsidRPr="00B34D17">
        <w:rPr>
          <w:sz w:val="24"/>
          <w:lang w:eastAsia="hr-HR"/>
        </w:rPr>
        <w:t>ura po</w:t>
      </w:r>
      <w:r w:rsidR="00E120E0">
        <w:rPr>
          <w:sz w:val="24"/>
          <w:lang w:eastAsia="hr-HR"/>
        </w:rPr>
        <w:t>ds</w:t>
      </w:r>
      <w:r w:rsidRPr="00B34D17">
        <w:rPr>
          <w:sz w:val="24"/>
          <w:lang w:eastAsia="hr-HR"/>
        </w:rPr>
        <w:t>ticaja za nabavku EV. Uz po</w:t>
      </w:r>
      <w:r w:rsidR="00E120E0">
        <w:rPr>
          <w:sz w:val="24"/>
          <w:lang w:eastAsia="hr-HR"/>
        </w:rPr>
        <w:t>ds</w:t>
      </w:r>
      <w:r w:rsidR="000B33FA">
        <w:rPr>
          <w:sz w:val="24"/>
          <w:lang w:eastAsia="hr-HR"/>
        </w:rPr>
        <w:t>ticaj od 5.000 eura</w:t>
      </w:r>
      <w:r w:rsidRPr="00B34D17">
        <w:rPr>
          <w:sz w:val="24"/>
          <w:lang w:eastAsia="hr-HR"/>
        </w:rPr>
        <w:t xml:space="preserve"> i v</w:t>
      </w:r>
      <w:r w:rsidR="00E120E0">
        <w:rPr>
          <w:sz w:val="24"/>
          <w:lang w:eastAsia="hr-HR"/>
        </w:rPr>
        <w:t>iše</w:t>
      </w:r>
      <w:r w:rsidRPr="00B34D17">
        <w:rPr>
          <w:sz w:val="24"/>
          <w:lang w:eastAsia="hr-HR"/>
        </w:rPr>
        <w:t>, neto sadašnja vrijednost ovog projekta je pozitivna.</w:t>
      </w:r>
    </w:p>
    <w:p w14:paraId="1DBCA1A6" w14:textId="77777777" w:rsidR="003F7412" w:rsidRPr="00B34D17" w:rsidRDefault="003F7412" w:rsidP="003F7412">
      <w:pPr>
        <w:jc w:val="both"/>
        <w:rPr>
          <w:b/>
          <w:sz w:val="24"/>
          <w:lang w:eastAsia="hr-HR"/>
        </w:rPr>
      </w:pPr>
      <w:r w:rsidRPr="00B34D17">
        <w:rPr>
          <w:b/>
          <w:sz w:val="24"/>
          <w:lang w:eastAsia="hr-HR"/>
        </w:rPr>
        <w:t>IRR</w:t>
      </w:r>
    </w:p>
    <w:p w14:paraId="10F9E475" w14:textId="4578C000" w:rsidR="00B34D17" w:rsidRDefault="003F7412" w:rsidP="003F7412">
      <w:pPr>
        <w:jc w:val="both"/>
        <w:rPr>
          <w:sz w:val="24"/>
          <w:lang w:eastAsia="hr-HR"/>
        </w:rPr>
      </w:pPr>
      <w:r w:rsidRPr="00B34D17">
        <w:rPr>
          <w:sz w:val="24"/>
          <w:lang w:eastAsia="hr-HR"/>
        </w:rPr>
        <w:t>Interna stopa rentabilnosti veća je od diskontne stope u slučajevima uz po</w:t>
      </w:r>
      <w:r w:rsidR="00E120E0">
        <w:rPr>
          <w:sz w:val="24"/>
          <w:lang w:eastAsia="hr-HR"/>
        </w:rPr>
        <w:t>ds</w:t>
      </w:r>
      <w:r w:rsidRPr="00B34D17">
        <w:rPr>
          <w:sz w:val="24"/>
          <w:lang w:eastAsia="hr-HR"/>
        </w:rPr>
        <w:t>tica</w:t>
      </w:r>
      <w:r w:rsidR="000B33FA">
        <w:rPr>
          <w:sz w:val="24"/>
          <w:lang w:eastAsia="hr-HR"/>
        </w:rPr>
        <w:t>je jednake ili veće od 5.000 eura</w:t>
      </w:r>
      <w:r w:rsidRPr="00B34D17">
        <w:rPr>
          <w:sz w:val="24"/>
          <w:lang w:eastAsia="hr-HR"/>
        </w:rPr>
        <w:t>.</w:t>
      </w:r>
    </w:p>
    <w:p w14:paraId="4A87D8CD" w14:textId="77777777" w:rsidR="00E120E0" w:rsidRDefault="003F7412" w:rsidP="003F7412">
      <w:pPr>
        <w:jc w:val="both"/>
        <w:rPr>
          <w:b/>
          <w:sz w:val="24"/>
          <w:lang w:eastAsia="hr-HR"/>
        </w:rPr>
      </w:pPr>
      <w:r w:rsidRPr="00B34D17">
        <w:rPr>
          <w:b/>
          <w:sz w:val="24"/>
          <w:lang w:eastAsia="hr-HR"/>
        </w:rPr>
        <w:t>PBP</w:t>
      </w:r>
    </w:p>
    <w:p w14:paraId="2F58B0EC" w14:textId="2021DE68" w:rsidR="003F7412" w:rsidRPr="00B34D17" w:rsidRDefault="003F7412" w:rsidP="003F7412">
      <w:pPr>
        <w:jc w:val="both"/>
        <w:rPr>
          <w:sz w:val="24"/>
          <w:lang w:eastAsia="hr-HR"/>
        </w:rPr>
      </w:pPr>
      <w:r w:rsidRPr="00B34D17">
        <w:rPr>
          <w:sz w:val="24"/>
          <w:lang w:eastAsia="hr-HR"/>
        </w:rPr>
        <w:t>Razdoblje povrata investicije veće je od 15 godina u slučaju bez po</w:t>
      </w:r>
      <w:r w:rsidR="00E120E0">
        <w:rPr>
          <w:sz w:val="24"/>
          <w:lang w:eastAsia="hr-HR"/>
        </w:rPr>
        <w:t>ds</w:t>
      </w:r>
      <w:r w:rsidRPr="00B34D17">
        <w:rPr>
          <w:sz w:val="24"/>
          <w:lang w:eastAsia="hr-HR"/>
        </w:rPr>
        <w:t>ticaja za kup</w:t>
      </w:r>
      <w:r w:rsidR="00E120E0">
        <w:rPr>
          <w:sz w:val="24"/>
          <w:lang w:eastAsia="hr-HR"/>
        </w:rPr>
        <w:t>ovinu</w:t>
      </w:r>
      <w:r w:rsidRPr="00B34D17">
        <w:rPr>
          <w:sz w:val="24"/>
          <w:lang w:eastAsia="hr-HR"/>
        </w:rPr>
        <w:t xml:space="preserve"> EV, a jednako 15 godina uz po</w:t>
      </w:r>
      <w:r w:rsidR="00E120E0">
        <w:rPr>
          <w:sz w:val="24"/>
          <w:lang w:eastAsia="hr-HR"/>
        </w:rPr>
        <w:t>ds</w:t>
      </w:r>
      <w:r w:rsidR="000B33FA">
        <w:rPr>
          <w:sz w:val="24"/>
          <w:lang w:eastAsia="hr-HR"/>
        </w:rPr>
        <w:t>ticaje od 2.500 eura</w:t>
      </w:r>
      <w:r w:rsidRPr="00B34D17">
        <w:rPr>
          <w:sz w:val="24"/>
          <w:lang w:eastAsia="hr-HR"/>
        </w:rPr>
        <w:t>. Uz najveći iznos po</w:t>
      </w:r>
      <w:r w:rsidR="00E120E0">
        <w:rPr>
          <w:sz w:val="24"/>
          <w:lang w:eastAsia="hr-HR"/>
        </w:rPr>
        <w:t>ds</w:t>
      </w:r>
      <w:r w:rsidR="000B33FA">
        <w:rPr>
          <w:sz w:val="24"/>
          <w:lang w:eastAsia="hr-HR"/>
        </w:rPr>
        <w:t>ticaja od 10.000 eura</w:t>
      </w:r>
      <w:r w:rsidRPr="00B34D17">
        <w:rPr>
          <w:sz w:val="24"/>
          <w:lang w:eastAsia="hr-HR"/>
        </w:rPr>
        <w:t xml:space="preserve"> po jednom EV </w:t>
      </w:r>
      <w:r w:rsidR="00E120E0">
        <w:rPr>
          <w:sz w:val="24"/>
          <w:lang w:eastAsia="hr-HR"/>
        </w:rPr>
        <w:t>vrijeme</w:t>
      </w:r>
      <w:r w:rsidRPr="00B34D17">
        <w:rPr>
          <w:sz w:val="24"/>
          <w:lang w:eastAsia="hr-HR"/>
        </w:rPr>
        <w:t xml:space="preserve"> povrata investicije iznosi 8 godina.</w:t>
      </w:r>
    </w:p>
    <w:p w14:paraId="78882A58" w14:textId="77777777" w:rsidR="003F7412" w:rsidRPr="00B34D17" w:rsidRDefault="003F7412" w:rsidP="003F7412">
      <w:pPr>
        <w:jc w:val="both"/>
        <w:rPr>
          <w:b/>
          <w:sz w:val="24"/>
          <w:lang w:eastAsia="hr-HR"/>
        </w:rPr>
      </w:pPr>
      <w:r w:rsidRPr="00B34D17">
        <w:rPr>
          <w:b/>
          <w:sz w:val="24"/>
          <w:lang w:eastAsia="hr-HR"/>
        </w:rPr>
        <w:t>PI</w:t>
      </w:r>
    </w:p>
    <w:p w14:paraId="1ACD5F4B" w14:textId="3E45AEA0" w:rsidR="003F7412" w:rsidRPr="00B34D17" w:rsidRDefault="003F7412" w:rsidP="003F7412">
      <w:pPr>
        <w:jc w:val="both"/>
        <w:rPr>
          <w:sz w:val="24"/>
          <w:lang w:eastAsia="hr-HR"/>
        </w:rPr>
      </w:pPr>
      <w:r w:rsidRPr="00B34D17">
        <w:rPr>
          <w:sz w:val="24"/>
          <w:lang w:eastAsia="hr-HR"/>
        </w:rPr>
        <w:t>Indeks profitabilnosti manji je od 1 za slučaj bez podstic</w:t>
      </w:r>
      <w:r w:rsidR="000B33FA">
        <w:rPr>
          <w:sz w:val="24"/>
          <w:lang w:eastAsia="hr-HR"/>
        </w:rPr>
        <w:t>aja i uz podsticaje od 2.500 eura</w:t>
      </w:r>
      <w:r w:rsidRPr="00B34D17">
        <w:rPr>
          <w:sz w:val="24"/>
          <w:lang w:eastAsia="hr-HR"/>
        </w:rPr>
        <w:t>. Uz najveći iznos po</w:t>
      </w:r>
      <w:r w:rsidR="00E120E0">
        <w:rPr>
          <w:sz w:val="24"/>
          <w:lang w:eastAsia="hr-HR"/>
        </w:rPr>
        <w:t>ds</w:t>
      </w:r>
      <w:r w:rsidR="000B33FA">
        <w:rPr>
          <w:sz w:val="24"/>
          <w:lang w:eastAsia="hr-HR"/>
        </w:rPr>
        <w:t>ticaja od 10.000 eura</w:t>
      </w:r>
      <w:r w:rsidRPr="00B34D17">
        <w:rPr>
          <w:sz w:val="24"/>
          <w:lang w:eastAsia="hr-HR"/>
        </w:rPr>
        <w:t xml:space="preserve"> po jednom EV indeks profitabilnosti iznosi 1,6.</w:t>
      </w:r>
    </w:p>
    <w:p w14:paraId="36CE4D41" w14:textId="77777777" w:rsidR="003F7412" w:rsidRDefault="003F7412" w:rsidP="003F7412">
      <w:pPr>
        <w:jc w:val="both"/>
        <w:rPr>
          <w:lang w:eastAsia="hr-HR"/>
        </w:rPr>
      </w:pPr>
    </w:p>
    <w:p w14:paraId="237687D6" w14:textId="77777777" w:rsidR="003F7412" w:rsidRPr="000142CE" w:rsidRDefault="003F7412" w:rsidP="003F7412">
      <w:pPr>
        <w:pStyle w:val="Heading2"/>
        <w:numPr>
          <w:ilvl w:val="1"/>
          <w:numId w:val="25"/>
        </w:numPr>
        <w:rPr>
          <w:rFonts w:ascii="Calibri" w:hAnsi="Calibri"/>
          <w:color w:val="171717" w:themeColor="background2" w:themeShade="1A"/>
        </w:rPr>
      </w:pPr>
      <w:bookmarkStart w:id="98" w:name="_Toc82271958"/>
      <w:r w:rsidRPr="000142CE">
        <w:rPr>
          <w:rFonts w:ascii="Calibri" w:hAnsi="Calibri"/>
          <w:color w:val="171717" w:themeColor="background2" w:themeShade="1A"/>
          <w:lang w:eastAsia="hr-HR"/>
        </w:rPr>
        <w:lastRenderedPageBreak/>
        <w:t>Zaključak sprovedene analize uvođenja električnih automobila u javnoj upravi</w:t>
      </w:r>
      <w:bookmarkEnd w:id="98"/>
    </w:p>
    <w:p w14:paraId="1545F2B0" w14:textId="77777777" w:rsidR="003F7412" w:rsidRDefault="003F7412" w:rsidP="003F7412">
      <w:pPr>
        <w:rPr>
          <w:lang w:eastAsia="hr-HR"/>
        </w:rPr>
      </w:pPr>
    </w:p>
    <w:p w14:paraId="377C0A87" w14:textId="0D76CF3C" w:rsidR="003F7412" w:rsidRPr="00BD46FE" w:rsidRDefault="003F7412" w:rsidP="003F7412">
      <w:pPr>
        <w:jc w:val="both"/>
        <w:rPr>
          <w:sz w:val="24"/>
        </w:rPr>
      </w:pPr>
      <w:r w:rsidRPr="00BD46FE">
        <w:rPr>
          <w:sz w:val="24"/>
          <w:lang w:eastAsia="hr-HR"/>
        </w:rPr>
        <w:t xml:space="preserve">Iz finansijske analize može se zaključiti da uvođenje električnih vozila u vozni park Komunalne policije postaje </w:t>
      </w:r>
      <w:r w:rsidRPr="00BD46FE">
        <w:rPr>
          <w:b/>
          <w:sz w:val="24"/>
          <w:lang w:eastAsia="hr-HR"/>
        </w:rPr>
        <w:t xml:space="preserve">finansijski </w:t>
      </w:r>
      <w:r w:rsidR="00420112">
        <w:rPr>
          <w:b/>
          <w:sz w:val="24"/>
          <w:lang w:eastAsia="hr-HR"/>
        </w:rPr>
        <w:t>isplativo</w:t>
      </w:r>
      <w:r w:rsidRPr="00BD46FE">
        <w:rPr>
          <w:b/>
          <w:sz w:val="24"/>
          <w:lang w:eastAsia="hr-HR"/>
        </w:rPr>
        <w:t xml:space="preserve"> samo u slučaju postojanja </w:t>
      </w:r>
      <w:r w:rsidR="000B33FA">
        <w:rPr>
          <w:b/>
          <w:sz w:val="24"/>
          <w:lang w:eastAsia="hr-HR"/>
        </w:rPr>
        <w:t>podsticaja u iznosu od 5.000 eura</w:t>
      </w:r>
      <w:r w:rsidRPr="00BD46FE">
        <w:rPr>
          <w:b/>
          <w:sz w:val="24"/>
          <w:lang w:eastAsia="hr-HR"/>
        </w:rPr>
        <w:t xml:space="preserve"> ili više</w:t>
      </w:r>
      <w:r w:rsidRPr="00BD46FE">
        <w:rPr>
          <w:sz w:val="24"/>
          <w:lang w:eastAsia="hr-HR"/>
        </w:rPr>
        <w:t>. Sa stanovišta Komunalne policije kao dijela javnog sektora može se ocijeniti da je ulaganje s pozitivnim FNPV</w:t>
      </w:r>
      <w:r w:rsidRPr="00BD46FE">
        <w:rPr>
          <w:sz w:val="24"/>
          <w:lang w:eastAsia="hr-HR"/>
        </w:rPr>
        <w:noBreakHyphen/>
        <w:t>om opravdano.</w:t>
      </w:r>
    </w:p>
    <w:p w14:paraId="4B04F7CE" w14:textId="338AE7BE" w:rsidR="00A07270" w:rsidRPr="00AC598F" w:rsidRDefault="003F7412" w:rsidP="00AC598F">
      <w:pPr>
        <w:jc w:val="both"/>
        <w:rPr>
          <w:sz w:val="24"/>
        </w:rPr>
      </w:pPr>
      <w:r w:rsidRPr="00BD46FE">
        <w:rPr>
          <w:sz w:val="24"/>
          <w:lang w:eastAsia="hr-HR"/>
        </w:rPr>
        <w:t>Osim rezultata finansijske analize, pri donošenju odluke</w:t>
      </w:r>
      <w:r w:rsidR="00E120E0">
        <w:rPr>
          <w:sz w:val="24"/>
          <w:lang w:eastAsia="hr-HR"/>
        </w:rPr>
        <w:t xml:space="preserve"> o</w:t>
      </w:r>
      <w:r w:rsidRPr="00BD46FE">
        <w:rPr>
          <w:sz w:val="24"/>
          <w:lang w:eastAsia="hr-HR"/>
        </w:rPr>
        <w:t xml:space="preserve"> uvođenju električnih vozila u vozni park Komunalne policije treba uzeti u obzir i ostale faktore. Cijeneći da je komunalni red jedan od ključnih faktora koji određuju kvalitet života građana, Komunalna policija je svakodnevno, radnim danima, u danima vikenda i praznika, u tri smjene, radno angažovana na podizanju komunalne discip</w:t>
      </w:r>
      <w:r w:rsidR="000B33FA">
        <w:rPr>
          <w:sz w:val="24"/>
          <w:lang w:eastAsia="hr-HR"/>
        </w:rPr>
        <w:t>line u Glavnom gradu. Samim tim</w:t>
      </w:r>
      <w:r w:rsidRPr="00BD46FE">
        <w:rPr>
          <w:sz w:val="24"/>
          <w:lang w:eastAsia="hr-HR"/>
        </w:rPr>
        <w:t xml:space="preserve">, </w:t>
      </w:r>
      <w:r w:rsidRPr="00BD46FE">
        <w:rPr>
          <w:b/>
          <w:sz w:val="24"/>
          <w:lang w:eastAsia="hr-HR"/>
        </w:rPr>
        <w:t>uvođenjem električnih automobila u vozni park Komunalne policije podiže se opšta svijest građana te se vlastitim primjerom pokazuje briga o okoli</w:t>
      </w:r>
      <w:r w:rsidR="00E120E0">
        <w:rPr>
          <w:b/>
          <w:sz w:val="24"/>
          <w:lang w:eastAsia="hr-HR"/>
        </w:rPr>
        <w:t>ni</w:t>
      </w:r>
      <w:r w:rsidRPr="00BD46FE">
        <w:rPr>
          <w:b/>
          <w:sz w:val="24"/>
          <w:lang w:eastAsia="hr-HR"/>
        </w:rPr>
        <w:t xml:space="preserve"> i kvalitet</w:t>
      </w:r>
      <w:r w:rsidR="00E35DB8">
        <w:rPr>
          <w:b/>
          <w:sz w:val="24"/>
          <w:lang w:eastAsia="hr-HR"/>
        </w:rPr>
        <w:t>u</w:t>
      </w:r>
      <w:r w:rsidRPr="00BD46FE">
        <w:rPr>
          <w:b/>
          <w:sz w:val="24"/>
          <w:lang w:eastAsia="hr-HR"/>
        </w:rPr>
        <w:t xml:space="preserve"> životne sredine.</w:t>
      </w:r>
    </w:p>
    <w:p w14:paraId="240B5DA6" w14:textId="25F6F0F4" w:rsidR="00A07270" w:rsidRDefault="00A07270" w:rsidP="003F7412">
      <w:pPr>
        <w:rPr>
          <w:rFonts w:ascii="Candara" w:hAnsi="Candara"/>
          <w:color w:val="FFC000"/>
          <w:sz w:val="48"/>
          <w:szCs w:val="48"/>
        </w:rPr>
      </w:pPr>
    </w:p>
    <w:p w14:paraId="0D8682F5" w14:textId="7C5A9AF6" w:rsidR="00E35DB8" w:rsidRDefault="00E35DB8" w:rsidP="003F7412">
      <w:pPr>
        <w:rPr>
          <w:rFonts w:ascii="Candara" w:hAnsi="Candara"/>
          <w:color w:val="FFC000"/>
          <w:sz w:val="48"/>
          <w:szCs w:val="48"/>
        </w:rPr>
      </w:pPr>
    </w:p>
    <w:p w14:paraId="3AF7C4C8" w14:textId="4E44F869" w:rsidR="00E35DB8" w:rsidRDefault="00E35DB8" w:rsidP="003F7412">
      <w:pPr>
        <w:rPr>
          <w:rFonts w:ascii="Candara" w:hAnsi="Candara"/>
          <w:color w:val="FFC000"/>
          <w:sz w:val="48"/>
          <w:szCs w:val="48"/>
        </w:rPr>
      </w:pPr>
    </w:p>
    <w:p w14:paraId="46FAA01F" w14:textId="17DDA626" w:rsidR="00E35DB8" w:rsidRDefault="00E35DB8" w:rsidP="003F7412">
      <w:pPr>
        <w:rPr>
          <w:rFonts w:ascii="Candara" w:hAnsi="Candara"/>
          <w:color w:val="FFC000"/>
          <w:sz w:val="48"/>
          <w:szCs w:val="48"/>
        </w:rPr>
      </w:pPr>
    </w:p>
    <w:p w14:paraId="2D3BADF6" w14:textId="658D8C02" w:rsidR="00E35DB8" w:rsidRDefault="00E35DB8" w:rsidP="003F7412">
      <w:pPr>
        <w:rPr>
          <w:rFonts w:ascii="Candara" w:hAnsi="Candara"/>
          <w:color w:val="FFC000"/>
          <w:sz w:val="48"/>
          <w:szCs w:val="48"/>
        </w:rPr>
      </w:pPr>
    </w:p>
    <w:p w14:paraId="02411A2C" w14:textId="1695BD9D" w:rsidR="00E35DB8" w:rsidRDefault="00E35DB8" w:rsidP="003F7412">
      <w:pPr>
        <w:rPr>
          <w:rFonts w:ascii="Candara" w:hAnsi="Candara"/>
          <w:color w:val="FFC000"/>
          <w:sz w:val="48"/>
          <w:szCs w:val="48"/>
        </w:rPr>
      </w:pPr>
    </w:p>
    <w:p w14:paraId="0997E949" w14:textId="23DD574F" w:rsidR="00E35DB8" w:rsidRDefault="00E35DB8" w:rsidP="003F7412">
      <w:pPr>
        <w:rPr>
          <w:rFonts w:ascii="Candara" w:hAnsi="Candara"/>
          <w:color w:val="FFC000"/>
          <w:sz w:val="48"/>
          <w:szCs w:val="48"/>
        </w:rPr>
      </w:pPr>
    </w:p>
    <w:p w14:paraId="7D6B379B" w14:textId="15412135" w:rsidR="00E35DB8" w:rsidRDefault="00E35DB8" w:rsidP="003F7412">
      <w:pPr>
        <w:rPr>
          <w:rFonts w:ascii="Candara" w:hAnsi="Candara"/>
          <w:color w:val="FFC000"/>
          <w:sz w:val="48"/>
          <w:szCs w:val="48"/>
        </w:rPr>
      </w:pPr>
    </w:p>
    <w:p w14:paraId="7EA3B74E" w14:textId="69BC2F5B" w:rsidR="00E35DB8" w:rsidRDefault="00E35DB8" w:rsidP="003F7412">
      <w:pPr>
        <w:rPr>
          <w:rFonts w:ascii="Candara" w:hAnsi="Candara"/>
          <w:color w:val="FFC000"/>
          <w:sz w:val="48"/>
          <w:szCs w:val="48"/>
        </w:rPr>
      </w:pPr>
    </w:p>
    <w:p w14:paraId="7371B85B" w14:textId="6CBA7663" w:rsidR="00E35DB8" w:rsidRDefault="00E35DB8" w:rsidP="003F7412">
      <w:pPr>
        <w:rPr>
          <w:rFonts w:ascii="Candara" w:hAnsi="Candara"/>
          <w:color w:val="FFC000"/>
          <w:sz w:val="48"/>
          <w:szCs w:val="48"/>
        </w:rPr>
      </w:pPr>
    </w:p>
    <w:p w14:paraId="485CB391" w14:textId="2761A867" w:rsidR="00E35DB8" w:rsidRDefault="00E35DB8" w:rsidP="003F7412">
      <w:pPr>
        <w:rPr>
          <w:rFonts w:ascii="Candara" w:hAnsi="Candara"/>
          <w:color w:val="FFC000"/>
          <w:sz w:val="48"/>
          <w:szCs w:val="48"/>
        </w:rPr>
      </w:pPr>
    </w:p>
    <w:p w14:paraId="71A6480D" w14:textId="77777777" w:rsidR="00E35DB8" w:rsidRDefault="00E35DB8" w:rsidP="003F7412">
      <w:pPr>
        <w:rPr>
          <w:rFonts w:ascii="Candara" w:hAnsi="Candara"/>
          <w:color w:val="FFC000"/>
          <w:sz w:val="48"/>
          <w:szCs w:val="48"/>
        </w:rPr>
      </w:pPr>
    </w:p>
    <w:p w14:paraId="532073EE" w14:textId="63146C97" w:rsidR="00A07270" w:rsidRPr="003E3117" w:rsidRDefault="00A07270" w:rsidP="003E3117">
      <w:pPr>
        <w:pStyle w:val="Heading1"/>
        <w:rPr>
          <w:b/>
          <w:color w:val="171717" w:themeColor="background2" w:themeShade="1A"/>
        </w:rPr>
      </w:pPr>
      <w:bookmarkStart w:id="99" w:name="_Toc82271959"/>
      <w:r w:rsidRPr="003E3117">
        <w:rPr>
          <w:b/>
          <w:color w:val="171717" w:themeColor="background2" w:themeShade="1A"/>
        </w:rPr>
        <w:lastRenderedPageBreak/>
        <w:t>ZAKLJUČAK</w:t>
      </w:r>
      <w:bookmarkEnd w:id="99"/>
    </w:p>
    <w:p w14:paraId="2196BB0B" w14:textId="77777777" w:rsidR="00A07270" w:rsidRDefault="00A07270" w:rsidP="00A07270">
      <w:pPr>
        <w:pStyle w:val="NoSpacing"/>
      </w:pPr>
    </w:p>
    <w:p w14:paraId="6CBD0325" w14:textId="2D71719D" w:rsidR="00B11DFD" w:rsidRDefault="00B11DFD" w:rsidP="00B11DFD">
      <w:pPr>
        <w:jc w:val="both"/>
        <w:rPr>
          <w:rFonts w:asciiTheme="minorHAnsi" w:hAnsiTheme="minorHAnsi" w:cstheme="minorHAnsi"/>
          <w:sz w:val="24"/>
          <w:szCs w:val="24"/>
        </w:rPr>
      </w:pPr>
      <w:r w:rsidRPr="00FD6031">
        <w:rPr>
          <w:rFonts w:cs="Calibri"/>
          <w:b/>
          <w:bCs/>
          <w:color w:val="000000"/>
          <w:sz w:val="24"/>
          <w:szCs w:val="24"/>
        </w:rPr>
        <w:t>Javne javne nabavke</w:t>
      </w:r>
      <w:r>
        <w:rPr>
          <w:rFonts w:cs="Calibri"/>
          <w:color w:val="000000"/>
          <w:sz w:val="24"/>
          <w:szCs w:val="24"/>
        </w:rPr>
        <w:t xml:space="preserve"> utiču na značajan udio u svjetskoj trgovini, koji u prosjeku iznosi 10 do 25% državnog bruto društvenog proizvoda ili BDP-a, stoga javne nabavke igraju ključnu ulogu u postizanju održivijih obrazaca potrošnje i proizvodnje. Kroz svoj efekat povlačenja, javne nabavke mogu podstaći promjene u lancu snabdijevanja sa poziti</w:t>
      </w:r>
      <w:r w:rsidR="00C46494">
        <w:rPr>
          <w:rFonts w:cs="Calibri"/>
          <w:color w:val="000000"/>
          <w:sz w:val="24"/>
          <w:szCs w:val="24"/>
        </w:rPr>
        <w:t>vnim efektom na ostatak tržišta</w:t>
      </w:r>
      <w:r>
        <w:rPr>
          <w:rFonts w:cs="Calibri"/>
          <w:color w:val="000000"/>
          <w:sz w:val="24"/>
          <w:szCs w:val="24"/>
        </w:rPr>
        <w:t xml:space="preserve">. Ipak, dostupnost kvalitetnih podataka u ovoj oblasti predstavlja problem kako za Vladu Crne Gore tako i za istraživački rad koji se sprovodi na ovu temu. Takođe, nepostojanje metodologije kojom bi se sprovela procjena u različitim fazama ciklusa nabavki onemogućava analizu koristi za ekonomiju ili životnu sredinu. </w:t>
      </w:r>
      <w:r w:rsidR="00E70470">
        <w:rPr>
          <w:rFonts w:asciiTheme="minorHAnsi" w:hAnsiTheme="minorHAnsi" w:cstheme="minorHAnsi"/>
          <w:sz w:val="24"/>
          <w:szCs w:val="24"/>
        </w:rPr>
        <w:t>S obzirom da su principi zele</w:t>
      </w:r>
      <w:r w:rsidR="00E70470" w:rsidRPr="00C1721C">
        <w:rPr>
          <w:rFonts w:asciiTheme="minorHAnsi" w:hAnsiTheme="minorHAnsi" w:cstheme="minorHAnsi"/>
          <w:sz w:val="24"/>
          <w:szCs w:val="24"/>
        </w:rPr>
        <w:t>nih javnih nabavki uvedeni u Crnu Goru od 2021. godine, i da su oni na dobrovoljnoj osnovi, nemoguće je sprovesti analizu ostvarenih koristi na državni budžet i životnu sredinu.</w:t>
      </w:r>
    </w:p>
    <w:p w14:paraId="4E5DB775" w14:textId="4DDEF7F2" w:rsidR="00396B7E" w:rsidRPr="00396B7E" w:rsidRDefault="00396B7E" w:rsidP="00B11DFD">
      <w:pPr>
        <w:jc w:val="both"/>
        <w:rPr>
          <w:rFonts w:cs="Calibri"/>
          <w:color w:val="000000"/>
          <w:sz w:val="24"/>
          <w:szCs w:val="24"/>
        </w:rPr>
      </w:pPr>
      <w:r w:rsidRPr="00396B7E">
        <w:rPr>
          <w:sz w:val="24"/>
          <w:szCs w:val="24"/>
        </w:rPr>
        <w:t>Vlada Crne Gore traba da obezbijedi postojanje resursa, smjernica i mehanizama praćenja kako bi se uspješno koristile javne nabavke da se smanji nabavka i korišćenje plastike za jedn</w:t>
      </w:r>
      <w:r w:rsidR="00E04953">
        <w:rPr>
          <w:sz w:val="24"/>
          <w:szCs w:val="24"/>
        </w:rPr>
        <w:t>okratnu upotrebu, kancelarijskog</w:t>
      </w:r>
      <w:r w:rsidRPr="00396B7E">
        <w:rPr>
          <w:sz w:val="24"/>
          <w:szCs w:val="24"/>
        </w:rPr>
        <w:t xml:space="preserve"> materijala, vode i energenata i da se pregledaju i prilagode pristupi ukoliko ciljevi nisu postignuti.</w:t>
      </w:r>
    </w:p>
    <w:p w14:paraId="2A2E983B" w14:textId="06384708" w:rsidR="00B11DFD" w:rsidRPr="00666F38" w:rsidRDefault="00B11DFD" w:rsidP="00B11DFD">
      <w:pPr>
        <w:suppressAutoHyphens w:val="0"/>
        <w:autoSpaceDN/>
        <w:spacing w:before="100" w:beforeAutospacing="1" w:after="100" w:afterAutospacing="1"/>
        <w:jc w:val="both"/>
        <w:textAlignment w:val="auto"/>
        <w:rPr>
          <w:rFonts w:asciiTheme="minorHAnsi" w:eastAsia="Times New Roman" w:hAnsiTheme="minorHAnsi" w:cstheme="minorHAnsi"/>
          <w:b/>
          <w:sz w:val="24"/>
          <w:szCs w:val="24"/>
          <w:lang w:val="en" w:eastAsia="en-GB"/>
        </w:rPr>
      </w:pPr>
      <w:r w:rsidRPr="00666F38">
        <w:rPr>
          <w:sz w:val="24"/>
          <w:szCs w:val="24"/>
        </w:rPr>
        <w:t xml:space="preserve">Situacija sa </w:t>
      </w:r>
      <w:r w:rsidRPr="00666F38">
        <w:rPr>
          <w:b/>
          <w:bCs/>
          <w:sz w:val="24"/>
          <w:szCs w:val="24"/>
        </w:rPr>
        <w:t>otpadom i otpadnim vodama u Crnoj Gori</w:t>
      </w:r>
      <w:r w:rsidRPr="00666F38">
        <w:rPr>
          <w:sz w:val="24"/>
          <w:szCs w:val="24"/>
        </w:rPr>
        <w:t xml:space="preserve"> je zabrinjavajuća, gotovo alarmantna. Neuređeni sistem upravljanja otpadom veoma se negativno odražava na vodu,</w:t>
      </w:r>
      <w:r>
        <w:rPr>
          <w:sz w:val="24"/>
          <w:szCs w:val="24"/>
        </w:rPr>
        <w:t xml:space="preserve"> </w:t>
      </w:r>
      <w:r w:rsidRPr="00666F38">
        <w:rPr>
          <w:sz w:val="24"/>
          <w:szCs w:val="24"/>
        </w:rPr>
        <w:t xml:space="preserve">vazduh, more i zemljište, kao i na klimu, ljudsko zdravlje i životnu sredinu. Naročito su ugrožene podzemne vode, koje su glavni izvor zaliha pitke vode i najvažniji nacionalni resurs. Nacionalna </w:t>
      </w:r>
      <w:r w:rsidR="008C296D">
        <w:rPr>
          <w:sz w:val="24"/>
          <w:szCs w:val="24"/>
        </w:rPr>
        <w:t>strateška politika</w:t>
      </w:r>
      <w:r w:rsidRPr="00666F38">
        <w:rPr>
          <w:sz w:val="24"/>
          <w:szCs w:val="24"/>
        </w:rPr>
        <w:t xml:space="preserve">, kao i državni i opštinski planovi upravljanja otpadom, koji se baziraju na gradnji regionalnih deponija, odnosno reciklažnih centara, saniranju postojećih odlagališta smeća i rješavanju pitanja industrijskog i opasnog otpada se ne sprovode odgovarajućom dinamikom, čime nisu stvorene, ni nakon više od </w:t>
      </w:r>
      <w:r>
        <w:rPr>
          <w:sz w:val="24"/>
          <w:szCs w:val="24"/>
        </w:rPr>
        <w:t>15</w:t>
      </w:r>
      <w:r w:rsidRPr="00666F38">
        <w:rPr>
          <w:sz w:val="24"/>
          <w:szCs w:val="24"/>
        </w:rPr>
        <w:t xml:space="preserve"> godina, pretpostavke za punu implementaciju Zakona o upravljanju otpadom. Izostali su odlučno angažovanje nadležnih organa javne uprave, posebno jedinica lokalne samouprave i njihova međusobna saradnja u nalaženju adekvatnih zajedničkih rješenja</w:t>
      </w:r>
      <w:r>
        <w:rPr>
          <w:sz w:val="24"/>
          <w:szCs w:val="24"/>
        </w:rPr>
        <w:t>.</w:t>
      </w:r>
    </w:p>
    <w:p w14:paraId="2104F19F" w14:textId="77777777" w:rsidR="008C296D" w:rsidRDefault="00B11DFD" w:rsidP="00AA6942">
      <w:pPr>
        <w:suppressAutoHyphens w:val="0"/>
        <w:autoSpaceDN/>
        <w:spacing w:before="100" w:beforeAutospacing="1" w:after="0"/>
        <w:contextualSpacing/>
        <w:jc w:val="both"/>
        <w:textAlignment w:val="auto"/>
        <w:rPr>
          <w:rFonts w:asciiTheme="minorHAnsi" w:eastAsia="Times New Roman" w:hAnsiTheme="minorHAnsi" w:cstheme="minorHAnsi"/>
          <w:sz w:val="24"/>
          <w:szCs w:val="24"/>
          <w:lang w:val="en" w:eastAsia="en-GB"/>
        </w:rPr>
      </w:pPr>
      <w:r w:rsidRPr="00E560EC">
        <w:rPr>
          <w:rFonts w:asciiTheme="minorHAnsi" w:eastAsia="Times New Roman" w:hAnsiTheme="minorHAnsi" w:cstheme="minorHAnsi"/>
          <w:b/>
          <w:sz w:val="24"/>
          <w:szCs w:val="24"/>
          <w:lang w:val="en" w:eastAsia="en-GB"/>
        </w:rPr>
        <w:t>Upravljanje i smanjenje proizvodnje otpada u zgradama javne uprave</w:t>
      </w:r>
      <w:r w:rsidRPr="00E623F7">
        <w:rPr>
          <w:rFonts w:asciiTheme="minorHAnsi" w:eastAsia="Times New Roman" w:hAnsiTheme="minorHAnsi" w:cstheme="minorHAnsi"/>
          <w:sz w:val="24"/>
          <w:szCs w:val="24"/>
          <w:lang w:val="en" w:eastAsia="en-GB"/>
        </w:rPr>
        <w:t xml:space="preserve"> može se prim</w:t>
      </w:r>
      <w:r>
        <w:rPr>
          <w:rFonts w:asciiTheme="minorHAnsi" w:eastAsia="Times New Roman" w:hAnsiTheme="minorHAnsi" w:cstheme="minorHAnsi"/>
          <w:sz w:val="24"/>
          <w:szCs w:val="24"/>
          <w:lang w:val="en" w:eastAsia="en-GB"/>
        </w:rPr>
        <w:t>ij</w:t>
      </w:r>
      <w:r w:rsidRPr="00E623F7">
        <w:rPr>
          <w:rFonts w:asciiTheme="minorHAnsi" w:eastAsia="Times New Roman" w:hAnsiTheme="minorHAnsi" w:cstheme="minorHAnsi"/>
          <w:sz w:val="24"/>
          <w:szCs w:val="24"/>
          <w:lang w:val="en" w:eastAsia="en-GB"/>
        </w:rPr>
        <w:t xml:space="preserve">eniti na većinu kancelarijskih aktivnosti i trebalo bi da se sprovodi u skladu sa specifičnim lokalnim uslovima, kao što su vrste otpada, lokalne usluge recikliranja, zakonodavstvo i troškovi. Kancelarije obično mogu proizvoditi manje </w:t>
      </w:r>
      <w:r>
        <w:rPr>
          <w:rFonts w:asciiTheme="minorHAnsi" w:eastAsia="Times New Roman" w:hAnsiTheme="minorHAnsi" w:cstheme="minorHAnsi"/>
          <w:sz w:val="24"/>
          <w:szCs w:val="24"/>
          <w:lang w:val="en" w:eastAsia="en-GB"/>
        </w:rPr>
        <w:t>otpada od drugih sektora (npr. d</w:t>
      </w:r>
      <w:r w:rsidRPr="00E623F7">
        <w:rPr>
          <w:rFonts w:asciiTheme="minorHAnsi" w:eastAsia="Times New Roman" w:hAnsiTheme="minorHAnsi" w:cstheme="minorHAnsi"/>
          <w:sz w:val="24"/>
          <w:szCs w:val="24"/>
          <w:lang w:val="en" w:eastAsia="en-GB"/>
        </w:rPr>
        <w:t>omaći/proizvodni), ali proizvodnja otpada ima dramatičan uticaj na životnu sredinu, a javna uprava bi trebala imati izuzetnu ulogu. Otpad koji nastaje u kancelarijama javne uprave obično uključuje papir, ambalažni materijal, potrošni materijal, električnu i elektronsku opremu, opasan otpad poput tonera, zagađivača, teških meta</w:t>
      </w:r>
      <w:r>
        <w:rPr>
          <w:rFonts w:asciiTheme="minorHAnsi" w:eastAsia="Times New Roman" w:hAnsiTheme="minorHAnsi" w:cstheme="minorHAnsi"/>
          <w:sz w:val="24"/>
          <w:szCs w:val="24"/>
          <w:lang w:val="en" w:eastAsia="en-GB"/>
        </w:rPr>
        <w:t>la, baterija, požarnih aparata</w:t>
      </w:r>
      <w:r w:rsidRPr="00E623F7">
        <w:rPr>
          <w:rFonts w:asciiTheme="minorHAnsi" w:eastAsia="Times New Roman" w:hAnsiTheme="minorHAnsi" w:cstheme="minorHAnsi"/>
          <w:sz w:val="24"/>
          <w:szCs w:val="24"/>
          <w:lang w:val="en" w:eastAsia="en-GB"/>
        </w:rPr>
        <w:t xml:space="preserve"> itd.</w:t>
      </w:r>
      <w:r w:rsidR="008C296D">
        <w:rPr>
          <w:rFonts w:asciiTheme="minorHAnsi" w:eastAsia="Times New Roman" w:hAnsiTheme="minorHAnsi" w:cstheme="minorHAnsi"/>
          <w:sz w:val="24"/>
          <w:szCs w:val="24"/>
          <w:lang w:val="en" w:eastAsia="en-GB"/>
        </w:rPr>
        <w:t xml:space="preserve"> </w:t>
      </w:r>
    </w:p>
    <w:p w14:paraId="18B1C389" w14:textId="35832551" w:rsidR="008C296D" w:rsidRDefault="008C296D" w:rsidP="00AA6942">
      <w:pPr>
        <w:suppressAutoHyphens w:val="0"/>
        <w:autoSpaceDN/>
        <w:spacing w:before="100" w:beforeAutospacing="1" w:after="0"/>
        <w:contextualSpacing/>
        <w:jc w:val="both"/>
        <w:textAlignment w:val="auto"/>
        <w:rPr>
          <w:rFonts w:asciiTheme="minorHAnsi" w:eastAsia="Times New Roman" w:hAnsiTheme="minorHAnsi" w:cstheme="minorHAnsi"/>
          <w:sz w:val="24"/>
          <w:szCs w:val="24"/>
          <w:lang w:val="en" w:eastAsia="en-GB"/>
        </w:rPr>
      </w:pPr>
      <w:r>
        <w:rPr>
          <w:sz w:val="24"/>
          <w:szCs w:val="24"/>
        </w:rPr>
        <w:t>U narednom period</w:t>
      </w:r>
      <w:r w:rsidR="00E04953">
        <w:rPr>
          <w:sz w:val="24"/>
          <w:szCs w:val="24"/>
        </w:rPr>
        <w:t>u</w:t>
      </w:r>
      <w:r>
        <w:rPr>
          <w:sz w:val="24"/>
          <w:szCs w:val="24"/>
        </w:rPr>
        <w:t xml:space="preserve"> je potrebno povećati stope recikliranja. Crna Gora ne raspolaže statističkim podacima koliko se otpada generiše u javnoj upr</w:t>
      </w:r>
      <w:r w:rsidR="00E04953">
        <w:rPr>
          <w:sz w:val="24"/>
          <w:szCs w:val="24"/>
        </w:rPr>
        <w:t>avi, već se podaci MONSTAT-a</w:t>
      </w:r>
      <w:r>
        <w:rPr>
          <w:sz w:val="24"/>
          <w:szCs w:val="24"/>
        </w:rPr>
        <w:t>, (dio životna sredina-otpad) odnose na kumulativnu količinu otpada i procenta otpada koji se reciklira i koristi u druge svrhe.</w:t>
      </w:r>
    </w:p>
    <w:p w14:paraId="146592A0" w14:textId="0999CBDC" w:rsidR="00B11DFD" w:rsidRPr="00396DAA" w:rsidRDefault="003E3117" w:rsidP="00B11DFD">
      <w:pPr>
        <w:suppressAutoHyphens w:val="0"/>
        <w:autoSpaceDN/>
        <w:spacing w:before="100" w:beforeAutospacing="1" w:after="100" w:afterAutospacing="1"/>
        <w:jc w:val="both"/>
        <w:textAlignment w:val="auto"/>
        <w:rPr>
          <w:rFonts w:asciiTheme="minorHAnsi" w:eastAsia="Times New Roman" w:hAnsiTheme="minorHAnsi" w:cstheme="minorHAnsi"/>
          <w:sz w:val="24"/>
          <w:szCs w:val="24"/>
          <w:lang w:val="en" w:eastAsia="en-GB"/>
        </w:rPr>
      </w:pPr>
      <w:r>
        <w:rPr>
          <w:rFonts w:asciiTheme="minorHAnsi" w:eastAsia="Times New Roman" w:hAnsiTheme="minorHAnsi" w:cstheme="minorHAnsi"/>
          <w:b/>
          <w:sz w:val="24"/>
          <w:szCs w:val="24"/>
          <w:lang w:val="en" w:eastAsia="en-GB"/>
        </w:rPr>
        <w:t>Potrošnja</w:t>
      </w:r>
      <w:r w:rsidR="00B11DFD" w:rsidRPr="00E623F7">
        <w:rPr>
          <w:rFonts w:asciiTheme="minorHAnsi" w:eastAsia="Times New Roman" w:hAnsiTheme="minorHAnsi" w:cstheme="minorHAnsi"/>
          <w:b/>
          <w:sz w:val="24"/>
          <w:szCs w:val="24"/>
          <w:lang w:val="en" w:eastAsia="en-GB"/>
        </w:rPr>
        <w:t xml:space="preserve"> energije</w:t>
      </w:r>
      <w:r w:rsidR="00B11DFD" w:rsidRPr="00E623F7">
        <w:rPr>
          <w:rFonts w:asciiTheme="minorHAnsi" w:eastAsia="Times New Roman" w:hAnsiTheme="minorHAnsi" w:cstheme="minorHAnsi"/>
          <w:sz w:val="24"/>
          <w:szCs w:val="24"/>
          <w:lang w:val="en" w:eastAsia="en-GB"/>
        </w:rPr>
        <w:t xml:space="preserve"> </w:t>
      </w:r>
      <w:r>
        <w:rPr>
          <w:rFonts w:asciiTheme="minorHAnsi" w:eastAsia="Times New Roman" w:hAnsiTheme="minorHAnsi" w:cstheme="minorHAnsi"/>
          <w:sz w:val="24"/>
          <w:szCs w:val="24"/>
          <w:lang w:val="en" w:eastAsia="en-GB"/>
        </w:rPr>
        <w:t>je ključni</w:t>
      </w:r>
      <w:r w:rsidR="00B11DFD" w:rsidRPr="00E623F7">
        <w:rPr>
          <w:rFonts w:asciiTheme="minorHAnsi" w:eastAsia="Times New Roman" w:hAnsiTheme="minorHAnsi" w:cstheme="minorHAnsi"/>
          <w:sz w:val="24"/>
          <w:szCs w:val="24"/>
          <w:lang w:val="en" w:eastAsia="en-GB"/>
        </w:rPr>
        <w:t xml:space="preserve"> uticaj </w:t>
      </w:r>
      <w:r>
        <w:rPr>
          <w:rFonts w:asciiTheme="minorHAnsi" w:eastAsia="Times New Roman" w:hAnsiTheme="minorHAnsi" w:cstheme="minorHAnsi"/>
          <w:sz w:val="24"/>
          <w:szCs w:val="24"/>
          <w:lang w:val="en" w:eastAsia="en-GB"/>
        </w:rPr>
        <w:t>javnih</w:t>
      </w:r>
      <w:r w:rsidR="00B11DFD" w:rsidRPr="00E623F7">
        <w:rPr>
          <w:rFonts w:asciiTheme="minorHAnsi" w:eastAsia="Times New Roman" w:hAnsiTheme="minorHAnsi" w:cstheme="minorHAnsi"/>
          <w:sz w:val="24"/>
          <w:szCs w:val="24"/>
          <w:lang w:val="en" w:eastAsia="en-GB"/>
        </w:rPr>
        <w:t xml:space="preserve"> zgrada na životnu sredinu</w:t>
      </w:r>
      <w:r w:rsidR="00B11DFD">
        <w:rPr>
          <w:rFonts w:asciiTheme="minorHAnsi" w:eastAsia="Times New Roman" w:hAnsiTheme="minorHAnsi" w:cstheme="minorHAnsi"/>
          <w:sz w:val="24"/>
          <w:szCs w:val="24"/>
          <w:lang w:val="en" w:eastAsia="en-GB"/>
        </w:rPr>
        <w:t>. Može predstavljati značajan di</w:t>
      </w:r>
      <w:r w:rsidR="00B11DFD" w:rsidRPr="00E623F7">
        <w:rPr>
          <w:rFonts w:asciiTheme="minorHAnsi" w:eastAsia="Times New Roman" w:hAnsiTheme="minorHAnsi" w:cstheme="minorHAnsi"/>
          <w:sz w:val="24"/>
          <w:szCs w:val="24"/>
          <w:lang w:val="en" w:eastAsia="en-GB"/>
        </w:rPr>
        <w:t xml:space="preserve">o troškova povezanih sa </w:t>
      </w:r>
      <w:r>
        <w:rPr>
          <w:rFonts w:asciiTheme="minorHAnsi" w:eastAsia="Times New Roman" w:hAnsiTheme="minorHAnsi" w:cstheme="minorHAnsi"/>
          <w:sz w:val="24"/>
          <w:szCs w:val="24"/>
          <w:lang w:val="en" w:eastAsia="en-GB"/>
        </w:rPr>
        <w:t>upravljanjem</w:t>
      </w:r>
      <w:r w:rsidR="00B11DFD" w:rsidRPr="00E623F7">
        <w:rPr>
          <w:rFonts w:asciiTheme="minorHAnsi" w:eastAsia="Times New Roman" w:hAnsiTheme="minorHAnsi" w:cstheme="minorHAnsi"/>
          <w:sz w:val="24"/>
          <w:szCs w:val="24"/>
          <w:lang w:val="en" w:eastAsia="en-GB"/>
        </w:rPr>
        <w:t xml:space="preserve"> zgrada. Upravljanje energijom, sistemski pristup upravljanju potrošnjom energije, pruža mogućnost javnim upravama da smanje uticaj na životnu sredinu i troškove u vezi sa energijom.</w:t>
      </w:r>
    </w:p>
    <w:p w14:paraId="17B6C4A4" w14:textId="65161ADC" w:rsidR="00B11DFD" w:rsidRPr="00396DAA" w:rsidRDefault="00B11DFD" w:rsidP="00B11DFD">
      <w:pPr>
        <w:jc w:val="both"/>
        <w:rPr>
          <w:rFonts w:asciiTheme="minorHAnsi" w:hAnsiTheme="minorHAnsi" w:cstheme="minorHAnsi"/>
          <w:sz w:val="24"/>
          <w:szCs w:val="24"/>
        </w:rPr>
      </w:pPr>
      <w:r w:rsidRPr="00E623F7">
        <w:rPr>
          <w:rFonts w:asciiTheme="minorHAnsi" w:hAnsiTheme="minorHAnsi" w:cstheme="minorHAnsi"/>
          <w:sz w:val="24"/>
          <w:szCs w:val="24"/>
        </w:rPr>
        <w:lastRenderedPageBreak/>
        <w:t>Organi javne uprave često pos</w:t>
      </w:r>
      <w:r>
        <w:rPr>
          <w:rFonts w:asciiTheme="minorHAnsi" w:hAnsiTheme="minorHAnsi" w:cstheme="minorHAnsi"/>
          <w:sz w:val="24"/>
          <w:szCs w:val="24"/>
        </w:rPr>
        <w:t>j</w:t>
      </w:r>
      <w:r w:rsidRPr="00E623F7">
        <w:rPr>
          <w:rFonts w:asciiTheme="minorHAnsi" w:hAnsiTheme="minorHAnsi" w:cstheme="minorHAnsi"/>
          <w:sz w:val="24"/>
          <w:szCs w:val="24"/>
        </w:rPr>
        <w:t xml:space="preserve">eduju ili zauzimaju znatan broj starih ili </w:t>
      </w:r>
      <w:r>
        <w:rPr>
          <w:rFonts w:asciiTheme="minorHAnsi" w:hAnsiTheme="minorHAnsi" w:cstheme="minorHAnsi"/>
          <w:sz w:val="24"/>
          <w:szCs w:val="24"/>
        </w:rPr>
        <w:t>novih zgrada koje mogu biti namijenjene za različite svrhe</w:t>
      </w:r>
      <w:r w:rsidRPr="00E623F7">
        <w:rPr>
          <w:rFonts w:asciiTheme="minorHAnsi" w:hAnsiTheme="minorHAnsi" w:cstheme="minorHAnsi"/>
          <w:sz w:val="24"/>
          <w:szCs w:val="24"/>
        </w:rPr>
        <w:t>, kao što su kancelarije, škole, bolnice i skladišta, u zavisnosti od nadležnosti svake opštine. Zgrade su ključno područje djelovanja jer</w:t>
      </w:r>
      <w:r>
        <w:rPr>
          <w:rFonts w:asciiTheme="minorHAnsi" w:hAnsiTheme="minorHAnsi" w:cstheme="minorHAnsi"/>
          <w:sz w:val="24"/>
          <w:szCs w:val="24"/>
        </w:rPr>
        <w:t xml:space="preserve"> su odgovorne za gotovo 40%</w:t>
      </w:r>
      <w:r w:rsidRPr="00E623F7">
        <w:rPr>
          <w:rFonts w:asciiTheme="minorHAnsi" w:hAnsiTheme="minorHAnsi" w:cstheme="minorHAnsi"/>
          <w:sz w:val="24"/>
          <w:szCs w:val="24"/>
        </w:rPr>
        <w:t xml:space="preserve"> finaln</w:t>
      </w:r>
      <w:r>
        <w:rPr>
          <w:rFonts w:asciiTheme="minorHAnsi" w:hAnsiTheme="minorHAnsi" w:cstheme="minorHAnsi"/>
          <w:sz w:val="24"/>
          <w:szCs w:val="24"/>
        </w:rPr>
        <w:t>e potrošnje energije (i 36%</w:t>
      </w:r>
      <w:r w:rsidRPr="00E623F7">
        <w:rPr>
          <w:rFonts w:asciiTheme="minorHAnsi" w:hAnsiTheme="minorHAnsi" w:cstheme="minorHAnsi"/>
          <w:sz w:val="24"/>
          <w:szCs w:val="24"/>
        </w:rPr>
        <w:t xml:space="preserve"> emisije </w:t>
      </w:r>
      <w:r w:rsidR="00C46494">
        <w:rPr>
          <w:rFonts w:asciiTheme="minorHAnsi" w:hAnsiTheme="minorHAnsi" w:cstheme="minorHAnsi"/>
          <w:sz w:val="24"/>
          <w:szCs w:val="24"/>
        </w:rPr>
        <w:t>GHG</w:t>
      </w:r>
      <w:r w:rsidRPr="00E623F7">
        <w:rPr>
          <w:rFonts w:asciiTheme="minorHAnsi" w:hAnsiTheme="minorHAnsi" w:cstheme="minorHAnsi"/>
          <w:sz w:val="24"/>
          <w:szCs w:val="24"/>
        </w:rPr>
        <w:t>) i pružaju drugi najveći neiskorišteni i isplativi potencijal za uštedu energije nakon energetskog sektora</w:t>
      </w:r>
      <w:r>
        <w:rPr>
          <w:rFonts w:asciiTheme="minorHAnsi" w:hAnsiTheme="minorHAnsi" w:cstheme="minorHAnsi"/>
          <w:sz w:val="24"/>
          <w:szCs w:val="24"/>
        </w:rPr>
        <w:t>.</w:t>
      </w:r>
    </w:p>
    <w:p w14:paraId="39E71D3A" w14:textId="63DDD5B9" w:rsidR="001255F2" w:rsidRPr="00DB7F74" w:rsidRDefault="001255F2" w:rsidP="001255F2">
      <w:pPr>
        <w:jc w:val="both"/>
        <w:rPr>
          <w:sz w:val="24"/>
          <w:szCs w:val="24"/>
          <w:lang w:val="sr-Latn-BA"/>
        </w:rPr>
      </w:pPr>
      <w:r w:rsidRPr="001255F2">
        <w:rPr>
          <w:sz w:val="24"/>
          <w:szCs w:val="24"/>
        </w:rPr>
        <w:t xml:space="preserve">Iako organi javne uprave uglavnom nemaju uticaja na lokalnu infrastrukturu i </w:t>
      </w:r>
      <w:r w:rsidRPr="00DB7F74">
        <w:rPr>
          <w:b/>
          <w:bCs/>
          <w:sz w:val="24"/>
          <w:szCs w:val="24"/>
        </w:rPr>
        <w:t>javni saobraćaj</w:t>
      </w:r>
      <w:r w:rsidRPr="001255F2">
        <w:rPr>
          <w:sz w:val="24"/>
          <w:szCs w:val="24"/>
        </w:rPr>
        <w:t xml:space="preserve">, postoje brojne aktivnosti kojima se negativan uticaj neophodne mobilnosti može smanjiti. Javna uprava može podržati pješačenje na posao ili dolazak biciklom obezbjeđenjem određenih povoljnosti – prostora za odlaganje bicikla ili trotineta, prostorom za presvlačenje i odlaganje sportske odjeće/opreme. </w:t>
      </w:r>
      <w:r>
        <w:rPr>
          <w:sz w:val="24"/>
          <w:szCs w:val="24"/>
        </w:rPr>
        <w:t xml:space="preserve">Kada je upotreba automobila neizbježna, organi javne uprave treba da podstiču ekološki efikasnu upotrebu automobila, dijeljenjem prevoza i korišćenjem električnih vozila.  Ipak, analiza je pokazala da bez </w:t>
      </w:r>
      <w:r w:rsidR="00DB7F74">
        <w:rPr>
          <w:sz w:val="24"/>
          <w:szCs w:val="24"/>
        </w:rPr>
        <w:t>zna</w:t>
      </w:r>
      <w:r w:rsidR="00DB7F74">
        <w:rPr>
          <w:sz w:val="24"/>
          <w:szCs w:val="24"/>
          <w:lang w:val="sr-Latn-BA"/>
        </w:rPr>
        <w:t xml:space="preserve">čajnih subvencija ekonomska opravdanost uvođenja električnih vozila u javnom sektoru ne postoji. </w:t>
      </w:r>
    </w:p>
    <w:sectPr w:rsidR="001255F2" w:rsidRPr="00DB7F74">
      <w:headerReference w:type="default" r:id="rId4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CAE5D" w14:textId="77777777" w:rsidR="003F3794" w:rsidRDefault="003F3794" w:rsidP="003F7412">
      <w:pPr>
        <w:spacing w:after="0"/>
      </w:pPr>
      <w:r>
        <w:separator/>
      </w:r>
    </w:p>
  </w:endnote>
  <w:endnote w:type="continuationSeparator" w:id="0">
    <w:p w14:paraId="0537A595" w14:textId="77777777" w:rsidR="003F3794" w:rsidRDefault="003F3794" w:rsidP="003F74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yriad Pro">
    <w:altName w:val="Corbel"/>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ter">
    <w:altName w:val="Calibri"/>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6198621"/>
      <w:docPartObj>
        <w:docPartGallery w:val="Page Numbers (Bottom of Page)"/>
        <w:docPartUnique/>
      </w:docPartObj>
    </w:sdtPr>
    <w:sdtEndPr>
      <w:rPr>
        <w:noProof/>
      </w:rPr>
    </w:sdtEndPr>
    <w:sdtContent>
      <w:p w14:paraId="1C7FE178" w14:textId="7EE8759B" w:rsidR="002E7036" w:rsidRDefault="002E7036">
        <w:pPr>
          <w:pStyle w:val="Footer"/>
          <w:jc w:val="right"/>
        </w:pPr>
        <w:r>
          <w:fldChar w:fldCharType="begin"/>
        </w:r>
        <w:r>
          <w:instrText xml:space="preserve"> PAGE   \* MERGEFORMAT </w:instrText>
        </w:r>
        <w:r>
          <w:fldChar w:fldCharType="separate"/>
        </w:r>
        <w:r w:rsidR="00C46494">
          <w:rPr>
            <w:noProof/>
          </w:rPr>
          <w:t>6</w:t>
        </w:r>
        <w:r>
          <w:rPr>
            <w:noProof/>
          </w:rPr>
          <w:fldChar w:fldCharType="end"/>
        </w:r>
      </w:p>
    </w:sdtContent>
  </w:sdt>
  <w:p w14:paraId="576D7D68" w14:textId="77777777" w:rsidR="002E7036" w:rsidRDefault="002E70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6F378" w14:textId="77777777" w:rsidR="003F3794" w:rsidRDefault="003F3794" w:rsidP="003F7412">
      <w:pPr>
        <w:spacing w:after="0"/>
      </w:pPr>
      <w:r>
        <w:separator/>
      </w:r>
    </w:p>
  </w:footnote>
  <w:footnote w:type="continuationSeparator" w:id="0">
    <w:p w14:paraId="610FEDC2" w14:textId="77777777" w:rsidR="003F3794" w:rsidRDefault="003F3794" w:rsidP="003F7412">
      <w:pPr>
        <w:spacing w:after="0"/>
      </w:pPr>
      <w:r>
        <w:continuationSeparator/>
      </w:r>
    </w:p>
  </w:footnote>
  <w:footnote w:id="1">
    <w:p w14:paraId="168C2F44" w14:textId="77777777" w:rsidR="002E7036" w:rsidRDefault="002E7036" w:rsidP="006833F9">
      <w:pPr>
        <w:pStyle w:val="FootnoteText"/>
      </w:pPr>
      <w:r>
        <w:rPr>
          <w:rStyle w:val="FootnoteReference"/>
        </w:rPr>
        <w:footnoteRef/>
      </w:r>
      <w:r>
        <w:t xml:space="preserve"> Smjernice za rješavanje pitanja plastike za jednokratnu upotrebu putem javnih nabavki na sredozemlju, http://www.cprac.org/ca/arxiu-de-noticies/generiques/addressing-plastic-pollution-through-public-procurement-new-guidelines-</w:t>
      </w:r>
    </w:p>
  </w:footnote>
  <w:footnote w:id="2">
    <w:p w14:paraId="1AFDFDDA" w14:textId="77777777" w:rsidR="002E7036" w:rsidRPr="0091029E" w:rsidRDefault="002E7036" w:rsidP="006833F9">
      <w:pPr>
        <w:pStyle w:val="FootnoteText"/>
      </w:pPr>
      <w:r>
        <w:rPr>
          <w:rStyle w:val="FootnoteReference"/>
        </w:rPr>
        <w:footnoteRef/>
      </w:r>
      <w:r>
        <w:t xml:space="preserve"> </w:t>
      </w:r>
      <w:hyperlink r:id="rId1" w:history="1">
        <w:r>
          <w:rPr>
            <w:rStyle w:val="Hyperlink"/>
            <w:rFonts w:ascii="Arial" w:hAnsi="Arial" w:cs="Arial"/>
          </w:rPr>
          <w:t>https://wapi.gov.me/download/8fd20ab6-e472-4825-aca4-23fcd05c6ac2?version=1.0</w:t>
        </w:r>
      </w:hyperlink>
      <w:r>
        <w:rPr>
          <w:rFonts w:ascii="Arial" w:hAnsi="Arial" w:cs="Arial"/>
        </w:rPr>
        <w:t xml:space="preserve"> , </w:t>
      </w:r>
      <w:r w:rsidRPr="0091029E">
        <w:rPr>
          <w:rFonts w:cs="Arial"/>
        </w:rPr>
        <w:t>nacrt Strategije za unapređenje sistema javnih nabavki i javno-privatnog partnerstva za period 2021-2025. godine</w:t>
      </w:r>
      <w:r w:rsidRPr="0091029E">
        <w:rPr>
          <w:rFonts w:cs="Calibri"/>
          <w:sz w:val="24"/>
          <w:szCs w:val="24"/>
        </w:rPr>
        <w:t xml:space="preserve"> </w:t>
      </w:r>
    </w:p>
  </w:footnote>
  <w:footnote w:id="3">
    <w:p w14:paraId="1D0045E0" w14:textId="77777777" w:rsidR="002E7036" w:rsidRDefault="002E7036" w:rsidP="006833F9">
      <w:pPr>
        <w:pStyle w:val="FootnoteText"/>
      </w:pPr>
      <w:r>
        <w:rPr>
          <w:rStyle w:val="FootnoteReference"/>
        </w:rPr>
        <w:footnoteRef/>
      </w:r>
      <w:r>
        <w:t xml:space="preserve"> </w:t>
      </w:r>
      <w:hyperlink r:id="rId2" w:history="1">
        <w:r>
          <w:rPr>
            <w:rStyle w:val="Hyperlink"/>
          </w:rPr>
          <w:t>http://www.ujn.gov.me/category/izvjestaji/</w:t>
        </w:r>
      </w:hyperlink>
      <w:r>
        <w:t xml:space="preserve"> </w:t>
      </w:r>
    </w:p>
  </w:footnote>
  <w:footnote w:id="4">
    <w:p w14:paraId="2E856643" w14:textId="77777777" w:rsidR="002E7036" w:rsidRDefault="002E7036" w:rsidP="006833F9">
      <w:pPr>
        <w:pStyle w:val="FootnoteText"/>
      </w:pPr>
      <w:r>
        <w:rPr>
          <w:rStyle w:val="FootnoteReference"/>
        </w:rPr>
        <w:footnoteRef/>
      </w:r>
      <w:r>
        <w:t xml:space="preserve"> </w:t>
      </w:r>
      <w:hyperlink r:id="rId3" w:history="1">
        <w:r>
          <w:rPr>
            <w:rStyle w:val="Hyperlink"/>
          </w:rPr>
          <w:t>https://www.ujn.gov.me/wp-content/uploads/2021/06/Izvje%c5%a1taj-o-javnim-nabavkama-za-2020.-godinu-1.pdf</w:t>
        </w:r>
      </w:hyperlink>
      <w:r>
        <w:t xml:space="preserve"> </w:t>
      </w:r>
    </w:p>
  </w:footnote>
  <w:footnote w:id="5">
    <w:p w14:paraId="4EB0E18B" w14:textId="77777777" w:rsidR="002E7036" w:rsidRDefault="002E7036" w:rsidP="006833F9">
      <w:pPr>
        <w:pStyle w:val="FootnoteText"/>
        <w:rPr>
          <w:lang w:val="sr-Latn-ME"/>
        </w:rPr>
      </w:pPr>
      <w:r>
        <w:rPr>
          <w:rStyle w:val="FootnoteReference"/>
        </w:rPr>
        <w:footnoteRef/>
      </w:r>
      <w:r>
        <w:t xml:space="preserve"> </w:t>
      </w:r>
      <w:r>
        <w:rPr>
          <w:lang w:val="sr-Latn-ME"/>
        </w:rPr>
        <w:t xml:space="preserve">Izvod podataka: </w:t>
      </w:r>
      <w:hyperlink r:id="rId4" w:history="1">
        <w:r w:rsidRPr="00916FEB">
          <w:rPr>
            <w:rStyle w:val="Hyperlink"/>
            <w:lang w:val="sr-Latn-ME"/>
          </w:rPr>
          <w:t>https://www.gov.me/dokumenta/d0262d2c-e133-4764-bc00-31a5e34c4cdd</w:t>
        </w:r>
      </w:hyperlink>
    </w:p>
    <w:p w14:paraId="72C97D17" w14:textId="77777777" w:rsidR="002E7036" w:rsidRPr="00C94E56" w:rsidRDefault="002E7036" w:rsidP="006833F9">
      <w:pPr>
        <w:pStyle w:val="FootnoteText"/>
        <w:rPr>
          <w:lang w:val="sr-Latn-ME"/>
        </w:rPr>
      </w:pPr>
    </w:p>
  </w:footnote>
  <w:footnote w:id="6">
    <w:p w14:paraId="36D0D544" w14:textId="77777777" w:rsidR="002E7036" w:rsidRDefault="002E7036" w:rsidP="006833F9">
      <w:pPr>
        <w:pStyle w:val="FootnoteText"/>
      </w:pPr>
    </w:p>
  </w:footnote>
  <w:footnote w:id="7">
    <w:p w14:paraId="33413A75" w14:textId="72029B62" w:rsidR="002E7036" w:rsidRPr="00B2111E" w:rsidRDefault="002E7036">
      <w:pPr>
        <w:pStyle w:val="FootnoteText"/>
        <w:rPr>
          <w:lang w:val="sr-Latn-BA"/>
        </w:rPr>
      </w:pPr>
      <w:r>
        <w:rPr>
          <w:rStyle w:val="FootnoteReference"/>
        </w:rPr>
        <w:footnoteRef/>
      </w:r>
      <w:r>
        <w:t xml:space="preserve"> Public procurement for a better environment IMPACT ASSESSMENT {COM(2008) 400 final}, </w:t>
      </w:r>
      <w:hyperlink r:id="rId5" w:history="1">
        <w:r w:rsidRPr="00B36B5B">
          <w:rPr>
            <w:rStyle w:val="Hyperlink"/>
          </w:rPr>
          <w:t>https://eur-lex.europa.eu/LexUriServ/LexUriServ.do?uri=COM:2008:0400:FIN:EN:PDF</w:t>
        </w:r>
      </w:hyperlink>
      <w:r>
        <w:t xml:space="preserve"> </w:t>
      </w:r>
    </w:p>
  </w:footnote>
  <w:footnote w:id="8">
    <w:p w14:paraId="661706D0" w14:textId="494D346D" w:rsidR="002E7036" w:rsidRPr="00800DA4" w:rsidRDefault="002E7036">
      <w:pPr>
        <w:pStyle w:val="FootnoteText"/>
        <w:rPr>
          <w:lang w:val="sr-Latn-BA"/>
        </w:rPr>
      </w:pPr>
      <w:r>
        <w:rPr>
          <w:rStyle w:val="FootnoteReference"/>
        </w:rPr>
        <w:footnoteRef/>
      </w:r>
      <w:r>
        <w:t xml:space="preserve"> </w:t>
      </w:r>
      <w:hyperlink r:id="rId6" w:history="1">
        <w:r w:rsidRPr="005A67F6">
          <w:rPr>
            <w:rStyle w:val="Hyperlink"/>
          </w:rPr>
          <w:t>https://ec.europa.eu/environment/gpp/benefits_en.htm</w:t>
        </w:r>
      </w:hyperlink>
      <w:r>
        <w:t>,  Koristi Zelenih javnih nabavki.</w:t>
      </w:r>
    </w:p>
  </w:footnote>
  <w:footnote w:id="9">
    <w:p w14:paraId="04925990" w14:textId="77777777" w:rsidR="002E7036" w:rsidRDefault="002E7036" w:rsidP="006833F9">
      <w:pPr>
        <w:pStyle w:val="FootnoteText"/>
      </w:pPr>
      <w:r>
        <w:rPr>
          <w:rStyle w:val="FootnoteReference"/>
        </w:rPr>
        <w:footnoteRef/>
      </w:r>
      <w:r>
        <w:t xml:space="preserve"> </w:t>
      </w:r>
      <w:r w:rsidRPr="00127BE4">
        <w:t xml:space="preserve">Infrastructure and Projects Authority (2017), Guide for Effective Benefits Management in Major Projects: Key benefits management principles and activities for major projects, UK Government, </w:t>
      </w:r>
      <w:hyperlink r:id="rId7" w:history="1">
        <w:r w:rsidRPr="005D1188">
          <w:rPr>
            <w:rStyle w:val="Hyperlink"/>
          </w:rPr>
          <w:t>https://www.gov.uk/government/uploads/system/uploads/attachment_data/file/671452/Guide_for_Effective_Benefits_Management_in_Major_Projects.pdf</w:t>
        </w:r>
      </w:hyperlink>
      <w:r w:rsidRPr="00127BE4">
        <w:t>.</w:t>
      </w:r>
      <w:r>
        <w:t xml:space="preserve"> </w:t>
      </w:r>
    </w:p>
  </w:footnote>
  <w:footnote w:id="10">
    <w:p w14:paraId="7D82A434" w14:textId="77777777" w:rsidR="002E7036" w:rsidRDefault="002E7036" w:rsidP="006833F9">
      <w:pPr>
        <w:pStyle w:val="FootnoteText"/>
      </w:pPr>
      <w:r>
        <w:rPr>
          <w:rStyle w:val="FootnoteReference"/>
        </w:rPr>
        <w:footnoteRef/>
      </w:r>
      <w:r>
        <w:t xml:space="preserve"> </w:t>
      </w:r>
      <w:hyperlink r:id="rId8" w:history="1">
        <w:r>
          <w:rPr>
            <w:rStyle w:val="Hyperlink"/>
          </w:rPr>
          <w:t>Public Procurement in Germany (oecd-ilibrary.org)</w:t>
        </w:r>
      </w:hyperlink>
      <w:r>
        <w:t xml:space="preserve"> </w:t>
      </w:r>
    </w:p>
  </w:footnote>
  <w:footnote w:id="11">
    <w:p w14:paraId="17E25641" w14:textId="77777777" w:rsidR="002E7036" w:rsidRDefault="002E7036" w:rsidP="006833F9">
      <w:pPr>
        <w:pStyle w:val="FootnoteText"/>
      </w:pPr>
      <w:r>
        <w:rPr>
          <w:rStyle w:val="FootnoteReference"/>
        </w:rPr>
        <w:footnoteRef/>
      </w:r>
      <w:r>
        <w:t xml:space="preserve"> Troškovi i koristi zelenih javnih nabavki u Evropi, Finalni izveštaj, 26 Jul 2007, od Öko-Insituta e.V. i ICLEI </w:t>
      </w:r>
    </w:p>
  </w:footnote>
  <w:footnote w:id="12">
    <w:p w14:paraId="6113BCB9" w14:textId="77777777" w:rsidR="002E7036" w:rsidRDefault="002E7036" w:rsidP="006833F9">
      <w:pPr>
        <w:pStyle w:val="FootnoteText"/>
      </w:pPr>
      <w:r>
        <w:rPr>
          <w:rStyle w:val="FootnoteReference"/>
        </w:rPr>
        <w:footnoteRef/>
      </w:r>
      <w:r>
        <w:t xml:space="preserve"> Projekat koji finansira Evropska komisija u okviru Petogodišnjeg programa, pod punim nazivom "Potencijal zaštite životne sredine od urbanih akcija za izbjegavanje i detoksikaciju tokova otpada putem zelenih javnih nabavki" (septembar 2003.); više informacija na </w:t>
      </w:r>
      <w:hyperlink r:id="rId9" w:history="1">
        <w:r>
          <w:rPr>
            <w:rStyle w:val="Hyperlink"/>
          </w:rPr>
          <w:t>http://www.icleieurope.org/index.php?id=1781</w:t>
        </w:r>
      </w:hyperlink>
      <w:r>
        <w:t xml:space="preserve"> </w:t>
      </w:r>
    </w:p>
  </w:footnote>
  <w:footnote w:id="13">
    <w:p w14:paraId="354BB731" w14:textId="77777777" w:rsidR="002E7036" w:rsidRDefault="002E7036" w:rsidP="003F7412">
      <w:pPr>
        <w:pStyle w:val="FootnoteText"/>
      </w:pPr>
      <w:r>
        <w:rPr>
          <w:rStyle w:val="FootnoteReference"/>
        </w:rPr>
        <w:footnoteRef/>
      </w:r>
      <w:r>
        <w:t xml:space="preserve"> </w:t>
      </w:r>
      <w:hyperlink r:id="rId10" w:history="1">
        <w:r>
          <w:rPr>
            <w:rStyle w:val="Hyperlink"/>
          </w:rPr>
          <w:t>https://ec.europa.eu/environment/gpp/gpp_criteria_en.htm</w:t>
        </w:r>
      </w:hyperlink>
      <w:r>
        <w:t xml:space="preserve"> </w:t>
      </w:r>
    </w:p>
  </w:footnote>
  <w:footnote w:id="14">
    <w:p w14:paraId="34BF9065" w14:textId="77777777" w:rsidR="002E7036" w:rsidRDefault="002E7036" w:rsidP="003F7412">
      <w:pPr>
        <w:pStyle w:val="FootnoteText"/>
      </w:pPr>
      <w:r>
        <w:rPr>
          <w:rStyle w:val="FootnoteReference"/>
        </w:rPr>
        <w:footnoteRef/>
      </w:r>
      <w:r>
        <w:t xml:space="preserve"> </w:t>
      </w:r>
      <w:hyperlink r:id="rId11" w:history="1">
        <w:r>
          <w:rPr>
            <w:rStyle w:val="Hyperlink"/>
          </w:rPr>
          <w:t>https://www.oecd-ilibrary.org/sites/</w:t>
        </w:r>
        <w:bookmarkStart w:id="23" w:name="_Hlt81557832"/>
        <w:bookmarkStart w:id="24" w:name="_Hlt81557833"/>
        <w:r>
          <w:rPr>
            <w:rStyle w:val="Hyperlink"/>
          </w:rPr>
          <w:t>5</w:t>
        </w:r>
        <w:bookmarkEnd w:id="23"/>
        <w:bookmarkEnd w:id="24"/>
        <w:r>
          <w:rPr>
            <w:rStyle w:val="Hyperlink"/>
          </w:rPr>
          <w:t>d89ab8b-en/index.html?itemId=/content/component/5d89ab8b-en</w:t>
        </w:r>
      </w:hyperlink>
      <w:r>
        <w:t xml:space="preserve"> </w:t>
      </w:r>
    </w:p>
  </w:footnote>
  <w:footnote w:id="15">
    <w:p w14:paraId="34133202" w14:textId="77777777" w:rsidR="002E7036" w:rsidRDefault="002E7036" w:rsidP="003F7412">
      <w:pPr>
        <w:pStyle w:val="FootnoteText"/>
      </w:pPr>
      <w:r>
        <w:rPr>
          <w:rStyle w:val="FootnoteReference"/>
        </w:rPr>
        <w:footnoteRef/>
      </w:r>
      <w:r>
        <w:t xml:space="preserve"> </w:t>
      </w:r>
      <w:hyperlink r:id="rId12" w:history="1">
        <w:r>
          <w:rPr>
            <w:rStyle w:val="Hyperlink"/>
          </w:rPr>
          <w:t>MAPS-Methodology-ENG.pdf (mapsinitiative.org)</w:t>
        </w:r>
      </w:hyperlink>
      <w:r>
        <w:t>, METODOLOGIJA OCJENJIVANJA SISTEMA NABAVKE</w:t>
      </w:r>
    </w:p>
  </w:footnote>
  <w:footnote w:id="16">
    <w:p w14:paraId="5F723CDC" w14:textId="77777777" w:rsidR="002E7036" w:rsidRDefault="002E7036" w:rsidP="002270C1">
      <w:pPr>
        <w:pStyle w:val="FootnoteText"/>
      </w:pPr>
      <w:r>
        <w:rPr>
          <w:rStyle w:val="FootnoteReference"/>
        </w:rPr>
        <w:footnoteRef/>
      </w:r>
      <w:r>
        <w:t xml:space="preserve">Link, izvor podataka </w:t>
      </w:r>
      <w:hyperlink r:id="rId13" w:history="1">
        <w:r w:rsidRPr="00916FEB">
          <w:rPr>
            <w:rStyle w:val="Hyperlink"/>
          </w:rPr>
          <w:t>http://mojnovac.me/web/budzet-po-dubini</w:t>
        </w:r>
      </w:hyperlink>
    </w:p>
    <w:p w14:paraId="3C959E5C" w14:textId="77777777" w:rsidR="002E7036" w:rsidRPr="008466E2" w:rsidRDefault="002E7036" w:rsidP="002270C1">
      <w:pPr>
        <w:pStyle w:val="FootnoteText"/>
        <w:rPr>
          <w:lang w:val="sr-Latn-ME"/>
        </w:rPr>
      </w:pPr>
    </w:p>
  </w:footnote>
  <w:footnote w:id="17">
    <w:p w14:paraId="2F137588" w14:textId="77777777" w:rsidR="002E7036" w:rsidRPr="0036031D" w:rsidRDefault="002E7036" w:rsidP="00DD4F2D">
      <w:pPr>
        <w:pStyle w:val="FootnoteText"/>
        <w:rPr>
          <w:lang w:val="sr-Latn-ME"/>
        </w:rPr>
      </w:pPr>
      <w:r>
        <w:rPr>
          <w:rStyle w:val="FootnoteReference"/>
        </w:rPr>
        <w:footnoteRef/>
      </w:r>
      <w:r>
        <w:t xml:space="preserve"> </w:t>
      </w:r>
      <w:r>
        <w:rPr>
          <w:lang w:val="sr-Latn-ME"/>
        </w:rPr>
        <w:t xml:space="preserve">Izvor: Monstat, BDP, </w:t>
      </w:r>
      <w:hyperlink r:id="rId14" w:history="1">
        <w:r w:rsidRPr="00916FEB">
          <w:rPr>
            <w:rStyle w:val="Hyperlink"/>
            <w:lang w:val="sr-Latn-ME"/>
          </w:rPr>
          <w:t>http://monstat.org/cg/page.php?id=166&amp;pageid=19</w:t>
        </w:r>
      </w:hyperlink>
    </w:p>
  </w:footnote>
  <w:footnote w:id="18">
    <w:p w14:paraId="342705E3" w14:textId="77777777" w:rsidR="002E7036" w:rsidRPr="0036031D" w:rsidRDefault="002E7036" w:rsidP="00DD4F2D">
      <w:pPr>
        <w:pStyle w:val="FootnoteText"/>
        <w:rPr>
          <w:lang w:val="sr-Latn-ME"/>
        </w:rPr>
      </w:pPr>
      <w:r>
        <w:rPr>
          <w:rStyle w:val="FootnoteReference"/>
        </w:rPr>
        <w:footnoteRef/>
      </w:r>
      <w:r>
        <w:t xml:space="preserve"> </w:t>
      </w:r>
      <w:r>
        <w:rPr>
          <w:lang w:val="sr-Latn-ME"/>
        </w:rPr>
        <w:t>Podaci BDP za 2020. godinu, u skladu sa Kalendarom objave statističkih podataka, će biti raspoloživi 22. septembra 2021. godine</w:t>
      </w:r>
    </w:p>
  </w:footnote>
  <w:footnote w:id="19">
    <w:p w14:paraId="086D53D0" w14:textId="558CDF93" w:rsidR="002E7036" w:rsidRPr="00001DE2" w:rsidRDefault="002E7036">
      <w:pPr>
        <w:pStyle w:val="FootnoteText"/>
        <w:rPr>
          <w:lang w:val="sr-Latn-BA"/>
        </w:rPr>
      </w:pPr>
      <w:r>
        <w:rPr>
          <w:rStyle w:val="FootnoteReference"/>
        </w:rPr>
        <w:footnoteRef/>
      </w:r>
      <w:r>
        <w:t xml:space="preserve"> Vodič za ozelenjavanje Javne uprave, Marina Spahić</w:t>
      </w:r>
    </w:p>
  </w:footnote>
  <w:footnote w:id="20">
    <w:p w14:paraId="2F391E99" w14:textId="42C063B5" w:rsidR="002E7036" w:rsidRPr="00F32D1A" w:rsidRDefault="002E7036">
      <w:pPr>
        <w:pStyle w:val="FootnoteText"/>
        <w:rPr>
          <w:lang w:val="sr-Latn-BA"/>
        </w:rPr>
      </w:pPr>
      <w:r>
        <w:rPr>
          <w:rStyle w:val="FootnoteReference"/>
        </w:rPr>
        <w:footnoteRef/>
      </w:r>
      <w:r>
        <w:t xml:space="preserve"> </w:t>
      </w:r>
      <w:hyperlink r:id="rId15" w:history="1">
        <w:r>
          <w:rPr>
            <w:rStyle w:val="Hyperlink"/>
          </w:rPr>
          <w:t>Towards a circular economy: Business rationale for an accelerated transition (ellenmacarthurfoundation.org)</w:t>
        </w:r>
      </w:hyperlink>
    </w:p>
  </w:footnote>
  <w:footnote w:id="21">
    <w:p w14:paraId="2E752A08" w14:textId="77777777" w:rsidR="002E7036" w:rsidRDefault="002E7036" w:rsidP="003F7412">
      <w:pPr>
        <w:pStyle w:val="FootnoteText"/>
      </w:pPr>
      <w:r>
        <w:rPr>
          <w:rStyle w:val="FootnoteReference"/>
        </w:rPr>
        <w:footnoteRef/>
      </w:r>
      <w:r>
        <w:t xml:space="preserve"> EFIKASNOST RESURSA: POTENCIJALNE I EKONOMSKE IMPLIKACIJE, Izvještaj Međunarodne komisije za resurse, UNEP</w:t>
      </w:r>
    </w:p>
  </w:footnote>
  <w:footnote w:id="22">
    <w:p w14:paraId="5FDA4AD9" w14:textId="77777777" w:rsidR="002E7036" w:rsidRDefault="002E7036" w:rsidP="003F7412">
      <w:pPr>
        <w:pStyle w:val="FootnoteText"/>
      </w:pPr>
      <w:r>
        <w:rPr>
          <w:rStyle w:val="FootnoteReference"/>
        </w:rPr>
        <w:footnoteRef/>
      </w:r>
      <w:r>
        <w:t xml:space="preserve"> ANALIZA – CIRKULARNA EKONOMIJA U OBLASTI UPRAVLJANJA OTPADOM U CRNOJ GORI, </w:t>
      </w:r>
      <w:hyperlink r:id="rId16" w:history="1">
        <w:r>
          <w:rPr>
            <w:rStyle w:val="Hyperlink"/>
          </w:rPr>
          <w:t>http://www.greenhome.co.me/fajlovi/greenhome/attach_fajlovi/lat/glavne-stranice/2020/03/pdf/ANALIZA__CIRKULARNA_EKONOMIJA_U_OBLASTI_UPRAVLJANJA_OTPADOM_U_CRNOJ_GORI.pdf</w:t>
        </w:r>
      </w:hyperlink>
      <w:r>
        <w:t xml:space="preserve"> </w:t>
      </w:r>
    </w:p>
  </w:footnote>
  <w:footnote w:id="23">
    <w:p w14:paraId="54764DC8" w14:textId="77777777" w:rsidR="002E7036" w:rsidRDefault="002E7036" w:rsidP="003F7412">
      <w:pPr>
        <w:pStyle w:val="FootnoteText"/>
      </w:pPr>
      <w:r>
        <w:rPr>
          <w:rStyle w:val="FootnoteReference"/>
        </w:rPr>
        <w:footnoteRef/>
      </w:r>
      <w:r>
        <w:t xml:space="preserve"> Model za evaluaciju sistema upravljanja komunalnim otpadom primenom metode ocenjivanja životnog ciklusa – Doktorska disertacija, Jasna Stepanov 2018. </w:t>
      </w:r>
    </w:p>
  </w:footnote>
  <w:footnote w:id="24">
    <w:p w14:paraId="5992E186" w14:textId="1A25E8D0" w:rsidR="002E7036" w:rsidRDefault="002E7036" w:rsidP="003F7412">
      <w:pPr>
        <w:pStyle w:val="FootnoteText"/>
      </w:pPr>
      <w:r>
        <w:rPr>
          <w:rStyle w:val="FootnoteReference"/>
        </w:rPr>
        <w:footnoteRef/>
      </w:r>
      <w:r>
        <w:t xml:space="preserve"> </w:t>
      </w:r>
      <w:hyperlink r:id="rId17" w:history="1">
        <w:r>
          <w:rPr>
            <w:rStyle w:val="Hyperlink"/>
          </w:rPr>
          <w:t>https://www.mon</w:t>
        </w:r>
        <w:bookmarkStart w:id="50" w:name="_Hlt81043324"/>
        <w:bookmarkStart w:id="51" w:name="_Hlt81043325"/>
        <w:r>
          <w:rPr>
            <w:rStyle w:val="Hyperlink"/>
          </w:rPr>
          <w:t>s</w:t>
        </w:r>
        <w:bookmarkEnd w:id="50"/>
        <w:bookmarkEnd w:id="51"/>
        <w:r>
          <w:rPr>
            <w:rStyle w:val="Hyperlink"/>
          </w:rPr>
          <w:t>tat.org/uploads/files/otpad/Otpad_2019.pdf</w:t>
        </w:r>
      </w:hyperlink>
      <w:r>
        <w:t xml:space="preserve">, Stvoreni i obrađeni otpad u 2019. godini </w:t>
      </w:r>
    </w:p>
  </w:footnote>
  <w:footnote w:id="25">
    <w:p w14:paraId="72E2B2C9" w14:textId="77777777" w:rsidR="002E7036" w:rsidRDefault="002E7036" w:rsidP="003F7412">
      <w:pPr>
        <w:pStyle w:val="FootnoteText"/>
      </w:pPr>
      <w:r>
        <w:rPr>
          <w:rStyle w:val="FootnoteReference"/>
        </w:rPr>
        <w:footnoteRef/>
      </w:r>
      <w:r>
        <w:t xml:space="preserve"> </w:t>
      </w:r>
      <w:hyperlink r:id="rId18" w:history="1">
        <w:r>
          <w:rPr>
            <w:rStyle w:val="Hyperlink"/>
          </w:rPr>
          <w:t>https://ec.europa.eu/eurostat/statistics-explained/images/4/45/CPC21_Environment_2021-05.xlsx</w:t>
        </w:r>
      </w:hyperlink>
      <w:r>
        <w:t xml:space="preserve"> </w:t>
      </w:r>
    </w:p>
  </w:footnote>
  <w:footnote w:id="26">
    <w:p w14:paraId="7DF1B271" w14:textId="77777777" w:rsidR="002E7036" w:rsidRDefault="002E7036" w:rsidP="003F7412">
      <w:pPr>
        <w:pStyle w:val="FootnoteText"/>
      </w:pPr>
      <w:r>
        <w:rPr>
          <w:rStyle w:val="FootnoteReference"/>
        </w:rPr>
        <w:footnoteRef/>
      </w:r>
      <w:r>
        <w:t xml:space="preserve"> </w:t>
      </w:r>
      <w:hyperlink r:id="rId19" w:history="1">
        <w:r>
          <w:rPr>
            <w:rStyle w:val="Hyperlink"/>
          </w:rPr>
          <w:t>https://zerowastecities.eu/academy/savings-calculator/</w:t>
        </w:r>
      </w:hyperlink>
      <w:r>
        <w:t xml:space="preserve"> , Kalkulator uštede u gradovima nultog otpada </w:t>
      </w:r>
    </w:p>
  </w:footnote>
  <w:footnote w:id="27">
    <w:p w14:paraId="31FE4327" w14:textId="17FB96C0" w:rsidR="002E7036" w:rsidRPr="00745215" w:rsidRDefault="002E7036">
      <w:pPr>
        <w:pStyle w:val="FootnoteText"/>
        <w:rPr>
          <w:lang w:val="sr-Latn-BA"/>
        </w:rPr>
      </w:pPr>
      <w:r>
        <w:rPr>
          <w:rStyle w:val="FootnoteReference"/>
        </w:rPr>
        <w:footnoteRef/>
      </w:r>
      <w:r>
        <w:t xml:space="preserve"> </w:t>
      </w:r>
      <w:r w:rsidRPr="00745215">
        <w:t xml:space="preserve">Za ovu procjenu korišteni su podaci o javnim zgradama u Crnoj Gori prikupljeni </w:t>
      </w:r>
      <w:r>
        <w:t xml:space="preserve">u </w:t>
      </w:r>
      <w:r w:rsidRPr="00745215">
        <w:t>okviru projekta energetske efikasnosti - MEEP 2 (EE4GreenMNE).</w:t>
      </w:r>
    </w:p>
  </w:footnote>
  <w:footnote w:id="28">
    <w:p w14:paraId="52463F18" w14:textId="077AA78D" w:rsidR="002E7036" w:rsidRDefault="002E7036" w:rsidP="003F7412">
      <w:r>
        <w:rPr>
          <w:rStyle w:val="FootnoteReference"/>
        </w:rPr>
        <w:footnoteRef/>
      </w:r>
      <w:r>
        <w:t xml:space="preserve"> </w:t>
      </w:r>
      <w:r>
        <w:rPr>
          <w:rFonts w:ascii="Calibri Light" w:eastAsia="Calibri Light" w:hAnsi="Calibri Light" w:cs="Calibri Light"/>
          <w:sz w:val="18"/>
          <w:szCs w:val="18"/>
          <w:u w:val="single"/>
        </w:rPr>
        <w:t>U okviru projekta EE4GreenMNE prikupljeni su podaci za izradu inventara javnih zgrada za potrebe energetske efikasnosti</w:t>
      </w:r>
    </w:p>
  </w:footnote>
  <w:footnote w:id="29">
    <w:p w14:paraId="2983EB7C" w14:textId="4F729744" w:rsidR="002E7036" w:rsidRPr="00DE579F" w:rsidRDefault="002E7036">
      <w:pPr>
        <w:pStyle w:val="FootnoteText"/>
        <w:rPr>
          <w:lang w:val="sr-Latn-BA"/>
        </w:rPr>
      </w:pPr>
      <w:r>
        <w:rPr>
          <w:rStyle w:val="FootnoteReference"/>
        </w:rPr>
        <w:footnoteRef/>
      </w:r>
      <w:r>
        <w:t xml:space="preserve"> </w:t>
      </w:r>
      <w:hyperlink r:id="rId20" w:history="1">
        <w:r w:rsidRPr="00E83570">
          <w:rPr>
            <w:rStyle w:val="Hyperlink"/>
          </w:rPr>
          <w:t>https://lowcarbonmne.me/files/Analize-troskova-i-koristi-koncepta-e-mobilnosti-u-Crnoj-Gori-studije-slucaja.pdf</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C0D1" w14:textId="77777777" w:rsidR="002E7036" w:rsidRDefault="002E7036">
    <w:pPr>
      <w:pStyle w:val="Header"/>
      <w:jc w:val="right"/>
    </w:pPr>
  </w:p>
  <w:p w14:paraId="3ABFBDD6" w14:textId="4F7A96C7" w:rsidR="002E7036" w:rsidRDefault="002E7036" w:rsidP="00A83338">
    <w:pPr>
      <w:pStyle w:val="Header"/>
      <w:tabs>
        <w:tab w:val="clear" w:pos="4680"/>
        <w:tab w:val="clear" w:pos="9360"/>
        <w:tab w:val="left" w:pos="1104"/>
      </w:tabs>
    </w:pPr>
    <w:r>
      <w:tab/>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F630C" w14:textId="77777777" w:rsidR="002E7036" w:rsidRDefault="002E703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4CEC9" w14:textId="77777777" w:rsidR="002E7036" w:rsidRDefault="002E7036">
    <w:pPr>
      <w:pStyle w:val="Header"/>
      <w:jc w:val="right"/>
    </w:pPr>
  </w:p>
  <w:p w14:paraId="08EDEA23" w14:textId="77777777" w:rsidR="002E7036" w:rsidRDefault="002E703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6F3CF" w14:textId="77777777" w:rsidR="002E7036" w:rsidRDefault="002E7036">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6EE9E" w14:textId="77777777" w:rsidR="002E7036" w:rsidRDefault="002E7036">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C341B" w14:textId="77777777" w:rsidR="002E7036" w:rsidRDefault="002E7036">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30EFA" w14:textId="77777777" w:rsidR="002E7036" w:rsidRDefault="002E7036">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C340C" w14:textId="77777777" w:rsidR="002E7036" w:rsidRDefault="002E7036">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533F9" w14:textId="77777777" w:rsidR="002E7036" w:rsidRDefault="002E7036">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24926" w14:textId="77777777" w:rsidR="002E7036" w:rsidRDefault="002E703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0907"/>
    <w:multiLevelType w:val="multilevel"/>
    <w:tmpl w:val="E88856A0"/>
    <w:styleLink w:val="WWOutlineListStyle10"/>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43059BF"/>
    <w:multiLevelType w:val="multilevel"/>
    <w:tmpl w:val="8CD088C4"/>
    <w:styleLink w:val="WWOutlineListStyle12"/>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4317E11"/>
    <w:multiLevelType w:val="multilevel"/>
    <w:tmpl w:val="A10CF9AC"/>
    <w:lvl w:ilvl="0">
      <w:start w:val="1"/>
      <w:numFmt w:val="decimal"/>
      <w:lvlText w:val="%1."/>
      <w:lvlJc w:val="left"/>
      <w:pPr>
        <w:ind w:left="720" w:hanging="360"/>
      </w:pPr>
    </w:lvl>
    <w:lvl w:ilvl="1">
      <w:start w:val="1"/>
      <w:numFmt w:val="decimal"/>
      <w:lvlText w:val="%1.%2."/>
      <w:lvlJc w:val="left"/>
      <w:pPr>
        <w:ind w:left="1080" w:hanging="720"/>
      </w:pPr>
      <w:rPr>
        <w:color w:val="171717" w:themeColor="background2" w:themeShade="1A"/>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05DC0000"/>
    <w:multiLevelType w:val="multilevel"/>
    <w:tmpl w:val="5FB6450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0D3E2D19"/>
    <w:multiLevelType w:val="multilevel"/>
    <w:tmpl w:val="A7144C18"/>
    <w:styleLink w:val="WWOutlineListStyle4"/>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4176E0A"/>
    <w:multiLevelType w:val="multilevel"/>
    <w:tmpl w:val="8DBE1866"/>
    <w:lvl w:ilvl="0">
      <w:numFmt w:val="bullet"/>
      <w:lvlText w:val="•"/>
      <w:lvlJc w:val="left"/>
      <w:pPr>
        <w:ind w:left="644" w:hanging="360"/>
      </w:pPr>
      <w:rPr>
        <w:rFonts w:ascii="Candara" w:eastAsia="Calibri" w:hAnsi="Candar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4EB2EAE"/>
    <w:multiLevelType w:val="multilevel"/>
    <w:tmpl w:val="F2BE0AD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 w15:restartNumberingAfterBreak="0">
    <w:nsid w:val="1AD62B9D"/>
    <w:multiLevelType w:val="multilevel"/>
    <w:tmpl w:val="B31A8F8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ADF0C98"/>
    <w:multiLevelType w:val="multilevel"/>
    <w:tmpl w:val="C59C88A2"/>
    <w:lvl w:ilvl="0">
      <w:numFmt w:val="bullet"/>
      <w:lvlText w:val="•"/>
      <w:lvlJc w:val="left"/>
      <w:pPr>
        <w:ind w:left="360" w:hanging="360"/>
      </w:pPr>
      <w:rPr>
        <w:rFonts w:ascii="Calibri" w:eastAsia="Calibri"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1DED4D63"/>
    <w:multiLevelType w:val="multilevel"/>
    <w:tmpl w:val="0CE06A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EFE3A8A"/>
    <w:multiLevelType w:val="multilevel"/>
    <w:tmpl w:val="B31A8F8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1283A83"/>
    <w:multiLevelType w:val="multilevel"/>
    <w:tmpl w:val="08AE6A3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3577C27"/>
    <w:multiLevelType w:val="hybridMultilevel"/>
    <w:tmpl w:val="8990B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15DD4"/>
    <w:multiLevelType w:val="multilevel"/>
    <w:tmpl w:val="D35E5F9E"/>
    <w:styleLink w:val="WWOutlineListStyle8"/>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2A152CB9"/>
    <w:multiLevelType w:val="multilevel"/>
    <w:tmpl w:val="FAE0FE8C"/>
    <w:lvl w:ilvl="0">
      <w:numFmt w:val="bullet"/>
      <w:lvlText w:val=""/>
      <w:lvlJc w:val="left"/>
      <w:pPr>
        <w:ind w:left="2157" w:hanging="360"/>
      </w:pPr>
      <w:rPr>
        <w:rFonts w:ascii="Symbol" w:hAnsi="Symbol"/>
      </w:rPr>
    </w:lvl>
    <w:lvl w:ilvl="1">
      <w:numFmt w:val="bullet"/>
      <w:lvlText w:val="o"/>
      <w:lvlJc w:val="left"/>
      <w:pPr>
        <w:ind w:left="2877" w:hanging="360"/>
      </w:pPr>
      <w:rPr>
        <w:rFonts w:ascii="Courier New" w:hAnsi="Courier New" w:cs="Courier New"/>
      </w:rPr>
    </w:lvl>
    <w:lvl w:ilvl="2">
      <w:numFmt w:val="bullet"/>
      <w:lvlText w:val=""/>
      <w:lvlJc w:val="left"/>
      <w:pPr>
        <w:ind w:left="3597" w:hanging="360"/>
      </w:pPr>
      <w:rPr>
        <w:rFonts w:ascii="Wingdings" w:hAnsi="Wingdings"/>
      </w:rPr>
    </w:lvl>
    <w:lvl w:ilvl="3">
      <w:numFmt w:val="bullet"/>
      <w:lvlText w:val=""/>
      <w:lvlJc w:val="left"/>
      <w:pPr>
        <w:ind w:left="4317" w:hanging="360"/>
      </w:pPr>
      <w:rPr>
        <w:rFonts w:ascii="Symbol" w:hAnsi="Symbol"/>
      </w:rPr>
    </w:lvl>
    <w:lvl w:ilvl="4">
      <w:numFmt w:val="bullet"/>
      <w:lvlText w:val="o"/>
      <w:lvlJc w:val="left"/>
      <w:pPr>
        <w:ind w:left="5037" w:hanging="360"/>
      </w:pPr>
      <w:rPr>
        <w:rFonts w:ascii="Courier New" w:hAnsi="Courier New" w:cs="Courier New"/>
      </w:rPr>
    </w:lvl>
    <w:lvl w:ilvl="5">
      <w:numFmt w:val="bullet"/>
      <w:lvlText w:val=""/>
      <w:lvlJc w:val="left"/>
      <w:pPr>
        <w:ind w:left="5757" w:hanging="360"/>
      </w:pPr>
      <w:rPr>
        <w:rFonts w:ascii="Wingdings" w:hAnsi="Wingdings"/>
      </w:rPr>
    </w:lvl>
    <w:lvl w:ilvl="6">
      <w:numFmt w:val="bullet"/>
      <w:lvlText w:val=""/>
      <w:lvlJc w:val="left"/>
      <w:pPr>
        <w:ind w:left="6477" w:hanging="360"/>
      </w:pPr>
      <w:rPr>
        <w:rFonts w:ascii="Symbol" w:hAnsi="Symbol"/>
      </w:rPr>
    </w:lvl>
    <w:lvl w:ilvl="7">
      <w:numFmt w:val="bullet"/>
      <w:lvlText w:val="o"/>
      <w:lvlJc w:val="left"/>
      <w:pPr>
        <w:ind w:left="7197" w:hanging="360"/>
      </w:pPr>
      <w:rPr>
        <w:rFonts w:ascii="Courier New" w:hAnsi="Courier New" w:cs="Courier New"/>
      </w:rPr>
    </w:lvl>
    <w:lvl w:ilvl="8">
      <w:numFmt w:val="bullet"/>
      <w:lvlText w:val=""/>
      <w:lvlJc w:val="left"/>
      <w:pPr>
        <w:ind w:left="7917" w:hanging="360"/>
      </w:pPr>
      <w:rPr>
        <w:rFonts w:ascii="Wingdings" w:hAnsi="Wingdings"/>
      </w:rPr>
    </w:lvl>
  </w:abstractNum>
  <w:abstractNum w:abstractNumId="15" w15:restartNumberingAfterBreak="0">
    <w:nsid w:val="320361F6"/>
    <w:multiLevelType w:val="multilevel"/>
    <w:tmpl w:val="D6B8D7E2"/>
    <w:lvl w:ilvl="0">
      <w:start w:val="1"/>
      <w:numFmt w:val="decimal"/>
      <w:lvlText w:val="%1."/>
      <w:lvlJc w:val="left"/>
      <w:pPr>
        <w:ind w:left="384" w:hanging="384"/>
      </w:pPr>
    </w:lvl>
    <w:lvl w:ilvl="1">
      <w:start w:val="1"/>
      <w:numFmt w:val="decimal"/>
      <w:lvlText w:val="%1.%2."/>
      <w:lvlJc w:val="left"/>
      <w:pPr>
        <w:ind w:left="1104" w:hanging="720"/>
      </w:pPr>
    </w:lvl>
    <w:lvl w:ilvl="2">
      <w:start w:val="1"/>
      <w:numFmt w:val="decimal"/>
      <w:lvlText w:val="%1.%2.%3."/>
      <w:lvlJc w:val="left"/>
      <w:pPr>
        <w:ind w:left="1848" w:hanging="1080"/>
      </w:pPr>
    </w:lvl>
    <w:lvl w:ilvl="3">
      <w:start w:val="1"/>
      <w:numFmt w:val="decimal"/>
      <w:lvlText w:val="%1.%2.%3.%4."/>
      <w:lvlJc w:val="left"/>
      <w:pPr>
        <w:ind w:left="2232" w:hanging="1080"/>
      </w:pPr>
    </w:lvl>
    <w:lvl w:ilvl="4">
      <w:start w:val="1"/>
      <w:numFmt w:val="decimal"/>
      <w:lvlText w:val="%1.%2.%3.%4.%5."/>
      <w:lvlJc w:val="left"/>
      <w:pPr>
        <w:ind w:left="2976" w:hanging="1440"/>
      </w:pPr>
    </w:lvl>
    <w:lvl w:ilvl="5">
      <w:start w:val="1"/>
      <w:numFmt w:val="decimal"/>
      <w:lvlText w:val="%1.%2.%3.%4.%5.%6."/>
      <w:lvlJc w:val="left"/>
      <w:pPr>
        <w:ind w:left="3720" w:hanging="1800"/>
      </w:pPr>
    </w:lvl>
    <w:lvl w:ilvl="6">
      <w:start w:val="1"/>
      <w:numFmt w:val="decimal"/>
      <w:lvlText w:val="%1.%2.%3.%4.%5.%6.%7."/>
      <w:lvlJc w:val="left"/>
      <w:pPr>
        <w:ind w:left="4104" w:hanging="1800"/>
      </w:pPr>
    </w:lvl>
    <w:lvl w:ilvl="7">
      <w:start w:val="1"/>
      <w:numFmt w:val="decimal"/>
      <w:lvlText w:val="%1.%2.%3.%4.%5.%6.%7.%8."/>
      <w:lvlJc w:val="left"/>
      <w:pPr>
        <w:ind w:left="4848" w:hanging="2160"/>
      </w:pPr>
    </w:lvl>
    <w:lvl w:ilvl="8">
      <w:start w:val="1"/>
      <w:numFmt w:val="decimal"/>
      <w:lvlText w:val="%1.%2.%3.%4.%5.%6.%7.%8.%9."/>
      <w:lvlJc w:val="left"/>
      <w:pPr>
        <w:ind w:left="5592" w:hanging="2520"/>
      </w:pPr>
    </w:lvl>
  </w:abstractNum>
  <w:abstractNum w:abstractNumId="16" w15:restartNumberingAfterBreak="0">
    <w:nsid w:val="39826562"/>
    <w:multiLevelType w:val="multilevel"/>
    <w:tmpl w:val="6A84B5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1423B25"/>
    <w:multiLevelType w:val="multilevel"/>
    <w:tmpl w:val="947032F0"/>
    <w:styleLink w:val="WWOutlineListStyle2"/>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46D5141B"/>
    <w:multiLevelType w:val="multilevel"/>
    <w:tmpl w:val="EAAC5860"/>
    <w:styleLink w:val="WWOutlineListStyle7"/>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46F32620"/>
    <w:multiLevelType w:val="multilevel"/>
    <w:tmpl w:val="8E70DC8C"/>
    <w:styleLink w:val="WWOutlineListStyle3"/>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47A710C6"/>
    <w:multiLevelType w:val="multilevel"/>
    <w:tmpl w:val="52BA20CE"/>
    <w:styleLink w:val="WWOutlineListStyle1"/>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4FDA2BD3"/>
    <w:multiLevelType w:val="multilevel"/>
    <w:tmpl w:val="0E40F39A"/>
    <w:styleLink w:val="WWOutlineListStyle11"/>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590559F9"/>
    <w:multiLevelType w:val="multilevel"/>
    <w:tmpl w:val="2D62541A"/>
    <w:lvl w:ilvl="0">
      <w:start w:val="2"/>
      <w:numFmt w:val="decimal"/>
      <w:lvlText w:val="%1."/>
      <w:lvlJc w:val="left"/>
      <w:pPr>
        <w:ind w:left="456" w:hanging="456"/>
      </w:pPr>
    </w:lvl>
    <w:lvl w:ilvl="1">
      <w:start w:val="1"/>
      <w:numFmt w:val="decimal"/>
      <w:lvlText w:val="%1.%2."/>
      <w:lvlJc w:val="left"/>
      <w:pPr>
        <w:ind w:left="1080" w:hanging="720"/>
      </w:pPr>
      <w:rPr>
        <w:rFonts w:ascii="Calibri" w:hAnsi="Calibri" w:hint="default"/>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3" w15:restartNumberingAfterBreak="0">
    <w:nsid w:val="5C305A71"/>
    <w:multiLevelType w:val="multilevel"/>
    <w:tmpl w:val="D45EAB66"/>
    <w:styleLink w:val="WWOutlineListStyle5"/>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5F212FCC"/>
    <w:multiLevelType w:val="multilevel"/>
    <w:tmpl w:val="D3C823E2"/>
    <w:styleLink w:val="WWOutlineListStyle9"/>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639F18C1"/>
    <w:multiLevelType w:val="multilevel"/>
    <w:tmpl w:val="B32C329C"/>
    <w:styleLink w:val="WWOutlineListStyle"/>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643D47F5"/>
    <w:multiLevelType w:val="multilevel"/>
    <w:tmpl w:val="751AD99C"/>
    <w:styleLink w:val="WWOutlineListStyle6"/>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678A6818"/>
    <w:multiLevelType w:val="multilevel"/>
    <w:tmpl w:val="471C8F06"/>
    <w:lvl w:ilvl="0">
      <w:numFmt w:val="bullet"/>
      <w:lvlText w:val="•"/>
      <w:lvlJc w:val="left"/>
      <w:pPr>
        <w:ind w:left="930" w:hanging="57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A8E24A2"/>
    <w:multiLevelType w:val="multilevel"/>
    <w:tmpl w:val="4CCC86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DD90012"/>
    <w:multiLevelType w:val="multilevel"/>
    <w:tmpl w:val="E08A9BA6"/>
    <w:styleLink w:val="WWOutlineListStyle13"/>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7CDD05C7"/>
    <w:multiLevelType w:val="hybridMultilevel"/>
    <w:tmpl w:val="A90CC6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3F6611"/>
    <w:multiLevelType w:val="multilevel"/>
    <w:tmpl w:val="E53028C8"/>
    <w:styleLink w:val="WWOutlineListStyle14"/>
    <w:lvl w:ilvl="0">
      <w:start w:val="1"/>
      <w:numFmt w:val="decimal"/>
      <w:pStyle w:val="Naslov1"/>
      <w:lvlText w:val="%1."/>
      <w:lvlJc w:val="left"/>
      <w:pPr>
        <w:ind w:left="360" w:hanging="360"/>
      </w:pPr>
    </w:lvl>
    <w:lvl w:ilvl="1">
      <w:start w:val="1"/>
      <w:numFmt w:val="decimal"/>
      <w:pStyle w:val="Naslov2"/>
      <w:lvlText w:val="%2."/>
      <w:lvlJc w:val="left"/>
      <w:pPr>
        <w:ind w:left="360" w:hanging="360"/>
      </w:pPr>
    </w:lvl>
    <w:lvl w:ilvl="2">
      <w:start w:val="1"/>
      <w:numFmt w:val="decimal"/>
      <w:pStyle w:val="Naslov3"/>
      <w:lvlText w:val="%1.%2.%3."/>
      <w:lvlJc w:val="left"/>
      <w:pPr>
        <w:ind w:left="1212" w:hanging="504"/>
      </w:pPr>
    </w:lvl>
    <w:lvl w:ilvl="3">
      <w:start w:val="1"/>
      <w:numFmt w:val="decimal"/>
      <w:pStyle w:val="Naslov4"/>
      <w:lvlText w:val="%1.%2.%3.%4."/>
      <w:lvlJc w:val="left"/>
      <w:pPr>
        <w:ind w:left="1728" w:hanging="648"/>
      </w:pPr>
    </w:lvl>
    <w:lvl w:ilvl="4">
      <w:start w:val="1"/>
      <w:numFmt w:val="decimal"/>
      <w:pStyle w:val="Naslov5"/>
      <w:lvlText w:val="%1.%2.%3.%4.%5."/>
      <w:lvlJc w:val="left"/>
      <w:pPr>
        <w:ind w:left="2232" w:hanging="792"/>
      </w:p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31"/>
  </w:num>
  <w:num w:numId="2">
    <w:abstractNumId w:val="29"/>
  </w:num>
  <w:num w:numId="3">
    <w:abstractNumId w:val="21"/>
  </w:num>
  <w:num w:numId="4">
    <w:abstractNumId w:val="0"/>
  </w:num>
  <w:num w:numId="5">
    <w:abstractNumId w:val="24"/>
  </w:num>
  <w:num w:numId="6">
    <w:abstractNumId w:val="1"/>
  </w:num>
  <w:num w:numId="7">
    <w:abstractNumId w:val="13"/>
  </w:num>
  <w:num w:numId="8">
    <w:abstractNumId w:val="18"/>
  </w:num>
  <w:num w:numId="9">
    <w:abstractNumId w:val="26"/>
  </w:num>
  <w:num w:numId="10">
    <w:abstractNumId w:val="23"/>
  </w:num>
  <w:num w:numId="11">
    <w:abstractNumId w:val="4"/>
  </w:num>
  <w:num w:numId="12">
    <w:abstractNumId w:val="19"/>
  </w:num>
  <w:num w:numId="13">
    <w:abstractNumId w:val="17"/>
  </w:num>
  <w:num w:numId="14">
    <w:abstractNumId w:val="20"/>
  </w:num>
  <w:num w:numId="15">
    <w:abstractNumId w:val="25"/>
  </w:num>
  <w:num w:numId="16">
    <w:abstractNumId w:val="2"/>
  </w:num>
  <w:num w:numId="17">
    <w:abstractNumId w:val="16"/>
  </w:num>
  <w:num w:numId="18">
    <w:abstractNumId w:val="3"/>
  </w:num>
  <w:num w:numId="19">
    <w:abstractNumId w:val="8"/>
  </w:num>
  <w:num w:numId="20">
    <w:abstractNumId w:val="14"/>
  </w:num>
  <w:num w:numId="21">
    <w:abstractNumId w:val="28"/>
  </w:num>
  <w:num w:numId="22">
    <w:abstractNumId w:val="9"/>
  </w:num>
  <w:num w:numId="23">
    <w:abstractNumId w:val="5"/>
  </w:num>
  <w:num w:numId="24">
    <w:abstractNumId w:val="11"/>
  </w:num>
  <w:num w:numId="25">
    <w:abstractNumId w:val="22"/>
  </w:num>
  <w:num w:numId="26">
    <w:abstractNumId w:val="6"/>
  </w:num>
  <w:num w:numId="27">
    <w:abstractNumId w:val="27"/>
  </w:num>
  <w:num w:numId="28">
    <w:abstractNumId w:val="7"/>
  </w:num>
  <w:num w:numId="29">
    <w:abstractNumId w:val="10"/>
  </w:num>
  <w:num w:numId="30">
    <w:abstractNumId w:val="15"/>
  </w:num>
  <w:num w:numId="31">
    <w:abstractNumId w:val="12"/>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A09"/>
    <w:rsid w:val="00001DE2"/>
    <w:rsid w:val="000142CE"/>
    <w:rsid w:val="00025FD3"/>
    <w:rsid w:val="00051BF5"/>
    <w:rsid w:val="00060B04"/>
    <w:rsid w:val="00071B3B"/>
    <w:rsid w:val="00073E3D"/>
    <w:rsid w:val="000B33FA"/>
    <w:rsid w:val="000C55FA"/>
    <w:rsid w:val="000C7E97"/>
    <w:rsid w:val="000D1B6F"/>
    <w:rsid w:val="000D6928"/>
    <w:rsid w:val="000F53EB"/>
    <w:rsid w:val="001137D4"/>
    <w:rsid w:val="001255F2"/>
    <w:rsid w:val="00125FCC"/>
    <w:rsid w:val="00127BE4"/>
    <w:rsid w:val="00147C8E"/>
    <w:rsid w:val="001679CF"/>
    <w:rsid w:val="00175DB5"/>
    <w:rsid w:val="001861AF"/>
    <w:rsid w:val="001B2309"/>
    <w:rsid w:val="001B626A"/>
    <w:rsid w:val="001C0AA8"/>
    <w:rsid w:val="001C7588"/>
    <w:rsid w:val="001C7B36"/>
    <w:rsid w:val="001F4654"/>
    <w:rsid w:val="001F4AEC"/>
    <w:rsid w:val="00212A50"/>
    <w:rsid w:val="002175D1"/>
    <w:rsid w:val="002270C1"/>
    <w:rsid w:val="002271F3"/>
    <w:rsid w:val="00272E32"/>
    <w:rsid w:val="00295734"/>
    <w:rsid w:val="00297036"/>
    <w:rsid w:val="002A6A75"/>
    <w:rsid w:val="002C0176"/>
    <w:rsid w:val="002D0AF4"/>
    <w:rsid w:val="002E7036"/>
    <w:rsid w:val="00331B8C"/>
    <w:rsid w:val="00335563"/>
    <w:rsid w:val="00340D28"/>
    <w:rsid w:val="00344694"/>
    <w:rsid w:val="00346A91"/>
    <w:rsid w:val="00351272"/>
    <w:rsid w:val="00352CB5"/>
    <w:rsid w:val="003543A3"/>
    <w:rsid w:val="00364394"/>
    <w:rsid w:val="00365C42"/>
    <w:rsid w:val="003763B8"/>
    <w:rsid w:val="00396B7E"/>
    <w:rsid w:val="00396DAA"/>
    <w:rsid w:val="003A540F"/>
    <w:rsid w:val="003A5888"/>
    <w:rsid w:val="003A7398"/>
    <w:rsid w:val="003B551B"/>
    <w:rsid w:val="003D4AF8"/>
    <w:rsid w:val="003E3117"/>
    <w:rsid w:val="003E5178"/>
    <w:rsid w:val="003F3794"/>
    <w:rsid w:val="003F6367"/>
    <w:rsid w:val="003F7412"/>
    <w:rsid w:val="00402A0A"/>
    <w:rsid w:val="004124CC"/>
    <w:rsid w:val="00420112"/>
    <w:rsid w:val="00462620"/>
    <w:rsid w:val="0046408A"/>
    <w:rsid w:val="00481222"/>
    <w:rsid w:val="004A1C16"/>
    <w:rsid w:val="004A2CB5"/>
    <w:rsid w:val="004A42D3"/>
    <w:rsid w:val="004B193F"/>
    <w:rsid w:val="004B1CDE"/>
    <w:rsid w:val="004B57B9"/>
    <w:rsid w:val="004D3395"/>
    <w:rsid w:val="004F3DC4"/>
    <w:rsid w:val="00505D75"/>
    <w:rsid w:val="00506ED4"/>
    <w:rsid w:val="00517F54"/>
    <w:rsid w:val="00521B77"/>
    <w:rsid w:val="00552DB4"/>
    <w:rsid w:val="00557693"/>
    <w:rsid w:val="005873EF"/>
    <w:rsid w:val="00591A2F"/>
    <w:rsid w:val="005A2087"/>
    <w:rsid w:val="005A2C31"/>
    <w:rsid w:val="005A4D18"/>
    <w:rsid w:val="005B0779"/>
    <w:rsid w:val="005B0A4D"/>
    <w:rsid w:val="005B1735"/>
    <w:rsid w:val="005D165C"/>
    <w:rsid w:val="005F0D16"/>
    <w:rsid w:val="00603942"/>
    <w:rsid w:val="00624A1A"/>
    <w:rsid w:val="006401E4"/>
    <w:rsid w:val="006424CF"/>
    <w:rsid w:val="006737F1"/>
    <w:rsid w:val="00682E13"/>
    <w:rsid w:val="006833F9"/>
    <w:rsid w:val="00684F0C"/>
    <w:rsid w:val="00693A91"/>
    <w:rsid w:val="00694488"/>
    <w:rsid w:val="006A3FF1"/>
    <w:rsid w:val="006B1987"/>
    <w:rsid w:val="006C32B1"/>
    <w:rsid w:val="006C33A4"/>
    <w:rsid w:val="006D1E54"/>
    <w:rsid w:val="006E43C8"/>
    <w:rsid w:val="0070027C"/>
    <w:rsid w:val="007027E0"/>
    <w:rsid w:val="00705D8D"/>
    <w:rsid w:val="00712B7A"/>
    <w:rsid w:val="00715D7C"/>
    <w:rsid w:val="00716BC5"/>
    <w:rsid w:val="007430B4"/>
    <w:rsid w:val="00745215"/>
    <w:rsid w:val="00746EC9"/>
    <w:rsid w:val="00762218"/>
    <w:rsid w:val="00776A7A"/>
    <w:rsid w:val="007864DD"/>
    <w:rsid w:val="007C1BD0"/>
    <w:rsid w:val="00800DA4"/>
    <w:rsid w:val="00802F94"/>
    <w:rsid w:val="00812664"/>
    <w:rsid w:val="00814CF8"/>
    <w:rsid w:val="00825156"/>
    <w:rsid w:val="00826960"/>
    <w:rsid w:val="00847277"/>
    <w:rsid w:val="008531B6"/>
    <w:rsid w:val="00855F2F"/>
    <w:rsid w:val="00873EFB"/>
    <w:rsid w:val="00892D56"/>
    <w:rsid w:val="008B02F3"/>
    <w:rsid w:val="008B489F"/>
    <w:rsid w:val="008B4E01"/>
    <w:rsid w:val="008B54BC"/>
    <w:rsid w:val="008B70C8"/>
    <w:rsid w:val="008C296D"/>
    <w:rsid w:val="008D4511"/>
    <w:rsid w:val="0091029E"/>
    <w:rsid w:val="0091683F"/>
    <w:rsid w:val="00930B67"/>
    <w:rsid w:val="00941A09"/>
    <w:rsid w:val="009A60A7"/>
    <w:rsid w:val="009D12FC"/>
    <w:rsid w:val="009F2E3A"/>
    <w:rsid w:val="00A02191"/>
    <w:rsid w:val="00A06B2C"/>
    <w:rsid w:val="00A07270"/>
    <w:rsid w:val="00A106C0"/>
    <w:rsid w:val="00A107BF"/>
    <w:rsid w:val="00A10F4A"/>
    <w:rsid w:val="00A228DC"/>
    <w:rsid w:val="00A251D3"/>
    <w:rsid w:val="00A344B7"/>
    <w:rsid w:val="00A42306"/>
    <w:rsid w:val="00A424E4"/>
    <w:rsid w:val="00A469B4"/>
    <w:rsid w:val="00A46AC5"/>
    <w:rsid w:val="00A47DBD"/>
    <w:rsid w:val="00A61944"/>
    <w:rsid w:val="00A62473"/>
    <w:rsid w:val="00A63E34"/>
    <w:rsid w:val="00A774A8"/>
    <w:rsid w:val="00A82D51"/>
    <w:rsid w:val="00A83338"/>
    <w:rsid w:val="00A87FFD"/>
    <w:rsid w:val="00AA6942"/>
    <w:rsid w:val="00AB0465"/>
    <w:rsid w:val="00AC578B"/>
    <w:rsid w:val="00AC598F"/>
    <w:rsid w:val="00AC666D"/>
    <w:rsid w:val="00AC6A11"/>
    <w:rsid w:val="00AE273C"/>
    <w:rsid w:val="00B113C1"/>
    <w:rsid w:val="00B11DFD"/>
    <w:rsid w:val="00B209F9"/>
    <w:rsid w:val="00B2111E"/>
    <w:rsid w:val="00B252F9"/>
    <w:rsid w:val="00B25ABA"/>
    <w:rsid w:val="00B34D17"/>
    <w:rsid w:val="00B41F72"/>
    <w:rsid w:val="00B62401"/>
    <w:rsid w:val="00B75946"/>
    <w:rsid w:val="00B9185A"/>
    <w:rsid w:val="00B93055"/>
    <w:rsid w:val="00BB3BFF"/>
    <w:rsid w:val="00BC5042"/>
    <w:rsid w:val="00BD46FE"/>
    <w:rsid w:val="00BF0C18"/>
    <w:rsid w:val="00C20ED6"/>
    <w:rsid w:val="00C219EC"/>
    <w:rsid w:val="00C25F77"/>
    <w:rsid w:val="00C34537"/>
    <w:rsid w:val="00C3473B"/>
    <w:rsid w:val="00C46494"/>
    <w:rsid w:val="00C53E75"/>
    <w:rsid w:val="00C60A31"/>
    <w:rsid w:val="00C823A1"/>
    <w:rsid w:val="00C879DD"/>
    <w:rsid w:val="00C90047"/>
    <w:rsid w:val="00CC42BC"/>
    <w:rsid w:val="00CD4FDC"/>
    <w:rsid w:val="00CD5CF9"/>
    <w:rsid w:val="00CD742C"/>
    <w:rsid w:val="00CE389B"/>
    <w:rsid w:val="00CF5AF8"/>
    <w:rsid w:val="00CF6FD7"/>
    <w:rsid w:val="00CF712D"/>
    <w:rsid w:val="00D03AB9"/>
    <w:rsid w:val="00D15DE7"/>
    <w:rsid w:val="00D170CE"/>
    <w:rsid w:val="00D176C3"/>
    <w:rsid w:val="00D257AD"/>
    <w:rsid w:val="00D35AD7"/>
    <w:rsid w:val="00D57908"/>
    <w:rsid w:val="00D60BBC"/>
    <w:rsid w:val="00D80A2D"/>
    <w:rsid w:val="00D836D6"/>
    <w:rsid w:val="00D854AF"/>
    <w:rsid w:val="00D9627E"/>
    <w:rsid w:val="00DA3C6D"/>
    <w:rsid w:val="00DB4531"/>
    <w:rsid w:val="00DB7F74"/>
    <w:rsid w:val="00DC0962"/>
    <w:rsid w:val="00DD0C50"/>
    <w:rsid w:val="00DD148D"/>
    <w:rsid w:val="00DD4F2D"/>
    <w:rsid w:val="00DE3125"/>
    <w:rsid w:val="00DE579F"/>
    <w:rsid w:val="00DF0ADC"/>
    <w:rsid w:val="00E04953"/>
    <w:rsid w:val="00E06361"/>
    <w:rsid w:val="00E06D0E"/>
    <w:rsid w:val="00E120E0"/>
    <w:rsid w:val="00E23219"/>
    <w:rsid w:val="00E35DB8"/>
    <w:rsid w:val="00E377CE"/>
    <w:rsid w:val="00E560EC"/>
    <w:rsid w:val="00E5678C"/>
    <w:rsid w:val="00E623F7"/>
    <w:rsid w:val="00E67CD5"/>
    <w:rsid w:val="00E70470"/>
    <w:rsid w:val="00EA704E"/>
    <w:rsid w:val="00EB2E84"/>
    <w:rsid w:val="00EB4698"/>
    <w:rsid w:val="00EC0870"/>
    <w:rsid w:val="00EC70ED"/>
    <w:rsid w:val="00ED5438"/>
    <w:rsid w:val="00ED7E74"/>
    <w:rsid w:val="00EE10B3"/>
    <w:rsid w:val="00EE578D"/>
    <w:rsid w:val="00EE7972"/>
    <w:rsid w:val="00EF4E8B"/>
    <w:rsid w:val="00F00774"/>
    <w:rsid w:val="00F11E39"/>
    <w:rsid w:val="00F26C8C"/>
    <w:rsid w:val="00F32D1A"/>
    <w:rsid w:val="00F42160"/>
    <w:rsid w:val="00F4427A"/>
    <w:rsid w:val="00F74EE2"/>
    <w:rsid w:val="00F928A6"/>
    <w:rsid w:val="00F9297B"/>
    <w:rsid w:val="00FA3872"/>
    <w:rsid w:val="00FB3C24"/>
    <w:rsid w:val="00FC632D"/>
    <w:rsid w:val="00FD6031"/>
    <w:rsid w:val="00FD6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6B7A1"/>
  <w15:docId w15:val="{5348245B-F3D0-4D4A-B591-41BCD3C8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F7412"/>
    <w:pPr>
      <w:suppressAutoHyphens/>
      <w:autoSpaceDN w:val="0"/>
      <w:spacing w:line="240" w:lineRule="auto"/>
      <w:textAlignment w:val="baseline"/>
    </w:pPr>
    <w:rPr>
      <w:rFonts w:ascii="Calibri" w:eastAsia="Calibri" w:hAnsi="Calibri" w:cs="Times New Roman"/>
      <w:lang w:val="en-GB"/>
    </w:rPr>
  </w:style>
  <w:style w:type="paragraph" w:styleId="Heading1">
    <w:name w:val="heading 1"/>
    <w:basedOn w:val="Normal"/>
    <w:next w:val="Normal"/>
    <w:link w:val="Heading1Char"/>
    <w:rsid w:val="003F7412"/>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rsid w:val="003F7412"/>
    <w:pPr>
      <w:keepNext/>
      <w:keepLines/>
      <w:spacing w:before="40" w:after="0"/>
      <w:outlineLvl w:val="1"/>
    </w:pPr>
    <w:rPr>
      <w:rFonts w:ascii="Calibri Light" w:eastAsia="Times New Roman" w:hAnsi="Calibri Light"/>
      <w:color w:val="2F5496"/>
      <w:sz w:val="30"/>
      <w:szCs w:val="26"/>
    </w:rPr>
  </w:style>
  <w:style w:type="paragraph" w:styleId="Heading3">
    <w:name w:val="heading 3"/>
    <w:basedOn w:val="Normal"/>
    <w:next w:val="Normal"/>
    <w:link w:val="Heading3Char"/>
    <w:rsid w:val="003F7412"/>
    <w:pPr>
      <w:keepNext/>
      <w:keepLines/>
      <w:spacing w:before="40" w:after="0"/>
      <w:outlineLvl w:val="2"/>
    </w:pPr>
    <w:rPr>
      <w:rFonts w:ascii="Calibri Light" w:eastAsia="Times New Roman" w:hAnsi="Calibri Light"/>
      <w:color w:val="1F3763"/>
      <w:sz w:val="28"/>
      <w:szCs w:val="24"/>
    </w:rPr>
  </w:style>
  <w:style w:type="paragraph" w:styleId="Heading4">
    <w:name w:val="heading 4"/>
    <w:basedOn w:val="Normal"/>
    <w:next w:val="Normal"/>
    <w:link w:val="Heading4Char"/>
    <w:rsid w:val="003F7412"/>
    <w:pPr>
      <w:keepNext/>
      <w:keepLines/>
      <w:spacing w:before="40" w:after="0"/>
      <w:outlineLvl w:val="3"/>
    </w:pPr>
    <w:rPr>
      <w:rFonts w:ascii="Calibri Light" w:eastAsia="Times New Roman" w:hAnsi="Calibri Light"/>
      <w:i/>
      <w:iCs/>
      <w:color w:val="2F5496"/>
    </w:rPr>
  </w:style>
  <w:style w:type="paragraph" w:styleId="Heading5">
    <w:name w:val="heading 5"/>
    <w:basedOn w:val="Normal"/>
    <w:next w:val="Normal"/>
    <w:link w:val="Heading5Char"/>
    <w:rsid w:val="003F7412"/>
    <w:pPr>
      <w:keepNext/>
      <w:keepLines/>
      <w:spacing w:before="40" w:after="0"/>
      <w:outlineLvl w:val="4"/>
    </w:pPr>
    <w:rPr>
      <w:rFonts w:ascii="Calibri Light" w:eastAsia="Times New Roman" w:hAnsi="Calibri Light"/>
      <w:color w:val="2F5496"/>
    </w:rPr>
  </w:style>
  <w:style w:type="paragraph" w:styleId="Heading6">
    <w:name w:val="heading 6"/>
    <w:basedOn w:val="Normal"/>
    <w:next w:val="Normal"/>
    <w:link w:val="Heading6Char"/>
    <w:uiPriority w:val="9"/>
    <w:unhideWhenUsed/>
    <w:qFormat/>
    <w:rsid w:val="00A0727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A0727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412"/>
    <w:rPr>
      <w:rFonts w:ascii="Calibri Light" w:eastAsia="Times New Roman" w:hAnsi="Calibri Light" w:cs="Times New Roman"/>
      <w:color w:val="2F5496"/>
      <w:sz w:val="32"/>
      <w:szCs w:val="32"/>
      <w:lang w:val="en-GB"/>
    </w:rPr>
  </w:style>
  <w:style w:type="character" w:customStyle="1" w:styleId="Heading2Char">
    <w:name w:val="Heading 2 Char"/>
    <w:basedOn w:val="DefaultParagraphFont"/>
    <w:link w:val="Heading2"/>
    <w:rsid w:val="003F7412"/>
    <w:rPr>
      <w:rFonts w:ascii="Calibri Light" w:eastAsia="Times New Roman" w:hAnsi="Calibri Light" w:cs="Times New Roman"/>
      <w:color w:val="2F5496"/>
      <w:sz w:val="30"/>
      <w:szCs w:val="26"/>
      <w:lang w:val="en-GB"/>
    </w:rPr>
  </w:style>
  <w:style w:type="character" w:customStyle="1" w:styleId="Heading3Char">
    <w:name w:val="Heading 3 Char"/>
    <w:basedOn w:val="DefaultParagraphFont"/>
    <w:link w:val="Heading3"/>
    <w:rsid w:val="003F7412"/>
    <w:rPr>
      <w:rFonts w:ascii="Calibri Light" w:eastAsia="Times New Roman" w:hAnsi="Calibri Light" w:cs="Times New Roman"/>
      <w:color w:val="1F3763"/>
      <w:sz w:val="28"/>
      <w:szCs w:val="24"/>
      <w:lang w:val="en-GB"/>
    </w:rPr>
  </w:style>
  <w:style w:type="character" w:customStyle="1" w:styleId="Heading4Char">
    <w:name w:val="Heading 4 Char"/>
    <w:basedOn w:val="DefaultParagraphFont"/>
    <w:link w:val="Heading4"/>
    <w:rsid w:val="003F7412"/>
    <w:rPr>
      <w:rFonts w:ascii="Calibri Light" w:eastAsia="Times New Roman" w:hAnsi="Calibri Light" w:cs="Times New Roman"/>
      <w:i/>
      <w:iCs/>
      <w:color w:val="2F5496"/>
      <w:lang w:val="en-GB"/>
    </w:rPr>
  </w:style>
  <w:style w:type="character" w:customStyle="1" w:styleId="Heading5Char">
    <w:name w:val="Heading 5 Char"/>
    <w:basedOn w:val="DefaultParagraphFont"/>
    <w:link w:val="Heading5"/>
    <w:rsid w:val="003F7412"/>
    <w:rPr>
      <w:rFonts w:ascii="Calibri Light" w:eastAsia="Times New Roman" w:hAnsi="Calibri Light" w:cs="Times New Roman"/>
      <w:color w:val="2F5496"/>
      <w:lang w:val="en-GB"/>
    </w:rPr>
  </w:style>
  <w:style w:type="numbering" w:customStyle="1" w:styleId="WWOutlineListStyle14">
    <w:name w:val="WW_OutlineListStyle_14"/>
    <w:basedOn w:val="NoList"/>
    <w:rsid w:val="003F7412"/>
    <w:pPr>
      <w:numPr>
        <w:numId w:val="1"/>
      </w:numPr>
    </w:pPr>
  </w:style>
  <w:style w:type="paragraph" w:customStyle="1" w:styleId="Naslov1">
    <w:name w:val="Naslov 1+"/>
    <w:basedOn w:val="Heading1"/>
    <w:next w:val="Normal"/>
    <w:autoRedefine/>
    <w:rsid w:val="003F7412"/>
    <w:pPr>
      <w:pageBreakBefore/>
      <w:numPr>
        <w:numId w:val="1"/>
      </w:numPr>
      <w:pBdr>
        <w:top w:val="single" w:sz="48" w:space="0" w:color="F5C1C6"/>
        <w:left w:val="single" w:sz="48" w:space="0" w:color="F5C1C6"/>
        <w:bottom w:val="single" w:sz="48" w:space="0" w:color="F5C1C6"/>
        <w:right w:val="single" w:sz="48" w:space="0" w:color="F5C1C6"/>
      </w:pBdr>
      <w:tabs>
        <w:tab w:val="left" w:pos="-4320"/>
      </w:tabs>
      <w:autoSpaceDE w:val="0"/>
      <w:spacing w:before="120" w:after="240"/>
      <w:jc w:val="both"/>
      <w:textAlignment w:val="auto"/>
    </w:pPr>
    <w:rPr>
      <w:rFonts w:ascii="Tahoma" w:hAnsi="Tahoma" w:cs="Tahoma"/>
      <w:iCs/>
      <w:caps/>
      <w:color w:val="BE1D2D"/>
      <w:sz w:val="48"/>
      <w:szCs w:val="48"/>
      <w:lang w:val="hr-HR" w:eastAsia="hr-HR"/>
    </w:rPr>
  </w:style>
  <w:style w:type="paragraph" w:customStyle="1" w:styleId="Naslov2">
    <w:name w:val="Naslov 2+"/>
    <w:basedOn w:val="Heading2"/>
    <w:next w:val="Normal"/>
    <w:autoRedefine/>
    <w:rsid w:val="003F7412"/>
    <w:pPr>
      <w:numPr>
        <w:ilvl w:val="1"/>
        <w:numId w:val="1"/>
      </w:numPr>
      <w:autoSpaceDE w:val="0"/>
      <w:spacing w:before="360" w:after="120"/>
      <w:jc w:val="both"/>
      <w:textAlignment w:val="auto"/>
    </w:pPr>
    <w:rPr>
      <w:rFonts w:ascii="Tahoma" w:hAnsi="Tahoma" w:cs="Tahoma"/>
      <w:caps/>
      <w:color w:val="1F3864"/>
      <w:sz w:val="28"/>
      <w:szCs w:val="36"/>
      <w:lang w:eastAsia="hr-HR"/>
    </w:rPr>
  </w:style>
  <w:style w:type="paragraph" w:customStyle="1" w:styleId="Naslov3">
    <w:name w:val="Naslov 3+"/>
    <w:basedOn w:val="Heading3"/>
    <w:next w:val="Normal"/>
    <w:autoRedefine/>
    <w:rsid w:val="003F7412"/>
    <w:pPr>
      <w:numPr>
        <w:ilvl w:val="2"/>
        <w:numId w:val="1"/>
      </w:numPr>
      <w:suppressAutoHyphens w:val="0"/>
      <w:autoSpaceDE w:val="0"/>
      <w:spacing w:before="240" w:after="120" w:line="288" w:lineRule="auto"/>
      <w:jc w:val="both"/>
      <w:textAlignment w:val="auto"/>
    </w:pPr>
    <w:rPr>
      <w:rFonts w:ascii="Tahoma" w:hAnsi="Tahoma" w:cs="Myriad Pro"/>
      <w:b/>
      <w:bCs/>
      <w:iCs/>
      <w:color w:val="BE1D2D"/>
      <w:lang w:eastAsia="hr-HR"/>
    </w:rPr>
  </w:style>
  <w:style w:type="paragraph" w:customStyle="1" w:styleId="Naslov4">
    <w:name w:val="Naslov 4+"/>
    <w:basedOn w:val="Heading4"/>
    <w:next w:val="Normal"/>
    <w:autoRedefine/>
    <w:rsid w:val="003F7412"/>
    <w:pPr>
      <w:numPr>
        <w:ilvl w:val="3"/>
        <w:numId w:val="1"/>
      </w:numPr>
      <w:tabs>
        <w:tab w:val="left" w:pos="-22104"/>
      </w:tabs>
      <w:spacing w:before="240" w:after="120"/>
      <w:textAlignment w:val="auto"/>
    </w:pPr>
    <w:rPr>
      <w:rFonts w:ascii="Tahoma" w:hAnsi="Tahoma"/>
      <w:i w:val="0"/>
      <w:iCs w:val="0"/>
      <w:color w:val="BE1D2D"/>
      <w:kern w:val="3"/>
      <w:szCs w:val="20"/>
      <w:lang w:val="hr-HR" w:eastAsia="de-DE"/>
    </w:rPr>
  </w:style>
  <w:style w:type="paragraph" w:customStyle="1" w:styleId="Naslov5">
    <w:name w:val="Naslov 5+"/>
    <w:basedOn w:val="Heading5"/>
    <w:next w:val="Normal"/>
    <w:autoRedefine/>
    <w:rsid w:val="003F7412"/>
    <w:pPr>
      <w:numPr>
        <w:ilvl w:val="4"/>
        <w:numId w:val="1"/>
      </w:numPr>
      <w:tabs>
        <w:tab w:val="left" w:pos="-28656"/>
      </w:tabs>
      <w:spacing w:before="240" w:after="120"/>
      <w:textAlignment w:val="auto"/>
    </w:pPr>
    <w:rPr>
      <w:rFonts w:ascii="Tahoma" w:hAnsi="Tahoma" w:cs="Tahoma"/>
      <w:i/>
      <w:color w:val="BE1D2D"/>
      <w:sz w:val="20"/>
      <w:szCs w:val="24"/>
      <w:lang w:val="hr-HR" w:eastAsia="de-DE"/>
    </w:rPr>
  </w:style>
  <w:style w:type="paragraph" w:styleId="ListParagraph">
    <w:name w:val="List Paragraph"/>
    <w:basedOn w:val="Normal"/>
    <w:rsid w:val="003F7412"/>
    <w:pPr>
      <w:ind w:left="720"/>
    </w:pPr>
  </w:style>
  <w:style w:type="paragraph" w:styleId="FootnoteText">
    <w:name w:val="footnote text"/>
    <w:basedOn w:val="Normal"/>
    <w:link w:val="FootnoteTextChar"/>
    <w:rsid w:val="003F7412"/>
    <w:pPr>
      <w:spacing w:after="0"/>
    </w:pPr>
    <w:rPr>
      <w:sz w:val="20"/>
      <w:szCs w:val="20"/>
    </w:rPr>
  </w:style>
  <w:style w:type="character" w:customStyle="1" w:styleId="FootnoteTextChar">
    <w:name w:val="Footnote Text Char"/>
    <w:basedOn w:val="DefaultParagraphFont"/>
    <w:link w:val="FootnoteText"/>
    <w:rsid w:val="003F7412"/>
    <w:rPr>
      <w:rFonts w:ascii="Calibri" w:eastAsia="Calibri" w:hAnsi="Calibri" w:cs="Times New Roman"/>
      <w:sz w:val="20"/>
      <w:szCs w:val="20"/>
      <w:lang w:val="en-GB"/>
    </w:rPr>
  </w:style>
  <w:style w:type="character" w:styleId="FootnoteReference">
    <w:name w:val="footnote reference"/>
    <w:basedOn w:val="DefaultParagraphFont"/>
    <w:rsid w:val="003F7412"/>
    <w:rPr>
      <w:position w:val="0"/>
      <w:vertAlign w:val="superscript"/>
    </w:rPr>
  </w:style>
  <w:style w:type="character" w:styleId="Hyperlink">
    <w:name w:val="Hyperlink"/>
    <w:basedOn w:val="DefaultParagraphFont"/>
    <w:uiPriority w:val="99"/>
    <w:rsid w:val="003F7412"/>
    <w:rPr>
      <w:color w:val="0563C1"/>
      <w:u w:val="single"/>
    </w:rPr>
  </w:style>
  <w:style w:type="character" w:customStyle="1" w:styleId="UnresolvedMention1">
    <w:name w:val="Unresolved Mention1"/>
    <w:basedOn w:val="DefaultParagraphFont"/>
    <w:rsid w:val="003F7412"/>
    <w:rPr>
      <w:color w:val="605E5C"/>
      <w:shd w:val="clear" w:color="auto" w:fill="E1DFDD"/>
    </w:rPr>
  </w:style>
  <w:style w:type="character" w:customStyle="1" w:styleId="webbibref">
    <w:name w:val="web_bibref"/>
    <w:basedOn w:val="DefaultParagraphFont"/>
    <w:rsid w:val="003F7412"/>
  </w:style>
  <w:style w:type="paragraph" w:styleId="NormalWeb">
    <w:name w:val="Normal (Web)"/>
    <w:basedOn w:val="Normal"/>
    <w:uiPriority w:val="99"/>
    <w:rsid w:val="003F7412"/>
    <w:pPr>
      <w:spacing w:before="100" w:after="100"/>
    </w:pPr>
    <w:rPr>
      <w:rFonts w:ascii="Times New Roman" w:eastAsia="Times New Roman" w:hAnsi="Times New Roman"/>
      <w:sz w:val="24"/>
      <w:szCs w:val="24"/>
      <w:lang w:eastAsia="en-GB"/>
    </w:rPr>
  </w:style>
  <w:style w:type="character" w:styleId="FollowedHyperlink">
    <w:name w:val="FollowedHyperlink"/>
    <w:basedOn w:val="DefaultParagraphFont"/>
    <w:rsid w:val="003F7412"/>
    <w:rPr>
      <w:color w:val="954F72"/>
      <w:u w:val="single"/>
    </w:rPr>
  </w:style>
  <w:style w:type="paragraph" w:styleId="BodyText">
    <w:name w:val="Body Text"/>
    <w:basedOn w:val="Normal"/>
    <w:link w:val="BodyTextChar"/>
    <w:rsid w:val="003F7412"/>
    <w:pPr>
      <w:widowControl w:val="0"/>
      <w:suppressAutoHyphens w:val="0"/>
      <w:autoSpaceDE w:val="0"/>
      <w:spacing w:after="0"/>
      <w:textAlignment w:val="auto"/>
    </w:pPr>
    <w:rPr>
      <w:rFonts w:cs="Calibri"/>
      <w:sz w:val="24"/>
      <w:szCs w:val="24"/>
      <w:lang w:val="hr-HR"/>
    </w:rPr>
  </w:style>
  <w:style w:type="character" w:customStyle="1" w:styleId="BodyTextChar">
    <w:name w:val="Body Text Char"/>
    <w:basedOn w:val="DefaultParagraphFont"/>
    <w:link w:val="BodyText"/>
    <w:rsid w:val="003F7412"/>
    <w:rPr>
      <w:rFonts w:ascii="Calibri" w:eastAsia="Calibri" w:hAnsi="Calibri" w:cs="Calibri"/>
      <w:sz w:val="24"/>
      <w:szCs w:val="24"/>
      <w:lang w:val="hr-HR"/>
    </w:rPr>
  </w:style>
  <w:style w:type="paragraph" w:customStyle="1" w:styleId="TableParagraph">
    <w:name w:val="Table Paragraph"/>
    <w:basedOn w:val="Normal"/>
    <w:rsid w:val="003F7412"/>
    <w:pPr>
      <w:widowControl w:val="0"/>
      <w:suppressAutoHyphens w:val="0"/>
      <w:autoSpaceDE w:val="0"/>
      <w:spacing w:after="0"/>
      <w:jc w:val="center"/>
      <w:textAlignment w:val="auto"/>
    </w:pPr>
    <w:rPr>
      <w:rFonts w:cs="Calibri"/>
      <w:lang w:val="hr-HR"/>
    </w:rPr>
  </w:style>
  <w:style w:type="character" w:customStyle="1" w:styleId="mw-headline">
    <w:name w:val="mw-headline"/>
    <w:basedOn w:val="DefaultParagraphFont"/>
    <w:rsid w:val="003F7412"/>
  </w:style>
  <w:style w:type="paragraph" w:styleId="Caption">
    <w:name w:val="caption"/>
    <w:basedOn w:val="Normal"/>
    <w:next w:val="Normal"/>
    <w:rsid w:val="003F7412"/>
    <w:pPr>
      <w:suppressAutoHyphens w:val="0"/>
      <w:spacing w:before="120" w:after="60"/>
      <w:jc w:val="both"/>
      <w:textAlignment w:val="auto"/>
    </w:pPr>
    <w:rPr>
      <w:rFonts w:ascii="Tahoma" w:eastAsia="Times New Roman" w:hAnsi="Tahoma" w:cs="Myriad Pro"/>
      <w:i/>
      <w:iCs/>
      <w:sz w:val="16"/>
      <w:szCs w:val="18"/>
      <w:lang w:val="hr-HR" w:eastAsia="de-DE"/>
    </w:rPr>
  </w:style>
  <w:style w:type="character" w:customStyle="1" w:styleId="ListParagraphChar">
    <w:name w:val="List Paragraph Char"/>
    <w:basedOn w:val="DefaultParagraphFont"/>
    <w:rsid w:val="003F7412"/>
  </w:style>
  <w:style w:type="character" w:customStyle="1" w:styleId="Naslov3Char">
    <w:name w:val="Naslov 3+ Char"/>
    <w:basedOn w:val="DefaultParagraphFont"/>
    <w:rsid w:val="003F7412"/>
    <w:rPr>
      <w:rFonts w:ascii="Tahoma" w:eastAsia="Times New Roman" w:hAnsi="Tahoma" w:cs="Myriad Pro"/>
      <w:b/>
      <w:bCs/>
      <w:iCs/>
      <w:color w:val="BE1D2D"/>
      <w:sz w:val="24"/>
      <w:szCs w:val="24"/>
      <w:lang w:eastAsia="hr-HR"/>
    </w:rPr>
  </w:style>
  <w:style w:type="paragraph" w:customStyle="1" w:styleId="Broj2">
    <w:name w:val="Broj 2"/>
    <w:basedOn w:val="ListParagraph"/>
    <w:rsid w:val="003F7412"/>
    <w:pPr>
      <w:keepLines/>
      <w:tabs>
        <w:tab w:val="left" w:pos="360"/>
      </w:tabs>
      <w:spacing w:before="60" w:after="60"/>
      <w:ind w:left="1276" w:hanging="425"/>
      <w:jc w:val="both"/>
      <w:textAlignment w:val="auto"/>
    </w:pPr>
    <w:rPr>
      <w:rFonts w:ascii="Tahoma" w:eastAsia="Times New Roman" w:hAnsi="Tahoma" w:cs="Myriad Pro"/>
      <w:sz w:val="20"/>
      <w:szCs w:val="24"/>
      <w:lang w:eastAsia="hr-HR"/>
    </w:rPr>
  </w:style>
  <w:style w:type="paragraph" w:styleId="Subtitle">
    <w:name w:val="Subtitle"/>
    <w:basedOn w:val="Normal"/>
    <w:next w:val="Normal"/>
    <w:link w:val="SubtitleChar"/>
    <w:rsid w:val="003F7412"/>
    <w:rPr>
      <w:rFonts w:ascii="Candara" w:eastAsia="Times New Roman" w:hAnsi="Candara"/>
      <w:color w:val="1F3864"/>
      <w:spacing w:val="15"/>
      <w:sz w:val="28"/>
    </w:rPr>
  </w:style>
  <w:style w:type="character" w:customStyle="1" w:styleId="SubtitleChar">
    <w:name w:val="Subtitle Char"/>
    <w:basedOn w:val="DefaultParagraphFont"/>
    <w:link w:val="Subtitle"/>
    <w:rsid w:val="003F7412"/>
    <w:rPr>
      <w:rFonts w:ascii="Candara" w:eastAsia="Times New Roman" w:hAnsi="Candara" w:cs="Times New Roman"/>
      <w:color w:val="1F3864"/>
      <w:spacing w:val="15"/>
      <w:sz w:val="28"/>
      <w:lang w:val="en-GB"/>
    </w:rPr>
  </w:style>
  <w:style w:type="paragraph" w:styleId="TOCHeading">
    <w:name w:val="TOC Heading"/>
    <w:basedOn w:val="Heading1"/>
    <w:next w:val="Normal"/>
    <w:rsid w:val="003F7412"/>
    <w:pPr>
      <w:suppressAutoHyphens w:val="0"/>
      <w:textAlignment w:val="auto"/>
    </w:pPr>
    <w:rPr>
      <w:lang w:val="en-US"/>
    </w:rPr>
  </w:style>
  <w:style w:type="paragraph" w:styleId="TOC1">
    <w:name w:val="toc 1"/>
    <w:basedOn w:val="Normal"/>
    <w:next w:val="Normal"/>
    <w:autoRedefine/>
    <w:uiPriority w:val="39"/>
    <w:rsid w:val="003F7412"/>
    <w:pPr>
      <w:spacing w:after="100"/>
    </w:pPr>
  </w:style>
  <w:style w:type="paragraph" w:styleId="TOC2">
    <w:name w:val="toc 2"/>
    <w:basedOn w:val="Normal"/>
    <w:next w:val="Normal"/>
    <w:autoRedefine/>
    <w:uiPriority w:val="39"/>
    <w:rsid w:val="003F7412"/>
    <w:pPr>
      <w:spacing w:after="100"/>
      <w:ind w:left="220"/>
    </w:pPr>
  </w:style>
  <w:style w:type="paragraph" w:styleId="TOC3">
    <w:name w:val="toc 3"/>
    <w:basedOn w:val="Normal"/>
    <w:next w:val="Normal"/>
    <w:autoRedefine/>
    <w:uiPriority w:val="39"/>
    <w:rsid w:val="003F7412"/>
    <w:pPr>
      <w:spacing w:after="100"/>
      <w:ind w:left="440"/>
    </w:pPr>
  </w:style>
  <w:style w:type="paragraph" w:styleId="BalloonText">
    <w:name w:val="Balloon Text"/>
    <w:basedOn w:val="Normal"/>
    <w:link w:val="BalloonTextChar"/>
    <w:rsid w:val="003F7412"/>
    <w:pPr>
      <w:spacing w:after="0"/>
    </w:pPr>
    <w:rPr>
      <w:rFonts w:ascii="Tahoma" w:hAnsi="Tahoma" w:cs="Tahoma"/>
      <w:sz w:val="16"/>
      <w:szCs w:val="16"/>
    </w:rPr>
  </w:style>
  <w:style w:type="character" w:customStyle="1" w:styleId="BalloonTextChar">
    <w:name w:val="Balloon Text Char"/>
    <w:basedOn w:val="DefaultParagraphFont"/>
    <w:link w:val="BalloonText"/>
    <w:rsid w:val="003F7412"/>
    <w:rPr>
      <w:rFonts w:ascii="Tahoma" w:eastAsia="Calibri" w:hAnsi="Tahoma" w:cs="Tahoma"/>
      <w:sz w:val="16"/>
      <w:szCs w:val="16"/>
      <w:lang w:val="en-GB"/>
    </w:rPr>
  </w:style>
  <w:style w:type="character" w:styleId="Emphasis">
    <w:name w:val="Emphasis"/>
    <w:basedOn w:val="DefaultParagraphFont"/>
    <w:rsid w:val="003F7412"/>
    <w:rPr>
      <w:i/>
      <w:iCs/>
    </w:rPr>
  </w:style>
  <w:style w:type="character" w:styleId="SubtleEmphasis">
    <w:name w:val="Subtle Emphasis"/>
    <w:basedOn w:val="DefaultParagraphFont"/>
    <w:rsid w:val="003F7412"/>
    <w:rPr>
      <w:i/>
      <w:iCs/>
      <w:color w:val="404040"/>
    </w:rPr>
  </w:style>
  <w:style w:type="character" w:customStyle="1" w:styleId="10normalChar">
    <w:name w:val="10 normal Char"/>
    <w:rsid w:val="003F7412"/>
    <w:rPr>
      <w:rFonts w:ascii="Arial" w:hAnsi="Arial" w:cs="Times"/>
      <w:sz w:val="20"/>
      <w:lang w:bidi="en-US"/>
    </w:rPr>
  </w:style>
  <w:style w:type="paragraph" w:customStyle="1" w:styleId="9tabelabodytext">
    <w:name w:val="9.tabela body text"/>
    <w:basedOn w:val="Normal"/>
    <w:rsid w:val="003F7412"/>
    <w:pPr>
      <w:suppressAutoHyphens w:val="0"/>
      <w:spacing w:after="0"/>
      <w:ind w:left="57" w:right="57"/>
      <w:jc w:val="both"/>
      <w:textAlignment w:val="auto"/>
    </w:pPr>
    <w:rPr>
      <w:rFonts w:ascii="Arial Narrow" w:hAnsi="Arial Narrow"/>
      <w:sz w:val="18"/>
      <w:lang w:val="en-US"/>
    </w:rPr>
  </w:style>
  <w:style w:type="paragraph" w:customStyle="1" w:styleId="10normal">
    <w:name w:val="10 normal"/>
    <w:basedOn w:val="Normal"/>
    <w:rsid w:val="003F7412"/>
    <w:pPr>
      <w:widowControl w:val="0"/>
      <w:suppressAutoHyphens w:val="0"/>
      <w:spacing w:after="0"/>
      <w:jc w:val="both"/>
      <w:textAlignment w:val="auto"/>
    </w:pPr>
    <w:rPr>
      <w:rFonts w:ascii="Arial" w:hAnsi="Arial" w:cs="Times"/>
      <w:sz w:val="20"/>
      <w:lang w:bidi="en-US"/>
    </w:rPr>
  </w:style>
  <w:style w:type="paragraph" w:customStyle="1" w:styleId="Default">
    <w:name w:val="Default"/>
    <w:rsid w:val="003F7412"/>
    <w:pPr>
      <w:autoSpaceDE w:val="0"/>
      <w:autoSpaceDN w:val="0"/>
      <w:spacing w:after="0" w:line="240" w:lineRule="auto"/>
    </w:pPr>
    <w:rPr>
      <w:rFonts w:ascii="Inter" w:eastAsia="Calibri" w:hAnsi="Inter" w:cs="Inter"/>
      <w:color w:val="000000"/>
      <w:sz w:val="24"/>
      <w:szCs w:val="24"/>
    </w:rPr>
  </w:style>
  <w:style w:type="paragraph" w:customStyle="1" w:styleId="Pa5">
    <w:name w:val="Pa5"/>
    <w:basedOn w:val="Default"/>
    <w:next w:val="Default"/>
    <w:rsid w:val="003F7412"/>
    <w:pPr>
      <w:spacing w:line="201" w:lineRule="atLeast"/>
    </w:pPr>
    <w:rPr>
      <w:rFonts w:cs="Times New Roman"/>
      <w:color w:val="auto"/>
    </w:rPr>
  </w:style>
  <w:style w:type="character" w:customStyle="1" w:styleId="A6">
    <w:name w:val="A6"/>
    <w:rsid w:val="003F7412"/>
    <w:rPr>
      <w:rFonts w:cs="Inter"/>
      <w:color w:val="000000"/>
      <w:sz w:val="11"/>
      <w:szCs w:val="11"/>
    </w:rPr>
  </w:style>
  <w:style w:type="character" w:styleId="PlaceholderText">
    <w:name w:val="Placeholder Text"/>
    <w:basedOn w:val="DefaultParagraphFont"/>
    <w:rsid w:val="003F7412"/>
    <w:rPr>
      <w:color w:val="808080"/>
    </w:rPr>
  </w:style>
  <w:style w:type="paragraph" w:styleId="IntenseQuote">
    <w:name w:val="Intense Quote"/>
    <w:basedOn w:val="Normal"/>
    <w:next w:val="Normal"/>
    <w:link w:val="IntenseQuoteChar"/>
    <w:rsid w:val="003F7412"/>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basedOn w:val="DefaultParagraphFont"/>
    <w:link w:val="IntenseQuote"/>
    <w:rsid w:val="003F7412"/>
    <w:rPr>
      <w:rFonts w:ascii="Calibri" w:eastAsia="Calibri" w:hAnsi="Calibri" w:cs="Times New Roman"/>
      <w:i/>
      <w:iCs/>
      <w:color w:val="4472C4"/>
      <w:lang w:val="en-GB"/>
    </w:rPr>
  </w:style>
  <w:style w:type="character" w:styleId="SubtleReference">
    <w:name w:val="Subtle Reference"/>
    <w:basedOn w:val="DefaultParagraphFont"/>
    <w:rsid w:val="003F7412"/>
    <w:rPr>
      <w:smallCaps/>
      <w:color w:val="5A5A5A"/>
    </w:rPr>
  </w:style>
  <w:style w:type="paragraph" w:customStyle="1" w:styleId="Analizanaslov">
    <w:name w:val="Analiza naslov"/>
    <w:basedOn w:val="Subtitle"/>
    <w:rsid w:val="003F7412"/>
    <w:rPr>
      <w:color w:val="8EAADB"/>
    </w:rPr>
  </w:style>
  <w:style w:type="character" w:styleId="IntenseEmphasis">
    <w:name w:val="Intense Emphasis"/>
    <w:basedOn w:val="DefaultParagraphFont"/>
    <w:rsid w:val="003F7412"/>
    <w:rPr>
      <w:i/>
      <w:iCs/>
      <w:color w:val="4472C4"/>
    </w:rPr>
  </w:style>
  <w:style w:type="character" w:customStyle="1" w:styleId="SubtitleChar1">
    <w:name w:val="Subtitle Char1"/>
    <w:basedOn w:val="DefaultParagraphFont"/>
    <w:rsid w:val="003F7412"/>
    <w:rPr>
      <w:rFonts w:ascii="Candara" w:eastAsia="Times New Roman" w:hAnsi="Candara"/>
      <w:color w:val="1F3864"/>
      <w:spacing w:val="15"/>
      <w:sz w:val="28"/>
    </w:rPr>
  </w:style>
  <w:style w:type="character" w:customStyle="1" w:styleId="AnalizanaslovChar">
    <w:name w:val="Analiza naslov Char"/>
    <w:basedOn w:val="SubtitleChar1"/>
    <w:rsid w:val="003F7412"/>
    <w:rPr>
      <w:rFonts w:ascii="Candara" w:eastAsia="Times New Roman" w:hAnsi="Candara"/>
      <w:color w:val="8EAADB"/>
      <w:spacing w:val="15"/>
      <w:sz w:val="28"/>
    </w:rPr>
  </w:style>
  <w:style w:type="paragraph" w:styleId="Header">
    <w:name w:val="header"/>
    <w:basedOn w:val="Normal"/>
    <w:link w:val="HeaderChar"/>
    <w:uiPriority w:val="99"/>
    <w:rsid w:val="003F7412"/>
    <w:pPr>
      <w:tabs>
        <w:tab w:val="center" w:pos="4680"/>
        <w:tab w:val="right" w:pos="9360"/>
      </w:tabs>
      <w:spacing w:after="0"/>
    </w:pPr>
  </w:style>
  <w:style w:type="character" w:customStyle="1" w:styleId="HeaderChar">
    <w:name w:val="Header Char"/>
    <w:basedOn w:val="DefaultParagraphFont"/>
    <w:link w:val="Header"/>
    <w:uiPriority w:val="99"/>
    <w:rsid w:val="003F7412"/>
    <w:rPr>
      <w:rFonts w:ascii="Calibri" w:eastAsia="Calibri" w:hAnsi="Calibri" w:cs="Times New Roman"/>
      <w:lang w:val="en-GB"/>
    </w:rPr>
  </w:style>
  <w:style w:type="character" w:styleId="CommentReference">
    <w:name w:val="annotation reference"/>
    <w:basedOn w:val="DefaultParagraphFont"/>
    <w:uiPriority w:val="99"/>
    <w:rsid w:val="003F7412"/>
    <w:rPr>
      <w:sz w:val="16"/>
      <w:szCs w:val="16"/>
    </w:rPr>
  </w:style>
  <w:style w:type="paragraph" w:styleId="CommentText">
    <w:name w:val="annotation text"/>
    <w:basedOn w:val="Normal"/>
    <w:link w:val="CommentTextChar"/>
    <w:rsid w:val="003F7412"/>
    <w:rPr>
      <w:sz w:val="20"/>
      <w:szCs w:val="20"/>
    </w:rPr>
  </w:style>
  <w:style w:type="character" w:customStyle="1" w:styleId="CommentTextChar">
    <w:name w:val="Comment Text Char"/>
    <w:basedOn w:val="DefaultParagraphFont"/>
    <w:link w:val="CommentText"/>
    <w:rsid w:val="003F7412"/>
    <w:rPr>
      <w:rFonts w:ascii="Calibri" w:eastAsia="Calibri" w:hAnsi="Calibri" w:cs="Times New Roman"/>
      <w:sz w:val="20"/>
      <w:szCs w:val="20"/>
      <w:lang w:val="en-GB"/>
    </w:rPr>
  </w:style>
  <w:style w:type="character" w:styleId="Strong">
    <w:name w:val="Strong"/>
    <w:basedOn w:val="DefaultParagraphFont"/>
    <w:rsid w:val="003F7412"/>
    <w:rPr>
      <w:b/>
      <w:bCs/>
    </w:rPr>
  </w:style>
  <w:style w:type="numbering" w:customStyle="1" w:styleId="WWOutlineListStyle13">
    <w:name w:val="WW_OutlineListStyle_13"/>
    <w:basedOn w:val="NoList"/>
    <w:rsid w:val="003F7412"/>
    <w:pPr>
      <w:numPr>
        <w:numId w:val="2"/>
      </w:numPr>
    </w:pPr>
  </w:style>
  <w:style w:type="numbering" w:customStyle="1" w:styleId="WWOutlineListStyle11">
    <w:name w:val="WW_OutlineListStyle_11"/>
    <w:basedOn w:val="NoList"/>
    <w:rsid w:val="003F7412"/>
    <w:pPr>
      <w:numPr>
        <w:numId w:val="3"/>
      </w:numPr>
    </w:pPr>
  </w:style>
  <w:style w:type="numbering" w:customStyle="1" w:styleId="WWOutlineListStyle10">
    <w:name w:val="WW_OutlineListStyle_10"/>
    <w:basedOn w:val="NoList"/>
    <w:rsid w:val="003F7412"/>
    <w:pPr>
      <w:numPr>
        <w:numId w:val="4"/>
      </w:numPr>
    </w:pPr>
  </w:style>
  <w:style w:type="numbering" w:customStyle="1" w:styleId="WWOutlineListStyle9">
    <w:name w:val="WW_OutlineListStyle_9"/>
    <w:basedOn w:val="NoList"/>
    <w:rsid w:val="003F7412"/>
    <w:pPr>
      <w:numPr>
        <w:numId w:val="5"/>
      </w:numPr>
    </w:pPr>
  </w:style>
  <w:style w:type="numbering" w:customStyle="1" w:styleId="WWOutlineListStyle12">
    <w:name w:val="WW_OutlineListStyle_12"/>
    <w:basedOn w:val="NoList"/>
    <w:rsid w:val="003F7412"/>
    <w:pPr>
      <w:numPr>
        <w:numId w:val="6"/>
      </w:numPr>
    </w:pPr>
  </w:style>
  <w:style w:type="numbering" w:customStyle="1" w:styleId="WWOutlineListStyle8">
    <w:name w:val="WW_OutlineListStyle_8"/>
    <w:basedOn w:val="NoList"/>
    <w:rsid w:val="003F7412"/>
    <w:pPr>
      <w:numPr>
        <w:numId w:val="7"/>
      </w:numPr>
    </w:pPr>
  </w:style>
  <w:style w:type="numbering" w:customStyle="1" w:styleId="WWOutlineListStyle7">
    <w:name w:val="WW_OutlineListStyle_7"/>
    <w:basedOn w:val="NoList"/>
    <w:rsid w:val="003F7412"/>
    <w:pPr>
      <w:numPr>
        <w:numId w:val="8"/>
      </w:numPr>
    </w:pPr>
  </w:style>
  <w:style w:type="numbering" w:customStyle="1" w:styleId="WWOutlineListStyle6">
    <w:name w:val="WW_OutlineListStyle_6"/>
    <w:basedOn w:val="NoList"/>
    <w:rsid w:val="003F7412"/>
    <w:pPr>
      <w:numPr>
        <w:numId w:val="9"/>
      </w:numPr>
    </w:pPr>
  </w:style>
  <w:style w:type="numbering" w:customStyle="1" w:styleId="WWOutlineListStyle5">
    <w:name w:val="WW_OutlineListStyle_5"/>
    <w:basedOn w:val="NoList"/>
    <w:rsid w:val="003F7412"/>
    <w:pPr>
      <w:numPr>
        <w:numId w:val="10"/>
      </w:numPr>
    </w:pPr>
  </w:style>
  <w:style w:type="numbering" w:customStyle="1" w:styleId="WWOutlineListStyle4">
    <w:name w:val="WW_OutlineListStyle_4"/>
    <w:basedOn w:val="NoList"/>
    <w:rsid w:val="003F7412"/>
    <w:pPr>
      <w:numPr>
        <w:numId w:val="11"/>
      </w:numPr>
    </w:pPr>
  </w:style>
  <w:style w:type="numbering" w:customStyle="1" w:styleId="WWOutlineListStyle3">
    <w:name w:val="WW_OutlineListStyle_3"/>
    <w:basedOn w:val="NoList"/>
    <w:rsid w:val="003F7412"/>
    <w:pPr>
      <w:numPr>
        <w:numId w:val="12"/>
      </w:numPr>
    </w:pPr>
  </w:style>
  <w:style w:type="numbering" w:customStyle="1" w:styleId="WWOutlineListStyle2">
    <w:name w:val="WW_OutlineListStyle_2"/>
    <w:basedOn w:val="NoList"/>
    <w:rsid w:val="003F7412"/>
    <w:pPr>
      <w:numPr>
        <w:numId w:val="13"/>
      </w:numPr>
    </w:pPr>
  </w:style>
  <w:style w:type="numbering" w:customStyle="1" w:styleId="WWOutlineListStyle1">
    <w:name w:val="WW_OutlineListStyle_1"/>
    <w:basedOn w:val="NoList"/>
    <w:rsid w:val="003F7412"/>
    <w:pPr>
      <w:numPr>
        <w:numId w:val="14"/>
      </w:numPr>
    </w:pPr>
  </w:style>
  <w:style w:type="numbering" w:customStyle="1" w:styleId="WWOutlineListStyle">
    <w:name w:val="WW_OutlineListStyle"/>
    <w:basedOn w:val="NoList"/>
    <w:rsid w:val="003F7412"/>
    <w:pPr>
      <w:numPr>
        <w:numId w:val="15"/>
      </w:numPr>
    </w:pPr>
  </w:style>
  <w:style w:type="paragraph" w:styleId="TableofFigures">
    <w:name w:val="table of figures"/>
    <w:basedOn w:val="Normal"/>
    <w:next w:val="Normal"/>
    <w:uiPriority w:val="99"/>
    <w:unhideWhenUsed/>
    <w:rsid w:val="001C7588"/>
    <w:pPr>
      <w:spacing w:after="0"/>
      <w:ind w:left="440" w:hanging="440"/>
    </w:pPr>
    <w:rPr>
      <w:rFonts w:asciiTheme="minorHAnsi" w:hAnsiTheme="minorHAnsi" w:cstheme="minorHAnsi"/>
      <w:b/>
      <w:bCs/>
      <w:sz w:val="20"/>
      <w:szCs w:val="20"/>
    </w:rPr>
  </w:style>
  <w:style w:type="paragraph" w:styleId="CommentSubject">
    <w:name w:val="annotation subject"/>
    <w:basedOn w:val="CommentText"/>
    <w:next w:val="CommentText"/>
    <w:link w:val="CommentSubjectChar"/>
    <w:uiPriority w:val="99"/>
    <w:semiHidden/>
    <w:unhideWhenUsed/>
    <w:rsid w:val="000D1B6F"/>
    <w:rPr>
      <w:b/>
      <w:bCs/>
    </w:rPr>
  </w:style>
  <w:style w:type="character" w:customStyle="1" w:styleId="CommentSubjectChar">
    <w:name w:val="Comment Subject Char"/>
    <w:basedOn w:val="CommentTextChar"/>
    <w:link w:val="CommentSubject"/>
    <w:uiPriority w:val="99"/>
    <w:semiHidden/>
    <w:rsid w:val="000D1B6F"/>
    <w:rPr>
      <w:rFonts w:ascii="Calibri" w:eastAsia="Calibri" w:hAnsi="Calibri" w:cs="Times New Roman"/>
      <w:b/>
      <w:bCs/>
      <w:sz w:val="20"/>
      <w:szCs w:val="20"/>
      <w:lang w:val="en-GB"/>
    </w:rPr>
  </w:style>
  <w:style w:type="table" w:customStyle="1" w:styleId="GridTable1Light-Accent51">
    <w:name w:val="Grid Table 1 Light - Accent 51"/>
    <w:basedOn w:val="TableNormal"/>
    <w:uiPriority w:val="46"/>
    <w:rsid w:val="004D339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127BE4"/>
    <w:rPr>
      <w:color w:val="605E5C"/>
      <w:shd w:val="clear" w:color="auto" w:fill="E1DFDD"/>
    </w:rPr>
  </w:style>
  <w:style w:type="character" w:customStyle="1" w:styleId="Heading6Char">
    <w:name w:val="Heading 6 Char"/>
    <w:basedOn w:val="DefaultParagraphFont"/>
    <w:link w:val="Heading6"/>
    <w:uiPriority w:val="9"/>
    <w:rsid w:val="00A07270"/>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A07270"/>
    <w:pPr>
      <w:suppressAutoHyphens/>
      <w:autoSpaceDN w:val="0"/>
      <w:spacing w:after="0" w:line="240" w:lineRule="auto"/>
      <w:textAlignment w:val="baseline"/>
    </w:pPr>
    <w:rPr>
      <w:rFonts w:ascii="Calibri" w:eastAsia="Calibri" w:hAnsi="Calibri" w:cs="Times New Roman"/>
      <w:lang w:val="en-GB"/>
    </w:rPr>
  </w:style>
  <w:style w:type="character" w:customStyle="1" w:styleId="Heading7Char">
    <w:name w:val="Heading 7 Char"/>
    <w:basedOn w:val="DefaultParagraphFont"/>
    <w:link w:val="Heading7"/>
    <w:uiPriority w:val="9"/>
    <w:rsid w:val="00A07270"/>
    <w:rPr>
      <w:rFonts w:asciiTheme="majorHAnsi" w:eastAsiaTheme="majorEastAsia" w:hAnsiTheme="majorHAnsi" w:cstheme="majorBidi"/>
      <w:i/>
      <w:iCs/>
      <w:color w:val="1F4D78" w:themeColor="accent1" w:themeShade="7F"/>
      <w:lang w:val="en-GB"/>
    </w:rPr>
  </w:style>
  <w:style w:type="character" w:customStyle="1" w:styleId="UnresolvedMention3">
    <w:name w:val="Unresolved Mention3"/>
    <w:basedOn w:val="DefaultParagraphFont"/>
    <w:uiPriority w:val="99"/>
    <w:semiHidden/>
    <w:unhideWhenUsed/>
    <w:rsid w:val="00800DA4"/>
    <w:rPr>
      <w:color w:val="605E5C"/>
      <w:shd w:val="clear" w:color="auto" w:fill="E1DFDD"/>
    </w:rPr>
  </w:style>
  <w:style w:type="paragraph" w:styleId="Footer">
    <w:name w:val="footer"/>
    <w:basedOn w:val="Normal"/>
    <w:link w:val="FooterChar"/>
    <w:uiPriority w:val="99"/>
    <w:unhideWhenUsed/>
    <w:rsid w:val="00071B3B"/>
    <w:pPr>
      <w:tabs>
        <w:tab w:val="center" w:pos="4513"/>
        <w:tab w:val="right" w:pos="9026"/>
      </w:tabs>
      <w:spacing w:after="0"/>
    </w:pPr>
  </w:style>
  <w:style w:type="character" w:customStyle="1" w:styleId="FooterChar">
    <w:name w:val="Footer Char"/>
    <w:basedOn w:val="DefaultParagraphFont"/>
    <w:link w:val="Footer"/>
    <w:uiPriority w:val="99"/>
    <w:rsid w:val="00071B3B"/>
    <w:rPr>
      <w:rFonts w:ascii="Calibri" w:eastAsia="Calibri" w:hAnsi="Calibri" w:cs="Times New Roman"/>
      <w:lang w:val="en-GB"/>
    </w:rPr>
  </w:style>
  <w:style w:type="character" w:customStyle="1" w:styleId="UnresolvedMention4">
    <w:name w:val="Unresolved Mention4"/>
    <w:basedOn w:val="DefaultParagraphFont"/>
    <w:uiPriority w:val="99"/>
    <w:semiHidden/>
    <w:unhideWhenUsed/>
    <w:rsid w:val="00B2111E"/>
    <w:rPr>
      <w:color w:val="605E5C"/>
      <w:shd w:val="clear" w:color="auto" w:fill="E1DFDD"/>
    </w:rPr>
  </w:style>
  <w:style w:type="table" w:styleId="TableGrid">
    <w:name w:val="Table Grid"/>
    <w:basedOn w:val="TableNormal"/>
    <w:uiPriority w:val="39"/>
    <w:rsid w:val="00001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848658">
      <w:bodyDiv w:val="1"/>
      <w:marLeft w:val="0"/>
      <w:marRight w:val="0"/>
      <w:marTop w:val="0"/>
      <w:marBottom w:val="0"/>
      <w:divBdr>
        <w:top w:val="none" w:sz="0" w:space="0" w:color="auto"/>
        <w:left w:val="none" w:sz="0" w:space="0" w:color="auto"/>
        <w:bottom w:val="none" w:sz="0" w:space="0" w:color="auto"/>
        <w:right w:val="none" w:sz="0" w:space="0" w:color="auto"/>
      </w:divBdr>
    </w:div>
    <w:div w:id="403643178">
      <w:bodyDiv w:val="1"/>
      <w:marLeft w:val="0"/>
      <w:marRight w:val="0"/>
      <w:marTop w:val="0"/>
      <w:marBottom w:val="0"/>
      <w:divBdr>
        <w:top w:val="none" w:sz="0" w:space="0" w:color="auto"/>
        <w:left w:val="none" w:sz="0" w:space="0" w:color="auto"/>
        <w:bottom w:val="none" w:sz="0" w:space="0" w:color="auto"/>
        <w:right w:val="none" w:sz="0" w:space="0" w:color="auto"/>
      </w:divBdr>
      <w:divsChild>
        <w:div w:id="771127605">
          <w:marLeft w:val="0"/>
          <w:marRight w:val="0"/>
          <w:marTop w:val="0"/>
          <w:marBottom w:val="0"/>
          <w:divBdr>
            <w:top w:val="none" w:sz="0" w:space="0" w:color="auto"/>
            <w:left w:val="none" w:sz="0" w:space="0" w:color="auto"/>
            <w:bottom w:val="none" w:sz="0" w:space="0" w:color="auto"/>
            <w:right w:val="none" w:sz="0" w:space="0" w:color="auto"/>
          </w:divBdr>
          <w:divsChild>
            <w:div w:id="2064404563">
              <w:marLeft w:val="0"/>
              <w:marRight w:val="0"/>
              <w:marTop w:val="0"/>
              <w:marBottom w:val="0"/>
              <w:divBdr>
                <w:top w:val="none" w:sz="0" w:space="0" w:color="auto"/>
                <w:left w:val="none" w:sz="0" w:space="0" w:color="auto"/>
                <w:bottom w:val="none" w:sz="0" w:space="0" w:color="auto"/>
                <w:right w:val="none" w:sz="0" w:space="0" w:color="auto"/>
              </w:divBdr>
              <w:divsChild>
                <w:div w:id="163516053">
                  <w:marLeft w:val="0"/>
                  <w:marRight w:val="0"/>
                  <w:marTop w:val="0"/>
                  <w:marBottom w:val="0"/>
                  <w:divBdr>
                    <w:top w:val="none" w:sz="0" w:space="0" w:color="auto"/>
                    <w:left w:val="none" w:sz="0" w:space="0" w:color="auto"/>
                    <w:bottom w:val="none" w:sz="0" w:space="0" w:color="auto"/>
                    <w:right w:val="none" w:sz="0" w:space="0" w:color="auto"/>
                  </w:divBdr>
                  <w:divsChild>
                    <w:div w:id="728114899">
                      <w:marLeft w:val="0"/>
                      <w:marRight w:val="0"/>
                      <w:marTop w:val="0"/>
                      <w:marBottom w:val="0"/>
                      <w:divBdr>
                        <w:top w:val="none" w:sz="0" w:space="0" w:color="auto"/>
                        <w:left w:val="none" w:sz="0" w:space="0" w:color="auto"/>
                        <w:bottom w:val="none" w:sz="0" w:space="0" w:color="auto"/>
                        <w:right w:val="none" w:sz="0" w:space="0" w:color="auto"/>
                      </w:divBdr>
                      <w:divsChild>
                        <w:div w:id="782647368">
                          <w:marLeft w:val="0"/>
                          <w:marRight w:val="0"/>
                          <w:marTop w:val="0"/>
                          <w:marBottom w:val="0"/>
                          <w:divBdr>
                            <w:top w:val="none" w:sz="0" w:space="0" w:color="auto"/>
                            <w:left w:val="none" w:sz="0" w:space="0" w:color="auto"/>
                            <w:bottom w:val="none" w:sz="0" w:space="0" w:color="auto"/>
                            <w:right w:val="none" w:sz="0" w:space="0" w:color="auto"/>
                          </w:divBdr>
                          <w:divsChild>
                            <w:div w:id="1109279493">
                              <w:marLeft w:val="0"/>
                              <w:marRight w:val="0"/>
                              <w:marTop w:val="0"/>
                              <w:marBottom w:val="0"/>
                              <w:divBdr>
                                <w:top w:val="none" w:sz="0" w:space="0" w:color="auto"/>
                                <w:left w:val="none" w:sz="0" w:space="0" w:color="auto"/>
                                <w:bottom w:val="none" w:sz="0" w:space="0" w:color="auto"/>
                                <w:right w:val="none" w:sz="0" w:space="0" w:color="auto"/>
                              </w:divBdr>
                              <w:divsChild>
                                <w:div w:id="339040421">
                                  <w:marLeft w:val="0"/>
                                  <w:marRight w:val="0"/>
                                  <w:marTop w:val="0"/>
                                  <w:marBottom w:val="0"/>
                                  <w:divBdr>
                                    <w:top w:val="none" w:sz="0" w:space="0" w:color="auto"/>
                                    <w:left w:val="none" w:sz="0" w:space="0" w:color="auto"/>
                                    <w:bottom w:val="none" w:sz="0" w:space="0" w:color="auto"/>
                                    <w:right w:val="none" w:sz="0" w:space="0" w:color="auto"/>
                                  </w:divBdr>
                                  <w:divsChild>
                                    <w:div w:id="1885673341">
                                      <w:marLeft w:val="0"/>
                                      <w:marRight w:val="0"/>
                                      <w:marTop w:val="0"/>
                                      <w:marBottom w:val="0"/>
                                      <w:divBdr>
                                        <w:top w:val="none" w:sz="0" w:space="0" w:color="auto"/>
                                        <w:left w:val="none" w:sz="0" w:space="0" w:color="auto"/>
                                        <w:bottom w:val="none" w:sz="0" w:space="0" w:color="auto"/>
                                        <w:right w:val="none" w:sz="0" w:space="0" w:color="auto"/>
                                      </w:divBdr>
                                      <w:divsChild>
                                        <w:div w:id="16662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7181871">
      <w:bodyDiv w:val="1"/>
      <w:marLeft w:val="0"/>
      <w:marRight w:val="0"/>
      <w:marTop w:val="0"/>
      <w:marBottom w:val="0"/>
      <w:divBdr>
        <w:top w:val="none" w:sz="0" w:space="0" w:color="auto"/>
        <w:left w:val="none" w:sz="0" w:space="0" w:color="auto"/>
        <w:bottom w:val="none" w:sz="0" w:space="0" w:color="auto"/>
        <w:right w:val="none" w:sz="0" w:space="0" w:color="auto"/>
      </w:divBdr>
    </w:div>
    <w:div w:id="624308137">
      <w:bodyDiv w:val="1"/>
      <w:marLeft w:val="0"/>
      <w:marRight w:val="0"/>
      <w:marTop w:val="0"/>
      <w:marBottom w:val="0"/>
      <w:divBdr>
        <w:top w:val="none" w:sz="0" w:space="0" w:color="auto"/>
        <w:left w:val="none" w:sz="0" w:space="0" w:color="auto"/>
        <w:bottom w:val="none" w:sz="0" w:space="0" w:color="auto"/>
        <w:right w:val="none" w:sz="0" w:space="0" w:color="auto"/>
      </w:divBdr>
    </w:div>
    <w:div w:id="641236044">
      <w:bodyDiv w:val="1"/>
      <w:marLeft w:val="0"/>
      <w:marRight w:val="0"/>
      <w:marTop w:val="0"/>
      <w:marBottom w:val="0"/>
      <w:divBdr>
        <w:top w:val="none" w:sz="0" w:space="0" w:color="auto"/>
        <w:left w:val="none" w:sz="0" w:space="0" w:color="auto"/>
        <w:bottom w:val="none" w:sz="0" w:space="0" w:color="auto"/>
        <w:right w:val="none" w:sz="0" w:space="0" w:color="auto"/>
      </w:divBdr>
    </w:div>
    <w:div w:id="758794047">
      <w:bodyDiv w:val="1"/>
      <w:marLeft w:val="0"/>
      <w:marRight w:val="0"/>
      <w:marTop w:val="0"/>
      <w:marBottom w:val="0"/>
      <w:divBdr>
        <w:top w:val="none" w:sz="0" w:space="0" w:color="auto"/>
        <w:left w:val="none" w:sz="0" w:space="0" w:color="auto"/>
        <w:bottom w:val="none" w:sz="0" w:space="0" w:color="auto"/>
        <w:right w:val="none" w:sz="0" w:space="0" w:color="auto"/>
      </w:divBdr>
    </w:div>
    <w:div w:id="776873758">
      <w:bodyDiv w:val="1"/>
      <w:marLeft w:val="0"/>
      <w:marRight w:val="0"/>
      <w:marTop w:val="0"/>
      <w:marBottom w:val="0"/>
      <w:divBdr>
        <w:top w:val="none" w:sz="0" w:space="0" w:color="auto"/>
        <w:left w:val="none" w:sz="0" w:space="0" w:color="auto"/>
        <w:bottom w:val="none" w:sz="0" w:space="0" w:color="auto"/>
        <w:right w:val="none" w:sz="0" w:space="0" w:color="auto"/>
      </w:divBdr>
    </w:div>
    <w:div w:id="834802880">
      <w:bodyDiv w:val="1"/>
      <w:marLeft w:val="0"/>
      <w:marRight w:val="0"/>
      <w:marTop w:val="0"/>
      <w:marBottom w:val="0"/>
      <w:divBdr>
        <w:top w:val="none" w:sz="0" w:space="0" w:color="auto"/>
        <w:left w:val="none" w:sz="0" w:space="0" w:color="auto"/>
        <w:bottom w:val="none" w:sz="0" w:space="0" w:color="auto"/>
        <w:right w:val="none" w:sz="0" w:space="0" w:color="auto"/>
      </w:divBdr>
    </w:div>
    <w:div w:id="1074158117">
      <w:bodyDiv w:val="1"/>
      <w:marLeft w:val="0"/>
      <w:marRight w:val="0"/>
      <w:marTop w:val="0"/>
      <w:marBottom w:val="0"/>
      <w:divBdr>
        <w:top w:val="none" w:sz="0" w:space="0" w:color="auto"/>
        <w:left w:val="none" w:sz="0" w:space="0" w:color="auto"/>
        <w:bottom w:val="none" w:sz="0" w:space="0" w:color="auto"/>
        <w:right w:val="none" w:sz="0" w:space="0" w:color="auto"/>
      </w:divBdr>
    </w:div>
    <w:div w:id="179898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ecd-ilibrary.org/sites/5d89ab8b-en/index.html?itemId=/content/component/5d89ab8b-en" TargetMode="External"/><Relationship Id="rId18" Type="http://schemas.openxmlformats.org/officeDocument/2006/relationships/header" Target="header4.xml"/><Relationship Id="rId26" Type="http://schemas.openxmlformats.org/officeDocument/2006/relationships/hyperlink" Target="https://ec.europa.eu/eurostat/statistics-explained/index.php?title=Glossary:Per_capita" TargetMode="External"/><Relationship Id="rId39" Type="http://schemas.openxmlformats.org/officeDocument/2006/relationships/image" Target="media/image10.png"/><Relationship Id="rId21" Type="http://schemas.openxmlformats.org/officeDocument/2006/relationships/chart" Target="charts/chart3.xml"/><Relationship Id="rId34" Type="http://schemas.openxmlformats.org/officeDocument/2006/relationships/chart" Target="charts/chart6.xml"/><Relationship Id="rId42" Type="http://schemas.openxmlformats.org/officeDocument/2006/relationships/header" Target="header7.xml"/><Relationship Id="rId47" Type="http://schemas.openxmlformats.org/officeDocument/2006/relationships/image" Target="media/image12.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ec.europa.eu/eurostat/statistics-explained/index.php?title=Glossary:Landfill" TargetMode="Externa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hyperlink" Target="https://ec.europa.eu/eurostat/statistics-explained/index.php?title=Glossary:Recycling_of_waste" TargetMode="External"/><Relationship Id="rId37" Type="http://schemas.openxmlformats.org/officeDocument/2006/relationships/chart" Target="charts/chart7.xml"/><Relationship Id="rId40" Type="http://schemas.openxmlformats.org/officeDocument/2006/relationships/header" Target="header5.xml"/><Relationship Id="rId45" Type="http://schemas.openxmlformats.org/officeDocument/2006/relationships/hyperlink" Target="http://www.meec.me"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hyperlink" Target="https://ec.europa.eu/eurostat/databrowser/view/env_wasmun/default/table?lang=en" TargetMode="External"/><Relationship Id="rId36" Type="http://schemas.openxmlformats.org/officeDocument/2006/relationships/hyperlink" Target="https://ec.europa.eu/eurostat/statistics-explained/index.php?title=Glossary:Freshwater_resources"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hart" Target="charts/chart1.xml"/><Relationship Id="rId31" Type="http://schemas.openxmlformats.org/officeDocument/2006/relationships/hyperlink" Target="https://ec.europa.eu/eurostat/statistics-explained/index.php?title=Glossary:Recovery_of_waste" TargetMode="External"/><Relationship Id="rId44"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chart" Target="charts/chart4.xml"/><Relationship Id="rId27" Type="http://schemas.openxmlformats.org/officeDocument/2006/relationships/chart" Target="charts/chart5.xml"/><Relationship Id="rId30" Type="http://schemas.openxmlformats.org/officeDocument/2006/relationships/hyperlink" Target="https://ec.europa.eu/eurostat/statistics-explained/index.php?title=Glossary:Incineration" TargetMode="External"/><Relationship Id="rId35" Type="http://schemas.openxmlformats.org/officeDocument/2006/relationships/hyperlink" Target="https://ec.europa.eu/eurostat/statistics-explained/index.php?title=Glossary:Water_abstraction" TargetMode="External"/><Relationship Id="rId43" Type="http://schemas.openxmlformats.org/officeDocument/2006/relationships/header" Target="header8.xml"/><Relationship Id="rId48" Type="http://schemas.openxmlformats.org/officeDocument/2006/relationships/header" Target="header10.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hyperlink" Target="https://ec.europa.eu/eurostat/databrowser/view/env_wastrt/default/table?lang=en" TargetMode="External"/><Relationship Id="rId38" Type="http://schemas.openxmlformats.org/officeDocument/2006/relationships/image" Target="media/image9.png"/><Relationship Id="rId46" Type="http://schemas.openxmlformats.org/officeDocument/2006/relationships/image" Target="media/image11.jpeg"/><Relationship Id="rId20" Type="http://schemas.openxmlformats.org/officeDocument/2006/relationships/chart" Target="charts/chart2.xm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oecd-ilibrary.org/sites/5d89ab8b-en/index.html?itemId=/content/component/5d89ab8b-en" TargetMode="External"/><Relationship Id="rId13" Type="http://schemas.openxmlformats.org/officeDocument/2006/relationships/hyperlink" Target="http://mojnovac.me/web/budzet-po-dubini" TargetMode="External"/><Relationship Id="rId18" Type="http://schemas.openxmlformats.org/officeDocument/2006/relationships/hyperlink" Target="https://ec.europa.eu/eurostat/statistics-explained/images/4/45/CPC21_Environment_2021-05.xlsx" TargetMode="External"/><Relationship Id="rId3" Type="http://schemas.openxmlformats.org/officeDocument/2006/relationships/hyperlink" Target="https://www.ujn.gov.me/wp-content/uploads/2021/06/Izvje&#353;taj-o-javnim-nabavkama-za-2020.-godinu-1.pdf" TargetMode="External"/><Relationship Id="rId7" Type="http://schemas.openxmlformats.org/officeDocument/2006/relationships/hyperlink" Target="https://www.gov.uk/government/uploads/system/uploads/attachment_data/file/671452/Guide_for_Effective_Benefits_Management_in_Major_Projects.pdf" TargetMode="External"/><Relationship Id="rId12" Type="http://schemas.openxmlformats.org/officeDocument/2006/relationships/hyperlink" Target="https://www.mapsinitiative.org/methodology/MAPS-Methodology-ENG.pdf" TargetMode="External"/><Relationship Id="rId17" Type="http://schemas.openxmlformats.org/officeDocument/2006/relationships/hyperlink" Target="https://www.monstat.org/uploads/files/otpad/Otpad_2019.pdf" TargetMode="External"/><Relationship Id="rId2" Type="http://schemas.openxmlformats.org/officeDocument/2006/relationships/hyperlink" Target="http://www.ujn.gov.me/category/izvjestaji/" TargetMode="External"/><Relationship Id="rId16" Type="http://schemas.openxmlformats.org/officeDocument/2006/relationships/hyperlink" Target="http://www.greenhome.co.me/fajlovi/greenhome/attach_fajlovi/lat/glavne-stranice/2020/03/pdf/ANALIZA__CIRKULARNA_EKONOMIJA_U_OBLASTI_UPRAVLJANJA_OTPADOM_U_CRNOJ_GORI.pdf" TargetMode="External"/><Relationship Id="rId20" Type="http://schemas.openxmlformats.org/officeDocument/2006/relationships/hyperlink" Target="https://lowcarbonmne.me/files/Analize-troskova-i-koristi-koncepta-e-mobilnosti-u-Crnoj-Gori-studije-slucaja.pdf" TargetMode="External"/><Relationship Id="rId1" Type="http://schemas.openxmlformats.org/officeDocument/2006/relationships/hyperlink" Target="https://wapi.gov.me/download/8fd20ab6-e472-4825-aca4-23fcd05c6ac2?version=1.0" TargetMode="External"/><Relationship Id="rId6" Type="http://schemas.openxmlformats.org/officeDocument/2006/relationships/hyperlink" Target="https://ec.europa.eu/environment/gpp/benefits_en.htm" TargetMode="External"/><Relationship Id="rId11" Type="http://schemas.openxmlformats.org/officeDocument/2006/relationships/hyperlink" Target="https://www.oecd-ilibrary.org/sites/5d89ab8b-en/index.html?itemId=/content/component/5d89ab8b-en" TargetMode="External"/><Relationship Id="rId5" Type="http://schemas.openxmlformats.org/officeDocument/2006/relationships/hyperlink" Target="https://eur-lex.europa.eu/LexUriServ/LexUriServ.do?uri=COM:2008:0400:FIN:EN:PDF" TargetMode="External"/><Relationship Id="rId15" Type="http://schemas.openxmlformats.org/officeDocument/2006/relationships/hyperlink" Target="https://ellenmacarthurfoundation.org/towards-a-circular-economy-business-rationale-for-an-accelerated-transition" TargetMode="External"/><Relationship Id="rId10" Type="http://schemas.openxmlformats.org/officeDocument/2006/relationships/hyperlink" Target="https://ec.europa.eu/environment/gpp/gpp_criteria_en.htm" TargetMode="External"/><Relationship Id="rId19" Type="http://schemas.openxmlformats.org/officeDocument/2006/relationships/hyperlink" Target="https://zerowastecities.eu/academy/savings-calculator/" TargetMode="External"/><Relationship Id="rId4" Type="http://schemas.openxmlformats.org/officeDocument/2006/relationships/hyperlink" Target="https://www.gov.me/dokumenta/d0262d2c-e133-4764-bc00-31a5e34c4cdd" TargetMode="External"/><Relationship Id="rId9" Type="http://schemas.openxmlformats.org/officeDocument/2006/relationships/hyperlink" Target="http://www.icleieurope.org/index.php?id=1781" TargetMode="External"/><Relationship Id="rId14" Type="http://schemas.openxmlformats.org/officeDocument/2006/relationships/hyperlink" Target="http://monstat.org/cg/page.php?id=166&amp;pageid=19"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Tanja%20popovic\Downloads\CPC21_Environment_2021-05%20(1).xlsx" TargetMode="Externa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embeddings/oleObject2.bin"/><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E2D-47D2-9484-40D0D4F1991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E2D-47D2-9484-40D0D4F1991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E2D-47D2-9484-40D0D4F1991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E2D-47D2-9484-40D0D4F1991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E2D-47D2-9484-40D0D4F1991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E2D-47D2-9484-40D0D4F19914}"/>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Sheet1!$A$35:$A$40</c:f>
              <c:strCache>
                <c:ptCount val="6"/>
                <c:pt idx="0">
                  <c:v>Administrativni materijal</c:v>
                </c:pt>
                <c:pt idx="1">
                  <c:v>Materijal za zdravstvenu zaštitu</c:v>
                </c:pt>
                <c:pt idx="2">
                  <c:v>Materijal za posebne namjene</c:v>
                </c:pt>
                <c:pt idx="3">
                  <c:v>Rashodi za energiju</c:v>
                </c:pt>
                <c:pt idx="4">
                  <c:v>Rashodi za gorivo</c:v>
                </c:pt>
                <c:pt idx="5">
                  <c:v>Ostali rashodi za materijal</c:v>
                </c:pt>
              </c:strCache>
            </c:strRef>
          </c:cat>
          <c:val>
            <c:numRef>
              <c:f>Sheet1!$C$35:$C$40</c:f>
              <c:numCache>
                <c:formatCode>0%</c:formatCode>
                <c:ptCount val="6"/>
                <c:pt idx="0">
                  <c:v>0.18845994365043239</c:v>
                </c:pt>
                <c:pt idx="1">
                  <c:v>5.411575393875314E-2</c:v>
                </c:pt>
                <c:pt idx="2">
                  <c:v>0.22659616068870861</c:v>
                </c:pt>
                <c:pt idx="3">
                  <c:v>0.24323296303029238</c:v>
                </c:pt>
                <c:pt idx="4">
                  <c:v>0.26226833057676019</c:v>
                </c:pt>
                <c:pt idx="5">
                  <c:v>2.5326845316440239E-2</c:v>
                </c:pt>
              </c:numCache>
            </c:numRef>
          </c:val>
          <c:extLst>
            <c:ext xmlns:c16="http://schemas.microsoft.com/office/drawing/2014/chart" uri="{C3380CC4-5D6E-409C-BE32-E72D297353CC}">
              <c16:uniqueId val="{0000000C-CE2D-47D2-9484-40D0D4F1991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Calibri" panose="020F050202020403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Sheet1!$A$6</c:f>
              <c:strCache>
                <c:ptCount val="1"/>
                <c:pt idx="0">
                  <c:v>Rashodi za energiju</c:v>
                </c:pt>
              </c:strCache>
            </c:strRef>
          </c:tx>
          <c:spPr>
            <a:solidFill>
              <a:schemeClr val="accent1">
                <a:lumMod val="60000"/>
                <a:lumOff val="40000"/>
              </a:schemeClr>
            </a:solidFill>
            <a:ln>
              <a:noFill/>
            </a:ln>
            <a:effectLst/>
          </c:spPr>
          <c:invertIfNegative val="0"/>
          <c:dLbls>
            <c:dLbl>
              <c:idx val="0"/>
              <c:layout>
                <c:manualLayout>
                  <c:x val="-6.41025641025641E-3"/>
                  <c:y val="-1.851851851851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CB-4723-91E7-496C6F60AF45}"/>
                </c:ext>
              </c:extLst>
            </c:dLbl>
            <c:dLbl>
              <c:idx val="1"/>
              <c:layout>
                <c:manualLayout>
                  <c:x val="-8.5470085470085479E-3"/>
                  <c:y val="8.33333333333332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CB-4723-91E7-496C6F60AF45}"/>
                </c:ext>
              </c:extLst>
            </c:dLbl>
            <c:dLbl>
              <c:idx val="2"/>
              <c:layout>
                <c:manualLayout>
                  <c:x val="-8.5470085470085479E-3"/>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CB-4723-91E7-496C6F60AF45}"/>
                </c:ext>
              </c:extLst>
            </c:dLbl>
            <c:dLbl>
              <c:idx val="3"/>
              <c:layout>
                <c:manualLayout>
                  <c:x val="-6.410256410256567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CB-4723-91E7-496C6F60AF45}"/>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Sheet1!$B$1:$F$1</c:f>
              <c:numCache>
                <c:formatCode>General</c:formatCode>
                <c:ptCount val="5"/>
                <c:pt idx="0">
                  <c:v>2016</c:v>
                </c:pt>
                <c:pt idx="1">
                  <c:v>2017</c:v>
                </c:pt>
                <c:pt idx="2">
                  <c:v>2018</c:v>
                </c:pt>
                <c:pt idx="3">
                  <c:v>2019</c:v>
                </c:pt>
                <c:pt idx="4">
                  <c:v>2020</c:v>
                </c:pt>
              </c:numCache>
            </c:numRef>
          </c:cat>
          <c:val>
            <c:numRef>
              <c:f>Sheet1!$B$6:$F$6</c:f>
              <c:numCache>
                <c:formatCode>_(* #,##0_);_(* \(#,##0\);_(* "-"??_);_(@_)</c:formatCode>
                <c:ptCount val="5"/>
                <c:pt idx="0">
                  <c:v>7852962.0999999996</c:v>
                </c:pt>
                <c:pt idx="1">
                  <c:v>7885270</c:v>
                </c:pt>
                <c:pt idx="2">
                  <c:v>8209228.2000000002</c:v>
                </c:pt>
                <c:pt idx="3">
                  <c:v>8233252.5</c:v>
                </c:pt>
                <c:pt idx="4">
                  <c:v>8691197</c:v>
                </c:pt>
              </c:numCache>
            </c:numRef>
          </c:val>
          <c:extLst>
            <c:ext xmlns:c16="http://schemas.microsoft.com/office/drawing/2014/chart" uri="{C3380CC4-5D6E-409C-BE32-E72D297353CC}">
              <c16:uniqueId val="{00000004-B8CB-4723-91E7-496C6F60AF45}"/>
            </c:ext>
          </c:extLst>
        </c:ser>
        <c:ser>
          <c:idx val="1"/>
          <c:order val="1"/>
          <c:tx>
            <c:strRef>
              <c:f>Sheet1!$A$7</c:f>
              <c:strCache>
                <c:ptCount val="1"/>
                <c:pt idx="0">
                  <c:v>Rashodi za gorivo</c:v>
                </c:pt>
              </c:strCache>
            </c:strRef>
          </c:tx>
          <c:spPr>
            <a:solidFill>
              <a:schemeClr val="accent1">
                <a:lumMod val="75000"/>
              </a:schemeClr>
            </a:solidFill>
            <a:ln>
              <a:noFill/>
            </a:ln>
            <a:effectLst/>
          </c:spPr>
          <c:invertIfNegative val="0"/>
          <c:dLbls>
            <c:dLbl>
              <c:idx val="0"/>
              <c:layout>
                <c:manualLayout>
                  <c:x val="1.282051282051282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CB-4723-91E7-496C6F60AF45}"/>
                </c:ext>
              </c:extLst>
            </c:dLbl>
            <c:dLbl>
              <c:idx val="4"/>
              <c:layout>
                <c:manualLayout>
                  <c:x val="-1.5669334656024605E-16"/>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8CB-4723-91E7-496C6F60AF45}"/>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Sheet1!$B$1:$F$1</c:f>
              <c:numCache>
                <c:formatCode>General</c:formatCode>
                <c:ptCount val="5"/>
                <c:pt idx="0">
                  <c:v>2016</c:v>
                </c:pt>
                <c:pt idx="1">
                  <c:v>2017</c:v>
                </c:pt>
                <c:pt idx="2">
                  <c:v>2018</c:v>
                </c:pt>
                <c:pt idx="3">
                  <c:v>2019</c:v>
                </c:pt>
                <c:pt idx="4">
                  <c:v>2020</c:v>
                </c:pt>
              </c:numCache>
            </c:numRef>
          </c:cat>
          <c:val>
            <c:numRef>
              <c:f>Sheet1!$B$7:$F$7</c:f>
              <c:numCache>
                <c:formatCode>_(* #,##0_);_(* \(#,##0\);_(* "-"??_);_(@_)</c:formatCode>
                <c:ptCount val="5"/>
                <c:pt idx="0">
                  <c:v>7843803.5</c:v>
                </c:pt>
                <c:pt idx="1">
                  <c:v>7973630.2000000002</c:v>
                </c:pt>
                <c:pt idx="2">
                  <c:v>10694694</c:v>
                </c:pt>
                <c:pt idx="3">
                  <c:v>9683740.5999999996</c:v>
                </c:pt>
                <c:pt idx="4">
                  <c:v>9371368.5</c:v>
                </c:pt>
              </c:numCache>
            </c:numRef>
          </c:val>
          <c:extLst>
            <c:ext xmlns:c16="http://schemas.microsoft.com/office/drawing/2014/chart" uri="{C3380CC4-5D6E-409C-BE32-E72D297353CC}">
              <c16:uniqueId val="{00000007-B8CB-4723-91E7-496C6F60AF45}"/>
            </c:ext>
          </c:extLst>
        </c:ser>
        <c:dLbls>
          <c:showLegendKey val="0"/>
          <c:showVal val="0"/>
          <c:showCatName val="0"/>
          <c:showSerName val="0"/>
          <c:showPercent val="0"/>
          <c:showBubbleSize val="0"/>
        </c:dLbls>
        <c:gapWidth val="116"/>
        <c:overlap val="-27"/>
        <c:axId val="300755968"/>
        <c:axId val="300897024"/>
      </c:barChart>
      <c:catAx>
        <c:axId val="30075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crossAx val="300897024"/>
        <c:crosses val="autoZero"/>
        <c:auto val="1"/>
        <c:lblAlgn val="ctr"/>
        <c:lblOffset val="100"/>
        <c:noMultiLvlLbl val="0"/>
      </c:catAx>
      <c:valAx>
        <c:axId val="30089702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crossAx val="300755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latin typeface="Calibri" panose="020F050202020403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Sheet1!$A$57</c:f>
              <c:strCache>
                <c:ptCount val="1"/>
                <c:pt idx="0">
                  <c:v>Učešće rashoda za materijal u BDP</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Sheet1!$B$56:$E$56</c:f>
              <c:numCache>
                <c:formatCode>General</c:formatCode>
                <c:ptCount val="4"/>
                <c:pt idx="0">
                  <c:v>2016</c:v>
                </c:pt>
                <c:pt idx="1">
                  <c:v>2017</c:v>
                </c:pt>
                <c:pt idx="2">
                  <c:v>2018</c:v>
                </c:pt>
                <c:pt idx="3">
                  <c:v>2019</c:v>
                </c:pt>
              </c:numCache>
            </c:numRef>
          </c:cat>
          <c:val>
            <c:numRef>
              <c:f>Sheet1!$B$57:$E$57</c:f>
              <c:numCache>
                <c:formatCode>0.0%</c:formatCode>
                <c:ptCount val="4"/>
                <c:pt idx="0">
                  <c:v>7.9047164137886379E-3</c:v>
                </c:pt>
                <c:pt idx="1">
                  <c:v>6.7920920957476828E-3</c:v>
                </c:pt>
                <c:pt idx="2">
                  <c:v>7.8769270211210066E-3</c:v>
                </c:pt>
                <c:pt idx="3">
                  <c:v>6.7125077034296248E-3</c:v>
                </c:pt>
              </c:numCache>
            </c:numRef>
          </c:val>
          <c:extLst>
            <c:ext xmlns:c16="http://schemas.microsoft.com/office/drawing/2014/chart" uri="{C3380CC4-5D6E-409C-BE32-E72D297353CC}">
              <c16:uniqueId val="{00000000-8DAE-4635-A6AD-816DC4CA7557}"/>
            </c:ext>
          </c:extLst>
        </c:ser>
        <c:ser>
          <c:idx val="1"/>
          <c:order val="1"/>
          <c:tx>
            <c:strRef>
              <c:f>Sheet1!$A$58</c:f>
              <c:strCache>
                <c:ptCount val="1"/>
                <c:pt idx="0">
                  <c:v>Učešće rashoda za gorivo u BDP</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Sheet1!$B$56:$E$56</c:f>
              <c:numCache>
                <c:formatCode>General</c:formatCode>
                <c:ptCount val="4"/>
                <c:pt idx="0">
                  <c:v>2016</c:v>
                </c:pt>
                <c:pt idx="1">
                  <c:v>2017</c:v>
                </c:pt>
                <c:pt idx="2">
                  <c:v>2018</c:v>
                </c:pt>
                <c:pt idx="3">
                  <c:v>2019</c:v>
                </c:pt>
              </c:numCache>
            </c:numRef>
          </c:cat>
          <c:val>
            <c:numRef>
              <c:f>Sheet1!$B$58:$E$58</c:f>
              <c:numCache>
                <c:formatCode>0.0%</c:formatCode>
                <c:ptCount val="4"/>
                <c:pt idx="0">
                  <c:v>1.9836578059041852E-3</c:v>
                </c:pt>
                <c:pt idx="1">
                  <c:v>1.8547246848229079E-3</c:v>
                </c:pt>
                <c:pt idx="2">
                  <c:v>2.2934582565787356E-3</c:v>
                </c:pt>
                <c:pt idx="3">
                  <c:v>1.9560279046449231E-3</c:v>
                </c:pt>
              </c:numCache>
            </c:numRef>
          </c:val>
          <c:extLst>
            <c:ext xmlns:c16="http://schemas.microsoft.com/office/drawing/2014/chart" uri="{C3380CC4-5D6E-409C-BE32-E72D297353CC}">
              <c16:uniqueId val="{00000001-8DAE-4635-A6AD-816DC4CA7557}"/>
            </c:ext>
          </c:extLst>
        </c:ser>
        <c:dLbls>
          <c:showLegendKey val="0"/>
          <c:showVal val="0"/>
          <c:showCatName val="0"/>
          <c:showSerName val="0"/>
          <c:showPercent val="0"/>
          <c:showBubbleSize val="0"/>
        </c:dLbls>
        <c:gapWidth val="84"/>
        <c:overlap val="-27"/>
        <c:axId val="300915328"/>
        <c:axId val="346923392"/>
      </c:barChart>
      <c:catAx>
        <c:axId val="30091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crossAx val="346923392"/>
        <c:crosses val="autoZero"/>
        <c:auto val="1"/>
        <c:lblAlgn val="ctr"/>
        <c:lblOffset val="100"/>
        <c:noMultiLvlLbl val="0"/>
      </c:catAx>
      <c:valAx>
        <c:axId val="3469233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crossAx val="30091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latin typeface="Calibri" panose="020F050202020403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Rashodi za materijal</c:v>
                </c:pt>
              </c:strCache>
            </c:strRef>
          </c:tx>
          <c:spPr>
            <a:solidFill>
              <a:srgbClr val="BDD7EE"/>
            </a:solidFill>
            <a:ln>
              <a:noFill/>
            </a:ln>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Sheet1!$B$1:$F$1</c:f>
              <c:numCache>
                <c:formatCode>General</c:formatCode>
                <c:ptCount val="5"/>
                <c:pt idx="0">
                  <c:v>2016</c:v>
                </c:pt>
                <c:pt idx="1">
                  <c:v>2017</c:v>
                </c:pt>
                <c:pt idx="2">
                  <c:v>2018</c:v>
                </c:pt>
                <c:pt idx="3">
                  <c:v>2019</c:v>
                </c:pt>
                <c:pt idx="4">
                  <c:v>2020</c:v>
                </c:pt>
              </c:numCache>
            </c:numRef>
          </c:cat>
          <c:val>
            <c:numRef>
              <c:f>Sheet1!$B$2:$F$2</c:f>
              <c:numCache>
                <c:formatCode>_(* #,##0_);_(* \(#,##0\);_(* "-"??_);_(@_)</c:formatCode>
                <c:ptCount val="5"/>
                <c:pt idx="0">
                  <c:v>31256924.5</c:v>
                </c:pt>
                <c:pt idx="1">
                  <c:v>29199822</c:v>
                </c:pt>
                <c:pt idx="2">
                  <c:v>36731134.700000003</c:v>
                </c:pt>
                <c:pt idx="3">
                  <c:v>33231726</c:v>
                </c:pt>
                <c:pt idx="4">
                  <c:v>35731986.700000003</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9633-4D95-BE02-6CBAAD8887A5}"/>
            </c:ext>
          </c:extLst>
        </c:ser>
        <c:ser>
          <c:idx val="1"/>
          <c:order val="1"/>
          <c:tx>
            <c:strRef>
              <c:f>Sheet1!$A$3</c:f>
              <c:strCache>
                <c:ptCount val="1"/>
                <c:pt idx="0">
                  <c:v>Administrativni materijal</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Sheet1!$B$1:$F$1</c:f>
              <c:numCache>
                <c:formatCode>General</c:formatCode>
                <c:ptCount val="5"/>
                <c:pt idx="0">
                  <c:v>2016</c:v>
                </c:pt>
                <c:pt idx="1">
                  <c:v>2017</c:v>
                </c:pt>
                <c:pt idx="2">
                  <c:v>2018</c:v>
                </c:pt>
                <c:pt idx="3">
                  <c:v>2019</c:v>
                </c:pt>
                <c:pt idx="4">
                  <c:v>2020</c:v>
                </c:pt>
              </c:numCache>
            </c:numRef>
          </c:cat>
          <c:val>
            <c:numRef>
              <c:f>Sheet1!$B$3:$F$3</c:f>
              <c:numCache>
                <c:formatCode>_(* #,##0_);_(* \(#,##0\);_(* "-"??_);_(@_)</c:formatCode>
                <c:ptCount val="5"/>
                <c:pt idx="0">
                  <c:v>8626505</c:v>
                </c:pt>
                <c:pt idx="1">
                  <c:v>5031618.2</c:v>
                </c:pt>
                <c:pt idx="2">
                  <c:v>7396921.7000000002</c:v>
                </c:pt>
                <c:pt idx="3">
                  <c:v>5898738.9000000004</c:v>
                </c:pt>
                <c:pt idx="4">
                  <c:v>6734048.2000000002</c:v>
                </c:pt>
              </c:numCache>
            </c:numRef>
          </c:val>
          <c:extLst>
            <c:ext xmlns:c16="http://schemas.microsoft.com/office/drawing/2014/chart" uri="{C3380CC4-5D6E-409C-BE32-E72D297353CC}">
              <c16:uniqueId val="{00000001-9633-4D95-BE02-6CBAAD8887A5}"/>
            </c:ext>
          </c:extLst>
        </c:ser>
        <c:dLbls>
          <c:showLegendKey val="0"/>
          <c:showVal val="0"/>
          <c:showCatName val="0"/>
          <c:showSerName val="0"/>
          <c:showPercent val="0"/>
          <c:showBubbleSize val="0"/>
        </c:dLbls>
        <c:gapWidth val="89"/>
        <c:overlap val="-27"/>
        <c:axId val="347060480"/>
        <c:axId val="347115520"/>
      </c:barChart>
      <c:catAx>
        <c:axId val="347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crossAx val="347115520"/>
        <c:crosses val="autoZero"/>
        <c:auto val="1"/>
        <c:lblAlgn val="ctr"/>
        <c:lblOffset val="100"/>
        <c:noMultiLvlLbl val="0"/>
      </c:catAx>
      <c:valAx>
        <c:axId val="347115520"/>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crossAx val="34706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latin typeface="Calibri" panose="020F050202020403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726946213063081"/>
          <c:y val="0.14659131755817345"/>
          <c:w val="0.79096660764294413"/>
          <c:h val="0.45436444959883882"/>
        </c:manualLayout>
      </c:layout>
      <c:barChart>
        <c:barDir val="bar"/>
        <c:grouping val="clustered"/>
        <c:varyColors val="0"/>
        <c:ser>
          <c:idx val="0"/>
          <c:order val="0"/>
          <c:tx>
            <c:strRef>
              <c:f>'[CPC21_Environment_2021-05 (1).xlsx]Figure 3'!$D$10</c:f>
              <c:strCache>
                <c:ptCount val="1"/>
                <c:pt idx="0">
                  <c:v>2009</c:v>
                </c:pt>
              </c:strCache>
            </c:strRef>
          </c:tx>
          <c:spPr>
            <a:solidFill>
              <a:srgbClr val="286EB4">
                <a:lumMod val="100000"/>
              </a:srgbClr>
            </a:solidFill>
            <a:ln>
              <a:noFill/>
            </a:ln>
            <a:effectLst/>
            <a:extLst>
              <a:ext uri="{91240B29-F687-4F45-9708-019B960494DF}">
                <a14:hiddenLine xmlns:a14="http://schemas.microsoft.com/office/drawing/2010/main">
                  <a:noFill/>
                </a14:hiddenLine>
              </a:ext>
            </a:extLst>
          </c:spPr>
          <c:invertIfNegative val="0"/>
          <c:dPt>
            <c:idx val="0"/>
            <c:invertIfNegative val="0"/>
            <c:bubble3D val="0"/>
            <c:extLst>
              <c:ext xmlns:c16="http://schemas.microsoft.com/office/drawing/2014/chart" uri="{C3380CC4-5D6E-409C-BE32-E72D297353CC}">
                <c16:uniqueId val="{00000000-ADD7-4295-A595-E3F6BE6ED20D}"/>
              </c:ext>
            </c:extLst>
          </c:dPt>
          <c:dLbls>
            <c:dLbl>
              <c:idx val="3"/>
              <c:layout>
                <c:manualLayout>
                  <c:x val="-1.7726567693330378E-2"/>
                  <c:y val="4.629576148370906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D7-4295-A595-E3F6BE6ED20D}"/>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'[CPC21_Environment_2021-05 (1).xlsx]Figure 3'!$C$11:$C$18</c:f>
              <c:strCache>
                <c:ptCount val="8"/>
                <c:pt idx="0">
                  <c:v>EU (¹)</c:v>
                </c:pt>
                <c:pt idx="1">
                  <c:v>Crna Gora (²)</c:v>
                </c:pt>
                <c:pt idx="2">
                  <c:v>Sjeverna Makedonija</c:v>
                </c:pt>
                <c:pt idx="3">
                  <c:v>Turska (³)</c:v>
                </c:pt>
                <c:pt idx="4">
                  <c:v>Albanija (⁴)</c:v>
                </c:pt>
                <c:pt idx="5">
                  <c:v>Srbija</c:v>
                </c:pt>
                <c:pt idx="6">
                  <c:v>Bosna i Hercegovina</c:v>
                </c:pt>
                <c:pt idx="7">
                  <c:v>Kosovo* (⁴)</c:v>
                </c:pt>
              </c:strCache>
            </c:strRef>
          </c:cat>
          <c:val>
            <c:numRef>
              <c:f>'[CPC21_Environment_2021-05 (1).xlsx]Figure 3'!$D$11:$D$18</c:f>
              <c:numCache>
                <c:formatCode>General</c:formatCode>
                <c:ptCount val="8"/>
                <c:pt idx="0" formatCode="0">
                  <c:v>510</c:v>
                </c:pt>
                <c:pt idx="2" formatCode="0">
                  <c:v>354</c:v>
                </c:pt>
                <c:pt idx="3" formatCode="0">
                  <c:v>419</c:v>
                </c:pt>
                <c:pt idx="5" formatCode="0">
                  <c:v>360</c:v>
                </c:pt>
                <c:pt idx="6" formatCode="0">
                  <c:v>354</c:v>
                </c:pt>
              </c:numCache>
            </c:numRef>
          </c:val>
          <c:extLst>
            <c:ext xmlns:c16="http://schemas.microsoft.com/office/drawing/2014/chart" uri="{C3380CC4-5D6E-409C-BE32-E72D297353CC}">
              <c16:uniqueId val="{00000002-ADD7-4295-A595-E3F6BE6ED20D}"/>
            </c:ext>
          </c:extLst>
        </c:ser>
        <c:ser>
          <c:idx val="1"/>
          <c:order val="1"/>
          <c:tx>
            <c:strRef>
              <c:f>'[CPC21_Environment_2021-05 (1).xlsx]Figure 3'!$E$10</c:f>
              <c:strCache>
                <c:ptCount val="1"/>
                <c:pt idx="0">
                  <c:v>2019</c:v>
                </c:pt>
              </c:strCache>
            </c:strRef>
          </c:tx>
          <c:spPr>
            <a:solidFill>
              <a:schemeClr val="accent1">
                <a:lumMod val="40000"/>
                <a:lumOff val="60000"/>
              </a:schemeClr>
            </a:solidFill>
            <a:ln>
              <a:noFill/>
            </a:ln>
            <a:effectLst/>
            <a:extLst>
              <a:ext uri="{91240B29-F687-4F45-9708-019B960494DF}">
                <a14:hiddenLine xmlns:a14="http://schemas.microsoft.com/office/drawing/2010/main">
                  <a:noFill/>
                </a14:hiddenLine>
              </a:ext>
            </a:extLst>
          </c:spPr>
          <c:invertIfNegative val="0"/>
          <c:dLbls>
            <c:dLbl>
              <c:idx val="0"/>
              <c:layout>
                <c:manualLayout>
                  <c:x val="-2.8805672501661866E-2"/>
                  <c:y val="-1.01010101010101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D7-4295-A595-E3F6BE6ED20D}"/>
                </c:ext>
              </c:extLst>
            </c:dLbl>
            <c:dLbl>
              <c:idx val="6"/>
              <c:layout>
                <c:manualLayout>
                  <c:x val="-2.2158209616663056E-2"/>
                  <c:y val="-1.01010101010101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DD7-4295-A595-E3F6BE6ED20D}"/>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'[CPC21_Environment_2021-05 (1).xlsx]Figure 3'!$C$11:$C$18</c:f>
              <c:strCache>
                <c:ptCount val="8"/>
                <c:pt idx="0">
                  <c:v>EU (¹)</c:v>
                </c:pt>
                <c:pt idx="1">
                  <c:v>Crna Gora (²)</c:v>
                </c:pt>
                <c:pt idx="2">
                  <c:v>Sjeverna Makedonija</c:v>
                </c:pt>
                <c:pt idx="3">
                  <c:v>Turska (³)</c:v>
                </c:pt>
                <c:pt idx="4">
                  <c:v>Albanija (⁴)</c:v>
                </c:pt>
                <c:pt idx="5">
                  <c:v>Srbija</c:v>
                </c:pt>
                <c:pt idx="6">
                  <c:v>Bosna i Hercegovina</c:v>
                </c:pt>
                <c:pt idx="7">
                  <c:v>Kosovo* (⁴)</c:v>
                </c:pt>
              </c:strCache>
            </c:strRef>
          </c:cat>
          <c:val>
            <c:numRef>
              <c:f>'[CPC21_Environment_2021-05 (1).xlsx]Figure 3'!$E$11:$E$18</c:f>
              <c:numCache>
                <c:formatCode>0</c:formatCode>
                <c:ptCount val="8"/>
                <c:pt idx="0">
                  <c:v>502</c:v>
                </c:pt>
                <c:pt idx="1">
                  <c:v>530</c:v>
                </c:pt>
                <c:pt idx="2">
                  <c:v>441</c:v>
                </c:pt>
                <c:pt idx="3">
                  <c:v>424</c:v>
                </c:pt>
                <c:pt idx="4">
                  <c:v>381</c:v>
                </c:pt>
                <c:pt idx="5">
                  <c:v>338</c:v>
                </c:pt>
                <c:pt idx="6">
                  <c:v>352</c:v>
                </c:pt>
                <c:pt idx="7">
                  <c:v>252</c:v>
                </c:pt>
              </c:numCache>
            </c:numRef>
          </c:val>
          <c:extLst>
            <c:ext xmlns:c16="http://schemas.microsoft.com/office/drawing/2014/chart" uri="{C3380CC4-5D6E-409C-BE32-E72D297353CC}">
              <c16:uniqueId val="{00000005-ADD7-4295-A595-E3F6BE6ED20D}"/>
            </c:ext>
          </c:extLst>
        </c:ser>
        <c:dLbls>
          <c:showLegendKey val="0"/>
          <c:showVal val="0"/>
          <c:showCatName val="0"/>
          <c:showSerName val="0"/>
          <c:showPercent val="0"/>
          <c:showBubbleSize val="0"/>
        </c:dLbls>
        <c:gapWidth val="67"/>
        <c:axId val="365481344"/>
        <c:axId val="365511808"/>
      </c:barChart>
      <c:catAx>
        <c:axId val="365481344"/>
        <c:scaling>
          <c:orientation val="maxMin"/>
        </c:scaling>
        <c:delete val="0"/>
        <c:axPos val="l"/>
        <c:numFmt formatCode="General" sourceLinked="0"/>
        <c:majorTickMark val="out"/>
        <c:minorTickMark val="none"/>
        <c:tickLblPos val="nextTo"/>
        <c:spPr>
          <a:ln>
            <a:solidFill>
              <a:srgbClr val="000000"/>
            </a:solidFill>
            <a:prstDash val="solid"/>
          </a:ln>
        </c:spPr>
        <c:txPr>
          <a:bodyPr rot="0" vert="horz"/>
          <a:lstStyle/>
          <a:p>
            <a:pPr>
              <a:defRPr/>
            </a:pPr>
            <a:endParaRPr lang="en-US"/>
          </a:p>
        </c:txPr>
        <c:crossAx val="365511808"/>
        <c:crosses val="autoZero"/>
        <c:auto val="1"/>
        <c:lblAlgn val="ctr"/>
        <c:lblOffset val="100"/>
        <c:tickMarkSkip val="1"/>
        <c:noMultiLvlLbl val="0"/>
      </c:catAx>
      <c:valAx>
        <c:axId val="365511808"/>
        <c:scaling>
          <c:orientation val="minMax"/>
        </c:scaling>
        <c:delete val="0"/>
        <c:axPos val="b"/>
        <c:majorGridlines>
          <c:spPr>
            <a:ln w="3175">
              <a:solidFill>
                <a:srgbClr val="C0C0C0"/>
              </a:solidFill>
              <a:prstDash val="sysDash"/>
            </a:ln>
          </c:spPr>
        </c:majorGridlines>
        <c:numFmt formatCode="General" sourceLinked="0"/>
        <c:majorTickMark val="out"/>
        <c:minorTickMark val="none"/>
        <c:tickLblPos val="nextTo"/>
        <c:spPr>
          <a:no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crossAx val="365481344"/>
        <c:crosses val="max"/>
        <c:crossBetween val="between"/>
      </c:valAx>
    </c:plotArea>
    <c:legend>
      <c:legendPos val="b"/>
      <c:layout>
        <c:manualLayout>
          <c:xMode val="edge"/>
          <c:yMode val="edge"/>
          <c:x val="0.29615668471310347"/>
          <c:y val="0.76933945756780397"/>
          <c:w val="0.36689092403223578"/>
          <c:h val="9.7368965242980998E-2"/>
        </c:manualLayout>
      </c:layout>
      <c:overlay val="0"/>
      <c:spPr>
        <a:noFill/>
        <a:ln>
          <a:noFill/>
        </a:ln>
        <a:effectLst/>
        <a:extLst>
          <a:ext uri="{91240B29-F687-4F45-9708-019B960494DF}">
            <a14:hiddenLine xmlns:a14="http://schemas.microsoft.com/office/drawing/2010/main">
              <a:noFill/>
            </a14:hiddenLine>
          </a:ext>
        </a:extLst>
      </c:spPr>
    </c:legend>
    <c:plotVisOnly val="1"/>
    <c:dispBlanksAs val="gap"/>
    <c:showDLblsOverMax val="0"/>
  </c:chart>
  <c:spPr>
    <a:solidFill>
      <a:sysClr val="window" lastClr="FFFFFF">
        <a:alpha val="77000"/>
      </a:sysClr>
    </a:solid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900">
          <a:solidFill>
            <a:srgbClr val="000000"/>
          </a:solidFill>
          <a:latin typeface="Calibri" panose="020F0502020204030204" pitchFamily="34" charset="0"/>
          <a:ea typeface="Arial"/>
          <a:cs typeface="Aria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xMode val="edge"/>
          <c:yMode val="edge"/>
          <c:x val="5.3333333333333332E-3"/>
          <c:y val="0.1970688195206752"/>
          <c:w val="0.99333333333333329"/>
          <c:h val="0.41756017018036956"/>
        </c:manualLayout>
      </c:layout>
      <c:barChart>
        <c:barDir val="bar"/>
        <c:grouping val="clustered"/>
        <c:varyColors val="0"/>
        <c:ser>
          <c:idx val="0"/>
          <c:order val="0"/>
          <c:tx>
            <c:strRef>
              <c:f>'Figure 4'!$D$10</c:f>
              <c:strCache>
                <c:ptCount val="1"/>
                <c:pt idx="0">
                  <c:v>2014</c:v>
                </c:pt>
              </c:strCache>
            </c:strRef>
          </c:tx>
          <c:spPr>
            <a:solidFill>
              <a:srgbClr val="BDD7EE"/>
            </a:solidFill>
            <a:ln>
              <a:noFill/>
            </a:ln>
            <a:effectLst/>
            <a:extLst>
              <a:ext uri="{91240B29-F687-4F45-9708-019B960494DF}">
                <a14:hiddenLine xmlns:a14="http://schemas.microsoft.com/office/drawing/2010/main">
                  <a:noFill/>
                </a14:hiddenLine>
              </a:ext>
            </a:extLst>
          </c:spPr>
          <c:invertIfNegative val="1"/>
          <c:dPt>
            <c:idx val="0"/>
            <c:invertIfNegative val="1"/>
            <c:bubble3D val="0"/>
            <c:extLst>
              <c:ext xmlns:c16="http://schemas.microsoft.com/office/drawing/2014/chart" uri="{C3380CC4-5D6E-409C-BE32-E72D297353CC}">
                <c16:uniqueId val="{00000000-7229-4E39-A67D-D1663B1BCA21}"/>
              </c:ext>
            </c:extLst>
          </c:dPt>
          <c:dLbls>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4'!$C$11:$C$16</c:f>
              <c:strCache>
                <c:ptCount val="6"/>
                <c:pt idx="0">
                  <c:v>Turska (¹)</c:v>
                </c:pt>
                <c:pt idx="1">
                  <c:v>Albanija</c:v>
                </c:pt>
                <c:pt idx="2">
                  <c:v>Crna Gora</c:v>
                </c:pt>
                <c:pt idx="3">
                  <c:v>Srbija (¹)</c:v>
                </c:pt>
                <c:pt idx="4">
                  <c:v>Kosovo* (²)</c:v>
                </c:pt>
                <c:pt idx="5">
                  <c:v>Bosna i Hercegovina </c:v>
                </c:pt>
              </c:strCache>
            </c:strRef>
          </c:cat>
          <c:val>
            <c:numRef>
              <c:f>'Figure 4'!$D$11:$D$16</c:f>
              <c:numCache>
                <c:formatCode>0</c:formatCode>
                <c:ptCount val="6"/>
                <c:pt idx="0">
                  <c:v>91</c:v>
                </c:pt>
                <c:pt idx="1">
                  <c:v>63</c:v>
                </c:pt>
                <c:pt idx="2" formatCode="0.0">
                  <c:v>80.5</c:v>
                </c:pt>
                <c:pt idx="3">
                  <c:v>80</c:v>
                </c:pt>
                <c:pt idx="4">
                  <c:v>50</c:v>
                </c:pt>
                <c:pt idx="5">
                  <c:v>74</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a:extLst>
                    <a:ext uri="{91240B29-F687-4F45-9708-019B960494DF}">
                      <a14:hiddenLine xmlns:a14="http://schemas.microsoft.com/office/drawing/2010/main">
                        <a:noFill/>
                      </a14:hiddenLine>
                    </a:ext>
                  </a:extLst>
                </c14:spPr>
              </c14:invertSolidFillFmt>
            </c:ext>
            <c:ext xmlns:c16="http://schemas.microsoft.com/office/drawing/2014/chart" uri="{C3380CC4-5D6E-409C-BE32-E72D297353CC}">
              <c16:uniqueId val="{00000001-7229-4E39-A67D-D1663B1BCA21}"/>
            </c:ext>
          </c:extLst>
        </c:ser>
        <c:ser>
          <c:idx val="1"/>
          <c:order val="1"/>
          <c:tx>
            <c:strRef>
              <c:f>'Figure 4'!$E$10</c:f>
              <c:strCache>
                <c:ptCount val="1"/>
                <c:pt idx="0">
                  <c:v>2019</c:v>
                </c:pt>
              </c:strCache>
            </c:strRef>
          </c:tx>
          <c:spPr>
            <a:solidFill>
              <a:schemeClr val="accent1">
                <a:lumMod val="75000"/>
              </a:schemeClr>
            </a:solidFill>
            <a:ln>
              <a:noFill/>
            </a:ln>
            <a:effectLst/>
            <a:extLst>
              <a:ext uri="{91240B29-F687-4F45-9708-019B960494DF}">
                <a14:hiddenLine xmlns:a14="http://schemas.microsoft.com/office/drawing/2010/main">
                  <a:noFill/>
                </a14:hiddenLine>
              </a:ext>
            </a:extLst>
          </c:spPr>
          <c:invertIfNegative val="0"/>
          <c:dLbls>
            <c:dLbl>
              <c:idx val="5"/>
              <c:layout>
                <c:manualLayout>
                  <c:x val="-2.2158209616662972E-3"/>
                  <c:y val="-2.39808153477217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229-4E39-A67D-D1663B1BCA21}"/>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4'!$C$11:$C$16</c:f>
              <c:strCache>
                <c:ptCount val="6"/>
                <c:pt idx="0">
                  <c:v>Turska (¹)</c:v>
                </c:pt>
                <c:pt idx="1">
                  <c:v>Albanija</c:v>
                </c:pt>
                <c:pt idx="2">
                  <c:v>Crna Gora</c:v>
                </c:pt>
                <c:pt idx="3">
                  <c:v>Srbija (¹)</c:v>
                </c:pt>
                <c:pt idx="4">
                  <c:v>Kosovo* (²)</c:v>
                </c:pt>
                <c:pt idx="5">
                  <c:v>Bosna i Hercegovina </c:v>
                </c:pt>
              </c:strCache>
            </c:strRef>
          </c:cat>
          <c:val>
            <c:numRef>
              <c:f>'Figure 4'!$E$11:$E$16</c:f>
              <c:numCache>
                <c:formatCode>0</c:formatCode>
                <c:ptCount val="6"/>
                <c:pt idx="0">
                  <c:v>93.76</c:v>
                </c:pt>
                <c:pt idx="1">
                  <c:v>87.9</c:v>
                </c:pt>
                <c:pt idx="2" formatCode="0.0">
                  <c:v>86.2</c:v>
                </c:pt>
                <c:pt idx="3" formatCode="0.0">
                  <c:v>86.2</c:v>
                </c:pt>
                <c:pt idx="4">
                  <c:v>76</c:v>
                </c:pt>
                <c:pt idx="5">
                  <c:v>74</c:v>
                </c:pt>
              </c:numCache>
            </c:numRef>
          </c:val>
          <c:extLst>
            <c:ext xmlns:c16="http://schemas.microsoft.com/office/drawing/2014/chart" uri="{C3380CC4-5D6E-409C-BE32-E72D297353CC}">
              <c16:uniqueId val="{00000002-7229-4E39-A67D-D1663B1BCA21}"/>
            </c:ext>
          </c:extLst>
        </c:ser>
        <c:dLbls>
          <c:showLegendKey val="0"/>
          <c:showVal val="0"/>
          <c:showCatName val="0"/>
          <c:showSerName val="0"/>
          <c:showPercent val="0"/>
          <c:showBubbleSize val="0"/>
        </c:dLbls>
        <c:gapWidth val="82"/>
        <c:axId val="365535232"/>
        <c:axId val="365536768"/>
      </c:barChart>
      <c:catAx>
        <c:axId val="365535232"/>
        <c:scaling>
          <c:orientation val="maxMin"/>
        </c:scaling>
        <c:delete val="0"/>
        <c:axPos val="l"/>
        <c:numFmt formatCode="General" sourceLinked="0"/>
        <c:majorTickMark val="out"/>
        <c:minorTickMark val="none"/>
        <c:tickLblPos val="nextTo"/>
        <c:spPr>
          <a:ln>
            <a:solidFill>
              <a:srgbClr val="000000"/>
            </a:solidFill>
            <a:prstDash val="solid"/>
          </a:ln>
        </c:spPr>
        <c:txPr>
          <a:bodyPr rot="0" vert="horz"/>
          <a:lstStyle/>
          <a:p>
            <a:pPr>
              <a:defRPr sz="800"/>
            </a:pPr>
            <a:endParaRPr lang="en-US"/>
          </a:p>
        </c:txPr>
        <c:crossAx val="365536768"/>
        <c:crosses val="autoZero"/>
        <c:auto val="1"/>
        <c:lblAlgn val="ctr"/>
        <c:lblOffset val="100"/>
        <c:tickMarkSkip val="1"/>
        <c:noMultiLvlLbl val="0"/>
      </c:catAx>
      <c:valAx>
        <c:axId val="365536768"/>
        <c:scaling>
          <c:orientation val="minMax"/>
        </c:scaling>
        <c:delete val="0"/>
        <c:axPos val="b"/>
        <c:majorGridlines>
          <c:spPr>
            <a:ln w="3175">
              <a:solidFill>
                <a:srgbClr val="C0C0C0"/>
              </a:solidFill>
              <a:prstDash val="sysDash"/>
            </a:ln>
          </c:spPr>
        </c:majorGridlines>
        <c:numFmt formatCode="General" sourceLinked="0"/>
        <c:majorTickMark val="out"/>
        <c:minorTickMark val="none"/>
        <c:tickLblPos val="nextTo"/>
        <c:spPr>
          <a:no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crossAx val="365535232"/>
        <c:crosses val="max"/>
        <c:crossBetween val="between"/>
      </c:valAx>
    </c:plotArea>
    <c:legend>
      <c:legendPos val="b"/>
      <c:layout>
        <c:manualLayout>
          <c:xMode val="edge"/>
          <c:yMode val="edge"/>
          <c:x val="0.28286175894310572"/>
          <c:y val="0.68613723972226348"/>
          <c:w val="0.3877440674447048"/>
          <c:h val="0.14625252205165643"/>
        </c:manualLayout>
      </c:layout>
      <c:overlay val="0"/>
      <c:spPr>
        <a:noFill/>
        <a:ln>
          <a:noFill/>
        </a:ln>
        <a:effectLst/>
        <a:extLst>
          <a:ext uri="{91240B29-F687-4F45-9708-019B960494DF}">
            <a14:hiddenLine xmlns:a14="http://schemas.microsoft.com/office/drawing/2010/main">
              <a:noFill/>
            </a14:hiddenLine>
          </a:ext>
        </a:extLst>
      </c:spPr>
    </c:legend>
    <c:plotVisOnly val="1"/>
    <c:dispBlanksAs val="gap"/>
    <c:showDLblsOverMax val="0"/>
  </c:chart>
  <c:spPr>
    <a:solidFill>
      <a:sysClr val="window" lastClr="FFFFFF"/>
    </a:solid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000">
          <a:solidFill>
            <a:srgbClr val="000000"/>
          </a:solidFill>
          <a:latin typeface="Calibri" panose="020F0502020204030204" pitchFamily="34" charset="0"/>
          <a:ea typeface="Arial"/>
          <a:cs typeface="Arial"/>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45658792650919"/>
          <c:y val="0.16230353558746333"/>
          <c:w val="0.78631013123359583"/>
          <c:h val="0.40086081270201751"/>
        </c:manualLayout>
      </c:layout>
      <c:barChart>
        <c:barDir val="bar"/>
        <c:grouping val="clustered"/>
        <c:varyColors val="0"/>
        <c:ser>
          <c:idx val="0"/>
          <c:order val="0"/>
          <c:tx>
            <c:strRef>
              <c:f>'[CPC21_Environment_2021-05 (1).xlsx]Figure 5'!$D$10</c:f>
              <c:strCache>
                <c:ptCount val="1"/>
                <c:pt idx="0">
                  <c:v>2014</c:v>
                </c:pt>
              </c:strCache>
            </c:strRef>
          </c:tx>
          <c:spPr>
            <a:solidFill>
              <a:srgbClr val="286EB4">
                <a:lumMod val="100000"/>
              </a:srgbClr>
            </a:solidFill>
            <a:ln>
              <a:noFill/>
            </a:ln>
            <a:effectLst/>
            <a:extLst>
              <a:ext uri="{91240B29-F687-4F45-9708-019B960494DF}">
                <a14:hiddenLine xmlns:a14="http://schemas.microsoft.com/office/drawing/2010/main">
                  <a:noFill/>
                </a14:hiddenLine>
              </a:ext>
            </a:extLst>
          </c:spPr>
          <c:invertIfNegative val="0"/>
          <c:dPt>
            <c:idx val="0"/>
            <c:invertIfNegative val="0"/>
            <c:bubble3D val="0"/>
            <c:extLst>
              <c:ext xmlns:c16="http://schemas.microsoft.com/office/drawing/2014/chart" uri="{C3380CC4-5D6E-409C-BE32-E72D297353CC}">
                <c16:uniqueId val="{00000000-A324-4021-8FE4-A171E19F3FDC}"/>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'[CPC21_Environment_2021-05 (1).xlsx]Figure 5'!$C$11:$C$14</c:f>
              <c:strCache>
                <c:ptCount val="4"/>
                <c:pt idx="0">
                  <c:v>Sjeverna Makedonija (¹)</c:v>
                </c:pt>
                <c:pt idx="1">
                  <c:v>Srbija (²)</c:v>
                </c:pt>
                <c:pt idx="2">
                  <c:v>Turska (³)</c:v>
                </c:pt>
                <c:pt idx="3">
                  <c:v>Bosna i Hercegovina</c:v>
                </c:pt>
              </c:strCache>
            </c:strRef>
          </c:cat>
          <c:val>
            <c:numRef>
              <c:f>'[CPC21_Environment_2021-05 (1).xlsx]Figure 5'!$D$11:$D$14</c:f>
              <c:numCache>
                <c:formatCode>0.0</c:formatCode>
                <c:ptCount val="4"/>
                <c:pt idx="0">
                  <c:v>6.7054430930000004</c:v>
                </c:pt>
                <c:pt idx="1">
                  <c:v>2.2999999999999998</c:v>
                </c:pt>
                <c:pt idx="2">
                  <c:v>22.18137132</c:v>
                </c:pt>
                <c:pt idx="3">
                  <c:v>0.81</c:v>
                </c:pt>
              </c:numCache>
            </c:numRef>
          </c:val>
          <c:extLst>
            <c:ext xmlns:c16="http://schemas.microsoft.com/office/drawing/2014/chart" uri="{C3380CC4-5D6E-409C-BE32-E72D297353CC}">
              <c16:uniqueId val="{00000001-A324-4021-8FE4-A171E19F3FDC}"/>
            </c:ext>
          </c:extLst>
        </c:ser>
        <c:ser>
          <c:idx val="1"/>
          <c:order val="1"/>
          <c:tx>
            <c:strRef>
              <c:f>'[CPC21_Environment_2021-05 (1).xlsx]Figure 5'!$E$10</c:f>
              <c:strCache>
                <c:ptCount val="1"/>
                <c:pt idx="0">
                  <c:v>2019</c:v>
                </c:pt>
              </c:strCache>
            </c:strRef>
          </c:tx>
          <c:spPr>
            <a:solidFill>
              <a:schemeClr val="accent1">
                <a:lumMod val="60000"/>
                <a:lumOff val="40000"/>
              </a:schemeClr>
            </a:solidFill>
            <a:ln>
              <a:noFill/>
            </a:ln>
            <a:effectLst/>
            <a:extLst>
              <a:ext uri="{91240B29-F687-4F45-9708-019B960494DF}">
                <a14:hiddenLine xmlns:a14="http://schemas.microsoft.com/office/drawing/2010/main">
                  <a:noFill/>
                </a14:hiddenLine>
              </a:ext>
            </a:extLst>
          </c:spPr>
          <c:invertIfNegative val="0"/>
          <c:dPt>
            <c:idx val="0"/>
            <c:invertIfNegative val="0"/>
            <c:bubble3D val="0"/>
            <c:spPr>
              <a:solidFill>
                <a:schemeClr val="accent1">
                  <a:lumMod val="40000"/>
                  <a:lumOff val="60000"/>
                </a:schemeClr>
              </a:solidFill>
              <a:ln>
                <a:noFill/>
              </a:ln>
              <a:effectLst/>
              <a:extLst>
                <a:ext uri="{91240B29-F687-4F45-9708-019B960494DF}">
                  <a14:hiddenLine xmlns:a14="http://schemas.microsoft.com/office/drawing/2010/main">
                    <a:noFill/>
                  </a14:hiddenLine>
                </a:ext>
              </a:extLst>
            </c:spPr>
            <c:extLst>
              <c:ext xmlns:c16="http://schemas.microsoft.com/office/drawing/2014/chart" uri="{C3380CC4-5D6E-409C-BE32-E72D297353CC}">
                <c16:uniqueId val="{00000003-A324-4021-8FE4-A171E19F3FDC}"/>
              </c:ext>
            </c:extLst>
          </c:dPt>
          <c:dPt>
            <c:idx val="1"/>
            <c:invertIfNegative val="0"/>
            <c:bubble3D val="0"/>
            <c:spPr>
              <a:solidFill>
                <a:schemeClr val="accent1">
                  <a:lumMod val="40000"/>
                  <a:lumOff val="60000"/>
                </a:schemeClr>
              </a:solidFill>
              <a:ln>
                <a:noFill/>
              </a:ln>
              <a:effectLst/>
              <a:extLst>
                <a:ext uri="{91240B29-F687-4F45-9708-019B960494DF}">
                  <a14:hiddenLine xmlns:a14="http://schemas.microsoft.com/office/drawing/2010/main">
                    <a:noFill/>
                  </a14:hiddenLine>
                </a:ext>
              </a:extLst>
            </c:spPr>
            <c:extLst>
              <c:ext xmlns:c16="http://schemas.microsoft.com/office/drawing/2014/chart" uri="{C3380CC4-5D6E-409C-BE32-E72D297353CC}">
                <c16:uniqueId val="{00000005-A324-4021-8FE4-A171E19F3FDC}"/>
              </c:ext>
            </c:extLst>
          </c:dPt>
          <c:dPt>
            <c:idx val="3"/>
            <c:invertIfNegative val="0"/>
            <c:bubble3D val="0"/>
            <c:spPr>
              <a:solidFill>
                <a:schemeClr val="accent1">
                  <a:lumMod val="40000"/>
                  <a:lumOff val="60000"/>
                </a:schemeClr>
              </a:solidFill>
              <a:ln>
                <a:noFill/>
              </a:ln>
              <a:effectLst/>
              <a:extLst>
                <a:ext uri="{91240B29-F687-4F45-9708-019B960494DF}">
                  <a14:hiddenLine xmlns:a14="http://schemas.microsoft.com/office/drawing/2010/main">
                    <a:noFill/>
                  </a14:hiddenLine>
                </a:ext>
              </a:extLst>
            </c:spPr>
            <c:extLst>
              <c:ext xmlns:c16="http://schemas.microsoft.com/office/drawing/2014/chart" uri="{C3380CC4-5D6E-409C-BE32-E72D297353CC}">
                <c16:uniqueId val="{00000007-A324-4021-8FE4-A171E19F3FDC}"/>
              </c:ext>
            </c:extLst>
          </c:dPt>
          <c:dLbls>
            <c:dLbl>
              <c:idx val="3"/>
              <c:layout>
                <c:manualLayout>
                  <c:x val="0"/>
                  <c:y val="-2.74800769442153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24-4021-8FE4-A171E19F3FD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'[CPC21_Environment_2021-05 (1).xlsx]Figure 5'!$C$11:$C$14</c:f>
              <c:strCache>
                <c:ptCount val="4"/>
                <c:pt idx="0">
                  <c:v>Sjeverna Makedonija (¹)</c:v>
                </c:pt>
                <c:pt idx="1">
                  <c:v>Srbija (²)</c:v>
                </c:pt>
                <c:pt idx="2">
                  <c:v>Turska (³)</c:v>
                </c:pt>
                <c:pt idx="3">
                  <c:v>Bosna i Hercegovina</c:v>
                </c:pt>
              </c:strCache>
            </c:strRef>
          </c:cat>
          <c:val>
            <c:numRef>
              <c:f>'[CPC21_Environment_2021-05 (1).xlsx]Figure 5'!$E$11:$E$14</c:f>
              <c:numCache>
                <c:formatCode>0.0</c:formatCode>
                <c:ptCount val="4"/>
                <c:pt idx="0">
                  <c:v>4.5462369316738602</c:v>
                </c:pt>
                <c:pt idx="1">
                  <c:v>3.2</c:v>
                </c:pt>
                <c:pt idx="3">
                  <c:v>1.5</c:v>
                </c:pt>
              </c:numCache>
            </c:numRef>
          </c:val>
          <c:extLst>
            <c:ext xmlns:c16="http://schemas.microsoft.com/office/drawing/2014/chart" uri="{C3380CC4-5D6E-409C-BE32-E72D297353CC}">
              <c16:uniqueId val="{00000008-A324-4021-8FE4-A171E19F3FDC}"/>
            </c:ext>
          </c:extLst>
        </c:ser>
        <c:dLbls>
          <c:showLegendKey val="0"/>
          <c:showVal val="0"/>
          <c:showCatName val="0"/>
          <c:showSerName val="0"/>
          <c:showPercent val="0"/>
          <c:showBubbleSize val="0"/>
        </c:dLbls>
        <c:gapWidth val="150"/>
        <c:axId val="365620224"/>
        <c:axId val="365691648"/>
      </c:barChart>
      <c:catAx>
        <c:axId val="365620224"/>
        <c:scaling>
          <c:orientation val="maxMin"/>
        </c:scaling>
        <c:delete val="0"/>
        <c:axPos val="l"/>
        <c:numFmt formatCode="General" sourceLinked="0"/>
        <c:majorTickMark val="out"/>
        <c:minorTickMark val="none"/>
        <c:tickLblPos val="nextTo"/>
        <c:spPr>
          <a:ln>
            <a:solidFill>
              <a:srgbClr val="000000"/>
            </a:solidFill>
            <a:prstDash val="solid"/>
          </a:ln>
        </c:spPr>
        <c:txPr>
          <a:bodyPr rot="0" vert="horz"/>
          <a:lstStyle/>
          <a:p>
            <a:pPr>
              <a:defRPr/>
            </a:pPr>
            <a:endParaRPr lang="en-US"/>
          </a:p>
        </c:txPr>
        <c:crossAx val="365691648"/>
        <c:crosses val="autoZero"/>
        <c:auto val="1"/>
        <c:lblAlgn val="ctr"/>
        <c:lblOffset val="100"/>
        <c:noMultiLvlLbl val="0"/>
      </c:catAx>
      <c:valAx>
        <c:axId val="365691648"/>
        <c:scaling>
          <c:orientation val="minMax"/>
        </c:scaling>
        <c:delete val="0"/>
        <c:axPos val="b"/>
        <c:majorGridlines>
          <c:spPr>
            <a:ln w="3175">
              <a:solidFill>
                <a:srgbClr val="C0C0C0"/>
              </a:solidFill>
              <a:prstDash val="sysDash"/>
            </a:ln>
          </c:spPr>
        </c:majorGridlines>
        <c:numFmt formatCode="General" sourceLinked="0"/>
        <c:majorTickMark val="none"/>
        <c:minorTickMark val="none"/>
        <c:tickLblPos val="nextTo"/>
        <c:spPr>
          <a:no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crossAx val="365620224"/>
        <c:crosses val="max"/>
        <c:crossBetween val="between"/>
      </c:valAx>
    </c:plotArea>
    <c:legend>
      <c:legendPos val="b"/>
      <c:layout>
        <c:manualLayout>
          <c:xMode val="edge"/>
          <c:yMode val="edge"/>
          <c:x val="0.31653072227039647"/>
          <c:y val="0.76091640647144987"/>
          <c:w val="0.35893839494304292"/>
          <c:h val="6.3743073782443871E-2"/>
        </c:manualLayout>
      </c:layout>
      <c:overlay val="0"/>
      <c:spPr>
        <a:noFill/>
        <a:ln>
          <a:noFill/>
        </a:ln>
        <a:effectLst/>
        <a:extLst>
          <a:ext uri="{91240B29-F687-4F45-9708-019B960494DF}">
            <a14:hiddenLine xmlns:a14="http://schemas.microsoft.com/office/drawing/2010/main">
              <a:noFill/>
            </a14:hiddenLine>
          </a:ext>
        </a:extLst>
      </c:spPr>
    </c:legend>
    <c:plotVisOnly val="1"/>
    <c:dispBlanksAs val="gap"/>
    <c:showDLblsOverMax val="0"/>
  </c:chart>
  <c:spPr>
    <a:solidFill>
      <a:sysClr val="window" lastClr="FFFFFF"/>
    </a:solid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000">
          <a:solidFill>
            <a:srgbClr val="000000"/>
          </a:solidFill>
          <a:latin typeface="Calibri" panose="020F0502020204030204" pitchFamily="34" charset="0"/>
          <a:ea typeface="Arial"/>
          <a:cs typeface="Arial"/>
        </a:defRPr>
      </a:pPr>
      <a:endParaRPr lang="en-US"/>
    </a:p>
  </c:txPr>
  <c:externalData r:id="rId2">
    <c:autoUpdate val="0"/>
  </c:externalData>
  <c:userShapes r:id="rId3"/>
</c:chartSpace>
</file>

<file path=word/drawings/drawing1.xml><?xml version="1.0" encoding="utf-8"?>
<c:userShapes xmlns:c="http://schemas.openxmlformats.org/drawingml/2006/chart">
  <cdr:absSizeAnchor xmlns:cdr="http://schemas.openxmlformats.org/drawingml/2006/chartDrawing">
    <cdr:from>
      <cdr:x>0.00533</cdr:x>
      <cdr:y>0.71541</cdr:y>
    </cdr:from>
    <cdr:ext cx="5694013" cy="269369"/>
    <cdr:sp macro="" textlink="">
      <cdr:nvSpPr>
        <cdr:cNvPr id="2" name="FootonotesShape"/>
        <cdr:cNvSpPr txBox="1"/>
      </cdr:nvSpPr>
      <cdr:spPr>
        <a:xfrm xmlns:a="http://schemas.openxmlformats.org/drawingml/2006/main">
          <a:off x="30512" y="2202375"/>
          <a:ext cx="5694013" cy="269369"/>
        </a:xfrm>
        <a:prstGeom xmlns:a="http://schemas.openxmlformats.org/drawingml/2006/main" prst="rect">
          <a:avLst/>
        </a:prstGeom>
      </cdr:spPr>
      <cdr:txBody>
        <a:bodyPr xmlns:a="http://schemas.openxmlformats.org/drawingml/2006/main" vertOverflow="clip" vert="horz" wrap="square" rtlCol="0">
          <a:spAutoFit/>
        </a:bodyPr>
        <a:lstStyle xmlns:a="http://schemas.openxmlformats.org/drawingml/2006/main"/>
        <a:p xmlns:a="http://schemas.openxmlformats.org/drawingml/2006/main">
          <a:endParaRPr lang="en-GB" sz="1200">
            <a:latin typeface="Arial" panose="020B0604020202020204" pitchFamily="34" charset="0"/>
          </a:endParaRPr>
        </a:p>
      </cdr:txBody>
    </cdr:sp>
  </cdr:absSizeAnchor>
</c:userShapes>
</file>

<file path=word/drawings/drawing2.xml><?xml version="1.0" encoding="utf-8"?>
<c:userShapes xmlns:c="http://schemas.openxmlformats.org/drawingml/2006/chart">
  <cdr:absSizeAnchor xmlns:cdr="http://schemas.openxmlformats.org/drawingml/2006/chartDrawing">
    <cdr:from>
      <cdr:x>0.00333</cdr:x>
      <cdr:y>0.70691</cdr:y>
    </cdr:from>
    <cdr:ext cx="7994650" cy="269369"/>
    <cdr:sp macro="" textlink="">
      <cdr:nvSpPr>
        <cdr:cNvPr id="4" name="FootonotesShape"/>
        <cdr:cNvSpPr txBox="1"/>
      </cdr:nvSpPr>
      <cdr:spPr>
        <a:xfrm xmlns:a="http://schemas.openxmlformats.org/drawingml/2006/main">
          <a:off x="31718" y="3548458"/>
          <a:ext cx="7994650" cy="269369"/>
        </a:xfrm>
        <a:prstGeom xmlns:a="http://schemas.openxmlformats.org/drawingml/2006/main" prst="rect">
          <a:avLst/>
        </a:prstGeom>
      </cdr:spPr>
      <cdr:txBody>
        <a:bodyPr xmlns:a="http://schemas.openxmlformats.org/drawingml/2006/main" vertOverflow="clip" vert="horz" wrap="square" rtlCol="0">
          <a:spAutoFit/>
        </a:bodyPr>
        <a:lstStyle xmlns:a="http://schemas.openxmlformats.org/drawingml/2006/main"/>
        <a:p xmlns:a="http://schemas.openxmlformats.org/drawingml/2006/main">
          <a:endParaRPr lang="en-GB" sz="1200">
            <a:latin typeface="Arial" panose="020B0604020202020204" pitchFamily="34" charset="0"/>
          </a:endParaRPr>
        </a:p>
      </cdr:txBody>
    </cdr:sp>
  </cdr:abs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B463F-D85F-478F-9246-22C60C48E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18084</Words>
  <Characters>103085</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Barjaktarovic, Danilo</dc:creator>
  <cp:keywords/>
  <dc:description/>
  <cp:lastModifiedBy>Olivera Kujundzic</cp:lastModifiedBy>
  <cp:revision>2</cp:revision>
  <cp:lastPrinted>2021-09-08T11:31:00Z</cp:lastPrinted>
  <dcterms:created xsi:type="dcterms:W3CDTF">2021-09-15T10:00:00Z</dcterms:created>
  <dcterms:modified xsi:type="dcterms:W3CDTF">2021-09-15T10:00:00Z</dcterms:modified>
</cp:coreProperties>
</file>