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1F6C" w:rsidRPr="006F4DB3" w:rsidRDefault="00451F6C" w:rsidP="00375D08">
      <w:pPr>
        <w:spacing w:before="0" w:after="0" w:line="240" w:lineRule="auto"/>
        <w:ind w:left="1134"/>
        <w:rPr>
          <w:bCs/>
          <w:lang w:val="sr-Latn-RS"/>
        </w:rPr>
      </w:pPr>
    </w:p>
    <w:p w:rsidR="000F2BFC" w:rsidRDefault="00D23B4D" w:rsidP="00683884">
      <w:pPr>
        <w:tabs>
          <w:tab w:val="left" w:pos="1134"/>
          <w:tab w:val="left" w:pos="7797"/>
        </w:tabs>
        <w:spacing w:before="0" w:after="0" w:line="240" w:lineRule="auto"/>
        <w:rPr>
          <w:sz w:val="20"/>
        </w:rPr>
      </w:pPr>
      <w:bookmarkStart w:id="0" w:name="_Hlk204259872"/>
      <w:r w:rsidRPr="006F4DB3">
        <w:rPr>
          <w:bCs/>
          <w:sz w:val="20"/>
          <w:lang w:val="sr-Latn-RS"/>
        </w:rPr>
        <w:t>Br:</w:t>
      </w:r>
      <w:r w:rsidR="004C7AD7">
        <w:rPr>
          <w:bCs/>
          <w:sz w:val="20"/>
          <w:lang w:val="sr-Latn-RS"/>
        </w:rPr>
        <w:t xml:space="preserve">     </w:t>
      </w:r>
      <w:r w:rsidR="00AF491F">
        <w:rPr>
          <w:bCs/>
          <w:sz w:val="20"/>
          <w:lang w:val="sr-Latn-RS"/>
        </w:rPr>
        <w:t>01-056/26-1562</w:t>
      </w:r>
      <w:r w:rsidR="004C7AD7">
        <w:rPr>
          <w:bCs/>
          <w:sz w:val="20"/>
          <w:lang w:val="sr-Latn-RS"/>
        </w:rPr>
        <w:t xml:space="preserve">                                                                                                                                                                                             </w:t>
      </w:r>
      <w:bookmarkStart w:id="1" w:name="_GoBack"/>
      <w:bookmarkEnd w:id="1"/>
      <w:r w:rsidR="004C7AD7">
        <w:rPr>
          <w:bCs/>
          <w:sz w:val="20"/>
          <w:lang w:val="sr-Latn-RS"/>
        </w:rPr>
        <w:t xml:space="preserve">   </w:t>
      </w:r>
      <w:r w:rsidR="00AE3848">
        <w:rPr>
          <w:sz w:val="20"/>
        </w:rPr>
        <w:t>10</w:t>
      </w:r>
      <w:r>
        <w:rPr>
          <w:sz w:val="20"/>
        </w:rPr>
        <w:t xml:space="preserve">. </w:t>
      </w:r>
      <w:r w:rsidR="00AE7B59">
        <w:rPr>
          <w:sz w:val="20"/>
        </w:rPr>
        <w:t>septembar</w:t>
      </w:r>
      <w:r>
        <w:rPr>
          <w:sz w:val="20"/>
        </w:rPr>
        <w:t xml:space="preserve"> 2026. godine</w:t>
      </w:r>
    </w:p>
    <w:p w:rsidR="004C7AD7" w:rsidRPr="006F4DB3" w:rsidRDefault="004C7AD7" w:rsidP="00683884">
      <w:pPr>
        <w:tabs>
          <w:tab w:val="left" w:pos="1134"/>
          <w:tab w:val="left" w:pos="7797"/>
        </w:tabs>
        <w:spacing w:before="0" w:after="0" w:line="240" w:lineRule="auto"/>
        <w:rPr>
          <w:bCs/>
          <w:sz w:val="20"/>
          <w:lang w:val="sr-Latn-RS"/>
        </w:rPr>
      </w:pPr>
    </w:p>
    <w:p w:rsidR="007A3DD1" w:rsidRDefault="00370754" w:rsidP="00370754">
      <w:pPr>
        <w:jc w:val="center"/>
        <w:rPr>
          <w:b/>
          <w:lang w:val="sr-Latn-RS"/>
        </w:rPr>
      </w:pPr>
      <w:r>
        <w:rPr>
          <w:b/>
          <w:sz w:val="36"/>
        </w:rPr>
        <w:t>S E K T O R S K A   A N A L I Z A</w:t>
      </w:r>
      <w:r>
        <w:rPr>
          <w:b/>
        </w:rPr>
        <w:br/>
        <w:t>za utvrđivanje predloga prioritetnih oblasti od javnog interesa i potrebnih sredstava</w:t>
      </w:r>
      <w:r>
        <w:rPr>
          <w:b/>
        </w:rPr>
        <w:br/>
        <w:t>za finansiranje projekata i programa nevladinih organizacija</w:t>
      </w:r>
      <w:r>
        <w:rPr>
          <w:b/>
        </w:rPr>
        <w:br/>
        <w:t>iz Budžeta Crne Gore u 2027. godini</w:t>
      </w:r>
    </w:p>
    <w:p w:rsidR="007A3DD1" w:rsidRDefault="007A3DD1" w:rsidP="00370754">
      <w:pPr>
        <w:jc w:val="center"/>
        <w:rPr>
          <w:b/>
          <w:lang w:val="sr-Latn-RS"/>
        </w:rPr>
      </w:pPr>
    </w:p>
    <w:p w:rsidR="007A3DD1" w:rsidRDefault="007A3DD1" w:rsidP="00370754">
      <w:pPr>
        <w:jc w:val="center"/>
        <w:rPr>
          <w:b/>
          <w:lang w:val="sr-Latn-RS"/>
        </w:rPr>
      </w:pPr>
    </w:p>
    <w:p w:rsidR="007A3DD1" w:rsidRDefault="007A3DD1" w:rsidP="00370754">
      <w:pPr>
        <w:jc w:val="center"/>
        <w:rPr>
          <w:b/>
          <w:lang w:val="sr-Latn-RS"/>
        </w:rPr>
      </w:pPr>
    </w:p>
    <w:p w:rsidR="007A3DD1" w:rsidRPr="006F4DB3" w:rsidRDefault="007A3DD1" w:rsidP="00370754">
      <w:pPr>
        <w:jc w:val="center"/>
        <w:rPr>
          <w:b/>
          <w:lang w:val="sr-Latn-RS"/>
        </w:rPr>
      </w:pPr>
    </w:p>
    <w:tbl>
      <w:tblPr>
        <w:tblStyle w:val="TableGrid"/>
        <w:tblW w:w="14385" w:type="dxa"/>
        <w:tblInd w:w="600" w:type="dxa"/>
        <w:tblLayout w:type="fixed"/>
        <w:tblLook w:val="04A0" w:firstRow="1" w:lastRow="0" w:firstColumn="1" w:lastColumn="0" w:noHBand="0" w:noVBand="1"/>
      </w:tblPr>
      <w:tblGrid>
        <w:gridCol w:w="14385"/>
      </w:tblGrid>
      <w:tr w:rsidR="00370754" w:rsidRPr="006F4DB3" w:rsidTr="005A6AD9">
        <w:tc>
          <w:tcPr>
            <w:tcW w:w="14385" w:type="dxa"/>
            <w:tcBorders>
              <w:bottom w:val="single" w:sz="18" w:space="0" w:color="auto"/>
            </w:tcBorders>
            <w:tcMar>
              <w:top w:w="57" w:type="dxa"/>
              <w:bottom w:w="57" w:type="dxa"/>
            </w:tcMar>
            <w:vAlign w:val="center"/>
          </w:tcPr>
          <w:p w:rsidR="00070ABE" w:rsidRDefault="00193722" w:rsidP="000D33E7">
            <w:pPr>
              <w:rPr>
                <w:i/>
                <w:lang w:val="sr-Latn-RS"/>
              </w:rPr>
            </w:pPr>
            <w:r>
              <w:rPr>
                <w:i/>
                <w:lang w:val="sr-Latn-RS"/>
              </w:rPr>
              <w:t>Sektorska analiza se sačinjava na osnovu strateških i planskih dokumenata odnosno propisa u odgovarajućoj oblasti od javnog interesa uz konsultacije sa zainteresovanim nevladinim organizacijama, i predstavlja osnov za utvrđivanje prioritetnih oblasti i potrebnih sredstava za finansiranje projekata i programa nevladinih organizacija iz državnog budžeta u narednoj godini, u skladu sa Zakonom o nevladinim organizacijama. Sektorska analiza se priprema u tekućoj za narednu kalendarsku godinu radi blagovremenog planiranja visine sredstava koja će biti opredijeljena na pozicijama ministarstava nadležnih za oblasti koje Vlada utvrdi kao prioritetne za finansiranje projekata i programa nevladinih organizacija. Analiza će poslužiti i za pripremu javnih konkursa za raspodjelu sredstava za finansiranje projekata i programa nevladinih organizacija u oblasti koja će biti utvrđena kao prioritetna.</w:t>
            </w:r>
          </w:p>
          <w:p w:rsidR="007B118B" w:rsidRPr="007B118B" w:rsidRDefault="007B118B" w:rsidP="007B118B">
            <w:pPr>
              <w:rPr>
                <w:i/>
              </w:rPr>
            </w:pPr>
            <w:r w:rsidRPr="007B118B">
              <w:rPr>
                <w:i/>
              </w:rPr>
              <w:t>Ministarstvo regionalno-investicionog razvoja i saradnje sa nevladinim organizacijama ovom sektorskom analizom utvrđuje okvir za podršku projektima i programima nevladinih organizacija usmjerenim na jačanje finansijske pismenosti i ekonomske otpornosti građana i mikropreduzetnika, sa posebnim fokusom na manje razvijene jedinice lokalne samouprave i ruralna područja Crne Gore.</w:t>
            </w:r>
          </w:p>
          <w:p w:rsidR="007B118B" w:rsidRPr="007B118B" w:rsidRDefault="007B118B" w:rsidP="007B118B">
            <w:pPr>
              <w:rPr>
                <w:i/>
              </w:rPr>
            </w:pPr>
            <w:r w:rsidRPr="007B118B">
              <w:rPr>
                <w:i/>
              </w:rPr>
              <w:lastRenderedPageBreak/>
              <w:t>Nedovoljno poznavanje osnovnih finansijskih pojmova, upravljanja ličnim i poslovnim finansijama, kreditnih obaveza, odgovornog zaduživanja, štednje, digitalnog bankarstva i rizika od finansijskih prevara može negativno uticati na materijalnu sigurnost građana, održivost mikropreduzeća i ukupni ekonomski razvoj lokalnih zajednica. Ovi izazovi posebno su izraženi u sredinama u kojima je pristup finansijskoj edukaciji, stručnom savjetovanju i savremenim finansijskim uslugama ograničen.</w:t>
            </w:r>
          </w:p>
          <w:p w:rsidR="007B118B" w:rsidRPr="007B118B" w:rsidRDefault="007B118B" w:rsidP="007B118B">
            <w:pPr>
              <w:rPr>
                <w:i/>
              </w:rPr>
            </w:pPr>
            <w:r w:rsidRPr="007B118B">
              <w:rPr>
                <w:i/>
              </w:rPr>
              <w:t>Kroz finansiranje projekata i programa nevladinih organizacija planira se sprovođenje praktičnih, lokalno dostupnih i ciljnim grupama prilagođenih programa finansijske edukacije, savjetovanja i mentorske podrške. Posebna pažnja biće usmjerena na građane, nezaposlena lica, potencijalne preduzetnike, preduzetnike početnike, mikropreduzetnike i nosioce poljoprivrednih gazdinstava u manje razvijenim i ruralnim područjima.</w:t>
            </w:r>
          </w:p>
          <w:p w:rsidR="00D12DF7" w:rsidRDefault="00835E3E" w:rsidP="007B118B">
            <w:pPr>
              <w:rPr>
                <w:i/>
                <w:lang w:val="sr-Latn-ME"/>
              </w:rPr>
            </w:pPr>
            <w:r w:rsidRPr="00835E3E">
              <w:rPr>
                <w:i/>
                <w:lang w:val="sr-Latn-ME"/>
              </w:rPr>
              <w:t>Sektorska analiza se temelji na Programu razvoja finansijske edukacije u Crnoj Gori 2023–2027, koji predstavlja nacionalni strateški okvir za koordinisano sprovođenje aktivnosti u oblasti finansijske edukacije. Program je usmjeren na unapređenje znanja i vještina građana potrebnih za donošenje odgovornih finansijskih odluka.</w:t>
            </w:r>
          </w:p>
          <w:p w:rsidR="007B118B" w:rsidRPr="007B118B" w:rsidRDefault="007B118B" w:rsidP="007B118B">
            <w:pPr>
              <w:rPr>
                <w:i/>
              </w:rPr>
            </w:pPr>
            <w:r w:rsidRPr="007B118B">
              <w:rPr>
                <w:i/>
              </w:rPr>
              <w:t>Finansiranjem projekata nevladinih organizacija Ministarstvo će doprinijeti primjeni navedenog Programa na lokalnom nivou, naročito među ciljnim grupama i u područjima koja nijesu u dovoljnoj mjeri obuhvaćena postojećim aktivnostima. Istovremeno, predložene intervencije doprinijeće ciljevima ravnomjernog regionalnog razvoja, unapređenju finansijske uključenosti, jačanju konkurentnosti mikropreduzeća i povećanju ekonomske otpornosti lokalnih zajednica.</w:t>
            </w:r>
          </w:p>
        </w:tc>
      </w:tr>
    </w:tbl>
    <w:p w:rsidR="00A640F0" w:rsidRPr="006F4DB3" w:rsidRDefault="00A640F0" w:rsidP="00370754">
      <w:pPr>
        <w:rPr>
          <w:lang w:val="sr-Latn-RS"/>
        </w:rPr>
      </w:pPr>
    </w:p>
    <w:p w:rsidR="00370754" w:rsidRPr="006F4DB3" w:rsidRDefault="00370754" w:rsidP="00A640F0">
      <w:pPr>
        <w:pStyle w:val="ListParagraph"/>
        <w:keepNext/>
        <w:numPr>
          <w:ilvl w:val="0"/>
          <w:numId w:val="5"/>
        </w:numPr>
        <w:rPr>
          <w:b/>
          <w:u w:val="single"/>
          <w:lang w:val="sr-Latn-RS"/>
        </w:rPr>
      </w:pPr>
      <w:r>
        <w:rPr>
          <w:b/>
          <w:u w:val="single"/>
        </w:rPr>
        <w:t>OBLASTI OD JAVNOG INTERESA U KOJIMA SE PLANIRA FINANSIJSKA PODRŠKA ZA PROJEKTE I PROGRAME NVO</w:t>
      </w:r>
    </w:p>
    <w:p w:rsidR="00370754" w:rsidRPr="006F4DB3" w:rsidRDefault="00A640F0" w:rsidP="00370754">
      <w:pPr>
        <w:pStyle w:val="ListParagraph"/>
        <w:keepNext/>
        <w:spacing w:after="0"/>
        <w:rPr>
          <w:lang w:val="sr-Latn-RS"/>
        </w:rPr>
      </w:pPr>
      <w:r w:rsidRPr="006F4DB3">
        <w:rPr>
          <w:lang w:val="sr-Latn-RS"/>
        </w:rPr>
        <w:t>1.1. Navesti u kojim oblastima od javnog interesa (iz člana 32 Zakona o NVO) iz nadležnosti ministarstva planirate finansijsku podršku iz budžeta za projekte i programe NVO:</w:t>
      </w:r>
    </w:p>
    <w:tbl>
      <w:tblPr>
        <w:tblW w:w="14476"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96"/>
        <w:gridCol w:w="4118"/>
        <w:gridCol w:w="568"/>
        <w:gridCol w:w="4402"/>
        <w:gridCol w:w="568"/>
        <w:gridCol w:w="4324"/>
      </w:tblGrid>
      <w:tr w:rsidR="00370754" w:rsidRPr="006F4DB3" w:rsidTr="0068793B">
        <w:trPr>
          <w:cantSplit/>
        </w:trPr>
        <w:tc>
          <w:tcPr>
            <w:tcW w:w="496" w:type="dxa"/>
            <w:tcBorders>
              <w:top w:val="single" w:sz="18" w:space="0" w:color="auto"/>
              <w:right w:val="nil"/>
            </w:tcBorders>
            <w:shd w:val="clear" w:color="auto" w:fill="auto"/>
            <w:tcMar>
              <w:bottom w:w="57" w:type="dxa"/>
            </w:tcMar>
            <w:vAlign w:val="center"/>
          </w:tcPr>
          <w:p w:rsidR="00370754" w:rsidRPr="006F4DB3" w:rsidRDefault="00370754" w:rsidP="004D2F36">
            <w:pPr>
              <w:rPr>
                <w:sz w:val="16"/>
                <w:szCs w:val="16"/>
                <w:lang w:val="sr-Latn-RS"/>
              </w:rPr>
            </w:pPr>
            <w:r w:rsidRPr="006F4DB3">
              <w:rPr>
                <w:rFonts w:ascii="Wingdings" w:eastAsia="Wingdings" w:hAnsi="Wingdings" w:cs="Wingdings"/>
                <w:sz w:val="20"/>
                <w:szCs w:val="16"/>
                <w:lang w:val="sr-Latn-RS"/>
              </w:rPr>
              <w:t></w:t>
            </w:r>
          </w:p>
        </w:tc>
        <w:tc>
          <w:tcPr>
            <w:tcW w:w="4118" w:type="dxa"/>
            <w:tcBorders>
              <w:top w:val="single" w:sz="18" w:space="0" w:color="auto"/>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socijalna i zdravstvena zaštita</w:t>
            </w:r>
          </w:p>
        </w:tc>
        <w:tc>
          <w:tcPr>
            <w:tcW w:w="568" w:type="dxa"/>
            <w:tcBorders>
              <w:top w:val="single" w:sz="18" w:space="0" w:color="auto"/>
              <w:right w:val="nil"/>
            </w:tcBorders>
            <w:shd w:val="clear" w:color="auto" w:fill="auto"/>
            <w:tcMar>
              <w:bottom w:w="57" w:type="dxa"/>
            </w:tcMar>
            <w:vAlign w:val="center"/>
          </w:tcPr>
          <w:p w:rsidR="00370754" w:rsidRPr="006F4DB3" w:rsidRDefault="00370754" w:rsidP="004D2F36">
            <w:pPr>
              <w:rPr>
                <w:sz w:val="20"/>
                <w:szCs w:val="20"/>
                <w:lang w:val="sr-Latn-RS"/>
              </w:rPr>
            </w:pPr>
            <w:r w:rsidRPr="006F4DB3">
              <w:rPr>
                <w:rFonts w:ascii="Wingdings" w:eastAsia="Wingdings" w:hAnsi="Wingdings" w:cs="Wingdings"/>
                <w:sz w:val="20"/>
                <w:szCs w:val="20"/>
                <w:lang w:val="sr-Latn-RS"/>
              </w:rPr>
              <w:t></w:t>
            </w:r>
          </w:p>
        </w:tc>
        <w:tc>
          <w:tcPr>
            <w:tcW w:w="4402" w:type="dxa"/>
            <w:tcBorders>
              <w:top w:val="single" w:sz="18" w:space="0" w:color="auto"/>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razvoj civilnog društva i volonterizma</w:t>
            </w:r>
          </w:p>
        </w:tc>
        <w:tc>
          <w:tcPr>
            <w:tcW w:w="568" w:type="dxa"/>
            <w:tcBorders>
              <w:top w:val="single" w:sz="18" w:space="0" w:color="auto"/>
              <w:right w:val="nil"/>
            </w:tcBorders>
            <w:shd w:val="clear" w:color="auto" w:fill="auto"/>
            <w:tcMar>
              <w:bottom w:w="57" w:type="dxa"/>
            </w:tcMar>
            <w:vAlign w:val="center"/>
          </w:tcPr>
          <w:p w:rsidR="00370754" w:rsidRPr="006F4DB3" w:rsidRDefault="002033AE" w:rsidP="004D2F36">
            <w:pPr>
              <w:rPr>
                <w:sz w:val="20"/>
                <w:szCs w:val="20"/>
                <w:lang w:val="sr-Latn-RS"/>
              </w:rPr>
            </w:pPr>
            <w:r w:rsidRPr="006F4DB3">
              <w:rPr>
                <w:rFonts w:ascii="Wingdings" w:eastAsia="Wingdings" w:hAnsi="Wingdings" w:cs="Wingdings"/>
                <w:sz w:val="20"/>
                <w:szCs w:val="16"/>
                <w:lang w:val="sr-Latn-RS"/>
              </w:rPr>
              <w:t></w:t>
            </w:r>
          </w:p>
        </w:tc>
        <w:tc>
          <w:tcPr>
            <w:tcW w:w="4324" w:type="dxa"/>
            <w:tcBorders>
              <w:top w:val="single" w:sz="18" w:space="0" w:color="auto"/>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zaštita životne sredine</w:t>
            </w:r>
          </w:p>
        </w:tc>
      </w:tr>
      <w:tr w:rsidR="00370754" w:rsidRPr="006F4DB3" w:rsidTr="0068793B">
        <w:trPr>
          <w:cantSplit/>
        </w:trPr>
        <w:tc>
          <w:tcPr>
            <w:tcW w:w="496" w:type="dxa"/>
            <w:tcBorders>
              <w:right w:val="nil"/>
            </w:tcBorders>
            <w:shd w:val="clear" w:color="auto" w:fill="auto"/>
            <w:tcMar>
              <w:bottom w:w="57" w:type="dxa"/>
            </w:tcMar>
            <w:vAlign w:val="center"/>
          </w:tcPr>
          <w:p w:rsidR="00370754" w:rsidRPr="006F4DB3" w:rsidRDefault="002033AE" w:rsidP="004D2F36">
            <w:pPr>
              <w:rPr>
                <w:sz w:val="16"/>
                <w:szCs w:val="16"/>
                <w:highlight w:val="cyan"/>
                <w:lang w:val="sr-Latn-RS"/>
              </w:rPr>
            </w:pPr>
            <w:r w:rsidRPr="006F4DB3">
              <w:rPr>
                <w:rFonts w:ascii="Wingdings" w:eastAsia="Wingdings" w:hAnsi="Wingdings" w:cs="Wingdings"/>
                <w:sz w:val="20"/>
                <w:szCs w:val="16"/>
                <w:lang w:val="sr-Latn-RS"/>
              </w:rPr>
              <w:t></w:t>
            </w:r>
          </w:p>
        </w:tc>
        <w:tc>
          <w:tcPr>
            <w:tcW w:w="4118"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smanjenje siromaštva</w:t>
            </w:r>
          </w:p>
        </w:tc>
        <w:tc>
          <w:tcPr>
            <w:tcW w:w="568" w:type="dxa"/>
            <w:tcBorders>
              <w:right w:val="nil"/>
            </w:tcBorders>
            <w:shd w:val="clear" w:color="auto" w:fill="auto"/>
            <w:tcMar>
              <w:bottom w:w="57" w:type="dxa"/>
            </w:tcMar>
            <w:vAlign w:val="center"/>
          </w:tcPr>
          <w:p w:rsidR="00370754" w:rsidRPr="006F4DB3" w:rsidRDefault="00370754" w:rsidP="004D2F36">
            <w:pPr>
              <w:rPr>
                <w:sz w:val="20"/>
                <w:szCs w:val="20"/>
                <w:lang w:val="sr-Latn-RS"/>
              </w:rPr>
            </w:pPr>
            <w:r w:rsidRPr="006F4DB3">
              <w:rPr>
                <w:rFonts w:ascii="Wingdings" w:eastAsia="Wingdings" w:hAnsi="Wingdings" w:cs="Wingdings"/>
                <w:sz w:val="20"/>
                <w:szCs w:val="20"/>
                <w:lang w:val="sr-Latn-RS"/>
              </w:rPr>
              <w:t></w:t>
            </w:r>
          </w:p>
        </w:tc>
        <w:tc>
          <w:tcPr>
            <w:tcW w:w="4402"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evroatlantske i evropske integracije Crne Gore</w:t>
            </w:r>
          </w:p>
        </w:tc>
        <w:tc>
          <w:tcPr>
            <w:tcW w:w="568" w:type="dxa"/>
            <w:tcBorders>
              <w:right w:val="nil"/>
            </w:tcBorders>
            <w:shd w:val="clear" w:color="auto" w:fill="auto"/>
            <w:tcMar>
              <w:bottom w:w="57" w:type="dxa"/>
            </w:tcMar>
            <w:vAlign w:val="center"/>
          </w:tcPr>
          <w:p w:rsidR="00370754" w:rsidRPr="007B118B" w:rsidRDefault="007B118B" w:rsidP="004D2F36">
            <w:pPr>
              <w:rPr>
                <w:b/>
                <w:sz w:val="20"/>
                <w:szCs w:val="20"/>
                <w:highlight w:val="cyan"/>
                <w:lang w:val="sr-Latn-RS"/>
              </w:rPr>
            </w:pPr>
            <w:r w:rsidRPr="007B118B">
              <w:rPr>
                <w:b/>
                <w:sz w:val="20"/>
                <w:szCs w:val="16"/>
                <w:lang w:val="sr-Latn-RS"/>
              </w:rPr>
              <w:t>X</w:t>
            </w:r>
          </w:p>
        </w:tc>
        <w:tc>
          <w:tcPr>
            <w:tcW w:w="4324" w:type="dxa"/>
            <w:tcBorders>
              <w:left w:val="nil"/>
            </w:tcBorders>
            <w:shd w:val="clear" w:color="auto" w:fill="auto"/>
            <w:tcMar>
              <w:left w:w="0" w:type="dxa"/>
              <w:bottom w:w="57" w:type="dxa"/>
            </w:tcMar>
            <w:vAlign w:val="center"/>
          </w:tcPr>
          <w:p w:rsidR="00370754" w:rsidRPr="006F4DB3" w:rsidRDefault="001D2F8F" w:rsidP="004D2F36">
            <w:pPr>
              <w:rPr>
                <w:sz w:val="20"/>
                <w:szCs w:val="20"/>
                <w:lang w:val="sr-Latn-RS"/>
              </w:rPr>
            </w:pPr>
            <w:r>
              <w:rPr>
                <w:sz w:val="20"/>
                <w:szCs w:val="20"/>
                <w:lang w:val="sr-Latn-RS"/>
              </w:rPr>
              <w:t>Regionalni i investicioni razvoj</w:t>
            </w:r>
          </w:p>
        </w:tc>
      </w:tr>
      <w:tr w:rsidR="00370754" w:rsidRPr="006F4DB3" w:rsidTr="0068793B">
        <w:trPr>
          <w:cantSplit/>
        </w:trPr>
        <w:tc>
          <w:tcPr>
            <w:tcW w:w="496" w:type="dxa"/>
            <w:tcBorders>
              <w:right w:val="nil"/>
            </w:tcBorders>
            <w:shd w:val="clear" w:color="auto" w:fill="auto"/>
            <w:tcMar>
              <w:bottom w:w="57" w:type="dxa"/>
            </w:tcMar>
            <w:vAlign w:val="center"/>
          </w:tcPr>
          <w:p w:rsidR="004B46C1" w:rsidRDefault="006D1712">
            <w:r>
              <w:rPr>
                <w:rFonts w:ascii="Wingdings" w:eastAsia="Wingdings" w:hAnsi="Wingdings" w:cs="Wingdings"/>
                <w:sz w:val="20"/>
              </w:rPr>
              <w:t></w:t>
            </w:r>
          </w:p>
        </w:tc>
        <w:tc>
          <w:tcPr>
            <w:tcW w:w="4118" w:type="dxa"/>
            <w:tcBorders>
              <w:left w:val="nil"/>
            </w:tcBorders>
            <w:shd w:val="clear" w:color="auto" w:fill="auto"/>
            <w:tcMar>
              <w:left w:w="0" w:type="dxa"/>
              <w:bottom w:w="57" w:type="dxa"/>
            </w:tcMar>
            <w:vAlign w:val="center"/>
          </w:tcPr>
          <w:p w:rsidR="00370754" w:rsidRPr="006F4DB3" w:rsidRDefault="005E290E" w:rsidP="004D2F36">
            <w:pPr>
              <w:rPr>
                <w:sz w:val="20"/>
                <w:szCs w:val="20"/>
                <w:lang w:val="sr-Latn-RS"/>
              </w:rPr>
            </w:pPr>
            <w:r>
              <w:rPr>
                <w:sz w:val="20"/>
                <w:szCs w:val="20"/>
                <w:lang w:val="sr-Latn-RS"/>
              </w:rPr>
              <w:t>Podršk</w:t>
            </w:r>
            <w:r w:rsidR="007434BD">
              <w:rPr>
                <w:sz w:val="20"/>
                <w:szCs w:val="20"/>
                <w:lang w:val="sr-Latn-RS"/>
              </w:rPr>
              <w:t>a</w:t>
            </w:r>
            <w:r>
              <w:rPr>
                <w:sz w:val="20"/>
                <w:szCs w:val="20"/>
                <w:lang w:val="sr-Latn-RS"/>
              </w:rPr>
              <w:t xml:space="preserve"> ženskom preduzetništvu </w:t>
            </w:r>
          </w:p>
        </w:tc>
        <w:tc>
          <w:tcPr>
            <w:tcW w:w="568" w:type="dxa"/>
            <w:tcBorders>
              <w:right w:val="nil"/>
            </w:tcBorders>
            <w:shd w:val="clear" w:color="auto" w:fill="auto"/>
            <w:tcMar>
              <w:bottom w:w="57" w:type="dxa"/>
            </w:tcMar>
            <w:vAlign w:val="center"/>
          </w:tcPr>
          <w:p w:rsidR="00370754" w:rsidRPr="007B118B" w:rsidRDefault="006007AA" w:rsidP="004D2F36">
            <w:pPr>
              <w:rPr>
                <w:b/>
                <w:sz w:val="20"/>
                <w:szCs w:val="20"/>
                <w:lang w:val="sr-Latn-RS"/>
              </w:rPr>
            </w:pPr>
            <w:r w:rsidRPr="006F4DB3">
              <w:rPr>
                <w:rFonts w:ascii="Wingdings" w:eastAsia="Wingdings" w:hAnsi="Wingdings" w:cs="Wingdings"/>
                <w:sz w:val="20"/>
                <w:szCs w:val="20"/>
                <w:lang w:val="sr-Latn-RS"/>
              </w:rPr>
              <w:t></w:t>
            </w:r>
          </w:p>
        </w:tc>
        <w:tc>
          <w:tcPr>
            <w:tcW w:w="4402"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institucionalno i vaninstitucionalno obrazovanje</w:t>
            </w:r>
          </w:p>
        </w:tc>
        <w:tc>
          <w:tcPr>
            <w:tcW w:w="568" w:type="dxa"/>
            <w:tcBorders>
              <w:right w:val="nil"/>
            </w:tcBorders>
            <w:shd w:val="clear" w:color="auto" w:fill="auto"/>
            <w:tcMar>
              <w:bottom w:w="57" w:type="dxa"/>
            </w:tcMar>
            <w:vAlign w:val="center"/>
          </w:tcPr>
          <w:p w:rsidR="00370754" w:rsidRPr="007B118B" w:rsidRDefault="006007AA" w:rsidP="004D2F36">
            <w:pPr>
              <w:rPr>
                <w:b/>
                <w:sz w:val="20"/>
                <w:szCs w:val="20"/>
                <w:lang w:val="sr-Latn-RS"/>
              </w:rPr>
            </w:pPr>
            <w:r w:rsidRPr="006F4DB3">
              <w:rPr>
                <w:rFonts w:ascii="Wingdings" w:eastAsia="Wingdings" w:hAnsi="Wingdings" w:cs="Wingdings"/>
                <w:sz w:val="20"/>
                <w:szCs w:val="20"/>
                <w:lang w:val="sr-Latn-RS"/>
              </w:rPr>
              <w:t></w:t>
            </w:r>
          </w:p>
        </w:tc>
        <w:tc>
          <w:tcPr>
            <w:tcW w:w="4324"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održivi razvoj</w:t>
            </w:r>
          </w:p>
        </w:tc>
      </w:tr>
      <w:tr w:rsidR="00370754" w:rsidRPr="006F4DB3" w:rsidTr="0068793B">
        <w:trPr>
          <w:cantSplit/>
        </w:trPr>
        <w:tc>
          <w:tcPr>
            <w:tcW w:w="496" w:type="dxa"/>
            <w:tcBorders>
              <w:right w:val="nil"/>
            </w:tcBorders>
            <w:shd w:val="clear" w:color="auto" w:fill="auto"/>
            <w:tcMar>
              <w:bottom w:w="57" w:type="dxa"/>
            </w:tcMar>
            <w:vAlign w:val="center"/>
          </w:tcPr>
          <w:p w:rsidR="00370754" w:rsidRPr="006F4DB3" w:rsidRDefault="00370754" w:rsidP="004D2F36">
            <w:pPr>
              <w:rPr>
                <w:sz w:val="16"/>
                <w:szCs w:val="16"/>
                <w:lang w:val="sr-Latn-RS"/>
              </w:rPr>
            </w:pPr>
            <w:r w:rsidRPr="006F4DB3">
              <w:rPr>
                <w:rFonts w:ascii="Wingdings" w:eastAsia="Wingdings" w:hAnsi="Wingdings" w:cs="Wingdings"/>
                <w:sz w:val="20"/>
                <w:szCs w:val="16"/>
                <w:lang w:val="sr-Latn-RS"/>
              </w:rPr>
              <w:lastRenderedPageBreak/>
              <w:t></w:t>
            </w:r>
          </w:p>
        </w:tc>
        <w:tc>
          <w:tcPr>
            <w:tcW w:w="4118"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društvena briga o djeci i mladima</w:t>
            </w:r>
          </w:p>
        </w:tc>
        <w:tc>
          <w:tcPr>
            <w:tcW w:w="568" w:type="dxa"/>
            <w:tcBorders>
              <w:right w:val="nil"/>
            </w:tcBorders>
            <w:shd w:val="clear" w:color="auto" w:fill="auto"/>
            <w:tcMar>
              <w:bottom w:w="57" w:type="dxa"/>
            </w:tcMar>
            <w:vAlign w:val="center"/>
          </w:tcPr>
          <w:p w:rsidR="00370754" w:rsidRPr="006F4DB3" w:rsidRDefault="00370754" w:rsidP="004D2F36">
            <w:pPr>
              <w:rPr>
                <w:sz w:val="20"/>
                <w:szCs w:val="20"/>
                <w:lang w:val="sr-Latn-RS"/>
              </w:rPr>
            </w:pPr>
            <w:r w:rsidRPr="006F4DB3">
              <w:rPr>
                <w:rFonts w:ascii="Wingdings" w:eastAsia="Wingdings" w:hAnsi="Wingdings" w:cs="Wingdings"/>
                <w:sz w:val="20"/>
                <w:szCs w:val="20"/>
                <w:lang w:val="sr-Latn-RS"/>
              </w:rPr>
              <w:t></w:t>
            </w:r>
          </w:p>
        </w:tc>
        <w:tc>
          <w:tcPr>
            <w:tcW w:w="4402" w:type="dxa"/>
            <w:tcBorders>
              <w:left w:val="nil"/>
            </w:tcBorders>
            <w:shd w:val="clear" w:color="auto" w:fill="auto"/>
            <w:tcMar>
              <w:left w:w="0" w:type="dxa"/>
              <w:bottom w:w="57" w:type="dxa"/>
            </w:tcMar>
            <w:vAlign w:val="center"/>
          </w:tcPr>
          <w:p w:rsidR="00370754" w:rsidRPr="006F4DB3" w:rsidRDefault="001D2F8F" w:rsidP="004D2F36">
            <w:pPr>
              <w:rPr>
                <w:sz w:val="20"/>
                <w:szCs w:val="20"/>
                <w:lang w:val="sr-Latn-RS"/>
              </w:rPr>
            </w:pPr>
            <w:r w:rsidRPr="001D2F8F">
              <w:rPr>
                <w:sz w:val="20"/>
                <w:szCs w:val="20"/>
                <w:lang w:val="sr-Latn-RS"/>
              </w:rPr>
              <w:t>Razvoj zanatstva i kreativnih industrija</w:t>
            </w:r>
          </w:p>
        </w:tc>
        <w:tc>
          <w:tcPr>
            <w:tcW w:w="568" w:type="dxa"/>
            <w:tcBorders>
              <w:right w:val="nil"/>
            </w:tcBorders>
            <w:shd w:val="clear" w:color="auto" w:fill="auto"/>
            <w:tcMar>
              <w:bottom w:w="57" w:type="dxa"/>
            </w:tcMar>
            <w:vAlign w:val="center"/>
          </w:tcPr>
          <w:p w:rsidR="00370754" w:rsidRPr="007B118B" w:rsidRDefault="006007AA" w:rsidP="004D2F36">
            <w:pPr>
              <w:rPr>
                <w:b/>
                <w:sz w:val="20"/>
                <w:szCs w:val="20"/>
                <w:lang w:val="sr-Latn-RS"/>
              </w:rPr>
            </w:pPr>
            <w:r w:rsidRPr="006F4DB3">
              <w:rPr>
                <w:rFonts w:ascii="Wingdings" w:eastAsia="Wingdings" w:hAnsi="Wingdings" w:cs="Wingdings"/>
                <w:sz w:val="20"/>
                <w:szCs w:val="20"/>
                <w:lang w:val="sr-Latn-RS"/>
              </w:rPr>
              <w:t></w:t>
            </w:r>
          </w:p>
        </w:tc>
        <w:tc>
          <w:tcPr>
            <w:tcW w:w="4324"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zaštita potrošača</w:t>
            </w:r>
          </w:p>
        </w:tc>
      </w:tr>
      <w:tr w:rsidR="00370754" w:rsidRPr="006F4DB3" w:rsidTr="0068793B">
        <w:trPr>
          <w:cantSplit/>
        </w:trPr>
        <w:tc>
          <w:tcPr>
            <w:tcW w:w="496" w:type="dxa"/>
            <w:tcBorders>
              <w:right w:val="nil"/>
            </w:tcBorders>
            <w:shd w:val="clear" w:color="auto" w:fill="auto"/>
            <w:tcMar>
              <w:bottom w:w="57" w:type="dxa"/>
            </w:tcMar>
            <w:vAlign w:val="center"/>
          </w:tcPr>
          <w:p w:rsidR="00370754" w:rsidRPr="006F4DB3" w:rsidRDefault="00370754" w:rsidP="004D2F36">
            <w:pPr>
              <w:rPr>
                <w:sz w:val="16"/>
                <w:szCs w:val="16"/>
                <w:lang w:val="sr-Latn-RS"/>
              </w:rPr>
            </w:pPr>
            <w:r w:rsidRPr="006F4DB3">
              <w:rPr>
                <w:rFonts w:ascii="Wingdings" w:eastAsia="Wingdings" w:hAnsi="Wingdings" w:cs="Wingdings"/>
                <w:sz w:val="20"/>
                <w:szCs w:val="16"/>
                <w:lang w:val="sr-Latn-RS"/>
              </w:rPr>
              <w:t></w:t>
            </w:r>
          </w:p>
        </w:tc>
        <w:tc>
          <w:tcPr>
            <w:tcW w:w="4118"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pomoć starijim licima</w:t>
            </w:r>
          </w:p>
        </w:tc>
        <w:tc>
          <w:tcPr>
            <w:tcW w:w="568" w:type="dxa"/>
            <w:tcBorders>
              <w:right w:val="nil"/>
            </w:tcBorders>
            <w:shd w:val="clear" w:color="auto" w:fill="auto"/>
            <w:tcMar>
              <w:bottom w:w="57" w:type="dxa"/>
            </w:tcMar>
            <w:vAlign w:val="center"/>
          </w:tcPr>
          <w:p w:rsidR="00370754" w:rsidRPr="006F4DB3" w:rsidRDefault="00370754" w:rsidP="004D2F36">
            <w:pPr>
              <w:rPr>
                <w:sz w:val="20"/>
                <w:szCs w:val="20"/>
                <w:lang w:val="sr-Latn-RS"/>
              </w:rPr>
            </w:pPr>
            <w:r w:rsidRPr="006F4DB3">
              <w:rPr>
                <w:rFonts w:ascii="Wingdings" w:eastAsia="Wingdings" w:hAnsi="Wingdings" w:cs="Wingdings"/>
                <w:sz w:val="20"/>
                <w:szCs w:val="20"/>
                <w:lang w:val="sr-Latn-RS"/>
              </w:rPr>
              <w:t></w:t>
            </w:r>
          </w:p>
        </w:tc>
        <w:tc>
          <w:tcPr>
            <w:tcW w:w="4402"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umjetnost</w:t>
            </w:r>
          </w:p>
        </w:tc>
        <w:tc>
          <w:tcPr>
            <w:tcW w:w="568" w:type="dxa"/>
            <w:tcBorders>
              <w:right w:val="nil"/>
            </w:tcBorders>
            <w:shd w:val="clear" w:color="auto" w:fill="auto"/>
            <w:tcMar>
              <w:bottom w:w="57" w:type="dxa"/>
            </w:tcMar>
            <w:vAlign w:val="center"/>
          </w:tcPr>
          <w:p w:rsidR="00370754" w:rsidRPr="006F4DB3" w:rsidRDefault="00370754" w:rsidP="004D2F36">
            <w:pPr>
              <w:rPr>
                <w:sz w:val="20"/>
                <w:szCs w:val="20"/>
                <w:lang w:val="sr-Latn-RS"/>
              </w:rPr>
            </w:pPr>
            <w:r w:rsidRPr="006F4DB3">
              <w:rPr>
                <w:rFonts w:ascii="Wingdings" w:eastAsia="Wingdings" w:hAnsi="Wingdings" w:cs="Wingdings"/>
                <w:sz w:val="20"/>
                <w:szCs w:val="20"/>
                <w:lang w:val="sr-Latn-RS"/>
              </w:rPr>
              <w:t></w:t>
            </w:r>
          </w:p>
        </w:tc>
        <w:tc>
          <w:tcPr>
            <w:tcW w:w="4324"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rodna ravnopravnost</w:t>
            </w:r>
          </w:p>
        </w:tc>
      </w:tr>
      <w:tr w:rsidR="00370754" w:rsidRPr="006F4DB3" w:rsidTr="0068793B">
        <w:trPr>
          <w:cantSplit/>
        </w:trPr>
        <w:tc>
          <w:tcPr>
            <w:tcW w:w="496" w:type="dxa"/>
            <w:tcBorders>
              <w:right w:val="nil"/>
            </w:tcBorders>
            <w:shd w:val="clear" w:color="auto" w:fill="auto"/>
            <w:tcMar>
              <w:bottom w:w="57" w:type="dxa"/>
            </w:tcMar>
            <w:vAlign w:val="center"/>
          </w:tcPr>
          <w:p w:rsidR="00370754" w:rsidRPr="006F4DB3" w:rsidRDefault="00370754" w:rsidP="004D2F36">
            <w:pPr>
              <w:rPr>
                <w:sz w:val="16"/>
                <w:szCs w:val="16"/>
                <w:lang w:val="sr-Latn-RS"/>
              </w:rPr>
            </w:pPr>
            <w:r w:rsidRPr="006F4DB3">
              <w:rPr>
                <w:rFonts w:ascii="Wingdings" w:eastAsia="Wingdings" w:hAnsi="Wingdings" w:cs="Wingdings"/>
                <w:sz w:val="20"/>
                <w:szCs w:val="16"/>
                <w:lang w:val="sr-Latn-RS"/>
              </w:rPr>
              <w:t></w:t>
            </w:r>
          </w:p>
        </w:tc>
        <w:tc>
          <w:tcPr>
            <w:tcW w:w="4118"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zaštita i promovisanje ljudskih i manjinskih  prava</w:t>
            </w:r>
          </w:p>
        </w:tc>
        <w:tc>
          <w:tcPr>
            <w:tcW w:w="568" w:type="dxa"/>
            <w:tcBorders>
              <w:right w:val="nil"/>
            </w:tcBorders>
            <w:shd w:val="clear" w:color="auto" w:fill="auto"/>
            <w:tcMar>
              <w:bottom w:w="57" w:type="dxa"/>
            </w:tcMar>
            <w:vAlign w:val="center"/>
          </w:tcPr>
          <w:p w:rsidR="00370754" w:rsidRPr="006F4DB3" w:rsidRDefault="00370754" w:rsidP="004D2F36">
            <w:pPr>
              <w:rPr>
                <w:sz w:val="20"/>
                <w:szCs w:val="20"/>
                <w:lang w:val="sr-Latn-RS"/>
              </w:rPr>
            </w:pPr>
            <w:r w:rsidRPr="006F4DB3">
              <w:rPr>
                <w:rFonts w:ascii="Wingdings" w:eastAsia="Wingdings" w:hAnsi="Wingdings" w:cs="Wingdings"/>
                <w:sz w:val="20"/>
                <w:szCs w:val="20"/>
                <w:lang w:val="sr-Latn-RS"/>
              </w:rPr>
              <w:t></w:t>
            </w:r>
          </w:p>
        </w:tc>
        <w:tc>
          <w:tcPr>
            <w:tcW w:w="4402"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kultura</w:t>
            </w:r>
          </w:p>
        </w:tc>
        <w:tc>
          <w:tcPr>
            <w:tcW w:w="568" w:type="dxa"/>
            <w:tcBorders>
              <w:right w:val="nil"/>
            </w:tcBorders>
            <w:shd w:val="clear" w:color="auto" w:fill="auto"/>
            <w:tcMar>
              <w:bottom w:w="57" w:type="dxa"/>
            </w:tcMar>
            <w:vAlign w:val="center"/>
          </w:tcPr>
          <w:p w:rsidR="00370754" w:rsidRPr="006F4DB3" w:rsidRDefault="00370754" w:rsidP="004D2F36">
            <w:pPr>
              <w:rPr>
                <w:sz w:val="20"/>
                <w:szCs w:val="20"/>
                <w:lang w:val="sr-Latn-RS"/>
              </w:rPr>
            </w:pPr>
            <w:r w:rsidRPr="006F4DB3">
              <w:rPr>
                <w:rFonts w:ascii="Wingdings" w:eastAsia="Wingdings" w:hAnsi="Wingdings" w:cs="Wingdings"/>
                <w:sz w:val="20"/>
                <w:szCs w:val="20"/>
                <w:lang w:val="sr-Latn-RS"/>
              </w:rPr>
              <w:t></w:t>
            </w:r>
          </w:p>
        </w:tc>
        <w:tc>
          <w:tcPr>
            <w:tcW w:w="4324"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borba protiv korupcije i organizovanog kriminala</w:t>
            </w:r>
          </w:p>
        </w:tc>
      </w:tr>
      <w:tr w:rsidR="00370754" w:rsidRPr="006F4DB3" w:rsidTr="0068793B">
        <w:trPr>
          <w:cantSplit/>
        </w:trPr>
        <w:tc>
          <w:tcPr>
            <w:tcW w:w="496" w:type="dxa"/>
            <w:tcBorders>
              <w:right w:val="nil"/>
            </w:tcBorders>
            <w:shd w:val="clear" w:color="auto" w:fill="auto"/>
            <w:tcMar>
              <w:bottom w:w="57" w:type="dxa"/>
            </w:tcMar>
            <w:vAlign w:val="center"/>
          </w:tcPr>
          <w:p w:rsidR="00370754" w:rsidRPr="006F4DB3" w:rsidRDefault="00370754" w:rsidP="004D2F36">
            <w:pPr>
              <w:rPr>
                <w:sz w:val="16"/>
                <w:szCs w:val="16"/>
                <w:lang w:val="sr-Latn-RS"/>
              </w:rPr>
            </w:pPr>
            <w:r w:rsidRPr="006F4DB3">
              <w:rPr>
                <w:rFonts w:ascii="Wingdings" w:eastAsia="Wingdings" w:hAnsi="Wingdings" w:cs="Wingdings"/>
                <w:sz w:val="20"/>
                <w:szCs w:val="16"/>
                <w:lang w:val="sr-Latn-RS"/>
              </w:rPr>
              <w:t></w:t>
            </w:r>
          </w:p>
        </w:tc>
        <w:tc>
          <w:tcPr>
            <w:tcW w:w="4118"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vladavina  prava</w:t>
            </w:r>
          </w:p>
        </w:tc>
        <w:tc>
          <w:tcPr>
            <w:tcW w:w="568" w:type="dxa"/>
            <w:tcBorders>
              <w:right w:val="nil"/>
            </w:tcBorders>
            <w:shd w:val="clear" w:color="auto" w:fill="auto"/>
            <w:tcMar>
              <w:bottom w:w="57" w:type="dxa"/>
            </w:tcMar>
            <w:vAlign w:val="center"/>
          </w:tcPr>
          <w:p w:rsidR="00370754" w:rsidRPr="006F4DB3" w:rsidRDefault="00370754" w:rsidP="004D2F36">
            <w:pPr>
              <w:rPr>
                <w:sz w:val="20"/>
                <w:szCs w:val="20"/>
                <w:lang w:val="sr-Latn-RS"/>
              </w:rPr>
            </w:pPr>
            <w:r w:rsidRPr="006F4DB3">
              <w:rPr>
                <w:rFonts w:ascii="Wingdings" w:eastAsia="Wingdings" w:hAnsi="Wingdings" w:cs="Wingdings"/>
                <w:sz w:val="20"/>
                <w:szCs w:val="20"/>
                <w:lang w:val="sr-Latn-RS"/>
              </w:rPr>
              <w:t></w:t>
            </w:r>
          </w:p>
        </w:tc>
        <w:tc>
          <w:tcPr>
            <w:tcW w:w="4402" w:type="dxa"/>
            <w:tcBorders>
              <w:left w:val="nil"/>
            </w:tcBorders>
            <w:shd w:val="clear" w:color="auto" w:fill="auto"/>
            <w:tcMar>
              <w:left w:w="0" w:type="dxa"/>
              <w:bottom w:w="57" w:type="dxa"/>
            </w:tcMar>
            <w:vAlign w:val="center"/>
          </w:tcPr>
          <w:p w:rsidR="00370754" w:rsidRPr="006F4DB3" w:rsidRDefault="00370754" w:rsidP="004D2F36">
            <w:pPr>
              <w:rPr>
                <w:sz w:val="20"/>
                <w:szCs w:val="20"/>
                <w:lang w:val="sr-Latn-RS"/>
              </w:rPr>
            </w:pPr>
            <w:r w:rsidRPr="006F4DB3">
              <w:rPr>
                <w:sz w:val="20"/>
                <w:szCs w:val="20"/>
                <w:lang w:val="sr-Latn-RS"/>
              </w:rPr>
              <w:t>tehnička kultura</w:t>
            </w:r>
          </w:p>
        </w:tc>
        <w:tc>
          <w:tcPr>
            <w:tcW w:w="568" w:type="dxa"/>
            <w:tcBorders>
              <w:right w:val="nil"/>
            </w:tcBorders>
            <w:shd w:val="clear" w:color="auto" w:fill="auto"/>
            <w:tcMar>
              <w:bottom w:w="57" w:type="dxa"/>
            </w:tcMar>
            <w:vAlign w:val="center"/>
          </w:tcPr>
          <w:p w:rsidR="004B46C1" w:rsidRDefault="006D1712">
            <w:r>
              <w:rPr>
                <w:rFonts w:ascii="Wingdings" w:eastAsia="Wingdings" w:hAnsi="Wingdings" w:cs="Wingdings"/>
                <w:sz w:val="20"/>
              </w:rPr>
              <w:t></w:t>
            </w:r>
          </w:p>
        </w:tc>
        <w:tc>
          <w:tcPr>
            <w:tcW w:w="4324" w:type="dxa"/>
            <w:tcBorders>
              <w:left w:val="nil"/>
            </w:tcBorders>
            <w:shd w:val="clear" w:color="auto" w:fill="auto"/>
            <w:tcMar>
              <w:left w:w="0" w:type="dxa"/>
              <w:bottom w:w="57" w:type="dxa"/>
            </w:tcMar>
            <w:vAlign w:val="center"/>
          </w:tcPr>
          <w:p w:rsidR="00370754" w:rsidRPr="006F4DB3" w:rsidRDefault="001D2F8F" w:rsidP="004D2F36">
            <w:pPr>
              <w:rPr>
                <w:sz w:val="20"/>
                <w:szCs w:val="20"/>
                <w:lang w:val="sr-Latn-RS"/>
              </w:rPr>
            </w:pPr>
            <w:r>
              <w:rPr>
                <w:sz w:val="20"/>
                <w:szCs w:val="20"/>
                <w:lang w:val="sr-Latn-RS"/>
              </w:rPr>
              <w:t xml:space="preserve">Socijalna inkluzija </w:t>
            </w:r>
          </w:p>
        </w:tc>
      </w:tr>
      <w:tr w:rsidR="00370754" w:rsidRPr="006F4DB3" w:rsidTr="0068793B">
        <w:trPr>
          <w:cantSplit/>
        </w:trPr>
        <w:tc>
          <w:tcPr>
            <w:tcW w:w="496" w:type="dxa"/>
            <w:tcBorders>
              <w:right w:val="nil"/>
            </w:tcBorders>
            <w:shd w:val="clear" w:color="auto" w:fill="auto"/>
            <w:tcMar>
              <w:bottom w:w="57" w:type="dxa"/>
            </w:tcMar>
            <w:vAlign w:val="center"/>
          </w:tcPr>
          <w:p w:rsidR="00370754" w:rsidRPr="006F4DB3" w:rsidRDefault="00370754" w:rsidP="004D2F36">
            <w:pPr>
              <w:rPr>
                <w:sz w:val="16"/>
                <w:szCs w:val="16"/>
                <w:lang w:val="sr-Latn-RS"/>
              </w:rPr>
            </w:pPr>
          </w:p>
        </w:tc>
        <w:tc>
          <w:tcPr>
            <w:tcW w:w="13980" w:type="dxa"/>
            <w:gridSpan w:val="5"/>
            <w:tcBorders>
              <w:left w:val="nil"/>
            </w:tcBorders>
            <w:shd w:val="clear" w:color="auto" w:fill="auto"/>
            <w:tcMar>
              <w:left w:w="0" w:type="dxa"/>
              <w:bottom w:w="57" w:type="dxa"/>
            </w:tcMar>
            <w:vAlign w:val="center"/>
          </w:tcPr>
          <w:p w:rsidR="004B46C1" w:rsidRDefault="006D1712">
            <w:pPr>
              <w:jc w:val="left"/>
            </w:pPr>
            <w:r>
              <w:rPr>
                <w:b/>
                <w:sz w:val="20"/>
              </w:rPr>
              <w:t>druge oblasti od javnog interesa utvrđene posebnim zakonom (navesti koje)</w:t>
            </w:r>
            <w:r w:rsidR="006007AA">
              <w:rPr>
                <w:b/>
                <w:sz w:val="20"/>
              </w:rPr>
              <w:t>:</w:t>
            </w:r>
          </w:p>
        </w:tc>
      </w:tr>
    </w:tbl>
    <w:p w:rsidR="00370754" w:rsidRPr="006F4DB3" w:rsidRDefault="00370754" w:rsidP="00370754">
      <w:pPr>
        <w:pStyle w:val="ListParagraph"/>
        <w:rPr>
          <w:b/>
          <w:lang w:val="sr-Latn-RS"/>
        </w:rPr>
      </w:pPr>
    </w:p>
    <w:p w:rsidR="00370754" w:rsidRPr="006007AA" w:rsidRDefault="00370754" w:rsidP="00AD29CE">
      <w:pPr>
        <w:pStyle w:val="ListParagraph"/>
        <w:keepNext/>
        <w:numPr>
          <w:ilvl w:val="0"/>
          <w:numId w:val="5"/>
        </w:numPr>
        <w:rPr>
          <w:b/>
          <w:u w:val="single"/>
          <w:lang w:val="sr-Latn-RS"/>
        </w:rPr>
      </w:pPr>
      <w:r>
        <w:rPr>
          <w:b/>
          <w:u w:val="single"/>
        </w:rPr>
        <w:t>PRIORITETNI PROBLEMI I POTREBE KOJE TREBA RIJEŠITI U 2027. GODINI FINANSIRANJEM PROJEKATA I PROGRAMA NVO</w:t>
      </w:r>
    </w:p>
    <w:p w:rsidR="006007AA" w:rsidRPr="006F4DB3" w:rsidRDefault="006007AA" w:rsidP="006007AA">
      <w:pPr>
        <w:pStyle w:val="ListParagraph"/>
        <w:keepNext/>
        <w:ind w:left="1080"/>
        <w:rPr>
          <w:b/>
          <w:u w:val="single"/>
          <w:lang w:val="sr-Latn-RS"/>
        </w:rPr>
      </w:pPr>
    </w:p>
    <w:p w:rsidR="00370754" w:rsidRPr="006F4DB3" w:rsidRDefault="00A640F0" w:rsidP="00AD29CE">
      <w:pPr>
        <w:pStyle w:val="ListParagraph"/>
        <w:keepNext/>
        <w:spacing w:after="0"/>
        <w:jc w:val="both"/>
        <w:rPr>
          <w:lang w:val="sr-Latn-RS"/>
        </w:rPr>
      </w:pPr>
      <w:r w:rsidRPr="006F4DB3">
        <w:rPr>
          <w:lang w:val="sr-Latn-RS"/>
        </w:rPr>
        <w:t xml:space="preserve">2.1. </w:t>
      </w:r>
      <w:r w:rsidR="00370754" w:rsidRPr="006F4DB3">
        <w:rPr>
          <w:lang w:val="sr-Latn-RS"/>
        </w:rPr>
        <w:t>Navesti prioritetne probleme u oblasti(ma) iz nadležnosti ministarstva koji se planiraju rješavati finansiranjem projekata i programa nevladinih organizacija. Opis problema obrazložiti koristeći konkretne mjerljive pokazatelje trenutnog stanja i željenog stanja odnosno rješenja, navodeći izvor u kojem su takvi podaci dostupni. Pokazatelji mogu biti informacije iz uporednih analiza, izvještaja, rezultata istraživanja, studija, i drugi dostupni statistički podaci.</w:t>
      </w:r>
    </w:p>
    <w:tbl>
      <w:tblPr>
        <w:tblStyle w:val="TableGrid"/>
        <w:tblW w:w="14229" w:type="dxa"/>
        <w:tblInd w:w="792" w:type="dxa"/>
        <w:tblLayout w:type="fixed"/>
        <w:tblLook w:val="04A0" w:firstRow="1" w:lastRow="0" w:firstColumn="1" w:lastColumn="0" w:noHBand="0" w:noVBand="1"/>
      </w:tblPr>
      <w:tblGrid>
        <w:gridCol w:w="14229"/>
      </w:tblGrid>
      <w:tr w:rsidR="00370754" w:rsidRPr="006F4DB3" w:rsidTr="00E4450E">
        <w:tc>
          <w:tcPr>
            <w:tcW w:w="14229" w:type="dxa"/>
            <w:tcBorders>
              <w:top w:val="single" w:sz="18" w:space="0" w:color="auto"/>
              <w:bottom w:val="single" w:sz="4" w:space="0" w:color="auto"/>
            </w:tcBorders>
            <w:shd w:val="clear" w:color="auto" w:fill="F2F2F2" w:themeFill="background1" w:themeFillShade="F2"/>
            <w:tcMar>
              <w:top w:w="57" w:type="dxa"/>
              <w:bottom w:w="57" w:type="dxa"/>
            </w:tcMar>
            <w:vAlign w:val="center"/>
          </w:tcPr>
          <w:bookmarkEnd w:id="0"/>
          <w:p w:rsidR="00370754" w:rsidRPr="006F4DB3" w:rsidRDefault="00370754" w:rsidP="004D2F36">
            <w:pPr>
              <w:rPr>
                <w:lang w:val="sr-Latn-RS"/>
              </w:rPr>
            </w:pPr>
            <w:r w:rsidRPr="006F4DB3">
              <w:rPr>
                <w:lang w:val="sr-Latn-RS"/>
              </w:rPr>
              <w:t>Opis problema:</w:t>
            </w:r>
          </w:p>
        </w:tc>
      </w:tr>
      <w:tr w:rsidR="00370754" w:rsidRPr="006F4DB3" w:rsidTr="004D2F36">
        <w:tc>
          <w:tcPr>
            <w:tcW w:w="14229" w:type="dxa"/>
            <w:tcMar>
              <w:top w:w="57" w:type="dxa"/>
              <w:bottom w:w="57" w:type="dxa"/>
            </w:tcMar>
            <w:vAlign w:val="center"/>
          </w:tcPr>
          <w:p w:rsidR="00A82CB9" w:rsidRPr="00A82CB9" w:rsidRDefault="00A82CB9" w:rsidP="00A413A6">
            <w:pPr>
              <w:spacing w:beforeAutospacing="1" w:afterAutospacing="1"/>
              <w:rPr>
                <w:rFonts w:eastAsia="Times New Roman"/>
                <w:szCs w:val="24"/>
              </w:rPr>
            </w:pPr>
            <w:r w:rsidRPr="00A82CB9">
              <w:rPr>
                <w:szCs w:val="24"/>
              </w:rPr>
              <w:t>Finansijska pismenost predstavlja skup znanja, vještina, stavova i ponašanja koji omogućavaju pojedincima da razumiju finansijske proizvode i usluge, procjenjuju finansijske rizike, donose informisane finansijske odluke i efikasno upravljaju ličnim i poslovnim finansijama. Razvijen nivo finansijske pismenosti doprinosi odgovornom upravljanju prihodima i rashodima, racionalnom korišćenju kreditnih proizvoda, planiranju štednje, bezbjednom korišćenju digitalnih finansijskih usluga i zaštiti od finansijskih prevara, čime se unapređuje finansijska sigurnost građana i doprinosi održivosti poslovanja privrednih subjekata.</w:t>
            </w:r>
          </w:p>
          <w:p w:rsidR="00A82CB9" w:rsidRPr="00A82CB9" w:rsidRDefault="00A82CB9" w:rsidP="00A413A6">
            <w:pPr>
              <w:spacing w:beforeAutospacing="1" w:afterAutospacing="1"/>
              <w:rPr>
                <w:rFonts w:eastAsia="Times New Roman"/>
                <w:szCs w:val="24"/>
              </w:rPr>
            </w:pPr>
            <w:r w:rsidRPr="00A82CB9">
              <w:rPr>
                <w:szCs w:val="24"/>
              </w:rPr>
              <w:t xml:space="preserve">Savremeni finansijski sistem karakterišu ubrzana digitalizacija finansijskih usluga, razvoj elektronskog i mobilnog bankarstva, bezgotovinskog plaćanja, internet trgovine i sve složenijih finansijskih proizvoda. Iako ove promjene građanima i privredi pružaju </w:t>
            </w:r>
            <w:r w:rsidRPr="00A82CB9">
              <w:rPr>
                <w:szCs w:val="24"/>
              </w:rPr>
              <w:lastRenderedPageBreak/>
              <w:t>brojne mogućnosti, one istovremeno zahtijevaju kontinuirano unapređenje finansijskih znanja i vještina kako bi pojedinci bili sposobni da razumiju uslove korišćenja finansijskih proizvoda, procijene rizike, zaštite svoje finansijske interese i donose odgovorne finansijske odluke.</w:t>
            </w:r>
          </w:p>
          <w:p w:rsidR="00D12DF7" w:rsidRDefault="00A82CB9" w:rsidP="00A413A6">
            <w:pPr>
              <w:spacing w:beforeAutospacing="1" w:afterAutospacing="1"/>
              <w:rPr>
                <w:rFonts w:eastAsia="Times New Roman"/>
                <w:szCs w:val="24"/>
                <w:lang w:val="sr-Latn-ME"/>
              </w:rPr>
            </w:pPr>
            <w:r w:rsidRPr="00A82CB9">
              <w:rPr>
                <w:szCs w:val="24"/>
              </w:rPr>
              <w:t xml:space="preserve">Nedovoljan nivo finansijske pismenosti može imati dugoročne posljedice po finansijsku stabilnost pojedinaca, domaćinstava i privrede. </w:t>
            </w:r>
            <w:r w:rsidR="00D12DF7" w:rsidRPr="00D12DF7">
              <w:rPr>
                <w:szCs w:val="24"/>
                <w:lang w:val="sr-Latn-ME"/>
              </w:rPr>
              <w:t>Nerazumijevanje osnovnih finansijskih pojmova, kreditnih obaveza, kamatnih stopa, ukupnih troškova zaduživanja, osiguranja, poreskih obaveza i digitalnih finansijskih usluga predstavlja značajan rizik za neadekvatno upravljanje ličnim i poslovnim finansijama, prezaduženost, finansijske gubitke, povećanu izloženost različitim oblicima finansijskih i internet prevara, kao i smanjenje mogućnosti za održivo poslovanje i razvoj preduzetništva.</w:t>
            </w:r>
          </w:p>
          <w:p w:rsidR="004B46C1" w:rsidRDefault="006D1712">
            <w:pPr>
              <w:jc w:val="left"/>
            </w:pPr>
            <w:r>
              <w:rPr>
                <w:b/>
              </w:rPr>
              <w:t xml:space="preserve">Mjerljivo početno stanje. </w:t>
            </w:r>
            <w:r>
              <w:t>Posljednje dostupno međunarodno uporedivo OECD/INFE istraživanje pokazuje da je prosječan rezultat finansijske pismenosti odraslih u Crnoj Gori 11,5 od mogućih 21 poen (55%), ispod prosjeka Jugoistočne Evrope od 12,0 poena (57%). Samo 24% ispitanika pravilno razumije složenu kamatu, a 35% diversifikaciju rizika. Pokazatelj finansijskog ponašanja iznosi 49% kod ruralnog i 54% kod urbanog stanovništva, što potvrđuje potrebu za ciljanim i teritorijalno dostupnim programima finansijske edukacije.</w:t>
            </w:r>
          </w:p>
          <w:p w:rsidR="00D12DF7" w:rsidRDefault="00D12DF7" w:rsidP="00A413A6">
            <w:pPr>
              <w:spacing w:beforeAutospacing="1" w:afterAutospacing="1"/>
              <w:rPr>
                <w:rFonts w:eastAsia="Times New Roman"/>
                <w:szCs w:val="24"/>
                <w:lang w:val="sr-Latn-ME"/>
              </w:rPr>
            </w:pPr>
            <w:r w:rsidRPr="00D12DF7">
              <w:rPr>
                <w:szCs w:val="24"/>
                <w:lang w:val="sr-Latn-ME"/>
              </w:rPr>
              <w:t>Program razvoja finansijske edukacije u Crnoj Gori 2023–2027 prepoznaje finansijsku edukaciju kao jedan od ključnih preduslova za unapređenje finansijske uključenosti, odgovorno upravljanje finansijama i jačanje finansijske otpornosti građana.</w:t>
            </w:r>
          </w:p>
        </w:tc>
      </w:tr>
    </w:tbl>
    <w:p w:rsidR="00D84503" w:rsidRDefault="00D84503">
      <w:pPr>
        <w:spacing w:before="0" w:after="0" w:line="20" w:lineRule="exact"/>
      </w:pPr>
    </w:p>
    <w:tbl>
      <w:tblPr>
        <w:tblStyle w:val="TableGrid"/>
        <w:tblW w:w="14229" w:type="dxa"/>
        <w:tblInd w:w="792" w:type="dxa"/>
        <w:tblLayout w:type="fixed"/>
        <w:tblLook w:val="04A0" w:firstRow="1" w:lastRow="0" w:firstColumn="1" w:lastColumn="0" w:noHBand="0" w:noVBand="1"/>
      </w:tblPr>
      <w:tblGrid>
        <w:gridCol w:w="14229"/>
      </w:tblGrid>
      <w:tr w:rsidR="00370754" w:rsidRPr="006F4DB3" w:rsidTr="004D2F36">
        <w:tc>
          <w:tcPr>
            <w:tcW w:w="14229" w:type="dxa"/>
            <w:tcMar>
              <w:top w:w="57" w:type="dxa"/>
              <w:bottom w:w="57" w:type="dxa"/>
            </w:tcMar>
            <w:vAlign w:val="center"/>
          </w:tcPr>
          <w:p w:rsidR="00A82CB9" w:rsidRPr="00A82CB9" w:rsidRDefault="00A82CB9" w:rsidP="00A413A6">
            <w:pPr>
              <w:spacing w:beforeAutospacing="1" w:afterAutospacing="1"/>
              <w:rPr>
                <w:rFonts w:eastAsia="Times New Roman"/>
                <w:szCs w:val="24"/>
              </w:rPr>
            </w:pPr>
            <w:r w:rsidRPr="00A82CB9">
              <w:rPr>
                <w:szCs w:val="24"/>
              </w:rPr>
              <w:t>Program predstavlja nacionalni strateški okvir kojim se uspostavlja koordinisano djelovanje državnih organa, regulatornih institucija, obrazovnog sistema, finansijskog sektora, akademske zajednice, nevladinih organizacija i drugih relevantnih subjekata radi unapređenja finansijske pismenosti stanovništva.</w:t>
            </w:r>
            <w:r w:rsidR="00E76691" w:rsidRPr="00E76691">
              <w:rPr>
                <w:rFonts w:asciiTheme="minorHAnsi" w:eastAsiaTheme="minorHAnsi" w:hAnsiTheme="minorHAnsi" w:cstheme="minorBidi"/>
                <w:szCs w:val="22"/>
                <w:lang w:val="sr-Latn-ME"/>
              </w:rPr>
              <w:t xml:space="preserve"> </w:t>
            </w:r>
            <w:r w:rsidR="00E76691" w:rsidRPr="00E76691">
              <w:rPr>
                <w:szCs w:val="24"/>
                <w:lang w:val="sr-Latn-ME"/>
              </w:rPr>
              <w:t>Program je usklađen sa preporukama OECD/INFE mreže za unapređenje finansijske pismenosti i razvojem nacionalnih strategija finansijske edukacije.</w:t>
            </w:r>
          </w:p>
          <w:p w:rsidR="00A82CB9" w:rsidRPr="00A82CB9" w:rsidRDefault="00A82CB9" w:rsidP="00A413A6">
            <w:pPr>
              <w:spacing w:beforeAutospacing="1" w:afterAutospacing="1"/>
              <w:rPr>
                <w:rFonts w:eastAsia="Times New Roman"/>
                <w:szCs w:val="24"/>
              </w:rPr>
            </w:pPr>
            <w:r w:rsidRPr="00A82CB9">
              <w:rPr>
                <w:szCs w:val="24"/>
              </w:rPr>
              <w:t>Programom je naglašeno da finansijska edukacija treba da bude dostupna svim kategorijama stanovništva tokom cijelog životnog vijeka, uz razvoj aktivnosti koje će biti prilagođene različitim ciljnim grupama i njihovim potrebama. Poseban značaj daje se unapređenju finansijskih kompetencija odraslog stanovništva, jačanju svijesti o odgovornom upravljanju ličnim finansijama, razvoju preduzetničkih kapaciteta i bezbjednom korišćenju savremenih finansijskih usluga, kroz saradnju institucija, obrazovnog sistema, finansijskog sektora i organizacija civilnog društva.</w:t>
            </w:r>
          </w:p>
          <w:p w:rsidR="00A82CB9" w:rsidRPr="00A82CB9" w:rsidRDefault="00A82CB9" w:rsidP="00A413A6">
            <w:pPr>
              <w:spacing w:beforeAutospacing="1" w:afterAutospacing="1"/>
              <w:rPr>
                <w:rFonts w:eastAsia="Times New Roman"/>
                <w:szCs w:val="24"/>
              </w:rPr>
            </w:pPr>
            <w:r w:rsidRPr="00A82CB9">
              <w:rPr>
                <w:szCs w:val="24"/>
              </w:rPr>
              <w:lastRenderedPageBreak/>
              <w:t xml:space="preserve">Dosadašnje aktivnosti na sprovođenju Programa razvoja finansijske edukacije u Crnoj Gori pokazale su značajan napredak u uspostavljanju sistemskog pristupa finansijskoj edukaciji. Prema Izvještaju o realizaciji Akcionog plana razvoja finansijske edukacije za 2025. godinu, realizovane su 83 od ukupno 99 planiranih aktivnosti, odnosno 84%, što potvrđuje visok stepen institucionalne posvećenosti razvoju finansijske pismenosti u Crnoj Gori. Istovremeno, u Izvještaju je konstatovano da su aktivnosti dominantno bile usmjerene na djecu i mlade, uz preporuku da se u narednom periodu značajno proširi obuhvat drugih ciljnih grupa, posebno odraslog stanovništva, preduzetnika, nezaposlenih lica i drugih kategorija građana kojima su finansijska znanja neophodna za svakodnevno donošenje ekonomskih odluka. </w:t>
            </w:r>
          </w:p>
          <w:p w:rsidR="00A82CB9" w:rsidRPr="00A82CB9" w:rsidRDefault="00A82CB9" w:rsidP="00A413A6">
            <w:pPr>
              <w:spacing w:beforeAutospacing="1" w:afterAutospacing="1"/>
              <w:rPr>
                <w:rFonts w:eastAsia="Times New Roman"/>
                <w:szCs w:val="24"/>
              </w:rPr>
            </w:pPr>
            <w:r w:rsidRPr="00A82CB9">
              <w:rPr>
                <w:szCs w:val="24"/>
              </w:rPr>
              <w:t>Uprkos razvijenom institucionalnom okviru, pristup finansijskoj edukaciji nije ravnomjerno dostupan svim građanima Crne Gore. Stanovnici manje razvijenih opština i ruralnih područja imaju znatno manje mogućnosti da učestvuju u organizovanim edukativnim programima, radionicama i savjetodavnim aktivnostima koje doprinose unapređenju finansijskih znanja i vještina. Ograničena dostupnost ovakvih sadržaja dodatno otežava donošenje informisanih odluka o upravljanju ličnim budžetom, korišćenju kreditnih proizvoda, štednji, osiguranju, digitalnom bankarstvu i planiranju poslovanja.</w:t>
            </w:r>
          </w:p>
          <w:p w:rsidR="00A82CB9" w:rsidRPr="00A82CB9" w:rsidRDefault="00A82CB9" w:rsidP="00A413A6">
            <w:pPr>
              <w:spacing w:beforeAutospacing="1" w:afterAutospacing="1"/>
              <w:rPr>
                <w:rFonts w:eastAsia="Times New Roman"/>
                <w:szCs w:val="24"/>
              </w:rPr>
            </w:pPr>
            <w:r w:rsidRPr="00A82CB9">
              <w:rPr>
                <w:szCs w:val="24"/>
              </w:rPr>
              <w:t>Poseban izazov predstavljaju građani koji imaju niže ili nestabilne prihode, nezaposlena lica, preduzetnici početnici, vlasnici mikropreduzeća, nosioci poljoprivrednih gazdinstava, žene koje pokreću sopstveni biznis, mladi koji prvi put ulaze na tržište rada, kao i starija populacija koja se suočava sa sve intenzivnijom digitalizacijom finansijskih usluga. Ove kategorije stanovništva često nemaju mogućnost da koriste stručnu finansijsku podršku niti raspolažu dovoljnim znanjem za procjenu finansijskih rizika i planiranje dugoročne finansijske stabilnosti.</w:t>
            </w:r>
          </w:p>
        </w:tc>
      </w:tr>
    </w:tbl>
    <w:p w:rsidR="00D84503" w:rsidRDefault="00D84503">
      <w:pPr>
        <w:spacing w:before="0" w:after="0" w:line="20" w:lineRule="exact"/>
      </w:pPr>
    </w:p>
    <w:tbl>
      <w:tblPr>
        <w:tblStyle w:val="TableGrid"/>
        <w:tblW w:w="14229" w:type="dxa"/>
        <w:tblInd w:w="792" w:type="dxa"/>
        <w:tblLayout w:type="fixed"/>
        <w:tblLook w:val="04A0" w:firstRow="1" w:lastRow="0" w:firstColumn="1" w:lastColumn="0" w:noHBand="0" w:noVBand="1"/>
      </w:tblPr>
      <w:tblGrid>
        <w:gridCol w:w="14229"/>
      </w:tblGrid>
      <w:tr w:rsidR="00370754" w:rsidRPr="006F4DB3" w:rsidTr="004D2F36">
        <w:tc>
          <w:tcPr>
            <w:tcW w:w="14229" w:type="dxa"/>
            <w:tcMar>
              <w:top w:w="57" w:type="dxa"/>
              <w:bottom w:w="57" w:type="dxa"/>
            </w:tcMar>
            <w:vAlign w:val="center"/>
          </w:tcPr>
          <w:p w:rsidR="00A82CB9" w:rsidRPr="00A82CB9" w:rsidRDefault="00A82CB9" w:rsidP="00A413A6">
            <w:pPr>
              <w:spacing w:beforeAutospacing="1" w:afterAutospacing="1"/>
              <w:rPr>
                <w:rFonts w:eastAsia="Times New Roman"/>
                <w:szCs w:val="24"/>
              </w:rPr>
            </w:pPr>
            <w:r w:rsidRPr="00A82CB9">
              <w:rPr>
                <w:szCs w:val="24"/>
              </w:rPr>
              <w:t>Istovremeno, ubrzana digitalna transformacija finansijskog sektora mijenja način na koji građani koriste finansijske usluge. Elektronsko i mobilno bankarstvo, internet plaćanja, digitalni novčanici i druge savremene finansijske usluge postaju dio svakodnevnog života, ali njihovo bezbjedno korišćenje zahtijeva odgovarajući nivo finansijske i digitalne pismenosti. Nedovoljno poznavanje načina funkcionisanja ovih usluga povećava rizik od zloupotrebe ličnih i bankarskih podataka, internet prevara, fišing napada i drugih oblika finansijskog kriminala, zbog čega je kontinuirana edukacija građana od posebnog značaja.</w:t>
            </w:r>
          </w:p>
          <w:p w:rsidR="00395036" w:rsidRPr="00395036" w:rsidRDefault="00395036" w:rsidP="00A413A6">
            <w:pPr>
              <w:spacing w:beforeAutospacing="1" w:afterAutospacing="1"/>
              <w:rPr>
                <w:rFonts w:eastAsia="Times New Roman"/>
                <w:szCs w:val="24"/>
              </w:rPr>
            </w:pPr>
            <w:r w:rsidRPr="00395036">
              <w:rPr>
                <w:szCs w:val="24"/>
              </w:rPr>
              <w:t xml:space="preserve">Finansijska pismenost ima poseban značaj za razvoj mikro, malih i srednjih preduzeća, koja predstavljaju osnovu lokalnog ekonomskog razvoja, zapošljavanja i stvaranja nove vrijednosti u svim regionima Crne Gore. Održivost njihovog poslovanja u velikoj </w:t>
            </w:r>
            <w:r w:rsidRPr="00395036">
              <w:rPr>
                <w:szCs w:val="24"/>
              </w:rPr>
              <w:lastRenderedPageBreak/>
              <w:t>mjeri zavisi od sposobnosti vlasnika i preduzetnika da planiraju poslovanje, upravljaju novčanim tokovima, razumiju troškove finansiranja, izvršavaju poreske i druge zakonske obaveze, procjenjuju investicione rizike i donose odgovorne poslovne odluke.</w:t>
            </w:r>
          </w:p>
          <w:p w:rsidR="00395036" w:rsidRPr="00395036" w:rsidRDefault="00395036" w:rsidP="00A413A6">
            <w:pPr>
              <w:spacing w:beforeAutospacing="1" w:afterAutospacing="1"/>
              <w:rPr>
                <w:rFonts w:eastAsia="Times New Roman"/>
                <w:szCs w:val="24"/>
              </w:rPr>
            </w:pPr>
            <w:r w:rsidRPr="00395036">
              <w:rPr>
                <w:szCs w:val="24"/>
              </w:rPr>
              <w:t>Nedovoljna finansijska znanja mogu negativno uticati na razvoj preduzetništva i konkurentnost privrede. Neadekvatno finansijsko planiranje, nerazumijevanje uslova kreditnog zaduživanja, nepravilno upravljanje troškovima i prihodima, kao i nedovoljno poznavanje mogućnosti finansiranja, mogu dovesti do problema sa likvidnošću, otežanog poslovanja, odustajanja od investicija ili prestanka obavljanja djelatnosti. Poseban izazov predstavlja činjenica da veliki broj mikropreduzetnika nema mogućnost angažovanja finansijskih savjetnika ili stručnih službi, zbog čega su prinuđeni da samostalno donose finansijske odluke koje imaju direktan uticaj na održivost njihovog poslovanja.</w:t>
            </w:r>
          </w:p>
          <w:p w:rsidR="00395036" w:rsidRPr="00395036" w:rsidRDefault="00395036" w:rsidP="00A413A6">
            <w:pPr>
              <w:spacing w:beforeAutospacing="1" w:afterAutospacing="1"/>
              <w:rPr>
                <w:rFonts w:eastAsia="Times New Roman"/>
                <w:szCs w:val="24"/>
              </w:rPr>
            </w:pPr>
            <w:r w:rsidRPr="00395036">
              <w:rPr>
                <w:szCs w:val="24"/>
              </w:rPr>
              <w:t>Prema podacima Uprave za statistiku (MONSTAT), u Crnoj Gori je tokom 2025. godine poslovalo 63.823 aktivna poslovna subjekta, što predstavlja povećanje od 8,2% u odnosu na prethodnu godinu. Istovremeno, njihova teritorijalna raspoređenost ukazuje na izražene regionalne razlike u nivou privredne aktivnosti. Najveći broj aktivnih poslovnih subjekata registrovan je u Glavnom gradu Podgorici, dok pojedine opštine na sjeveru Crne Gore bilježe višestruko manji broj privrednih subjekata, što ukazuje na ograničene razvojne kapacitete, manju dostupnost poslovne podrške i izraženije razvojne izazove u odnosu na centralni region.</w:t>
            </w:r>
          </w:p>
        </w:tc>
      </w:tr>
    </w:tbl>
    <w:p w:rsidR="00D84503" w:rsidRDefault="00D84503">
      <w:pPr>
        <w:spacing w:before="0" w:after="0" w:line="20" w:lineRule="exact"/>
      </w:pPr>
    </w:p>
    <w:tbl>
      <w:tblPr>
        <w:tblStyle w:val="TableGrid"/>
        <w:tblW w:w="14229" w:type="dxa"/>
        <w:tblInd w:w="792" w:type="dxa"/>
        <w:tblLayout w:type="fixed"/>
        <w:tblLook w:val="04A0" w:firstRow="1" w:lastRow="0" w:firstColumn="1" w:lastColumn="0" w:noHBand="0" w:noVBand="1"/>
      </w:tblPr>
      <w:tblGrid>
        <w:gridCol w:w="14229"/>
      </w:tblGrid>
      <w:tr w:rsidR="00370754" w:rsidRPr="006F4DB3" w:rsidTr="004D2F36">
        <w:tc>
          <w:tcPr>
            <w:tcW w:w="14229" w:type="dxa"/>
            <w:tcMar>
              <w:top w:w="57" w:type="dxa"/>
              <w:bottom w:w="57" w:type="dxa"/>
            </w:tcMar>
            <w:vAlign w:val="center"/>
          </w:tcPr>
          <w:p w:rsidR="00395036" w:rsidRPr="00395036" w:rsidRDefault="00395036" w:rsidP="00A413A6">
            <w:pPr>
              <w:spacing w:beforeAutospacing="1" w:afterAutospacing="1"/>
              <w:rPr>
                <w:rFonts w:eastAsia="Times New Roman"/>
                <w:szCs w:val="24"/>
              </w:rPr>
            </w:pPr>
            <w:r w:rsidRPr="00395036">
              <w:rPr>
                <w:szCs w:val="24"/>
              </w:rPr>
              <w:t>Regionalne razlike nijesu vidljive samo kroz broj registrovanih poslovnih subjekata, već i kroz mogućnosti pristupa edukaciji, stručnom savjetovanju, finansijskim institucijama i programima podrške razvoju preduzetništva. U manje razvijenim opštinama preduzetnici i građani često imaju ograničen pristup informacijama o raspoloživim finansijskim instrumentima, mogućnostima finansiranja, odgovornom upravljanju finansijama i savremenim finansijskim uslugama. Zbog toga unapređenje finansijske pismenosti predstavlja važan instrument ravnomjernog regionalnog razvoja i jačanja ekonomske otpornosti lokalnih zajednica.</w:t>
            </w:r>
          </w:p>
          <w:p w:rsidR="00395036" w:rsidRPr="00395036" w:rsidRDefault="00395036" w:rsidP="00A413A6">
            <w:pPr>
              <w:spacing w:beforeAutospacing="1" w:afterAutospacing="1"/>
              <w:rPr>
                <w:rFonts w:eastAsia="Times New Roman"/>
                <w:szCs w:val="24"/>
              </w:rPr>
            </w:pPr>
            <w:r w:rsidRPr="00395036">
              <w:rPr>
                <w:szCs w:val="24"/>
              </w:rPr>
              <w:t>Razvijanje finansijskih kompetencija građana i mikropreduzetnika doprinosi efikasnijem korišćenju raspoloživih finansijskih sredstava, odgovornijem zaduživanju, većem stepenu finansijske uključenosti i boljem korišćenju mogućnosti koje pružaju nacionalni i međunarodni programi podrške preduzetništvu. Istovremeno, povećava se otpornost lokalne privrede na ekonomske poremećaje i stvaraju se uslovi za održiviji regionalni razvoj.</w:t>
            </w:r>
          </w:p>
          <w:p w:rsidR="00395036" w:rsidRDefault="00395036" w:rsidP="00A413A6">
            <w:pPr>
              <w:spacing w:beforeAutospacing="1" w:afterAutospacing="1"/>
              <w:rPr>
                <w:rFonts w:eastAsia="Times New Roman"/>
                <w:szCs w:val="24"/>
              </w:rPr>
            </w:pPr>
            <w:r w:rsidRPr="00395036">
              <w:rPr>
                <w:szCs w:val="24"/>
              </w:rPr>
              <w:t xml:space="preserve">Pored ekonomskih koristi za pojedince i privredne subjekte, unapređenje finansijske pismenosti doprinosi i ostvarivanju širih ciljeva javnih politika, uključujući smanjenje rizika od siromaštva i socijalne isključenosti, unapređenje finansijske uključenosti stanovništva, jačanje preduzetništva i odgovornog upravljanja finansijama, kao i povećanje otpornosti lokalnih zajednica na ekonomske izazove. </w:t>
            </w:r>
            <w:r w:rsidRPr="00395036">
              <w:rPr>
                <w:szCs w:val="24"/>
              </w:rPr>
              <w:lastRenderedPageBreak/>
              <w:t>Poseban značaj finansijska edukacija ima za građane koji prvi put koriste finansijske proizvode i usluge, lica koja planiraju pokretanje sopstvenog biznisa, korisnike programa podrške samozapošljavanju, kao i stanovništvo manje razvijenih područja gdje su mogućnosti za sticanje ovih znanja ograničene.</w:t>
            </w:r>
          </w:p>
          <w:p w:rsidR="00696748" w:rsidRPr="00395036" w:rsidRDefault="00696748" w:rsidP="00A413A6">
            <w:pPr>
              <w:spacing w:beforeAutospacing="1" w:afterAutospacing="1"/>
              <w:rPr>
                <w:rFonts w:eastAsia="Times New Roman"/>
                <w:szCs w:val="24"/>
              </w:rPr>
            </w:pPr>
            <w:r w:rsidRPr="00696748">
              <w:rPr>
                <w:szCs w:val="24"/>
                <w:lang w:val="sr-Latn-ME"/>
              </w:rPr>
              <w:t xml:space="preserve">Unapređenje finansijske pismenosti predstavlja važnu preventivnu javnu politiku, jer doprinosi smanjenju rizika od prezaduženosti građana, finansijske isključenosti, neuspjeha novoosnovanih </w:t>
            </w:r>
            <w:r w:rsidR="00EC0D58" w:rsidRPr="00EC0D58">
              <w:rPr>
                <w:szCs w:val="24"/>
                <w:lang w:val="sr-Latn-ME"/>
              </w:rPr>
              <w:t>mikro i malih preduzeća</w:t>
            </w:r>
            <w:r w:rsidR="00EC0D58">
              <w:rPr>
                <w:szCs w:val="24"/>
                <w:lang w:val="sr-Latn-ME"/>
              </w:rPr>
              <w:t xml:space="preserve"> </w:t>
            </w:r>
            <w:r w:rsidRPr="00696748">
              <w:rPr>
                <w:szCs w:val="24"/>
                <w:lang w:val="sr-Latn-ME"/>
              </w:rPr>
              <w:t>i finansijskih prevara. Istovremeno, jačanjem finansijskih kompetencija stanovništva stvaraju se uslovi za odgovornije upravljanje finansijama, efikasnije korišćenje raspoloživih finansijskih instrumenata i dugoročno smanjenje ekonomskih i socijalnih troškova koji mogu nastati usljed neadekvatnog donošenja finansijskih odluka.</w:t>
            </w:r>
          </w:p>
          <w:p w:rsidR="00395036" w:rsidRPr="00395036" w:rsidRDefault="00395036" w:rsidP="00A413A6">
            <w:pPr>
              <w:spacing w:beforeAutospacing="1" w:afterAutospacing="1"/>
              <w:rPr>
                <w:rFonts w:eastAsia="Times New Roman"/>
                <w:szCs w:val="24"/>
              </w:rPr>
            </w:pPr>
            <w:r w:rsidRPr="00395036">
              <w:rPr>
                <w:szCs w:val="24"/>
              </w:rPr>
              <w:t>Uprkos aktivnostima koje sprovode nadležne institucije, potrebe za finansijskom edukacijom prevazilaze postojeće institucionalne kapacitete. Zbog neposrednog rada sa građanima, poznavanja potreba lokalnih zajednica i iskustva u sprovođenju edukativnih programa, organizacije civilnog društva predstavljaju značajan partner u realizaciji aktivnosti usmjerenih na unapređenje finansijske pismenosti. Njihova prednost ogleda se u mogućnosti organizovanja terenskih radionica, individualnog savjetovanja, mentorske podrške i informativnih kampanja prilagođenih specifičnim potrebama različitih ciljnih grupa.</w:t>
            </w:r>
          </w:p>
        </w:tc>
      </w:tr>
    </w:tbl>
    <w:p w:rsidR="00D84503" w:rsidRDefault="00D84503">
      <w:pPr>
        <w:spacing w:before="0" w:after="0" w:line="20" w:lineRule="exact"/>
      </w:pPr>
    </w:p>
    <w:tbl>
      <w:tblPr>
        <w:tblStyle w:val="TableGrid"/>
        <w:tblW w:w="14229" w:type="dxa"/>
        <w:tblInd w:w="792" w:type="dxa"/>
        <w:tblLayout w:type="fixed"/>
        <w:tblLook w:val="04A0" w:firstRow="1" w:lastRow="0" w:firstColumn="1" w:lastColumn="0" w:noHBand="0" w:noVBand="1"/>
      </w:tblPr>
      <w:tblGrid>
        <w:gridCol w:w="14229"/>
      </w:tblGrid>
      <w:tr w:rsidR="00370754" w:rsidRPr="006F4DB3" w:rsidTr="004D2F36">
        <w:tc>
          <w:tcPr>
            <w:tcW w:w="14229" w:type="dxa"/>
            <w:tcMar>
              <w:top w:w="57" w:type="dxa"/>
              <w:bottom w:w="57" w:type="dxa"/>
            </w:tcMar>
            <w:vAlign w:val="center"/>
          </w:tcPr>
          <w:p w:rsidR="00395036" w:rsidRPr="00395036" w:rsidRDefault="00395036" w:rsidP="00A413A6">
            <w:pPr>
              <w:spacing w:beforeAutospacing="1" w:afterAutospacing="1"/>
              <w:rPr>
                <w:rFonts w:eastAsia="Times New Roman"/>
                <w:szCs w:val="24"/>
              </w:rPr>
            </w:pPr>
            <w:r w:rsidRPr="00395036">
              <w:rPr>
                <w:szCs w:val="24"/>
              </w:rPr>
              <w:t>Finansiranjem projekata i programa nevladinih organizacija omogućiće se realizacija aktivnosti koje dopunjuju postojeće institucionalne mjere, uz puno poštovanje nadležnosti Centralne banke Crne Gore, Ministarstva finansija i drugih institucija uključenih u sprovođenje Programa razvoja finansijske edukacije u Crnoj Gori 2023–2027. Poseban fokus biće usmjeren na unapređenje praktičnih finansijskih znanja i vještina građana i mikropreduzetnika kroz edukacije, radionice, mentorstvo, izradu edukativnih materijala, aktivnosti usmjerene na odgovorno upravljanje ličnim i poslovnim finansijama, bezbjedno korišćenje digitalnih finansijskih usluga i jačanje finansijske otpornosti domaćinstava i mikropreduzeća.</w:t>
            </w:r>
          </w:p>
          <w:p w:rsidR="00395036" w:rsidRPr="00395036" w:rsidRDefault="00395036" w:rsidP="00A413A6">
            <w:pPr>
              <w:spacing w:beforeAutospacing="1" w:afterAutospacing="1"/>
              <w:rPr>
                <w:rFonts w:eastAsia="Times New Roman"/>
                <w:szCs w:val="24"/>
              </w:rPr>
            </w:pPr>
            <w:r w:rsidRPr="00395036">
              <w:rPr>
                <w:szCs w:val="24"/>
              </w:rPr>
              <w:t>Podrška projektima nevladinih organizacija posebno je značajna u manje razvijenim opštinama i ruralnim područjima, gdje organizacije civilnog društva mogu obezbijediti dostupnost edukativnih aktivnosti građanima koji su zbog geografskih, ekonomskih ili drugih okolnosti u manjoj mjeri obuhvaćeni postojećim programima finansijske edukacije. Na taj način doprinosi se smanjenju regionalnih razlika u dostupnosti znanja, jačanju finansijske uključenosti stanovništva i stvaranju uslova za održiviji lokalni i regionalni razvoj.</w:t>
            </w:r>
          </w:p>
          <w:p w:rsidR="00395036" w:rsidRPr="00395036" w:rsidRDefault="00395036" w:rsidP="00A413A6">
            <w:pPr>
              <w:spacing w:beforeAutospacing="1" w:afterAutospacing="1"/>
              <w:rPr>
                <w:rFonts w:eastAsia="Times New Roman"/>
                <w:szCs w:val="24"/>
              </w:rPr>
            </w:pPr>
            <w:r w:rsidRPr="00395036">
              <w:rPr>
                <w:szCs w:val="24"/>
              </w:rPr>
              <w:lastRenderedPageBreak/>
              <w:t xml:space="preserve">Polazeći od navedenog, finansiranje projekata i programa nevladinih organizacija u ovoj oblasti predstavlja opravdan i efikasan mehanizam za unapređenje finansijske pismenosti i ekonomske otpornosti građana i mikropreduzetnika. Očekivani rezultat jeste povećanje nivoa finansijskih znanja i vještina, odgovornije upravljanje ličnim i poslovnim finansijama, bezbjednije korišćenje savremenih finansijskih usluga, jačanje otpornosti domaćinstava i mikropreduzeća na finansijske rizike, </w:t>
            </w:r>
            <w:r w:rsidR="00304B9E" w:rsidRPr="00304B9E">
              <w:rPr>
                <w:szCs w:val="24"/>
                <w:lang w:val="sr-Latn-ME"/>
              </w:rPr>
              <w:t>kao i doprinos ravnomjernijem regionalnom razvoju, povećanju finansijske uključenosti stanovništva i održivom ekonomskom razvoju Crne Gore, u skladu sa nacionalnim strateškim prioritetima.</w:t>
            </w:r>
          </w:p>
          <w:p w:rsidR="004B46C1" w:rsidRDefault="006D1712">
            <w:pPr>
              <w:jc w:val="left"/>
            </w:pPr>
            <w:r>
              <w:rPr>
                <w:b/>
              </w:rPr>
              <w:t xml:space="preserve">Željeno stanje do kraja 2027. godine. </w:t>
            </w:r>
            <w:r>
              <w:t>Najmanje 300 jedinstvenih korisnika biće obuhvaćeno neposrednim programima finansijske edukacije, od kojih najmanje 50% iz manje razvijenih opština i ruralnih područja; najmanje 80 mikropreduzetnika i preduzetnika početnika dobiće ciljanu podršku; najmanje 70% učesnika povećaće rezultat na završnom testu za najmanje 20% u odnosu na početno testiranje.</w:t>
            </w:r>
          </w:p>
        </w:tc>
      </w:tr>
    </w:tbl>
    <w:p w:rsidR="00D84503" w:rsidRDefault="00D84503">
      <w:pPr>
        <w:spacing w:before="0" w:after="0" w:line="20" w:lineRule="exact"/>
      </w:pPr>
    </w:p>
    <w:tbl>
      <w:tblPr>
        <w:tblStyle w:val="TableGrid"/>
        <w:tblW w:w="14229" w:type="dxa"/>
        <w:tblInd w:w="792" w:type="dxa"/>
        <w:tblLayout w:type="fixed"/>
        <w:tblLook w:val="04A0" w:firstRow="1" w:lastRow="0" w:firstColumn="1" w:lastColumn="0" w:noHBand="0" w:noVBand="1"/>
      </w:tblPr>
      <w:tblGrid>
        <w:gridCol w:w="7126"/>
        <w:gridCol w:w="7103"/>
      </w:tblGrid>
      <w:tr w:rsidR="00370754" w:rsidRPr="006F4DB3" w:rsidTr="00E4450E">
        <w:trPr>
          <w:cantSplit/>
        </w:trPr>
        <w:tc>
          <w:tcPr>
            <w:tcW w:w="7126" w:type="dxa"/>
            <w:tcBorders>
              <w:bottom w:val="single" w:sz="4" w:space="0" w:color="auto"/>
            </w:tcBorders>
            <w:shd w:val="clear" w:color="auto" w:fill="F2F2F2" w:themeFill="background1" w:themeFillShade="F2"/>
            <w:tcMar>
              <w:top w:w="57" w:type="dxa"/>
              <w:bottom w:w="57" w:type="dxa"/>
            </w:tcMar>
            <w:vAlign w:val="center"/>
          </w:tcPr>
          <w:p w:rsidR="00370754" w:rsidRPr="006F4DB3" w:rsidRDefault="00370754" w:rsidP="004D2F36">
            <w:pPr>
              <w:rPr>
                <w:lang w:val="sr-Latn-RS"/>
              </w:rPr>
            </w:pPr>
            <w:r w:rsidRPr="006F4DB3">
              <w:rPr>
                <w:lang w:val="sr-Latn-RS"/>
              </w:rPr>
              <w:t>Podaci (analize, studije, statistički izvještaji, itd.) koji pojašnjavaju navedeni problem</w:t>
            </w:r>
          </w:p>
        </w:tc>
        <w:tc>
          <w:tcPr>
            <w:tcW w:w="7103" w:type="dxa"/>
            <w:tcBorders>
              <w:bottom w:val="single" w:sz="4" w:space="0" w:color="auto"/>
            </w:tcBorders>
            <w:shd w:val="clear" w:color="auto" w:fill="F2F2F2" w:themeFill="background1" w:themeFillShade="F2"/>
            <w:tcMar>
              <w:top w:w="57" w:type="dxa"/>
              <w:bottom w:w="57" w:type="dxa"/>
            </w:tcMar>
            <w:vAlign w:val="center"/>
          </w:tcPr>
          <w:p w:rsidR="00370754" w:rsidRPr="006F4DB3" w:rsidRDefault="00370754" w:rsidP="004D2F36">
            <w:pPr>
              <w:rPr>
                <w:lang w:val="sr-Latn-RS"/>
              </w:rPr>
            </w:pPr>
            <w:r w:rsidRPr="006F4DB3">
              <w:rPr>
                <w:lang w:val="sr-Latn-RS"/>
              </w:rPr>
              <w:t>Izvor(i) podataka</w:t>
            </w:r>
          </w:p>
        </w:tc>
      </w:tr>
      <w:tr w:rsidR="00370754" w:rsidRPr="006F4DB3" w:rsidTr="00E4450E">
        <w:trPr>
          <w:cantSplit/>
        </w:trPr>
        <w:tc>
          <w:tcPr>
            <w:tcW w:w="7126" w:type="dxa"/>
            <w:tcBorders>
              <w:right w:val="single" w:sz="12" w:space="0" w:color="auto"/>
            </w:tcBorders>
            <w:tcMar>
              <w:top w:w="57" w:type="dxa"/>
              <w:bottom w:w="57" w:type="dxa"/>
            </w:tcMar>
            <w:vAlign w:val="center"/>
          </w:tcPr>
          <w:p w:rsidR="004B46C1" w:rsidRDefault="006D1712">
            <w:pPr>
              <w:pStyle w:val="ListParagraph"/>
            </w:pPr>
            <w:r>
              <w:lastRenderedPageBreak/>
              <w:t>OECD/INFE istraživanje: rezultat finansijske pismenosti odraslih u Crnoj Gori iznosi 11,5/21 (55%); 24% ispitanika pravilno razumije složenu kamatu, 35% diversifikaciju rizika, a pokazatelj finansijskog ponašanja iznosi 49% kod ruralnog i 54% kod urbanog stanovništva.</w:t>
            </w:r>
          </w:p>
          <w:p w:rsidR="004B46C1" w:rsidRDefault="006D1712">
            <w:pPr>
              <w:pStyle w:val="ListParagraph"/>
            </w:pPr>
            <w:r>
              <w:t>U 2025. godini realizovane su 83 od 99 planiranih aktivnosti finansijske edukacije (84%), ali su aktivnosti dominantno bile usmjerene na djecu i mlade, uz preporuku proširenja obuhvata na odrasle, preduzetnike i druge manje zastupljene grupe.</w:t>
            </w:r>
          </w:p>
          <w:p w:rsidR="004B46C1" w:rsidRDefault="006D1712">
            <w:pPr>
              <w:pStyle w:val="ListParagraph"/>
            </w:pPr>
            <w:r>
              <w:t>U Crnoj Gori je tokom 2025. godine poslovalo 63.823 aktivna poslovna subjekta, 8,2% više nego 2024. godine; mikro, mala i srednja preduzeća čine 99,89% aktivnih poslovnih subjekata.</w:t>
            </w:r>
          </w:p>
          <w:p w:rsidR="004B46C1" w:rsidRDefault="006D1712">
            <w:pPr>
              <w:pStyle w:val="ListParagraph"/>
            </w:pPr>
            <w:r>
              <w:t>OECD u profilu Crne Gore za 2026. godinu ukazuje na ograničen fokus politike na finansijsku edukaciju preduzetnika i razvoj mikrofinansiranja.</w:t>
            </w:r>
          </w:p>
          <w:p w:rsidR="004B46C1" w:rsidRDefault="006D1712">
            <w:pPr>
              <w:pStyle w:val="ListParagraph"/>
            </w:pPr>
            <w:r>
              <w:t>Akcioni plan razvoja finansijske edukacije za 2025. godinu pripremljen je uz učešće 22 institucije iz javnog, privatnog i nevladinog sektora, što potvrđuje osnov za partnersko sprovođenje aktivnosti.</w:t>
            </w:r>
          </w:p>
        </w:tc>
        <w:tc>
          <w:tcPr>
            <w:tcW w:w="7103" w:type="dxa"/>
            <w:tcBorders>
              <w:left w:val="single" w:sz="12" w:space="0" w:color="auto"/>
            </w:tcBorders>
            <w:tcMar>
              <w:top w:w="57" w:type="dxa"/>
              <w:bottom w:w="57" w:type="dxa"/>
            </w:tcMar>
            <w:vAlign w:val="center"/>
          </w:tcPr>
          <w:p w:rsidR="004B46C1" w:rsidRDefault="006D1712">
            <w:pPr>
              <w:pStyle w:val="ListParagraph"/>
            </w:pPr>
            <w:r>
              <w:t xml:space="preserve">OECD/INFE, </w:t>
            </w:r>
            <w:hyperlink r:id="rId9">
              <w:r>
                <w:rPr>
                  <w:color w:val="0563C1"/>
                  <w:sz w:val="18"/>
                  <w:u w:val="single"/>
                </w:rPr>
                <w:t>Financial Literacy of Adults in South East Europe (2020)</w:t>
              </w:r>
            </w:hyperlink>
            <w:r>
              <w:t xml:space="preserve"> (pristupljeno 3. avgusta 2026. godine).</w:t>
            </w:r>
          </w:p>
          <w:p w:rsidR="004B46C1" w:rsidRDefault="006D1712">
            <w:pPr>
              <w:pStyle w:val="ListParagraph"/>
            </w:pPr>
            <w:r>
              <w:t xml:space="preserve">Centralna banka Crne Gore, </w:t>
            </w:r>
            <w:hyperlink r:id="rId10">
              <w:r>
                <w:rPr>
                  <w:color w:val="0563C1"/>
                  <w:sz w:val="18"/>
                  <w:u w:val="single"/>
                </w:rPr>
                <w:t>Program razvoja finansijske edukacije u Crnoj Gori 2023–2027</w:t>
              </w:r>
            </w:hyperlink>
            <w:r>
              <w:t xml:space="preserve"> (pristupljeno 3. avgusta 2026. godine).</w:t>
            </w:r>
          </w:p>
          <w:p w:rsidR="004B46C1" w:rsidRDefault="006D1712">
            <w:pPr>
              <w:pStyle w:val="ListParagraph"/>
            </w:pPr>
            <w:r>
              <w:t xml:space="preserve">Centralna banka Crne Gore, </w:t>
            </w:r>
            <w:hyperlink r:id="rId11">
              <w:r>
                <w:rPr>
                  <w:color w:val="0563C1"/>
                  <w:sz w:val="18"/>
                  <w:u w:val="single"/>
                </w:rPr>
                <w:t>Izvještaj o realizaciji Akcionog plana razvoja finansijske edukacije za 2025. godinu – saopštenje</w:t>
              </w:r>
            </w:hyperlink>
            <w:r>
              <w:t xml:space="preserve"> (pristupljeno 3. avgusta 2026. godine).</w:t>
            </w:r>
          </w:p>
          <w:p w:rsidR="004B46C1" w:rsidRDefault="006D1712">
            <w:pPr>
              <w:pStyle w:val="ListParagraph"/>
            </w:pPr>
            <w:r>
              <w:t xml:space="preserve">Ministarstvo ekonomskog razvoja, </w:t>
            </w:r>
            <w:hyperlink r:id="rId12">
              <w:r>
                <w:rPr>
                  <w:color w:val="0563C1"/>
                  <w:sz w:val="18"/>
                  <w:u w:val="single"/>
                </w:rPr>
                <w:t>Izvještaj o realizaciji Akcionog plana za sprovođenje Strategije razvoja mikro, malih i srednjih preduzeća 2023–2026, za 2025. godinu</w:t>
              </w:r>
            </w:hyperlink>
            <w:r>
              <w:t xml:space="preserve"> (pristupljeno 3. avgusta 2026. godine).</w:t>
            </w:r>
          </w:p>
          <w:p w:rsidR="004B46C1" w:rsidRDefault="006D1712">
            <w:pPr>
              <w:pStyle w:val="ListParagraph"/>
            </w:pPr>
            <w:r>
              <w:t xml:space="preserve">OECD, </w:t>
            </w:r>
            <w:hyperlink r:id="rId13">
              <w:r>
                <w:rPr>
                  <w:color w:val="0563C1"/>
                  <w:sz w:val="18"/>
                  <w:u w:val="single"/>
                </w:rPr>
                <w:t>SME Policy Index for Western Balkans and Türkiye 2026 – Economy Profile for Montenegro</w:t>
              </w:r>
            </w:hyperlink>
            <w:r>
              <w:t xml:space="preserve"> (pristupljeno 3. avgusta 2026. godine).</w:t>
            </w:r>
          </w:p>
          <w:p w:rsidR="004B46C1" w:rsidRDefault="006D1712">
            <w:pPr>
              <w:pStyle w:val="ListParagraph"/>
            </w:pPr>
            <w:r>
              <w:t xml:space="preserve">Centralna banka Crne Gore, </w:t>
            </w:r>
            <w:hyperlink r:id="rId14">
              <w:r>
                <w:rPr>
                  <w:color w:val="0563C1"/>
                  <w:sz w:val="18"/>
                  <w:u w:val="single"/>
                </w:rPr>
                <w:t>Nacionalni komitet usvojio Akcioni plan za 2025. godinu</w:t>
              </w:r>
            </w:hyperlink>
            <w:r>
              <w:t xml:space="preserve"> (pristupljeno 3. avgusta 2026. godine).</w:t>
            </w:r>
          </w:p>
        </w:tc>
      </w:tr>
    </w:tbl>
    <w:p w:rsidR="00D218F0" w:rsidRPr="006F4DB3" w:rsidRDefault="00D218F0" w:rsidP="00370754">
      <w:pPr>
        <w:rPr>
          <w:lang w:val="sr-Latn-RS"/>
        </w:rPr>
      </w:pPr>
    </w:p>
    <w:p w:rsidR="00370754" w:rsidRPr="006F4DB3" w:rsidRDefault="00A640F0" w:rsidP="00AD29CE">
      <w:pPr>
        <w:pStyle w:val="ListParagraph"/>
        <w:keepNext/>
        <w:spacing w:after="0"/>
        <w:jc w:val="both"/>
        <w:rPr>
          <w:lang w:val="sr-Latn-RS"/>
        </w:rPr>
      </w:pPr>
      <w:r w:rsidRPr="006F4DB3">
        <w:rPr>
          <w:lang w:val="sr-Latn-RS"/>
        </w:rPr>
        <w:lastRenderedPageBreak/>
        <w:t>2.2. Navesti ključne strateško-planske dokumente odnosno propise koji prepoznaju važnost problema identifikovanih pod tačkom 2.1., kao i specifične mjere/djelove tih dokumenata koji su u vezi sa identifikovanim problemima.</w:t>
      </w:r>
    </w:p>
    <w:tbl>
      <w:tblPr>
        <w:tblStyle w:val="TableGrid"/>
        <w:tblW w:w="14229" w:type="dxa"/>
        <w:tblInd w:w="792" w:type="dxa"/>
        <w:tblLayout w:type="fixed"/>
        <w:tblLook w:val="04A0" w:firstRow="1" w:lastRow="0" w:firstColumn="1" w:lastColumn="0" w:noHBand="0" w:noVBand="1"/>
      </w:tblPr>
      <w:tblGrid>
        <w:gridCol w:w="4838"/>
        <w:gridCol w:w="9391"/>
      </w:tblGrid>
      <w:tr w:rsidR="00370754" w:rsidRPr="006F4DB3" w:rsidTr="008C1FA8">
        <w:trPr>
          <w:cantSplit/>
          <w:tblHeader/>
        </w:trPr>
        <w:tc>
          <w:tcPr>
            <w:tcW w:w="4838" w:type="dxa"/>
            <w:tcBorders>
              <w:top w:val="single" w:sz="18" w:space="0" w:color="auto"/>
              <w:bottom w:val="single" w:sz="4"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bookmarkStart w:id="2" w:name="_Hlk239850015"/>
            <w:r w:rsidRPr="006F4DB3">
              <w:rPr>
                <w:b/>
                <w:sz w:val="22"/>
                <w:lang w:val="sr-Latn-RS"/>
              </w:rPr>
              <w:t>Naziv strateškog/planskog dokumenta/propisa</w:t>
            </w:r>
          </w:p>
        </w:tc>
        <w:tc>
          <w:tcPr>
            <w:tcW w:w="9391" w:type="dxa"/>
            <w:tcBorders>
              <w:top w:val="single" w:sz="18" w:space="0" w:color="auto"/>
              <w:bottom w:val="single" w:sz="4"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sz w:val="22"/>
                <w:lang w:val="sr-Latn-RS"/>
              </w:rPr>
              <w:t>Naziv poglavlja/ mjere/ aktivnosti</w:t>
            </w:r>
          </w:p>
        </w:tc>
      </w:tr>
      <w:bookmarkEnd w:id="2"/>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1. Program razvoja finansijske edukacije u Crnoj Gori 2023–2027</w:t>
            </w:r>
          </w:p>
        </w:tc>
        <w:tc>
          <w:tcPr>
            <w:tcW w:w="9391" w:type="dxa"/>
            <w:tcMar>
              <w:top w:w="80" w:type="dxa"/>
              <w:left w:w="120" w:type="dxa"/>
              <w:bottom w:w="80" w:type="dxa"/>
              <w:right w:w="120" w:type="dxa"/>
            </w:tcMar>
            <w:vAlign w:val="center"/>
          </w:tcPr>
          <w:p w:rsidR="004B46C1" w:rsidRDefault="006D1712">
            <w:pPr>
              <w:jc w:val="left"/>
            </w:pPr>
            <w:r>
              <w:rPr>
                <w:sz w:val="22"/>
              </w:rPr>
              <w:t>Prioritet 1: unapređenje svijesti stanovništva o značaju i benefitima finansijske pismenosti; Prioritet 2: poboljšanje pristupa kvalitetnoj, relevantnoj i efektivnoj finansijskoj edukaciji; Prioritet 3: jačanje vještina stanovništva za finansijsko upravljanje. Konkurs neposredno doprinosi prioritetima 2 i 3, kroz lokalno dostupne programe za odrasle i mikropreduzetnike.</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2. Akcioni plan razvoja finansijske edukacije i izvještaji o njegovoj realizaciji</w:t>
            </w:r>
          </w:p>
        </w:tc>
        <w:tc>
          <w:tcPr>
            <w:tcW w:w="9391" w:type="dxa"/>
            <w:tcMar>
              <w:top w:w="80" w:type="dxa"/>
              <w:left w:w="120" w:type="dxa"/>
              <w:bottom w:w="80" w:type="dxa"/>
              <w:right w:w="120" w:type="dxa"/>
            </w:tcMar>
            <w:vAlign w:val="center"/>
          </w:tcPr>
          <w:p w:rsidR="004B46C1" w:rsidRDefault="006D1712">
            <w:pPr>
              <w:jc w:val="left"/>
            </w:pPr>
            <w:r>
              <w:rPr>
                <w:sz w:val="22"/>
              </w:rPr>
              <w:t>Predviđa saradnju državnih organa, obrazovnog i finansijskog sektora i organizacija civilnog društva. Nalazi za 2025. godinu potvrđuju potrebu većeg obuhvata odraslih, preduzetnika i drugih grupa koje su bile manje zastupljene.</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3. Strategija regionalnog razvoja Crne Gore 2023–2027</w:t>
            </w:r>
          </w:p>
        </w:tc>
        <w:tc>
          <w:tcPr>
            <w:tcW w:w="9391" w:type="dxa"/>
            <w:tcMar>
              <w:top w:w="80" w:type="dxa"/>
              <w:left w:w="120" w:type="dxa"/>
              <w:bottom w:w="80" w:type="dxa"/>
              <w:right w:w="120" w:type="dxa"/>
            </w:tcMar>
            <w:vAlign w:val="center"/>
          </w:tcPr>
          <w:p w:rsidR="004B46C1" w:rsidRDefault="006D1712">
            <w:pPr>
              <w:jc w:val="left"/>
            </w:pPr>
            <w:r>
              <w:rPr>
                <w:sz w:val="22"/>
              </w:rPr>
              <w:t>Ciljevi smanjenja regionalnih razvojnih razlika, jačanja konkurentnosti lokalne privrede i razvojnih kapaciteta manje razvijenih jedinica lokalne samouprave. Finansijska edukacija doprinosi kroz jačanje kapaciteta građana i mikropreduzetnika.</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4. Program pristupanja Crne Gore Evropskoj uniji 2026–2027</w:t>
            </w:r>
          </w:p>
        </w:tc>
        <w:tc>
          <w:tcPr>
            <w:tcW w:w="9391" w:type="dxa"/>
            <w:tcMar>
              <w:top w:w="80" w:type="dxa"/>
              <w:left w:w="120" w:type="dxa"/>
              <w:bottom w:w="80" w:type="dxa"/>
              <w:right w:w="120" w:type="dxa"/>
            </w:tcMar>
            <w:vAlign w:val="center"/>
          </w:tcPr>
          <w:p w:rsidR="004B46C1" w:rsidRDefault="006D1712">
            <w:pPr>
              <w:jc w:val="left"/>
            </w:pPr>
            <w:r>
              <w:rPr>
                <w:sz w:val="22"/>
              </w:rPr>
              <w:t>Relevantne oblasti: Poglavlje 9 – Finansijske usluge; Poglavlje 20 – Preduzetništvo i industrijska politika; Poglavlje 28 – Zaštita potrošača i zdravlja. Aktivnosti konkursa podržavaju finansijsku informisanost, konkurentnost preduzetnika i zaštitu korisnika finansijskih usluga.</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5. Agenda održivog razvoja Ujedinjenih nacija do 2030. godine</w:t>
            </w:r>
          </w:p>
        </w:tc>
        <w:tc>
          <w:tcPr>
            <w:tcW w:w="9391" w:type="dxa"/>
            <w:tcMar>
              <w:top w:w="80" w:type="dxa"/>
              <w:left w:w="120" w:type="dxa"/>
              <w:bottom w:w="80" w:type="dxa"/>
              <w:right w:w="120" w:type="dxa"/>
            </w:tcMar>
            <w:vAlign w:val="center"/>
          </w:tcPr>
          <w:p w:rsidR="004B46C1" w:rsidRDefault="006D1712">
            <w:pPr>
              <w:jc w:val="left"/>
            </w:pPr>
            <w:r>
              <w:rPr>
                <w:sz w:val="22"/>
              </w:rPr>
              <w:t>Doprinos ciljevima 1 – Svijet bez siromaštva, 4 – Kvalitetno obrazovanje, 8 – Dostojanstven rad i ekonomski rast i 10 – Smanjenje nejednakosti.</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6. Zakon o regionalnom razvoju</w:t>
            </w:r>
          </w:p>
        </w:tc>
        <w:tc>
          <w:tcPr>
            <w:tcW w:w="9391" w:type="dxa"/>
            <w:tcMar>
              <w:top w:w="80" w:type="dxa"/>
              <w:left w:w="120" w:type="dxa"/>
              <w:bottom w:w="80" w:type="dxa"/>
              <w:right w:w="120" w:type="dxa"/>
            </w:tcMar>
            <w:vAlign w:val="center"/>
          </w:tcPr>
          <w:p w:rsidR="004B46C1" w:rsidRDefault="006D1712">
            <w:pPr>
              <w:jc w:val="left"/>
            </w:pPr>
            <w:r>
              <w:rPr>
                <w:sz w:val="22"/>
              </w:rPr>
              <w:t>Odredbe o ciljevima i načelima politike regionalnog razvoja, strateškom planiranju i stvaranju uslova za ravnomjerniji razvoj i jačanje kapaciteta jedinica lokalne samouprave.</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lastRenderedPageBreak/>
              <w:t>7. Zakon o zaštiti potrošača</w:t>
            </w:r>
          </w:p>
        </w:tc>
        <w:tc>
          <w:tcPr>
            <w:tcW w:w="9391" w:type="dxa"/>
            <w:tcMar>
              <w:top w:w="80" w:type="dxa"/>
              <w:left w:w="120" w:type="dxa"/>
              <w:bottom w:w="80" w:type="dxa"/>
              <w:right w:w="120" w:type="dxa"/>
            </w:tcMar>
            <w:vAlign w:val="center"/>
          </w:tcPr>
          <w:p w:rsidR="004B46C1" w:rsidRDefault="006D1712">
            <w:pPr>
              <w:jc w:val="left"/>
            </w:pPr>
            <w:r>
              <w:rPr>
                <w:sz w:val="22"/>
              </w:rPr>
              <w:t>Odredbe o zaštiti ekonomskih interesa potrošača, pravu na informisanost i edukaciju i unapređenju položaja potrošača na tržištu.</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8. Zakon o potrošačkim kreditima</w:t>
            </w:r>
          </w:p>
        </w:tc>
        <w:tc>
          <w:tcPr>
            <w:tcW w:w="9391" w:type="dxa"/>
            <w:tcMar>
              <w:top w:w="80" w:type="dxa"/>
              <w:left w:w="120" w:type="dxa"/>
              <w:bottom w:w="80" w:type="dxa"/>
              <w:right w:w="120" w:type="dxa"/>
            </w:tcMar>
            <w:vAlign w:val="center"/>
          </w:tcPr>
          <w:p w:rsidR="004B46C1" w:rsidRDefault="006D1712">
            <w:pPr>
              <w:jc w:val="left"/>
            </w:pPr>
            <w:r>
              <w:rPr>
                <w:sz w:val="22"/>
              </w:rPr>
              <w:t>Odredbe o informisanju korisnika, transparentnosti uslova kreditiranja i zaštiti korisnika finansijskih usluga, relevantne za odgovorno zaduživanje.</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9. Zakon o platnom prometu</w:t>
            </w:r>
          </w:p>
        </w:tc>
        <w:tc>
          <w:tcPr>
            <w:tcW w:w="9391" w:type="dxa"/>
            <w:tcMar>
              <w:top w:w="80" w:type="dxa"/>
              <w:left w:w="120" w:type="dxa"/>
              <w:bottom w:w="80" w:type="dxa"/>
              <w:right w:w="120" w:type="dxa"/>
            </w:tcMar>
            <w:vAlign w:val="center"/>
          </w:tcPr>
          <w:p w:rsidR="004B46C1" w:rsidRDefault="006D1712">
            <w:pPr>
              <w:jc w:val="left"/>
            </w:pPr>
            <w:r>
              <w:rPr>
                <w:sz w:val="22"/>
              </w:rPr>
              <w:t>Odredbe relevantne za sigurno i informisano korišćenje platnih usluga, elektronskih plaćanja i savremenih kanala plaćanja.</w:t>
            </w:r>
          </w:p>
        </w:tc>
      </w:tr>
      <w:tr w:rsidR="004B46C1">
        <w:trPr>
          <w:cantSplit/>
        </w:trPr>
        <w:tc>
          <w:tcPr>
            <w:tcW w:w="4838" w:type="dxa"/>
            <w:tcMar>
              <w:top w:w="80" w:type="dxa"/>
              <w:left w:w="120" w:type="dxa"/>
              <w:bottom w:w="80" w:type="dxa"/>
              <w:right w:w="120" w:type="dxa"/>
            </w:tcMar>
            <w:vAlign w:val="center"/>
          </w:tcPr>
          <w:p w:rsidR="004B46C1" w:rsidRDefault="006D1712">
            <w:pPr>
              <w:jc w:val="left"/>
            </w:pPr>
            <w:r>
              <w:rPr>
                <w:b/>
                <w:sz w:val="22"/>
              </w:rPr>
              <w:t>10. Zakon o kreditnim institucijama</w:t>
            </w:r>
          </w:p>
        </w:tc>
        <w:tc>
          <w:tcPr>
            <w:tcW w:w="9391" w:type="dxa"/>
            <w:tcMar>
              <w:top w:w="80" w:type="dxa"/>
              <w:left w:w="120" w:type="dxa"/>
              <w:bottom w:w="80" w:type="dxa"/>
              <w:right w:w="120" w:type="dxa"/>
            </w:tcMar>
            <w:vAlign w:val="center"/>
          </w:tcPr>
          <w:p w:rsidR="004B46C1" w:rsidRDefault="006D1712">
            <w:pPr>
              <w:jc w:val="left"/>
            </w:pPr>
            <w:r>
              <w:rPr>
                <w:sz w:val="22"/>
              </w:rPr>
              <w:t>Odredbe o sigurnosti i stabilnosti finansijskog sistema, transparentnosti poslovanja i zaštiti korisnika finansijskih usluga.</w:t>
            </w:r>
          </w:p>
        </w:tc>
      </w:tr>
    </w:tbl>
    <w:p w:rsidR="001822F4" w:rsidRPr="006F4DB3" w:rsidRDefault="001822F4" w:rsidP="00AD29CE">
      <w:pPr>
        <w:pStyle w:val="ListParagraph"/>
        <w:jc w:val="both"/>
        <w:rPr>
          <w:lang w:val="sr-Latn-RS"/>
        </w:rPr>
      </w:pPr>
    </w:p>
    <w:p w:rsidR="008A5088" w:rsidRDefault="00A640F0" w:rsidP="00AD29CE">
      <w:pPr>
        <w:pStyle w:val="ListParagraph"/>
        <w:keepNext/>
        <w:spacing w:after="0"/>
        <w:jc w:val="both"/>
        <w:rPr>
          <w:lang w:val="sr-Latn-RS"/>
        </w:rPr>
      </w:pPr>
      <w:r w:rsidRPr="006F4DB3">
        <w:rPr>
          <w:lang w:val="sr-Latn-RS"/>
        </w:rPr>
        <w:lastRenderedPageBreak/>
        <w:t>2.3. Obrazložiti na koji način nevladine organizacije mogu doprinijeti rješavanju problema identifikovanih pod tačkom 2.1., koje aktivnosti su prihvatljive za postizanje željenog rezultata, kako se planira praćenje i vrednovanje doprinosa rješavanju pomenutih problema</w:t>
      </w:r>
      <w:r w:rsidR="008A5088">
        <w:rPr>
          <w:lang w:val="sr-Latn-RS"/>
        </w:rPr>
        <w:t>.</w:t>
      </w:r>
    </w:p>
    <w:p w:rsidR="00370754" w:rsidRDefault="00A640F0" w:rsidP="00AD29CE">
      <w:pPr>
        <w:pStyle w:val="ListParagraph"/>
        <w:keepNext/>
        <w:spacing w:after="0"/>
        <w:jc w:val="both"/>
        <w:rPr>
          <w:lang w:val="sr-Latn-RS"/>
        </w:rPr>
      </w:pPr>
      <w:r w:rsidRPr="006F4DB3">
        <w:rPr>
          <w:lang w:val="sr-Latn-RS"/>
        </w:rPr>
        <w:t>Navesti konkretne mjerljive pokazatelje/indikatore za praćenje doprinosa nevladinih organizacija rješavanju identifikovanih problema i izvore verifikacije učinjenog.</w:t>
      </w:r>
    </w:p>
    <w:p w:rsidR="008A5088" w:rsidRDefault="008A5088" w:rsidP="00AD29CE">
      <w:pPr>
        <w:pStyle w:val="ListParagraph"/>
        <w:keepNext/>
        <w:spacing w:after="0"/>
        <w:jc w:val="both"/>
        <w:rPr>
          <w:lang w:val="sr-Latn-RS"/>
        </w:rPr>
      </w:pPr>
    </w:p>
    <w:p w:rsidR="008A5088" w:rsidRPr="006F4DB3" w:rsidRDefault="008A5088" w:rsidP="00AD29CE">
      <w:pPr>
        <w:pStyle w:val="ListParagraph"/>
        <w:keepNext/>
        <w:spacing w:after="0"/>
        <w:jc w:val="both"/>
        <w:rPr>
          <w:lang w:val="sr-Latn-RS"/>
        </w:rPr>
      </w:pPr>
    </w:p>
    <w:tbl>
      <w:tblPr>
        <w:tblStyle w:val="TableGrid"/>
        <w:tblW w:w="14229" w:type="dxa"/>
        <w:tblInd w:w="792" w:type="dxa"/>
        <w:tblLayout w:type="fixed"/>
        <w:tblLook w:val="04A0" w:firstRow="1" w:lastRow="0" w:firstColumn="1" w:lastColumn="0" w:noHBand="0" w:noVBand="1"/>
      </w:tblPr>
      <w:tblGrid>
        <w:gridCol w:w="4553"/>
        <w:gridCol w:w="5407"/>
        <w:gridCol w:w="4269"/>
      </w:tblGrid>
      <w:tr w:rsidR="00370754" w:rsidRPr="006F4DB3" w:rsidTr="006D22B2">
        <w:trPr>
          <w:cantSplit/>
          <w:tblHeader/>
        </w:trPr>
        <w:tc>
          <w:tcPr>
            <w:tcW w:w="4553" w:type="dxa"/>
            <w:tcBorders>
              <w:top w:val="single" w:sz="18"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lastRenderedPageBreak/>
              <w:t>Opis načina doprinosa nevladinih organizacija u rješavanju problema</w:t>
            </w:r>
          </w:p>
        </w:tc>
        <w:tc>
          <w:tcPr>
            <w:tcW w:w="5407" w:type="dxa"/>
            <w:tcBorders>
              <w:top w:val="single" w:sz="18" w:space="0" w:color="auto"/>
              <w:right w:val="single" w:sz="2"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t>Konkretni mjerljivi pokazatelji doprinosa nevladinih organizacija</w:t>
            </w:r>
          </w:p>
        </w:tc>
        <w:tc>
          <w:tcPr>
            <w:tcW w:w="4269" w:type="dxa"/>
            <w:tcBorders>
              <w:top w:val="single" w:sz="18" w:space="0" w:color="auto"/>
              <w:left w:val="single" w:sz="2"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t>Izvor(i) podataka</w:t>
            </w:r>
          </w:p>
        </w:tc>
      </w:tr>
      <w:tr w:rsidR="00370754" w:rsidRPr="00356869" w:rsidTr="006D22B2">
        <w:trPr>
          <w:cantSplit/>
        </w:trPr>
        <w:tc>
          <w:tcPr>
            <w:tcW w:w="4553" w:type="dxa"/>
            <w:tcMar>
              <w:top w:w="80" w:type="dxa"/>
              <w:left w:w="120" w:type="dxa"/>
              <w:bottom w:w="80" w:type="dxa"/>
              <w:right w:w="120" w:type="dxa"/>
            </w:tcMar>
            <w:vAlign w:val="center"/>
          </w:tcPr>
          <w:p w:rsidR="004B46C1" w:rsidRDefault="006D1712">
            <w:pPr>
              <w:pStyle w:val="ListParagraph"/>
            </w:pPr>
            <w:r>
              <w:t>Edukativne radionice i praktične obuke za građane, nezaposlena lica, mikropreduzetnike i preduzetnike početnike.</w:t>
            </w:r>
          </w:p>
          <w:p w:rsidR="004B46C1" w:rsidRDefault="006D1712">
            <w:pPr>
              <w:pStyle w:val="ListParagraph"/>
            </w:pPr>
            <w:r>
              <w:t>Individualno savjetovanje i mentorska podrška za upravljanje ličnim i poslovnim finansijama.</w:t>
            </w:r>
          </w:p>
          <w:p w:rsidR="004B46C1" w:rsidRDefault="006D1712">
            <w:pPr>
              <w:pStyle w:val="ListParagraph"/>
            </w:pPr>
            <w:r>
              <w:t>Izrada modularnog vodiča i tematskih materijala o budžetiranju, zaduživanju, štednji, digitalnom bankarstvu i zaštiti od prevara.</w:t>
            </w:r>
          </w:p>
          <w:p w:rsidR="004B46C1" w:rsidRDefault="006D1712">
            <w:pPr>
              <w:pStyle w:val="ListParagraph"/>
            </w:pPr>
            <w:r>
              <w:t>Informativne kampanje o bezbjednom korišćenju finansijskih usluga i zaštiti ličnih i finansijskih podataka.</w:t>
            </w:r>
          </w:p>
          <w:p w:rsidR="004B46C1" w:rsidRDefault="006D1712">
            <w:pPr>
              <w:pStyle w:val="ListParagraph"/>
            </w:pPr>
            <w:r>
              <w:t>Edukacije za mikropreduzetnike o novčanim tokovima, osnovama računovodstva, poreskim obavezama i izvorima finansiranja.</w:t>
            </w:r>
          </w:p>
          <w:p w:rsidR="004B46C1" w:rsidRDefault="006D1712">
            <w:pPr>
              <w:pStyle w:val="ListParagraph"/>
            </w:pPr>
            <w:r>
              <w:t>Terenske aktivnosti u manje razvijenim opštinama i ruralnim područjima.</w:t>
            </w:r>
          </w:p>
          <w:p w:rsidR="004B46C1" w:rsidRDefault="006D1712">
            <w:pPr>
              <w:pStyle w:val="ListParagraph"/>
            </w:pPr>
            <w:r>
              <w:t>Zajedničke aktivnosti sa lokalnim samoupravama, CBCG, obrazovnim ustanovama, poslovnim udruženjima i drugim relevantnim partnerima.</w:t>
            </w:r>
          </w:p>
          <w:p w:rsidR="004B46C1" w:rsidRDefault="006D1712">
            <w:pPr>
              <w:pStyle w:val="ListParagraph"/>
            </w:pPr>
            <w:r>
              <w:t>Početno i završno testiranje i praćenje promjene znanja i vještina učesnika.</w:t>
            </w:r>
          </w:p>
        </w:tc>
        <w:tc>
          <w:tcPr>
            <w:tcW w:w="5407" w:type="dxa"/>
            <w:tcBorders>
              <w:right w:val="single" w:sz="2" w:space="0" w:color="auto"/>
            </w:tcBorders>
            <w:tcMar>
              <w:top w:w="80" w:type="dxa"/>
              <w:left w:w="120" w:type="dxa"/>
              <w:bottom w:w="80" w:type="dxa"/>
              <w:right w:w="120" w:type="dxa"/>
            </w:tcMar>
            <w:vAlign w:val="center"/>
          </w:tcPr>
          <w:p w:rsidR="004B46C1" w:rsidRDefault="006D1712">
            <w:pPr>
              <w:pStyle w:val="ListParagraph"/>
            </w:pPr>
            <w:r>
              <w:t>Najmanje 15 edukacija/radionica u najmanje šest opština.</w:t>
            </w:r>
          </w:p>
          <w:p w:rsidR="004B46C1" w:rsidRDefault="006D1712">
            <w:pPr>
              <w:pStyle w:val="ListParagraph"/>
            </w:pPr>
            <w:r>
              <w:t>Najmanje 300 jedinstvenih direktnih korisnika, uz obavezno izbjegavanje dvostrukog brojanja.</w:t>
            </w:r>
          </w:p>
          <w:p w:rsidR="004B46C1" w:rsidRDefault="006D1712">
            <w:pPr>
              <w:pStyle w:val="ListParagraph"/>
            </w:pPr>
            <w:r>
              <w:t>Najmanje 80% učesnika završilo predviđeni program edukacije.</w:t>
            </w:r>
          </w:p>
          <w:p w:rsidR="004B46C1" w:rsidRDefault="006D1712">
            <w:pPr>
              <w:pStyle w:val="ListParagraph"/>
            </w:pPr>
            <w:r>
              <w:t>Najmanje 100 korisnika obuhvaćeno individualnim savjetovanjem ili mentorstvom.</w:t>
            </w:r>
          </w:p>
          <w:p w:rsidR="004B46C1" w:rsidRDefault="006D1712">
            <w:pPr>
              <w:pStyle w:val="ListParagraph"/>
            </w:pPr>
            <w:r>
              <w:t>Najmanje 80 mikropreduzetnika i preduzetnika početnika uključeno u program.</w:t>
            </w:r>
          </w:p>
          <w:p w:rsidR="004B46C1" w:rsidRDefault="006D1712">
            <w:pPr>
              <w:pStyle w:val="ListParagraph"/>
            </w:pPr>
            <w:r>
              <w:t>Najmanje 50% direktnih korisnika iz manje razvijenih opština ili ruralnih područja.</w:t>
            </w:r>
          </w:p>
          <w:p w:rsidR="004B46C1" w:rsidRDefault="006D1712">
            <w:pPr>
              <w:pStyle w:val="ListParagraph"/>
            </w:pPr>
            <w:r>
              <w:t>Najmanje jedan modularni vodič i pet tematskih edukativnih materijala, dostupnih u štampanoj i elektronskoj formi.</w:t>
            </w:r>
          </w:p>
          <w:p w:rsidR="004B46C1" w:rsidRDefault="006D1712">
            <w:pPr>
              <w:pStyle w:val="ListParagraph"/>
            </w:pPr>
            <w:r>
              <w:t>Najmanje 1.000 distribuiranih ili preuzetih primjeraka edukativnih materijala.</w:t>
            </w:r>
          </w:p>
          <w:p w:rsidR="004B46C1" w:rsidRDefault="006D1712">
            <w:pPr>
              <w:pStyle w:val="ListParagraph"/>
            </w:pPr>
            <w:r>
              <w:t>Najmanje tri informativne kampanje sa ukupnim dosegom od najmanje 20.000 korisnika; doseg se prati kao pokazatelj vidljivosti, ne kao dokaz promjene znanja.</w:t>
            </w:r>
          </w:p>
          <w:p w:rsidR="004B46C1" w:rsidRDefault="006D1712">
            <w:pPr>
              <w:pStyle w:val="ListParagraph"/>
            </w:pPr>
            <w:r>
              <w:t>Najmanje šest zajednički realizovanih aktivnosti sa partnerima.</w:t>
            </w:r>
          </w:p>
          <w:p w:rsidR="004B46C1" w:rsidRDefault="006D1712">
            <w:pPr>
              <w:pStyle w:val="ListParagraph"/>
            </w:pPr>
            <w:r>
              <w:t>Najmanje 70% testiranih učesnika povećalo rezultat na završnom testu za najmanje 20% u odnosu na početni rezultat.</w:t>
            </w:r>
          </w:p>
        </w:tc>
        <w:tc>
          <w:tcPr>
            <w:tcW w:w="4269" w:type="dxa"/>
            <w:tcBorders>
              <w:left w:val="single" w:sz="2" w:space="0" w:color="auto"/>
            </w:tcBorders>
            <w:tcMar>
              <w:top w:w="80" w:type="dxa"/>
              <w:left w:w="120" w:type="dxa"/>
              <w:bottom w:w="80" w:type="dxa"/>
              <w:right w:w="120" w:type="dxa"/>
            </w:tcMar>
            <w:vAlign w:val="center"/>
          </w:tcPr>
          <w:p w:rsidR="004B46C1" w:rsidRDefault="006D1712">
            <w:pPr>
              <w:pStyle w:val="ListParagraph"/>
            </w:pPr>
            <w:r>
              <w:t>Liste prisustva i jedinstvena evidencija korisnika, razvrstana po opštini, polu, starosti i ciljnoj grupi.</w:t>
            </w:r>
          </w:p>
          <w:p w:rsidR="004B46C1" w:rsidRDefault="006D1712">
            <w:pPr>
              <w:pStyle w:val="ListParagraph"/>
            </w:pPr>
            <w:r>
              <w:t>Programi obuka, izvještaji realizatora, fotografije i terenska dokumentacija.</w:t>
            </w:r>
          </w:p>
          <w:p w:rsidR="004B46C1" w:rsidRDefault="006D1712">
            <w:pPr>
              <w:pStyle w:val="ListParagraph"/>
            </w:pPr>
            <w:r>
              <w:t>Početni i završni testovi, baze rezultata i evaluacioni izvještaji.</w:t>
            </w:r>
          </w:p>
          <w:p w:rsidR="004B46C1" w:rsidRDefault="006D1712">
            <w:pPr>
              <w:pStyle w:val="ListParagraph"/>
            </w:pPr>
            <w:r>
              <w:t>Mentorski dnevnici, evidencija savjetovanja i obrasci povratnih informacija korisnika.</w:t>
            </w:r>
          </w:p>
          <w:p w:rsidR="004B46C1" w:rsidRDefault="006D1712">
            <w:pPr>
              <w:pStyle w:val="ListParagraph"/>
            </w:pPr>
            <w:r>
              <w:t>Objavljeni materijali, evidencija distribucije i analitika preuzimanja.</w:t>
            </w:r>
          </w:p>
          <w:p w:rsidR="004B46C1" w:rsidRDefault="006D1712">
            <w:pPr>
              <w:pStyle w:val="ListParagraph"/>
            </w:pPr>
            <w:r>
              <w:t>Medijske objave i analitika internet stranica i društvenih mreža.</w:t>
            </w:r>
          </w:p>
          <w:p w:rsidR="004B46C1" w:rsidRDefault="006D1712">
            <w:pPr>
              <w:pStyle w:val="ListParagraph"/>
            </w:pPr>
            <w:r>
              <w:t>Sporazumi, zapisnici i izvještaji o zajednički realizovanim aktivnostima.</w:t>
            </w:r>
          </w:p>
        </w:tc>
      </w:tr>
    </w:tbl>
    <w:p w:rsidR="001822F4" w:rsidRDefault="001822F4" w:rsidP="00F9559D">
      <w:pPr>
        <w:jc w:val="right"/>
        <w:rPr>
          <w:lang w:val="sr-Latn-RS"/>
        </w:rPr>
      </w:pPr>
    </w:p>
    <w:p w:rsidR="00370754" w:rsidRPr="007628D1" w:rsidRDefault="00370754" w:rsidP="007628D1">
      <w:pPr>
        <w:pStyle w:val="ListParagraph"/>
        <w:keepNext/>
        <w:numPr>
          <w:ilvl w:val="0"/>
          <w:numId w:val="5"/>
        </w:numPr>
        <w:rPr>
          <w:b/>
          <w:u w:val="single"/>
          <w:lang w:val="sr-Latn-RS"/>
        </w:rPr>
      </w:pPr>
      <w:r>
        <w:rPr>
          <w:b/>
          <w:u w:val="single"/>
        </w:rPr>
        <w:t>OSTVARIVANJE STRATEŠKIH CILJEVA</w:t>
      </w:r>
    </w:p>
    <w:p w:rsidR="00370754" w:rsidRPr="006F4DB3" w:rsidRDefault="007A0248" w:rsidP="00AD29CE">
      <w:pPr>
        <w:pStyle w:val="ListParagraph"/>
        <w:keepNext/>
        <w:spacing w:after="0"/>
        <w:jc w:val="both"/>
        <w:rPr>
          <w:lang w:val="sr-Latn-RS"/>
        </w:rPr>
      </w:pPr>
      <w:r w:rsidRPr="006F4DB3">
        <w:rPr>
          <w:lang w:val="sr-Latn-RS"/>
        </w:rPr>
        <w:t>3.1. Navesti ključne strateške ciljeve iz sektorske nadležnosti čijem će ostvarenju u 2027. godini doprinijeti projekti i programi nevladinih organizacija.</w:t>
      </w:r>
    </w:p>
    <w:tbl>
      <w:tblPr>
        <w:tblStyle w:val="TableGrid"/>
        <w:tblW w:w="14229" w:type="dxa"/>
        <w:tblInd w:w="792" w:type="dxa"/>
        <w:tblLayout w:type="fixed"/>
        <w:tblLook w:val="04A0" w:firstRow="1" w:lastRow="0" w:firstColumn="1" w:lastColumn="0" w:noHBand="0" w:noVBand="1"/>
      </w:tblPr>
      <w:tblGrid>
        <w:gridCol w:w="6119"/>
        <w:gridCol w:w="8110"/>
      </w:tblGrid>
      <w:tr w:rsidR="00370754" w:rsidRPr="006F4DB3" w:rsidTr="006D22B2">
        <w:trPr>
          <w:cantSplit/>
          <w:tblHeader/>
        </w:trPr>
        <w:tc>
          <w:tcPr>
            <w:tcW w:w="6119" w:type="dxa"/>
            <w:tcBorders>
              <w:top w:val="single" w:sz="18"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t xml:space="preserve">Strateški cilj(evi) čijem ostvarenju će doprinijeti javni konkurs za projekte i programe nevladinih organizacija u </w:t>
            </w:r>
            <w:r w:rsidR="00E17788" w:rsidRPr="006F4DB3">
              <w:rPr>
                <w:b/>
                <w:u w:val="single"/>
                <w:lang w:val="sr-Latn-RS"/>
              </w:rPr>
              <w:t>202</w:t>
            </w:r>
            <w:r w:rsidR="00021167">
              <w:rPr>
                <w:b/>
                <w:u w:val="single"/>
                <w:lang w:val="sr-Latn-RS"/>
              </w:rPr>
              <w:t>7</w:t>
            </w:r>
            <w:r w:rsidRPr="006F4DB3">
              <w:rPr>
                <w:b/>
                <w:lang w:val="sr-Latn-RS"/>
              </w:rPr>
              <w:t>. godini</w:t>
            </w:r>
          </w:p>
        </w:tc>
        <w:tc>
          <w:tcPr>
            <w:tcW w:w="8110" w:type="dxa"/>
            <w:tcBorders>
              <w:top w:val="single" w:sz="18"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t>Način na koji će javni konkurs za projekte i programe nevladinih organizacija doprinijeti ostvarenju strateških ciljeva (ukratko opisati)</w:t>
            </w:r>
          </w:p>
        </w:tc>
      </w:tr>
      <w:tr w:rsidR="004B46C1">
        <w:trPr>
          <w:cantSplit/>
        </w:trPr>
        <w:tc>
          <w:tcPr>
            <w:tcW w:w="6119" w:type="dxa"/>
            <w:tcMar>
              <w:top w:w="80" w:type="dxa"/>
              <w:left w:w="120" w:type="dxa"/>
              <w:bottom w:w="80" w:type="dxa"/>
              <w:right w:w="120" w:type="dxa"/>
            </w:tcMar>
            <w:vAlign w:val="center"/>
          </w:tcPr>
          <w:p w:rsidR="004B46C1" w:rsidRDefault="006D1712">
            <w:pPr>
              <w:jc w:val="left"/>
            </w:pPr>
            <w:r>
              <w:rPr>
                <w:b/>
              </w:rPr>
              <w:t>Program razvoja finansijske edukacije 2023–2027 – bolji pristup kvalitetnoj finansijskoj edukaciji i jačanje vještina za finansijsko upravljanje.</w:t>
            </w:r>
          </w:p>
        </w:tc>
        <w:tc>
          <w:tcPr>
            <w:tcW w:w="8110" w:type="dxa"/>
            <w:tcMar>
              <w:top w:w="80" w:type="dxa"/>
              <w:left w:w="120" w:type="dxa"/>
              <w:bottom w:w="80" w:type="dxa"/>
              <w:right w:w="120" w:type="dxa"/>
            </w:tcMar>
            <w:vAlign w:val="center"/>
          </w:tcPr>
          <w:p w:rsidR="004B46C1" w:rsidRDefault="006D1712">
            <w:pPr>
              <w:jc w:val="left"/>
            </w:pPr>
            <w:r>
              <w:t>Lokalne edukacije, savjetovanje i mentorstvo povećavaju dostupnost praktičnih znanja odraslim građanima i mikropreduzetnicima.</w:t>
            </w:r>
          </w:p>
        </w:tc>
      </w:tr>
      <w:tr w:rsidR="004B46C1">
        <w:trPr>
          <w:cantSplit/>
        </w:trPr>
        <w:tc>
          <w:tcPr>
            <w:tcW w:w="6119" w:type="dxa"/>
            <w:tcMar>
              <w:top w:w="80" w:type="dxa"/>
              <w:left w:w="120" w:type="dxa"/>
              <w:bottom w:w="80" w:type="dxa"/>
              <w:right w:w="120" w:type="dxa"/>
            </w:tcMar>
            <w:vAlign w:val="center"/>
          </w:tcPr>
          <w:p w:rsidR="004B46C1" w:rsidRDefault="006D1712">
            <w:pPr>
              <w:jc w:val="left"/>
            </w:pPr>
            <w:r>
              <w:rPr>
                <w:b/>
              </w:rPr>
              <w:t>Jačanje finansijske otpornosti građana i domaćinstava.</w:t>
            </w:r>
          </w:p>
        </w:tc>
        <w:tc>
          <w:tcPr>
            <w:tcW w:w="8110" w:type="dxa"/>
            <w:tcMar>
              <w:top w:w="80" w:type="dxa"/>
              <w:left w:w="120" w:type="dxa"/>
              <w:bottom w:w="80" w:type="dxa"/>
              <w:right w:w="120" w:type="dxa"/>
            </w:tcMar>
            <w:vAlign w:val="center"/>
          </w:tcPr>
          <w:p w:rsidR="004B46C1" w:rsidRDefault="006D1712">
            <w:pPr>
              <w:jc w:val="left"/>
            </w:pPr>
            <w:r>
              <w:t>Korisnici stiču znanja o planiranju budžeta, odgovornom zaduživanju, štednji, digitalnim finansijskim uslugama i zaštiti od prevara.</w:t>
            </w:r>
          </w:p>
        </w:tc>
      </w:tr>
      <w:tr w:rsidR="004B46C1">
        <w:trPr>
          <w:cantSplit/>
        </w:trPr>
        <w:tc>
          <w:tcPr>
            <w:tcW w:w="6119" w:type="dxa"/>
            <w:tcMar>
              <w:top w:w="80" w:type="dxa"/>
              <w:left w:w="120" w:type="dxa"/>
              <w:bottom w:w="80" w:type="dxa"/>
              <w:right w:w="120" w:type="dxa"/>
            </w:tcMar>
            <w:vAlign w:val="center"/>
          </w:tcPr>
          <w:p w:rsidR="004B46C1" w:rsidRDefault="006D1712">
            <w:pPr>
              <w:jc w:val="left"/>
            </w:pPr>
            <w:r>
              <w:rPr>
                <w:b/>
              </w:rPr>
              <w:t>Jačanje konkurentnosti i održivosti mikropreduzetnika i preduzetnika početnika.</w:t>
            </w:r>
          </w:p>
        </w:tc>
        <w:tc>
          <w:tcPr>
            <w:tcW w:w="8110" w:type="dxa"/>
            <w:tcMar>
              <w:top w:w="80" w:type="dxa"/>
              <w:left w:w="120" w:type="dxa"/>
              <w:bottom w:w="80" w:type="dxa"/>
              <w:right w:w="120" w:type="dxa"/>
            </w:tcMar>
            <w:vAlign w:val="center"/>
          </w:tcPr>
          <w:p w:rsidR="004B46C1" w:rsidRDefault="006D1712">
            <w:pPr>
              <w:jc w:val="left"/>
            </w:pPr>
            <w:r>
              <w:t>Ciljane obuke unapređuju upravljanje novčanim tokovima, razumijevanje poreskih i kreditnih obaveza i korišćenje dostupnih izvora finansiranja.</w:t>
            </w:r>
          </w:p>
        </w:tc>
      </w:tr>
      <w:tr w:rsidR="004B46C1">
        <w:trPr>
          <w:cantSplit/>
        </w:trPr>
        <w:tc>
          <w:tcPr>
            <w:tcW w:w="6119" w:type="dxa"/>
            <w:tcMar>
              <w:top w:w="80" w:type="dxa"/>
              <w:left w:w="120" w:type="dxa"/>
              <w:bottom w:w="80" w:type="dxa"/>
              <w:right w:w="120" w:type="dxa"/>
            </w:tcMar>
            <w:vAlign w:val="center"/>
          </w:tcPr>
          <w:p w:rsidR="004B46C1" w:rsidRDefault="006D1712">
            <w:pPr>
              <w:jc w:val="left"/>
            </w:pPr>
            <w:r>
              <w:rPr>
                <w:b/>
              </w:rPr>
              <w:t>Smanjenje regionalnih razlika u dostupnosti finansijske edukacije i poslovne podrške.</w:t>
            </w:r>
          </w:p>
        </w:tc>
        <w:tc>
          <w:tcPr>
            <w:tcW w:w="8110" w:type="dxa"/>
            <w:tcMar>
              <w:top w:w="80" w:type="dxa"/>
              <w:left w:w="120" w:type="dxa"/>
              <w:bottom w:w="80" w:type="dxa"/>
              <w:right w:w="120" w:type="dxa"/>
            </w:tcMar>
            <w:vAlign w:val="center"/>
          </w:tcPr>
          <w:p w:rsidR="004B46C1" w:rsidRDefault="006D1712">
            <w:pPr>
              <w:jc w:val="left"/>
            </w:pPr>
            <w:r>
              <w:t>Najmanje polovina korisnika biće iz manje razvijenih opština i ruralnih područja, uz sprovođenje aktivnosti u najmanje šest opština.</w:t>
            </w:r>
          </w:p>
        </w:tc>
      </w:tr>
    </w:tbl>
    <w:p w:rsidR="008C1FA8" w:rsidRPr="006F4DB3" w:rsidRDefault="008C1FA8" w:rsidP="00370754">
      <w:pPr>
        <w:rPr>
          <w:lang w:val="sr-Latn-RS"/>
        </w:rPr>
      </w:pPr>
    </w:p>
    <w:p w:rsidR="00370754" w:rsidRPr="006F4DB3" w:rsidRDefault="00370754" w:rsidP="00ED7458">
      <w:pPr>
        <w:pStyle w:val="ListParagraph"/>
        <w:keepNext/>
        <w:numPr>
          <w:ilvl w:val="0"/>
          <w:numId w:val="5"/>
        </w:numPr>
        <w:rPr>
          <w:b/>
          <w:u w:val="single"/>
          <w:lang w:val="sr-Latn-RS"/>
        </w:rPr>
      </w:pPr>
      <w:r>
        <w:rPr>
          <w:b/>
          <w:u w:val="single"/>
        </w:rPr>
        <w:t>JAVNI KONKURSI ZA FINANSIRANJE PROJEKATA I PROGRAMA NVO - DOPRINOS OSTVARENJU STRATEŠKIH CILJEVA IZ SEKTORSKE NADLEŽNOSTI MINISTARSTVA</w:t>
      </w:r>
    </w:p>
    <w:p w:rsidR="00370754" w:rsidRPr="006F4DB3" w:rsidRDefault="007A0248" w:rsidP="00AD29CE">
      <w:pPr>
        <w:pStyle w:val="ListParagraph"/>
        <w:keepNext/>
        <w:spacing w:after="0"/>
        <w:jc w:val="both"/>
        <w:rPr>
          <w:lang w:val="sr-Latn-RS"/>
        </w:rPr>
      </w:pPr>
      <w:r w:rsidRPr="006F4DB3">
        <w:rPr>
          <w:lang w:val="sr-Latn-RS"/>
        </w:rPr>
        <w:t xml:space="preserve">4.1. Navesti javne konkurse koji se predlažu za objavljivanje u 2027. godini u cilju doprinosa ostvarenju strateških ciljeva iz sektorske nadležnosti (iz tačke 3.1.), uz prijedlog potrebnih iznosa. Ukoliko postoji mogućnost preklapanja s javnim konkursima iz nacionalnih, </w:t>
      </w:r>
      <w:r w:rsidRPr="006F4DB3">
        <w:rPr>
          <w:lang w:val="sr-Latn-RS"/>
        </w:rPr>
        <w:lastRenderedPageBreak/>
        <w:t>sredstava EU ili drugih vanjskih fondova iz nadležnosti neke druge institucije, navesti s kojim organom je potrebno koordinirati oblasti finansiranja.</w:t>
      </w:r>
    </w:p>
    <w:tbl>
      <w:tblPr>
        <w:tblStyle w:val="TableGrid"/>
        <w:tblW w:w="14229" w:type="dxa"/>
        <w:tblInd w:w="792" w:type="dxa"/>
        <w:tblLayout w:type="fixed"/>
        <w:tblLook w:val="04A0" w:firstRow="1" w:lastRow="0" w:firstColumn="1" w:lastColumn="0" w:noHBand="0" w:noVBand="1"/>
      </w:tblPr>
      <w:tblGrid>
        <w:gridCol w:w="3130"/>
        <w:gridCol w:w="6119"/>
        <w:gridCol w:w="1707"/>
        <w:gridCol w:w="3273"/>
      </w:tblGrid>
      <w:tr w:rsidR="00533DF4" w:rsidRPr="006F4DB3" w:rsidTr="00A413A6">
        <w:trPr>
          <w:cantSplit/>
          <w:tblHeader/>
        </w:trPr>
        <w:tc>
          <w:tcPr>
            <w:tcW w:w="3130" w:type="dxa"/>
            <w:tcBorders>
              <w:top w:val="single" w:sz="18" w:space="0" w:color="auto"/>
            </w:tcBorders>
            <w:shd w:val="clear" w:color="auto" w:fill="F2F2F2" w:themeFill="background1" w:themeFillShade="F2"/>
            <w:tcMar>
              <w:top w:w="80" w:type="dxa"/>
              <w:left w:w="120" w:type="dxa"/>
              <w:bottom w:w="80" w:type="dxa"/>
              <w:right w:w="120" w:type="dxa"/>
            </w:tcMar>
            <w:vAlign w:val="center"/>
          </w:tcPr>
          <w:p w:rsidR="00533DF4" w:rsidRPr="006F4DB3" w:rsidRDefault="00533DF4" w:rsidP="004D2F36">
            <w:pPr>
              <w:jc w:val="center"/>
              <w:rPr>
                <w:lang w:val="sr-Latn-RS"/>
              </w:rPr>
            </w:pPr>
            <w:r w:rsidRPr="006F4DB3">
              <w:rPr>
                <w:b/>
                <w:lang w:val="sr-Latn-RS"/>
              </w:rPr>
              <w:t xml:space="preserve">Naziv javnog konkursa </w:t>
            </w:r>
          </w:p>
        </w:tc>
        <w:tc>
          <w:tcPr>
            <w:tcW w:w="6119" w:type="dxa"/>
            <w:tcBorders>
              <w:top w:val="single" w:sz="18" w:space="0" w:color="auto"/>
              <w:right w:val="single" w:sz="2" w:space="0" w:color="auto"/>
            </w:tcBorders>
            <w:shd w:val="clear" w:color="auto" w:fill="F2F2F2" w:themeFill="background1" w:themeFillShade="F2"/>
            <w:tcMar>
              <w:top w:w="80" w:type="dxa"/>
              <w:left w:w="120" w:type="dxa"/>
              <w:bottom w:w="80" w:type="dxa"/>
              <w:right w:w="120" w:type="dxa"/>
            </w:tcMar>
            <w:vAlign w:val="center"/>
          </w:tcPr>
          <w:p w:rsidR="00533DF4" w:rsidRPr="006F4DB3" w:rsidRDefault="00533DF4" w:rsidP="004D2F36">
            <w:pPr>
              <w:jc w:val="center"/>
              <w:rPr>
                <w:lang w:val="sr-Latn-RS"/>
              </w:rPr>
            </w:pPr>
            <w:r>
              <w:rPr>
                <w:b/>
                <w:lang w:val="sr-Latn-RS"/>
              </w:rPr>
              <w:t xml:space="preserve">Svrha i strateški cilj kojem doprinosi </w:t>
            </w:r>
          </w:p>
        </w:tc>
        <w:tc>
          <w:tcPr>
            <w:tcW w:w="1707" w:type="dxa"/>
            <w:tcBorders>
              <w:top w:val="single" w:sz="18" w:space="0" w:color="auto"/>
              <w:left w:val="single" w:sz="2" w:space="0" w:color="auto"/>
            </w:tcBorders>
            <w:shd w:val="clear" w:color="auto" w:fill="F2F2F2" w:themeFill="background1" w:themeFillShade="F2"/>
            <w:tcMar>
              <w:top w:w="80" w:type="dxa"/>
              <w:left w:w="120" w:type="dxa"/>
              <w:bottom w:w="80" w:type="dxa"/>
              <w:right w:w="120" w:type="dxa"/>
            </w:tcMar>
            <w:vAlign w:val="center"/>
          </w:tcPr>
          <w:p w:rsidR="00533DF4" w:rsidRPr="006F4DB3" w:rsidRDefault="00533DF4" w:rsidP="004D2F36">
            <w:pPr>
              <w:jc w:val="center"/>
              <w:rPr>
                <w:lang w:val="sr-Latn-RS"/>
              </w:rPr>
            </w:pPr>
            <w:r>
              <w:rPr>
                <w:b/>
                <w:lang w:val="sr-Latn-RS"/>
              </w:rPr>
              <w:t xml:space="preserve">          Iznos </w:t>
            </w:r>
          </w:p>
        </w:tc>
        <w:tc>
          <w:tcPr>
            <w:tcW w:w="3273" w:type="dxa"/>
            <w:tcBorders>
              <w:top w:val="single" w:sz="18" w:space="0" w:color="auto"/>
              <w:left w:val="single" w:sz="2" w:space="0" w:color="auto"/>
            </w:tcBorders>
            <w:shd w:val="clear" w:color="auto" w:fill="F2F2F2" w:themeFill="background1" w:themeFillShade="F2"/>
            <w:tcMar>
              <w:top w:w="80" w:type="dxa"/>
              <w:left w:w="120" w:type="dxa"/>
              <w:bottom w:w="80" w:type="dxa"/>
              <w:right w:w="120" w:type="dxa"/>
            </w:tcMar>
            <w:vAlign w:val="center"/>
          </w:tcPr>
          <w:p w:rsidR="00533DF4" w:rsidRPr="006F4DB3" w:rsidRDefault="00533DF4" w:rsidP="00533DF4">
            <w:pPr>
              <w:jc w:val="center"/>
              <w:rPr>
                <w:lang w:val="sr-Latn-RS"/>
              </w:rPr>
            </w:pPr>
            <w:r>
              <w:rPr>
                <w:b/>
                <w:lang w:val="sr-Latn-RS"/>
              </w:rPr>
              <w:t xml:space="preserve">Drugi donatori sa kojima je potrebno koordinirati oblasti finansiranja </w:t>
            </w:r>
          </w:p>
        </w:tc>
      </w:tr>
      <w:tr w:rsidR="00533DF4" w:rsidRPr="006F4DB3" w:rsidTr="00A413A6">
        <w:trPr>
          <w:cantSplit/>
        </w:trPr>
        <w:tc>
          <w:tcPr>
            <w:tcW w:w="3130" w:type="dxa"/>
            <w:tcMar>
              <w:top w:w="80" w:type="dxa"/>
              <w:left w:w="120" w:type="dxa"/>
              <w:bottom w:w="80" w:type="dxa"/>
              <w:right w:w="120" w:type="dxa"/>
            </w:tcMar>
            <w:vAlign w:val="center"/>
          </w:tcPr>
          <w:p w:rsidR="004B46C1" w:rsidRDefault="006D1712">
            <w:pPr>
              <w:jc w:val="left"/>
            </w:pPr>
            <w:r>
              <w:t>Ministarstvo regionalno-investicionog razvoja i saradnje sa nevladinim organizacijama</w:t>
            </w:r>
          </w:p>
          <w:p w:rsidR="004B46C1" w:rsidRDefault="006D1712">
            <w:pPr>
              <w:jc w:val="left"/>
            </w:pPr>
            <w:r>
              <w:t>„Finansijska pismenost za održivi razvoj“</w:t>
            </w:r>
          </w:p>
        </w:tc>
        <w:tc>
          <w:tcPr>
            <w:tcW w:w="6119" w:type="dxa"/>
            <w:tcBorders>
              <w:right w:val="single" w:sz="2" w:space="0" w:color="auto"/>
            </w:tcBorders>
            <w:tcMar>
              <w:top w:w="80" w:type="dxa"/>
              <w:left w:w="120" w:type="dxa"/>
              <w:bottom w:w="80" w:type="dxa"/>
              <w:right w:w="120" w:type="dxa"/>
            </w:tcMar>
            <w:vAlign w:val="center"/>
          </w:tcPr>
          <w:p w:rsidR="004B46C1" w:rsidRDefault="006D1712">
            <w:pPr>
              <w:pStyle w:val="ListParagraph"/>
            </w:pPr>
            <w:r>
              <w:t>Unapređenje finansijske pismenosti i ekonomske otpornosti građana i mikropreduzetnika, sa fokusom na manje razvijene opštine i ruralna područja.</w:t>
            </w:r>
          </w:p>
          <w:p w:rsidR="004B46C1" w:rsidRDefault="006D1712">
            <w:pPr>
              <w:pStyle w:val="ListParagraph"/>
            </w:pPr>
            <w:r>
              <w:t>Podrška odgovornom upravljanju ličnim i poslovnim finansijama, preduzetničkim kompetencijama, bezbjednom korišćenju digitalnih finansijskih usluga i zaštiti od finansijskih prevara.</w:t>
            </w:r>
          </w:p>
          <w:p w:rsidR="004B46C1" w:rsidRDefault="006D1712">
            <w:pPr>
              <w:pStyle w:val="ListParagraph"/>
            </w:pPr>
            <w:r>
              <w:t>Doprinos Programu razvoja finansijske edukacije 2023–2027 i ciljevima ravnomjernog regionalnog razvoja.</w:t>
            </w:r>
          </w:p>
        </w:tc>
        <w:tc>
          <w:tcPr>
            <w:tcW w:w="1707" w:type="dxa"/>
            <w:tcBorders>
              <w:left w:val="single" w:sz="2" w:space="0" w:color="auto"/>
            </w:tcBorders>
            <w:tcMar>
              <w:top w:w="80" w:type="dxa"/>
              <w:left w:w="120" w:type="dxa"/>
              <w:bottom w:w="80" w:type="dxa"/>
              <w:right w:w="120" w:type="dxa"/>
            </w:tcMar>
            <w:vAlign w:val="center"/>
          </w:tcPr>
          <w:p w:rsidR="004B46C1" w:rsidRDefault="006D1712">
            <w:pPr>
              <w:jc w:val="center"/>
            </w:pPr>
            <w:r>
              <w:rPr>
                <w:b/>
              </w:rPr>
              <w:t>160.000,00 EUR</w:t>
            </w:r>
          </w:p>
        </w:tc>
        <w:tc>
          <w:tcPr>
            <w:tcW w:w="3273" w:type="dxa"/>
            <w:tcBorders>
              <w:left w:val="single" w:sz="2" w:space="0" w:color="auto"/>
            </w:tcBorders>
            <w:tcMar>
              <w:top w:w="80" w:type="dxa"/>
              <w:left w:w="120" w:type="dxa"/>
              <w:bottom w:w="80" w:type="dxa"/>
              <w:right w:w="120" w:type="dxa"/>
            </w:tcMar>
            <w:vAlign w:val="center"/>
          </w:tcPr>
          <w:p w:rsidR="004B46C1" w:rsidRDefault="006D1712">
            <w:pPr>
              <w:jc w:val="left"/>
            </w:pPr>
            <w:r>
              <w:t>Centralna banka Crne Gore; Ministarstvo finansija; Razvojna banka Crne Gore A.D.; Zavod za zapošljavanje Crne Gore; jedinice lokalne samouprave; Delegacija Evropske unije i UNDP, u dijelu mogućeg preklapanja aktivnosti.</w:t>
            </w:r>
          </w:p>
        </w:tc>
      </w:tr>
    </w:tbl>
    <w:p w:rsidR="00370754" w:rsidRDefault="00370754" w:rsidP="00370754">
      <w:pPr>
        <w:rPr>
          <w:lang w:val="sr-Latn-RS"/>
        </w:rPr>
      </w:pPr>
    </w:p>
    <w:p w:rsidR="00370754" w:rsidRPr="006F4DB3" w:rsidRDefault="007A0248" w:rsidP="00AD29CE">
      <w:pPr>
        <w:pStyle w:val="ListParagraph"/>
        <w:keepNext/>
        <w:spacing w:after="0"/>
        <w:jc w:val="both"/>
        <w:rPr>
          <w:lang w:val="sr-Latn-RS"/>
        </w:rPr>
      </w:pPr>
      <w:r w:rsidRPr="006F4DB3">
        <w:rPr>
          <w:lang w:val="sr-Latn-RS"/>
        </w:rPr>
        <w:lastRenderedPageBreak/>
        <w:t>4.2. Navesti ko su predviđeni glavni korisnici projekata i programa koji će se finansirati putem javnog konkursa. Ukratko navesti glavna obilježja svake grupe korisnika, njihov broj i njihove potrebe na koje projekti i programi treba da odgovore u 2027. godini.</w:t>
      </w:r>
    </w:p>
    <w:tbl>
      <w:tblPr>
        <w:tblStyle w:val="TableGrid"/>
        <w:tblW w:w="14229" w:type="dxa"/>
        <w:tblInd w:w="792" w:type="dxa"/>
        <w:tblLayout w:type="fixed"/>
        <w:tblLook w:val="04A0" w:firstRow="1" w:lastRow="0" w:firstColumn="1" w:lastColumn="0" w:noHBand="0" w:noVBand="1"/>
      </w:tblPr>
      <w:tblGrid>
        <w:gridCol w:w="2846"/>
        <w:gridCol w:w="4411"/>
        <w:gridCol w:w="1921"/>
        <w:gridCol w:w="5051"/>
      </w:tblGrid>
      <w:tr w:rsidR="004B46C1">
        <w:trPr>
          <w:cantSplit/>
          <w:tblHeader/>
        </w:trPr>
        <w:tc>
          <w:tcPr>
            <w:tcW w:w="14229" w:type="dxa"/>
            <w:gridSpan w:val="4"/>
            <w:shd w:val="clear" w:color="auto" w:fill="D9E2F3"/>
            <w:tcMar>
              <w:top w:w="80" w:type="dxa"/>
              <w:left w:w="120" w:type="dxa"/>
              <w:bottom w:w="80" w:type="dxa"/>
              <w:right w:w="120" w:type="dxa"/>
            </w:tcMar>
            <w:vAlign w:val="center"/>
          </w:tcPr>
          <w:p w:rsidR="004B46C1" w:rsidRDefault="006D1712">
            <w:pPr>
              <w:jc w:val="center"/>
            </w:pPr>
            <w:r>
              <w:rPr>
                <w:b/>
              </w:rPr>
              <w:t>Opis glavnih grupa korisnika, njihov broj i potrebe</w:t>
            </w:r>
          </w:p>
        </w:tc>
      </w:tr>
      <w:tr w:rsidR="004B46C1">
        <w:trPr>
          <w:cantSplit/>
          <w:tblHeader/>
        </w:trPr>
        <w:tc>
          <w:tcPr>
            <w:tcW w:w="2846" w:type="dxa"/>
            <w:shd w:val="clear" w:color="auto" w:fill="D9E2F3"/>
            <w:tcMar>
              <w:top w:w="80" w:type="dxa"/>
              <w:left w:w="120" w:type="dxa"/>
              <w:bottom w:w="80" w:type="dxa"/>
              <w:right w:w="120" w:type="dxa"/>
            </w:tcMar>
            <w:vAlign w:val="center"/>
          </w:tcPr>
          <w:p w:rsidR="004B46C1" w:rsidRDefault="006D1712">
            <w:pPr>
              <w:jc w:val="center"/>
            </w:pPr>
            <w:r>
              <w:rPr>
                <w:b/>
              </w:rPr>
              <w:t>Ciljna grupa</w:t>
            </w:r>
          </w:p>
        </w:tc>
        <w:tc>
          <w:tcPr>
            <w:tcW w:w="4411" w:type="dxa"/>
            <w:shd w:val="clear" w:color="auto" w:fill="D9E2F3"/>
            <w:tcMar>
              <w:top w:w="80" w:type="dxa"/>
              <w:left w:w="120" w:type="dxa"/>
              <w:bottom w:w="80" w:type="dxa"/>
              <w:right w:w="120" w:type="dxa"/>
            </w:tcMar>
            <w:vAlign w:val="center"/>
          </w:tcPr>
          <w:p w:rsidR="004B46C1" w:rsidRDefault="006D1712">
            <w:pPr>
              <w:jc w:val="center"/>
            </w:pPr>
            <w:r>
              <w:rPr>
                <w:b/>
              </w:rPr>
              <w:t>Glavna obilježja</w:t>
            </w:r>
          </w:p>
        </w:tc>
        <w:tc>
          <w:tcPr>
            <w:tcW w:w="1921" w:type="dxa"/>
            <w:shd w:val="clear" w:color="auto" w:fill="D9E2F3"/>
            <w:tcMar>
              <w:top w:w="80" w:type="dxa"/>
              <w:left w:w="120" w:type="dxa"/>
              <w:bottom w:w="80" w:type="dxa"/>
              <w:right w:w="120" w:type="dxa"/>
            </w:tcMar>
            <w:vAlign w:val="center"/>
          </w:tcPr>
          <w:p w:rsidR="004B46C1" w:rsidRDefault="006D1712">
            <w:pPr>
              <w:jc w:val="center"/>
            </w:pPr>
            <w:r>
              <w:rPr>
                <w:b/>
              </w:rPr>
              <w:t>Planirani obuhvat</w:t>
            </w:r>
          </w:p>
        </w:tc>
        <w:tc>
          <w:tcPr>
            <w:tcW w:w="5051" w:type="dxa"/>
            <w:shd w:val="clear" w:color="auto" w:fill="D9E2F3"/>
            <w:tcMar>
              <w:top w:w="80" w:type="dxa"/>
              <w:left w:w="120" w:type="dxa"/>
              <w:bottom w:w="80" w:type="dxa"/>
              <w:right w:w="120" w:type="dxa"/>
            </w:tcMar>
            <w:vAlign w:val="center"/>
          </w:tcPr>
          <w:p w:rsidR="004B46C1" w:rsidRDefault="006D1712">
            <w:pPr>
              <w:jc w:val="center"/>
            </w:pPr>
            <w:r>
              <w:rPr>
                <w:b/>
              </w:rPr>
              <w:t>Potrebe</w:t>
            </w:r>
          </w:p>
        </w:tc>
      </w:tr>
      <w:tr w:rsidR="004B46C1">
        <w:trPr>
          <w:cantSplit/>
        </w:trPr>
        <w:tc>
          <w:tcPr>
            <w:tcW w:w="2846" w:type="dxa"/>
            <w:tcMar>
              <w:top w:w="80" w:type="dxa"/>
              <w:left w:w="120" w:type="dxa"/>
              <w:bottom w:w="80" w:type="dxa"/>
              <w:right w:w="120" w:type="dxa"/>
            </w:tcMar>
            <w:vAlign w:val="center"/>
          </w:tcPr>
          <w:p w:rsidR="004B46C1" w:rsidRDefault="006D1712">
            <w:pPr>
              <w:jc w:val="left"/>
            </w:pPr>
            <w:r>
              <w:rPr>
                <w:b/>
              </w:rPr>
              <w:t>1. Građani iz manje razvijenih opština i ruralnih područja</w:t>
            </w:r>
          </w:p>
        </w:tc>
        <w:tc>
          <w:tcPr>
            <w:tcW w:w="4411" w:type="dxa"/>
            <w:tcMar>
              <w:top w:w="80" w:type="dxa"/>
              <w:left w:w="120" w:type="dxa"/>
              <w:bottom w:w="80" w:type="dxa"/>
              <w:right w:w="120" w:type="dxa"/>
            </w:tcMar>
            <w:vAlign w:val="center"/>
          </w:tcPr>
          <w:p w:rsidR="004B46C1" w:rsidRDefault="006D1712">
            <w:pPr>
              <w:jc w:val="left"/>
            </w:pPr>
            <w:r>
              <w:t>Građani sa ograničenim pristupom finansijskoj edukaciji, savjetovanju i informacijama o finansijskim uslugama.</w:t>
            </w:r>
          </w:p>
        </w:tc>
        <w:tc>
          <w:tcPr>
            <w:tcW w:w="1921" w:type="dxa"/>
            <w:tcMar>
              <w:top w:w="80" w:type="dxa"/>
              <w:left w:w="120" w:type="dxa"/>
              <w:bottom w:w="80" w:type="dxa"/>
              <w:right w:w="120" w:type="dxa"/>
            </w:tcMar>
            <w:vAlign w:val="center"/>
          </w:tcPr>
          <w:p w:rsidR="004B46C1" w:rsidRDefault="006D1712">
            <w:pPr>
              <w:jc w:val="center"/>
            </w:pPr>
            <w:r>
              <w:t>Najmanje 120 korisnika</w:t>
            </w:r>
          </w:p>
        </w:tc>
        <w:tc>
          <w:tcPr>
            <w:tcW w:w="5051" w:type="dxa"/>
            <w:tcMar>
              <w:top w:w="80" w:type="dxa"/>
              <w:left w:w="120" w:type="dxa"/>
              <w:bottom w:w="80" w:type="dxa"/>
              <w:right w:w="120" w:type="dxa"/>
            </w:tcMar>
            <w:vAlign w:val="center"/>
          </w:tcPr>
          <w:p w:rsidR="004B46C1" w:rsidRDefault="006D1712">
            <w:pPr>
              <w:jc w:val="left"/>
            </w:pPr>
            <w:r>
              <w:t>Upravljanje ličnim budžetom, odgovorno zaduživanje, štednja i bezbjedno korišćenje finansijskih usluga.</w:t>
            </w:r>
          </w:p>
        </w:tc>
      </w:tr>
      <w:tr w:rsidR="004B46C1">
        <w:trPr>
          <w:cantSplit/>
        </w:trPr>
        <w:tc>
          <w:tcPr>
            <w:tcW w:w="2846" w:type="dxa"/>
            <w:tcMar>
              <w:top w:w="80" w:type="dxa"/>
              <w:left w:w="120" w:type="dxa"/>
              <w:bottom w:w="80" w:type="dxa"/>
              <w:right w:w="120" w:type="dxa"/>
            </w:tcMar>
            <w:vAlign w:val="center"/>
          </w:tcPr>
          <w:p w:rsidR="004B46C1" w:rsidRDefault="006D1712">
            <w:pPr>
              <w:jc w:val="left"/>
            </w:pPr>
            <w:r>
              <w:rPr>
                <w:b/>
              </w:rPr>
              <w:t>2. Mikropreduzetnici i preduzetnici početnici</w:t>
            </w:r>
          </w:p>
        </w:tc>
        <w:tc>
          <w:tcPr>
            <w:tcW w:w="4411" w:type="dxa"/>
            <w:tcMar>
              <w:top w:w="80" w:type="dxa"/>
              <w:left w:w="120" w:type="dxa"/>
              <w:bottom w:w="80" w:type="dxa"/>
              <w:right w:w="120" w:type="dxa"/>
            </w:tcMar>
            <w:vAlign w:val="center"/>
          </w:tcPr>
          <w:p w:rsidR="004B46C1" w:rsidRDefault="006D1712">
            <w:pPr>
              <w:jc w:val="left"/>
            </w:pPr>
            <w:r>
              <w:t>Vlasnici mikropreduzeća i lica koja planiraju pokretanje biznisa, posebno u manje razvijenim područjima.</w:t>
            </w:r>
          </w:p>
        </w:tc>
        <w:tc>
          <w:tcPr>
            <w:tcW w:w="1921" w:type="dxa"/>
            <w:tcMar>
              <w:top w:w="80" w:type="dxa"/>
              <w:left w:w="120" w:type="dxa"/>
              <w:bottom w:w="80" w:type="dxa"/>
              <w:right w:w="120" w:type="dxa"/>
            </w:tcMar>
            <w:vAlign w:val="center"/>
          </w:tcPr>
          <w:p w:rsidR="004B46C1" w:rsidRDefault="006D1712">
            <w:pPr>
              <w:jc w:val="center"/>
            </w:pPr>
            <w:r>
              <w:t>Najmanje 80 korisnika</w:t>
            </w:r>
          </w:p>
        </w:tc>
        <w:tc>
          <w:tcPr>
            <w:tcW w:w="5051" w:type="dxa"/>
            <w:tcMar>
              <w:top w:w="80" w:type="dxa"/>
              <w:left w:w="120" w:type="dxa"/>
              <w:bottom w:w="80" w:type="dxa"/>
              <w:right w:w="120" w:type="dxa"/>
            </w:tcMar>
            <w:vAlign w:val="center"/>
          </w:tcPr>
          <w:p w:rsidR="004B46C1" w:rsidRDefault="006D1712">
            <w:pPr>
              <w:jc w:val="left"/>
            </w:pPr>
            <w:r>
              <w:t>Finansijsko planiranje, upravljanje poslovnim finansijama, poreske obaveze i pristup izvorima finansiranja.</w:t>
            </w:r>
          </w:p>
        </w:tc>
      </w:tr>
      <w:tr w:rsidR="004B46C1">
        <w:trPr>
          <w:cantSplit/>
        </w:trPr>
        <w:tc>
          <w:tcPr>
            <w:tcW w:w="2846" w:type="dxa"/>
            <w:tcMar>
              <w:top w:w="80" w:type="dxa"/>
              <w:left w:w="120" w:type="dxa"/>
              <w:bottom w:w="80" w:type="dxa"/>
              <w:right w:w="120" w:type="dxa"/>
            </w:tcMar>
            <w:vAlign w:val="center"/>
          </w:tcPr>
          <w:p w:rsidR="004B46C1" w:rsidRDefault="006D1712">
            <w:pPr>
              <w:jc w:val="left"/>
            </w:pPr>
            <w:r>
              <w:rPr>
                <w:b/>
              </w:rPr>
              <w:t>3. Nezaposlena lica i lica koja planiraju samozapošljavanje</w:t>
            </w:r>
          </w:p>
        </w:tc>
        <w:tc>
          <w:tcPr>
            <w:tcW w:w="4411" w:type="dxa"/>
            <w:tcMar>
              <w:top w:w="80" w:type="dxa"/>
              <w:left w:w="120" w:type="dxa"/>
              <w:bottom w:w="80" w:type="dxa"/>
              <w:right w:w="120" w:type="dxa"/>
            </w:tcMar>
            <w:vAlign w:val="center"/>
          </w:tcPr>
          <w:p w:rsidR="004B46C1" w:rsidRDefault="006D1712">
            <w:pPr>
              <w:jc w:val="left"/>
            </w:pPr>
            <w:r>
              <w:t>Lica na evidenciji Zavoda za zapošljavanje i druga lica zainteresovana za pokretanje sopstvene djelatnosti.</w:t>
            </w:r>
          </w:p>
        </w:tc>
        <w:tc>
          <w:tcPr>
            <w:tcW w:w="1921" w:type="dxa"/>
            <w:tcMar>
              <w:top w:w="80" w:type="dxa"/>
              <w:left w:w="120" w:type="dxa"/>
              <w:bottom w:w="80" w:type="dxa"/>
              <w:right w:w="120" w:type="dxa"/>
            </w:tcMar>
            <w:vAlign w:val="center"/>
          </w:tcPr>
          <w:p w:rsidR="004B46C1" w:rsidRDefault="006D1712">
            <w:pPr>
              <w:jc w:val="center"/>
            </w:pPr>
            <w:r>
              <w:t>Najmanje 60 korisnika</w:t>
            </w:r>
          </w:p>
        </w:tc>
        <w:tc>
          <w:tcPr>
            <w:tcW w:w="5051" w:type="dxa"/>
            <w:tcMar>
              <w:top w:w="80" w:type="dxa"/>
              <w:left w:w="120" w:type="dxa"/>
              <w:bottom w:w="80" w:type="dxa"/>
              <w:right w:w="120" w:type="dxa"/>
            </w:tcMar>
            <w:vAlign w:val="center"/>
          </w:tcPr>
          <w:p w:rsidR="004B46C1" w:rsidRDefault="006D1712">
            <w:pPr>
              <w:jc w:val="left"/>
            </w:pPr>
            <w:r>
              <w:t>Finansijska edukacija, poslovno planiranje i upravljanje finansijama pri pokretanju biznisa.</w:t>
            </w:r>
          </w:p>
        </w:tc>
      </w:tr>
      <w:tr w:rsidR="004B46C1">
        <w:trPr>
          <w:cantSplit/>
        </w:trPr>
        <w:tc>
          <w:tcPr>
            <w:tcW w:w="2846" w:type="dxa"/>
            <w:tcMar>
              <w:top w:w="80" w:type="dxa"/>
              <w:left w:w="120" w:type="dxa"/>
              <w:bottom w:w="80" w:type="dxa"/>
              <w:right w:w="120" w:type="dxa"/>
            </w:tcMar>
            <w:vAlign w:val="center"/>
          </w:tcPr>
          <w:p w:rsidR="004B46C1" w:rsidRDefault="006D1712">
            <w:pPr>
              <w:jc w:val="left"/>
            </w:pPr>
            <w:r>
              <w:rPr>
                <w:b/>
              </w:rPr>
              <w:t>4. Žene i mladi zainteresovani za preduzetništvo</w:t>
            </w:r>
          </w:p>
        </w:tc>
        <w:tc>
          <w:tcPr>
            <w:tcW w:w="4411" w:type="dxa"/>
            <w:tcMar>
              <w:top w:w="80" w:type="dxa"/>
              <w:left w:w="120" w:type="dxa"/>
              <w:bottom w:w="80" w:type="dxa"/>
              <w:right w:w="120" w:type="dxa"/>
            </w:tcMar>
            <w:vAlign w:val="center"/>
          </w:tcPr>
          <w:p w:rsidR="004B46C1" w:rsidRDefault="006D1712">
            <w:pPr>
              <w:jc w:val="left"/>
            </w:pPr>
            <w:r>
              <w:t>Žene i mladi koji žele da unaprijede finansijska znanja i razviju poslovne ideje, naročito u manje razvijenim opštinama.</w:t>
            </w:r>
          </w:p>
        </w:tc>
        <w:tc>
          <w:tcPr>
            <w:tcW w:w="1921" w:type="dxa"/>
            <w:tcMar>
              <w:top w:w="80" w:type="dxa"/>
              <w:left w:w="120" w:type="dxa"/>
              <w:bottom w:w="80" w:type="dxa"/>
              <w:right w:w="120" w:type="dxa"/>
            </w:tcMar>
            <w:vAlign w:val="center"/>
          </w:tcPr>
          <w:p w:rsidR="004B46C1" w:rsidRDefault="006D1712">
            <w:pPr>
              <w:jc w:val="center"/>
            </w:pPr>
            <w:r>
              <w:t>Najmanje 80 korisnika</w:t>
            </w:r>
          </w:p>
        </w:tc>
        <w:tc>
          <w:tcPr>
            <w:tcW w:w="5051" w:type="dxa"/>
            <w:tcMar>
              <w:top w:w="80" w:type="dxa"/>
              <w:left w:w="120" w:type="dxa"/>
              <w:bottom w:w="80" w:type="dxa"/>
              <w:right w:w="120" w:type="dxa"/>
            </w:tcMar>
            <w:vAlign w:val="center"/>
          </w:tcPr>
          <w:p w:rsidR="004B46C1" w:rsidRDefault="006D1712">
            <w:pPr>
              <w:jc w:val="left"/>
            </w:pPr>
            <w:r>
              <w:t>Finansijska pismenost, poslovno planiranje i upoznavanje sa mogućnostima finansijske podrške.</w:t>
            </w:r>
          </w:p>
        </w:tc>
      </w:tr>
      <w:tr w:rsidR="004B46C1">
        <w:trPr>
          <w:cantSplit/>
        </w:trPr>
        <w:tc>
          <w:tcPr>
            <w:tcW w:w="2846" w:type="dxa"/>
            <w:tcMar>
              <w:top w:w="80" w:type="dxa"/>
              <w:left w:w="120" w:type="dxa"/>
              <w:bottom w:w="80" w:type="dxa"/>
              <w:right w:w="120" w:type="dxa"/>
            </w:tcMar>
            <w:vAlign w:val="center"/>
          </w:tcPr>
          <w:p w:rsidR="004B46C1" w:rsidRDefault="006D1712">
            <w:pPr>
              <w:jc w:val="left"/>
            </w:pPr>
            <w:r>
              <w:rPr>
                <w:b/>
              </w:rPr>
              <w:lastRenderedPageBreak/>
              <w:t>5. Starija populacija i druge osjetljive kategorije</w:t>
            </w:r>
          </w:p>
        </w:tc>
        <w:tc>
          <w:tcPr>
            <w:tcW w:w="4411" w:type="dxa"/>
            <w:tcMar>
              <w:top w:w="80" w:type="dxa"/>
              <w:left w:w="120" w:type="dxa"/>
              <w:bottom w:w="80" w:type="dxa"/>
              <w:right w:w="120" w:type="dxa"/>
            </w:tcMar>
            <w:vAlign w:val="center"/>
          </w:tcPr>
          <w:p w:rsidR="004B46C1" w:rsidRDefault="006D1712">
            <w:pPr>
              <w:jc w:val="left"/>
            </w:pPr>
            <w:r>
              <w:t>Građani koji se teže prilagođavaju digitalizaciji finansijskih usluga ili su izloženi većem riziku od prevara.</w:t>
            </w:r>
          </w:p>
        </w:tc>
        <w:tc>
          <w:tcPr>
            <w:tcW w:w="1921" w:type="dxa"/>
            <w:tcMar>
              <w:top w:w="80" w:type="dxa"/>
              <w:left w:w="120" w:type="dxa"/>
              <w:bottom w:w="80" w:type="dxa"/>
              <w:right w:w="120" w:type="dxa"/>
            </w:tcMar>
            <w:vAlign w:val="center"/>
          </w:tcPr>
          <w:p w:rsidR="004B46C1" w:rsidRDefault="006D1712">
            <w:pPr>
              <w:jc w:val="center"/>
            </w:pPr>
            <w:r>
              <w:t>Najmanje 60 korisnika</w:t>
            </w:r>
          </w:p>
        </w:tc>
        <w:tc>
          <w:tcPr>
            <w:tcW w:w="5051" w:type="dxa"/>
            <w:tcMar>
              <w:top w:w="80" w:type="dxa"/>
              <w:left w:w="120" w:type="dxa"/>
              <w:bottom w:w="80" w:type="dxa"/>
              <w:right w:w="120" w:type="dxa"/>
            </w:tcMar>
            <w:vAlign w:val="center"/>
          </w:tcPr>
          <w:p w:rsidR="004B46C1" w:rsidRDefault="006D1712">
            <w:pPr>
              <w:jc w:val="left"/>
            </w:pPr>
            <w:r>
              <w:t>Digitalno bankarstvo, zaštita podataka, prepoznavanje prevara i bezbjedno korišćenje elektronskih finansijskih usluga.</w:t>
            </w:r>
          </w:p>
        </w:tc>
      </w:tr>
    </w:tbl>
    <w:p w:rsidR="00370754" w:rsidRPr="006F4DB3" w:rsidRDefault="00370754" w:rsidP="00AD29CE">
      <w:pPr>
        <w:rPr>
          <w:lang w:val="sr-Latn-RS"/>
        </w:rPr>
      </w:pPr>
    </w:p>
    <w:p w:rsidR="00800332" w:rsidRDefault="00260E8F" w:rsidP="00AD29CE">
      <w:pPr>
        <w:pStyle w:val="ListParagraph"/>
        <w:jc w:val="both"/>
        <w:rPr>
          <w:lang w:val="sr-Latn-RS"/>
        </w:rPr>
      </w:pPr>
      <w:r>
        <w:rPr>
          <w:i/>
        </w:rPr>
        <w:t>Planirani broj korisnika po ciljnim grupama može se djelimično preklapati. Ukupan planirani obuhvat iznosi najmanje 300 jedinstvenih direktnih korisnika, a nosioci projekata biće obavezni da vode evidenciju koja sprečava dvostruko brojanje.</w:t>
      </w:r>
    </w:p>
    <w:p w:rsidR="00800332" w:rsidRDefault="00800332" w:rsidP="00AD29CE">
      <w:pPr>
        <w:pStyle w:val="ListParagraph"/>
        <w:jc w:val="both"/>
        <w:rPr>
          <w:lang w:val="sr-Latn-RS"/>
        </w:rPr>
      </w:pPr>
    </w:p>
    <w:p w:rsidR="00370754" w:rsidRPr="006F4DB3" w:rsidRDefault="007A0248" w:rsidP="00AD29CE">
      <w:pPr>
        <w:pStyle w:val="ListParagraph"/>
        <w:keepNext/>
        <w:spacing w:after="0"/>
        <w:jc w:val="both"/>
        <w:rPr>
          <w:lang w:val="sr-Latn-RS"/>
        </w:rPr>
      </w:pPr>
      <w:r w:rsidRPr="006F4DB3">
        <w:rPr>
          <w:lang w:val="sr-Latn-RS"/>
        </w:rPr>
        <w:t>4.3. Navesti očekivani ukupni broj ugovorenih projekata, odnosno ugovora koji se planira zaključiti s nevladinim organizacijama na osnovu javnog konkursa.</w:t>
      </w:r>
    </w:p>
    <w:tbl>
      <w:tblPr>
        <w:tblStyle w:val="TableGrid"/>
        <w:tblW w:w="14229" w:type="dxa"/>
        <w:tblInd w:w="792" w:type="dxa"/>
        <w:tblLayout w:type="fixed"/>
        <w:tblLook w:val="04A0" w:firstRow="1" w:lastRow="0" w:firstColumn="1" w:lastColumn="0" w:noHBand="0" w:noVBand="1"/>
      </w:tblPr>
      <w:tblGrid>
        <w:gridCol w:w="6884"/>
        <w:gridCol w:w="7345"/>
      </w:tblGrid>
      <w:tr w:rsidR="00370754" w:rsidRPr="006F4DB3" w:rsidTr="006D22B2">
        <w:trPr>
          <w:cantSplit/>
        </w:trPr>
        <w:tc>
          <w:tcPr>
            <w:tcW w:w="14229" w:type="dxa"/>
            <w:gridSpan w:val="2"/>
            <w:tcBorders>
              <w:top w:val="single" w:sz="18" w:space="0" w:color="auto"/>
              <w:bottom w:val="single" w:sz="2" w:space="0" w:color="auto"/>
            </w:tcBorders>
            <w:shd w:val="clear" w:color="auto" w:fill="F2F2F2" w:themeFill="background1" w:themeFillShade="F2"/>
            <w:tcMar>
              <w:top w:w="57" w:type="dxa"/>
              <w:bottom w:w="57" w:type="dxa"/>
            </w:tcMar>
            <w:vAlign w:val="center"/>
          </w:tcPr>
          <w:p w:rsidR="00370754" w:rsidRPr="006F4DB3" w:rsidRDefault="00370754" w:rsidP="004D2F36">
            <w:pPr>
              <w:rPr>
                <w:lang w:val="sr-Latn-RS"/>
              </w:rPr>
            </w:pPr>
            <w:r w:rsidRPr="006F4DB3">
              <w:rPr>
                <w:lang w:val="sr-Latn-RS"/>
              </w:rPr>
              <w:t>Očekivani broj projekata koji se planira finansirati / broj ugovora koje se planira zaključiti s NVO</w:t>
            </w:r>
          </w:p>
        </w:tc>
      </w:tr>
      <w:tr w:rsidR="00370754" w:rsidRPr="006F4DB3" w:rsidTr="006D22B2">
        <w:trPr>
          <w:cantSplit/>
        </w:trPr>
        <w:tc>
          <w:tcPr>
            <w:tcW w:w="6884" w:type="dxa"/>
            <w:tcBorders>
              <w:top w:val="single" w:sz="2" w:space="0" w:color="auto"/>
            </w:tcBorders>
            <w:shd w:val="clear" w:color="auto" w:fill="auto"/>
            <w:tcMar>
              <w:top w:w="57" w:type="dxa"/>
              <w:bottom w:w="57" w:type="dxa"/>
            </w:tcMar>
            <w:vAlign w:val="center"/>
          </w:tcPr>
          <w:p w:rsidR="00370754" w:rsidRPr="006F4DB3" w:rsidRDefault="00370754" w:rsidP="004D2F36">
            <w:pPr>
              <w:rPr>
                <w:lang w:val="sr-Latn-RS"/>
              </w:rPr>
            </w:pPr>
            <w:r w:rsidRPr="006F4DB3">
              <w:rPr>
                <w:lang w:val="sr-Latn-RS"/>
              </w:rPr>
              <w:t>Naziv javnog konkursa</w:t>
            </w:r>
            <w:r w:rsidR="00F657FC" w:rsidRPr="006F4DB3">
              <w:rPr>
                <w:lang w:val="sr-Latn-RS"/>
              </w:rPr>
              <w:t xml:space="preserve">: </w:t>
            </w:r>
            <w:r w:rsidR="00267879" w:rsidRPr="00267879">
              <w:rPr>
                <w:i/>
                <w:lang w:val="sr-Latn-ME"/>
              </w:rPr>
              <w:t>„Finansijska pismenost za održivi razvoj“</w:t>
            </w:r>
          </w:p>
        </w:tc>
        <w:tc>
          <w:tcPr>
            <w:tcW w:w="7345" w:type="dxa"/>
            <w:tcBorders>
              <w:top w:val="single" w:sz="2" w:space="0" w:color="auto"/>
            </w:tcBorders>
            <w:shd w:val="clear" w:color="auto" w:fill="auto"/>
            <w:tcMar>
              <w:top w:w="57" w:type="dxa"/>
              <w:bottom w:w="57" w:type="dxa"/>
            </w:tcMar>
            <w:vAlign w:val="center"/>
          </w:tcPr>
          <w:p w:rsidR="004B46C1" w:rsidRDefault="006D1712">
            <w:pPr>
              <w:jc w:val="left"/>
            </w:pPr>
            <w:r>
              <w:t>Planira se finansiranje osam (8) projekata, odnosno zaključivanje osam (8) ugovora sa nevladinim organizacijama.</w:t>
            </w:r>
          </w:p>
        </w:tc>
      </w:tr>
    </w:tbl>
    <w:p w:rsidR="00370754" w:rsidRDefault="00370754" w:rsidP="00370754">
      <w:pPr>
        <w:rPr>
          <w:lang w:val="sr-Latn-RS"/>
        </w:rPr>
      </w:pPr>
    </w:p>
    <w:p w:rsidR="000F6C15" w:rsidRDefault="000F6C15" w:rsidP="00370754">
      <w:pPr>
        <w:rPr>
          <w:lang w:val="sr-Latn-RS"/>
        </w:rPr>
      </w:pPr>
    </w:p>
    <w:p w:rsidR="000F6C15" w:rsidRDefault="000F6C15" w:rsidP="00370754">
      <w:pPr>
        <w:rPr>
          <w:lang w:val="sr-Latn-RS"/>
        </w:rPr>
      </w:pPr>
    </w:p>
    <w:p w:rsidR="00370754" w:rsidRPr="006F4DB3" w:rsidRDefault="007A0248" w:rsidP="00AD29CE">
      <w:pPr>
        <w:pStyle w:val="ListParagraph"/>
        <w:keepNext/>
        <w:spacing w:after="0"/>
        <w:jc w:val="both"/>
        <w:rPr>
          <w:lang w:val="sr-Latn-RS"/>
        </w:rPr>
      </w:pPr>
      <w:r>
        <w:lastRenderedPageBreak/>
        <w:t>4.4. Navesti najviši i najniži iznos finansijske podrške koju će biti moguće ostvariti na osnovu pojedinačnog javnog konkursa navedenog u tački 4.1.</w:t>
      </w:r>
    </w:p>
    <w:tbl>
      <w:tblPr>
        <w:tblStyle w:val="TableGrid"/>
        <w:tblW w:w="14229" w:type="dxa"/>
        <w:tblInd w:w="792" w:type="dxa"/>
        <w:tblLayout w:type="fixed"/>
        <w:tblLook w:val="04A0" w:firstRow="1" w:lastRow="0" w:firstColumn="1" w:lastColumn="0" w:noHBand="0" w:noVBand="1"/>
      </w:tblPr>
      <w:tblGrid>
        <w:gridCol w:w="7115"/>
        <w:gridCol w:w="7114"/>
      </w:tblGrid>
      <w:tr w:rsidR="004B46C1">
        <w:trPr>
          <w:cantSplit/>
          <w:tblHeader/>
        </w:trPr>
        <w:tc>
          <w:tcPr>
            <w:tcW w:w="14229" w:type="dxa"/>
            <w:gridSpan w:val="2"/>
            <w:shd w:val="clear" w:color="auto" w:fill="D9E2F3"/>
            <w:tcMar>
              <w:top w:w="80" w:type="dxa"/>
              <w:left w:w="120" w:type="dxa"/>
              <w:bottom w:w="80" w:type="dxa"/>
              <w:right w:w="120" w:type="dxa"/>
            </w:tcMar>
            <w:vAlign w:val="center"/>
          </w:tcPr>
          <w:p w:rsidR="004B46C1" w:rsidRDefault="006D1712">
            <w:pPr>
              <w:jc w:val="center"/>
            </w:pPr>
            <w:r>
              <w:rPr>
                <w:b/>
              </w:rPr>
              <w:t>Naziv javnog konkursa: „Finansijska pismenost za održivi razvoj“</w:t>
            </w:r>
          </w:p>
        </w:tc>
      </w:tr>
      <w:tr w:rsidR="004B46C1">
        <w:trPr>
          <w:cantSplit/>
        </w:trPr>
        <w:tc>
          <w:tcPr>
            <w:tcW w:w="7115" w:type="dxa"/>
            <w:tcMar>
              <w:top w:w="80" w:type="dxa"/>
              <w:left w:w="120" w:type="dxa"/>
              <w:bottom w:w="80" w:type="dxa"/>
              <w:right w:w="120" w:type="dxa"/>
            </w:tcMar>
            <w:vAlign w:val="center"/>
          </w:tcPr>
          <w:p w:rsidR="004B46C1" w:rsidRDefault="006D1712">
            <w:pPr>
              <w:jc w:val="center"/>
            </w:pPr>
            <w:r>
              <w:rPr>
                <w:b/>
              </w:rPr>
              <w:t>Najniži iznos finansijske podrške: 15.000,00 EUR</w:t>
            </w:r>
          </w:p>
        </w:tc>
        <w:tc>
          <w:tcPr>
            <w:tcW w:w="7114" w:type="dxa"/>
            <w:tcMar>
              <w:top w:w="80" w:type="dxa"/>
              <w:left w:w="120" w:type="dxa"/>
              <w:bottom w:w="80" w:type="dxa"/>
              <w:right w:w="120" w:type="dxa"/>
            </w:tcMar>
            <w:vAlign w:val="center"/>
          </w:tcPr>
          <w:p w:rsidR="004B46C1" w:rsidRDefault="006D1712">
            <w:pPr>
              <w:jc w:val="center"/>
            </w:pPr>
            <w:r>
              <w:rPr>
                <w:b/>
              </w:rPr>
              <w:t>Najviši iznos finansijske podrške: 25.000,00 EUR</w:t>
            </w:r>
          </w:p>
        </w:tc>
      </w:tr>
    </w:tbl>
    <w:p w:rsidR="00370754" w:rsidRPr="006F4DB3" w:rsidRDefault="00370754" w:rsidP="00370754">
      <w:pPr>
        <w:rPr>
          <w:lang w:val="sr-Latn-RS"/>
        </w:rPr>
      </w:pPr>
    </w:p>
    <w:p w:rsidR="003D1FB1" w:rsidRDefault="00370754" w:rsidP="00AD29CE">
      <w:pPr>
        <w:rPr>
          <w:b/>
          <w:i/>
          <w:lang w:val="sr-Latn-RS"/>
        </w:rPr>
      </w:pPr>
      <w:r w:rsidRPr="006F4DB3">
        <w:rPr>
          <w:b/>
          <w:lang w:val="sr-Latn-RS"/>
        </w:rPr>
        <w:t>NAPOMENA:</w:t>
      </w:r>
      <w:r w:rsidRPr="006F4DB3">
        <w:rPr>
          <w:lang w:val="sr-Latn-RS"/>
        </w:rPr>
        <w:t xml:space="preserve"> stavom 4 člana 32ž Zakona o NVO, definisano je: </w:t>
      </w:r>
      <w:r w:rsidRPr="006F4DB3">
        <w:rPr>
          <w:b/>
          <w:i/>
          <w:lang w:val="sr-Latn-RS"/>
        </w:rPr>
        <w:t xml:space="preserve">“Ukupan iznos sredstava koja se na osnovu javnog konkursa mogu dodijeliti nevladinoj organizaciji za finansiranje projekta, odnosno programa, ne može preći 20% od ukupno opredijeljenih sredstava koja se raspodjeljuju na osnovu tog konkursa.” </w:t>
      </w:r>
    </w:p>
    <w:p w:rsidR="000F6C15" w:rsidRDefault="000F6C15" w:rsidP="00AD29CE">
      <w:pPr>
        <w:rPr>
          <w:b/>
          <w:i/>
          <w:lang w:val="sr-Latn-RS"/>
        </w:rPr>
      </w:pPr>
    </w:p>
    <w:p w:rsidR="000F6C15" w:rsidRDefault="000F6C15" w:rsidP="00AD29CE">
      <w:pPr>
        <w:rPr>
          <w:b/>
          <w:i/>
          <w:lang w:val="sr-Latn-RS"/>
        </w:rPr>
      </w:pPr>
    </w:p>
    <w:p w:rsidR="000F6C15" w:rsidRDefault="000F6C15" w:rsidP="00AD29CE">
      <w:pPr>
        <w:rPr>
          <w:b/>
          <w:i/>
          <w:lang w:val="sr-Latn-RS"/>
        </w:rPr>
      </w:pPr>
    </w:p>
    <w:p w:rsidR="000F6C15" w:rsidRDefault="000F6C15" w:rsidP="00AD29CE">
      <w:pPr>
        <w:rPr>
          <w:b/>
          <w:i/>
          <w:lang w:val="sr-Latn-RS"/>
        </w:rPr>
      </w:pPr>
    </w:p>
    <w:p w:rsidR="000F6C15" w:rsidRPr="006F4DB3" w:rsidRDefault="000F6C15" w:rsidP="00AD29CE">
      <w:pPr>
        <w:rPr>
          <w:b/>
          <w:i/>
          <w:lang w:val="sr-Latn-RS"/>
        </w:rPr>
      </w:pPr>
    </w:p>
    <w:p w:rsidR="004B76A4" w:rsidRDefault="004B76A4" w:rsidP="00AD29CE">
      <w:pPr>
        <w:rPr>
          <w:b/>
          <w:i/>
          <w:lang w:val="sr-Latn-RS"/>
        </w:rPr>
      </w:pPr>
    </w:p>
    <w:p w:rsidR="00370754" w:rsidRPr="006F4DB3" w:rsidRDefault="00370754" w:rsidP="00533DF4">
      <w:pPr>
        <w:pStyle w:val="ListParagraph"/>
        <w:keepNext/>
        <w:numPr>
          <w:ilvl w:val="0"/>
          <w:numId w:val="5"/>
        </w:numPr>
        <w:rPr>
          <w:b/>
          <w:u w:val="single"/>
          <w:lang w:val="sr-Latn-RS"/>
        </w:rPr>
      </w:pPr>
      <w:r>
        <w:rPr>
          <w:b/>
          <w:u w:val="single"/>
        </w:rPr>
        <w:lastRenderedPageBreak/>
        <w:t>KONSULTACIJE SA ZAINTERESOVANIM NEVLADINIM ORGANIZACIJAMA</w:t>
      </w:r>
    </w:p>
    <w:p w:rsidR="00370754" w:rsidRPr="006F4DB3" w:rsidRDefault="007A0248" w:rsidP="00AD29CE">
      <w:pPr>
        <w:pStyle w:val="ListParagraph"/>
        <w:keepNext/>
        <w:spacing w:after="0"/>
        <w:jc w:val="both"/>
        <w:rPr>
          <w:lang w:val="sr-Latn-RS"/>
        </w:rPr>
      </w:pPr>
      <w:r w:rsidRPr="006F4DB3">
        <w:rPr>
          <w:lang w:val="sr-Latn-RS"/>
        </w:rPr>
        <w:t xml:space="preserve">5.1. </w:t>
      </w:r>
      <w:r w:rsidR="00370754" w:rsidRPr="006F4DB3">
        <w:rPr>
          <w:lang w:val="sr-Latn-RS"/>
        </w:rPr>
        <w:t>Navesti na koji način je u skladu sa važećim propisima obavljen proces konsultovanja NVO u procesu pripreme sektorske analize.</w:t>
      </w:r>
    </w:p>
    <w:tbl>
      <w:tblPr>
        <w:tblStyle w:val="TableGrid"/>
        <w:tblW w:w="14229" w:type="dxa"/>
        <w:tblInd w:w="792" w:type="dxa"/>
        <w:tblLayout w:type="fixed"/>
        <w:tblLook w:val="04A0" w:firstRow="1" w:lastRow="0" w:firstColumn="1" w:lastColumn="0" w:noHBand="0" w:noVBand="1"/>
      </w:tblPr>
      <w:tblGrid>
        <w:gridCol w:w="5976"/>
        <w:gridCol w:w="2846"/>
        <w:gridCol w:w="5407"/>
      </w:tblGrid>
      <w:tr w:rsidR="00370754" w:rsidRPr="006F4DB3" w:rsidTr="006D22B2">
        <w:trPr>
          <w:cantSplit/>
          <w:tblHeader/>
        </w:trPr>
        <w:tc>
          <w:tcPr>
            <w:tcW w:w="5976" w:type="dxa"/>
            <w:tcBorders>
              <w:top w:val="single" w:sz="18"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t>Metoda konsultacija (npr. web, email, konsultativni sastanak, itd.)</w:t>
            </w:r>
          </w:p>
        </w:tc>
        <w:tc>
          <w:tcPr>
            <w:tcW w:w="2846" w:type="dxa"/>
            <w:tcBorders>
              <w:top w:val="single" w:sz="18" w:space="0" w:color="auto"/>
              <w:right w:val="single" w:sz="2"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t>Datumi sprovedenih konsultacija</w:t>
            </w:r>
          </w:p>
        </w:tc>
        <w:tc>
          <w:tcPr>
            <w:tcW w:w="5407" w:type="dxa"/>
            <w:tcBorders>
              <w:top w:val="single" w:sz="18" w:space="0" w:color="auto"/>
              <w:left w:val="single" w:sz="2"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t>Naziv  NVO koje su učestvovale u konsultacijama</w:t>
            </w:r>
          </w:p>
        </w:tc>
      </w:tr>
      <w:tr w:rsidR="00370754" w:rsidRPr="006F4DB3" w:rsidTr="006D22B2">
        <w:trPr>
          <w:cantSplit/>
        </w:trPr>
        <w:tc>
          <w:tcPr>
            <w:tcW w:w="5976" w:type="dxa"/>
            <w:tcMar>
              <w:top w:w="80" w:type="dxa"/>
              <w:left w:w="120" w:type="dxa"/>
              <w:bottom w:w="80" w:type="dxa"/>
              <w:right w:w="120" w:type="dxa"/>
            </w:tcMar>
            <w:vAlign w:val="center"/>
          </w:tcPr>
          <w:p w:rsidR="004B46C1" w:rsidRDefault="006D1712">
            <w:pPr>
              <w:jc w:val="left"/>
            </w:pPr>
            <w:r>
              <w:t>Planirano objavljivanje javnog poziva na internet stranici Ministarstva i omogućavanje dostavljanja komentara elektronskim putem i na adresu Ministarstva.</w:t>
            </w:r>
          </w:p>
        </w:tc>
        <w:tc>
          <w:tcPr>
            <w:tcW w:w="2846" w:type="dxa"/>
            <w:tcBorders>
              <w:right w:val="single" w:sz="2" w:space="0" w:color="auto"/>
            </w:tcBorders>
            <w:tcMar>
              <w:top w:w="80" w:type="dxa"/>
              <w:left w:w="120" w:type="dxa"/>
              <w:bottom w:w="80" w:type="dxa"/>
              <w:right w:w="120" w:type="dxa"/>
            </w:tcMar>
            <w:vAlign w:val="center"/>
          </w:tcPr>
          <w:p w:rsidR="00D84503" w:rsidRDefault="00AE7B59">
            <w:pPr>
              <w:jc w:val="center"/>
            </w:pPr>
            <w:r>
              <w:rPr>
                <w:b/>
              </w:rPr>
              <w:t>9</w:t>
            </w:r>
            <w:r w:rsidR="00A5491B">
              <w:rPr>
                <w:b/>
              </w:rPr>
              <w:t xml:space="preserve">. </w:t>
            </w:r>
            <w:r>
              <w:rPr>
                <w:b/>
              </w:rPr>
              <w:t>septembar</w:t>
            </w:r>
            <w:r w:rsidR="00A5491B">
              <w:rPr>
                <w:b/>
              </w:rPr>
              <w:t xml:space="preserve"> do </w:t>
            </w:r>
            <w:r>
              <w:rPr>
                <w:b/>
              </w:rPr>
              <w:t>24</w:t>
            </w:r>
            <w:r w:rsidR="00A5491B">
              <w:rPr>
                <w:b/>
              </w:rPr>
              <w:t xml:space="preserve">. </w:t>
            </w:r>
            <w:r>
              <w:rPr>
                <w:b/>
              </w:rPr>
              <w:t>septembar</w:t>
            </w:r>
            <w:r w:rsidR="00A5491B">
              <w:rPr>
                <w:b/>
              </w:rPr>
              <w:t xml:space="preserve"> 2026. godine</w:t>
            </w:r>
          </w:p>
        </w:tc>
        <w:tc>
          <w:tcPr>
            <w:tcW w:w="5407" w:type="dxa"/>
            <w:tcBorders>
              <w:left w:val="single" w:sz="2" w:space="0" w:color="auto"/>
            </w:tcBorders>
            <w:tcMar>
              <w:top w:w="80" w:type="dxa"/>
              <w:left w:w="120" w:type="dxa"/>
              <w:bottom w:w="80" w:type="dxa"/>
              <w:right w:w="120" w:type="dxa"/>
            </w:tcMar>
            <w:vAlign w:val="center"/>
          </w:tcPr>
          <w:p w:rsidR="004B46C1" w:rsidRDefault="004B46C1">
            <w:pPr>
              <w:jc w:val="left"/>
            </w:pPr>
          </w:p>
        </w:tc>
      </w:tr>
    </w:tbl>
    <w:p w:rsidR="000F6C15" w:rsidRDefault="000F6C15" w:rsidP="00370754">
      <w:pPr>
        <w:rPr>
          <w:lang w:val="sr-Latn-RS"/>
        </w:rPr>
      </w:pPr>
    </w:p>
    <w:p w:rsidR="000F6C15" w:rsidRDefault="000F6C15" w:rsidP="00370754">
      <w:pPr>
        <w:rPr>
          <w:lang w:val="sr-Latn-RS"/>
        </w:rPr>
      </w:pPr>
    </w:p>
    <w:p w:rsidR="000F6C15" w:rsidRDefault="000F6C15" w:rsidP="00370754">
      <w:pPr>
        <w:rPr>
          <w:lang w:val="sr-Latn-RS"/>
        </w:rPr>
      </w:pPr>
    </w:p>
    <w:p w:rsidR="000F6C15" w:rsidRDefault="000F6C15" w:rsidP="00370754">
      <w:pPr>
        <w:rPr>
          <w:lang w:val="sr-Latn-RS"/>
        </w:rPr>
      </w:pPr>
    </w:p>
    <w:p w:rsidR="000F6C15" w:rsidRDefault="000F6C15" w:rsidP="00370754">
      <w:pPr>
        <w:rPr>
          <w:lang w:val="sr-Latn-RS"/>
        </w:rPr>
      </w:pPr>
    </w:p>
    <w:p w:rsidR="00370754" w:rsidRPr="006F4DB3" w:rsidRDefault="00370754" w:rsidP="00533DF4">
      <w:pPr>
        <w:pStyle w:val="ListParagraph"/>
        <w:keepNext/>
        <w:numPr>
          <w:ilvl w:val="0"/>
          <w:numId w:val="5"/>
        </w:numPr>
        <w:rPr>
          <w:b/>
          <w:u w:val="single"/>
          <w:lang w:val="sr-Latn-RS"/>
        </w:rPr>
      </w:pPr>
      <w:r>
        <w:rPr>
          <w:b/>
          <w:u w:val="single"/>
        </w:rPr>
        <w:t>KAPACITETI ZA SPROVOĐENJE JAVNOG KONKURSA</w:t>
      </w:r>
    </w:p>
    <w:p w:rsidR="00370754" w:rsidRPr="006F4DB3" w:rsidRDefault="004B794D" w:rsidP="00370754">
      <w:pPr>
        <w:pStyle w:val="ListParagraph"/>
        <w:keepNext/>
        <w:spacing w:after="0"/>
        <w:rPr>
          <w:lang w:val="sr-Latn-RS"/>
        </w:rPr>
      </w:pPr>
      <w:r w:rsidRPr="006F4DB3">
        <w:rPr>
          <w:lang w:val="sr-Latn-RS"/>
        </w:rPr>
        <w:t xml:space="preserve">6.1. Navesti broj službenika/ica i spoljnih saradnika koji će biti zaduženi za sprovođenje javnog konkursa i praćenje realizacije finansiranih projekata i programa nevladinih organizacija (uključujući najmanje jednu terensku posjetu, prilikom koje će se provjeravati </w:t>
      </w:r>
      <w:r w:rsidRPr="006F4DB3">
        <w:rPr>
          <w:lang w:val="sr-Latn-RS"/>
        </w:rPr>
        <w:lastRenderedPageBreak/>
        <w:t xml:space="preserve">izvršavanje ugovornih obaveza, namjensko trošenje sredstava, te postizanje rezultata planiranih javnim konkursom i odobrenim projektom/programom). </w:t>
      </w:r>
    </w:p>
    <w:tbl>
      <w:tblPr>
        <w:tblStyle w:val="TableGrid"/>
        <w:tblW w:w="14229" w:type="dxa"/>
        <w:jc w:val="center"/>
        <w:tblLayout w:type="fixed"/>
        <w:tblLook w:val="04A0" w:firstRow="1" w:lastRow="0" w:firstColumn="1" w:lastColumn="0" w:noHBand="0" w:noVBand="1"/>
      </w:tblPr>
      <w:tblGrid>
        <w:gridCol w:w="3842"/>
        <w:gridCol w:w="4695"/>
        <w:gridCol w:w="5692"/>
      </w:tblGrid>
      <w:tr w:rsidR="00370754" w:rsidRPr="006F4DB3" w:rsidTr="006D22B2">
        <w:trPr>
          <w:cantSplit/>
          <w:tblHeader/>
          <w:jc w:val="center"/>
        </w:trPr>
        <w:tc>
          <w:tcPr>
            <w:tcW w:w="3842" w:type="dxa"/>
            <w:tcBorders>
              <w:top w:val="single" w:sz="18"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4D2F36">
            <w:pPr>
              <w:jc w:val="center"/>
              <w:rPr>
                <w:lang w:val="sr-Latn-RS"/>
              </w:rPr>
            </w:pPr>
            <w:r w:rsidRPr="006F4DB3">
              <w:rPr>
                <w:b/>
                <w:lang w:val="sr-Latn-RS"/>
              </w:rPr>
              <w:t>Naziv javnog konkursa</w:t>
            </w:r>
          </w:p>
        </w:tc>
        <w:tc>
          <w:tcPr>
            <w:tcW w:w="4695" w:type="dxa"/>
            <w:tcBorders>
              <w:top w:val="single" w:sz="18" w:space="0" w:color="auto"/>
              <w:right w:val="single" w:sz="2"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370754" w:rsidP="005A2821">
            <w:pPr>
              <w:jc w:val="center"/>
              <w:rPr>
                <w:lang w:val="sr-Latn-RS"/>
              </w:rPr>
            </w:pPr>
            <w:r w:rsidRPr="006F4DB3">
              <w:rPr>
                <w:b/>
                <w:lang w:val="sr-Latn-RS"/>
              </w:rPr>
              <w:t>Broj službenika/ica zaduženih</w:t>
            </w:r>
            <w:r w:rsidR="005A2821" w:rsidRPr="006F4DB3">
              <w:rPr>
                <w:b/>
                <w:lang w:val="sr-Latn-RS"/>
              </w:rPr>
              <w:t xml:space="preserve"> za sprovođenje javnog konkursa </w:t>
            </w:r>
            <w:r w:rsidRPr="006F4DB3">
              <w:rPr>
                <w:b/>
                <w:lang w:val="sr-Latn-RS"/>
              </w:rPr>
              <w:t>i praćenje finansiranih projekata i programa nevladinih organizacija</w:t>
            </w:r>
          </w:p>
        </w:tc>
        <w:tc>
          <w:tcPr>
            <w:tcW w:w="5692" w:type="dxa"/>
            <w:tcBorders>
              <w:top w:val="single" w:sz="18" w:space="0" w:color="auto"/>
              <w:left w:val="single" w:sz="2" w:space="0" w:color="auto"/>
            </w:tcBorders>
            <w:shd w:val="clear" w:color="auto" w:fill="F2F2F2" w:themeFill="background1" w:themeFillShade="F2"/>
            <w:tcMar>
              <w:top w:w="80" w:type="dxa"/>
              <w:left w:w="120" w:type="dxa"/>
              <w:bottom w:w="80" w:type="dxa"/>
              <w:right w:w="120" w:type="dxa"/>
            </w:tcMar>
            <w:vAlign w:val="center"/>
          </w:tcPr>
          <w:p w:rsidR="00370754" w:rsidRPr="006F4DB3" w:rsidRDefault="005A2821" w:rsidP="005A2821">
            <w:pPr>
              <w:jc w:val="center"/>
              <w:rPr>
                <w:lang w:val="sr-Latn-RS"/>
              </w:rPr>
            </w:pPr>
            <w:r w:rsidRPr="006F4DB3">
              <w:rPr>
                <w:b/>
                <w:lang w:val="sr-Latn-RS"/>
              </w:rPr>
              <w:t xml:space="preserve">Imena </w:t>
            </w:r>
            <w:r w:rsidR="00370754" w:rsidRPr="006F4DB3">
              <w:rPr>
                <w:b/>
                <w:lang w:val="sr-Latn-RS"/>
              </w:rPr>
              <w:t>službenika/ica zaduženih za sprovođenje javnog konkursa i praćenje finansiranih projekata i programa nevladinih organizacija</w:t>
            </w:r>
          </w:p>
        </w:tc>
      </w:tr>
      <w:tr w:rsidR="00370754" w:rsidRPr="006F4DB3" w:rsidTr="006D22B2">
        <w:trPr>
          <w:cantSplit/>
          <w:jc w:val="center"/>
        </w:trPr>
        <w:tc>
          <w:tcPr>
            <w:tcW w:w="3842" w:type="dxa"/>
            <w:tcMar>
              <w:top w:w="80" w:type="dxa"/>
              <w:left w:w="120" w:type="dxa"/>
              <w:bottom w:w="80" w:type="dxa"/>
              <w:right w:w="120" w:type="dxa"/>
            </w:tcMar>
            <w:vAlign w:val="center"/>
          </w:tcPr>
          <w:p w:rsidR="004B46C1" w:rsidRDefault="006D1712">
            <w:pPr>
              <w:jc w:val="center"/>
            </w:pPr>
            <w:r>
              <w:t>„Finansijska pismenost za održivi razvoj“</w:t>
            </w:r>
          </w:p>
        </w:tc>
        <w:tc>
          <w:tcPr>
            <w:tcW w:w="4695" w:type="dxa"/>
            <w:tcBorders>
              <w:right w:val="single" w:sz="2" w:space="0" w:color="auto"/>
            </w:tcBorders>
            <w:tcMar>
              <w:top w:w="80" w:type="dxa"/>
              <w:left w:w="120" w:type="dxa"/>
              <w:bottom w:w="80" w:type="dxa"/>
              <w:right w:w="120" w:type="dxa"/>
            </w:tcMar>
            <w:vAlign w:val="center"/>
          </w:tcPr>
          <w:p w:rsidR="004B46C1" w:rsidRDefault="00AE7B59">
            <w:pPr>
              <w:jc w:val="center"/>
            </w:pPr>
            <w:r>
              <w:rPr>
                <w:b/>
              </w:rPr>
              <w:t>1</w:t>
            </w:r>
          </w:p>
        </w:tc>
        <w:tc>
          <w:tcPr>
            <w:tcW w:w="5692" w:type="dxa"/>
            <w:tcBorders>
              <w:left w:val="single" w:sz="2" w:space="0" w:color="auto"/>
            </w:tcBorders>
            <w:tcMar>
              <w:top w:w="80" w:type="dxa"/>
              <w:left w:w="120" w:type="dxa"/>
              <w:bottom w:w="80" w:type="dxa"/>
              <w:right w:w="120" w:type="dxa"/>
            </w:tcMar>
            <w:vAlign w:val="center"/>
          </w:tcPr>
          <w:p w:rsidR="004B46C1" w:rsidRDefault="006D1712">
            <w:pPr>
              <w:jc w:val="center"/>
            </w:pPr>
            <w:r>
              <w:br/>
              <w:t>Peđa Davidović</w:t>
            </w:r>
          </w:p>
        </w:tc>
      </w:tr>
    </w:tbl>
    <w:p w:rsidR="00AE7B59" w:rsidRPr="00AE7B59" w:rsidRDefault="00370754" w:rsidP="00AE7B59">
      <w:pPr>
        <w:pageBreakBefore/>
        <w:jc w:val="center"/>
        <w:rPr>
          <w:b/>
        </w:rPr>
      </w:pPr>
      <w:r w:rsidRPr="006F4DB3">
        <w:rPr>
          <w:b/>
          <w:lang w:val="sr-Latn-RS"/>
        </w:rPr>
        <w:lastRenderedPageBreak/>
        <w:t>Ovjera m</w:t>
      </w:r>
      <w:r w:rsidR="00AE7B59">
        <w:rPr>
          <w:b/>
          <w:lang w:val="sr-Latn-RS"/>
        </w:rPr>
        <w:t>inistra</w:t>
      </w:r>
      <w:r w:rsidR="00AE7B59">
        <w:rPr>
          <w:b/>
        </w:rPr>
        <w:t>:</w:t>
      </w:r>
    </w:p>
    <w:tbl>
      <w:tblPr>
        <w:tblStyle w:val="TableGrid"/>
        <w:tblW w:w="0" w:type="auto"/>
        <w:tblInd w:w="818" w:type="dxa"/>
        <w:tblBorders>
          <w:insideV w:val="none" w:sz="0" w:space="0" w:color="auto"/>
        </w:tblBorders>
        <w:tblLook w:val="04A0" w:firstRow="1" w:lastRow="0" w:firstColumn="1" w:lastColumn="0" w:noHBand="0" w:noVBand="1"/>
      </w:tblPr>
      <w:tblGrid>
        <w:gridCol w:w="284"/>
        <w:gridCol w:w="4260"/>
        <w:gridCol w:w="4544"/>
        <w:gridCol w:w="4396"/>
        <w:gridCol w:w="236"/>
      </w:tblGrid>
      <w:tr w:rsidR="00AE7B59" w:rsidRPr="006F4DB3" w:rsidTr="00DB5960">
        <w:tc>
          <w:tcPr>
            <w:tcW w:w="284" w:type="dxa"/>
            <w:tcBorders>
              <w:top w:val="single" w:sz="18" w:space="0" w:color="auto"/>
              <w:left w:val="single" w:sz="18" w:space="0" w:color="auto"/>
              <w:bottom w:val="nil"/>
            </w:tcBorders>
          </w:tcPr>
          <w:p w:rsidR="00AE7B59" w:rsidRPr="006F4DB3" w:rsidRDefault="00AE7B59" w:rsidP="00DB5960">
            <w:pPr>
              <w:rPr>
                <w:lang w:val="sr-Latn-RS"/>
              </w:rPr>
            </w:pPr>
          </w:p>
        </w:tc>
        <w:tc>
          <w:tcPr>
            <w:tcW w:w="4260" w:type="dxa"/>
            <w:tcBorders>
              <w:top w:val="single" w:sz="18" w:space="0" w:color="auto"/>
            </w:tcBorders>
          </w:tcPr>
          <w:p w:rsidR="00AE7B59" w:rsidRPr="006F4DB3" w:rsidRDefault="00AE7B59" w:rsidP="00DB5960">
            <w:pPr>
              <w:spacing w:after="0"/>
              <w:rPr>
                <w:lang w:val="sr-Latn-RS"/>
              </w:rPr>
            </w:pPr>
          </w:p>
          <w:p w:rsidR="00AE7B59" w:rsidRPr="006F4DB3" w:rsidRDefault="00AE7B59" w:rsidP="00DB5960">
            <w:pPr>
              <w:spacing w:after="0"/>
              <w:jc w:val="center"/>
              <w:rPr>
                <w:lang w:val="sr-Latn-RS"/>
              </w:rPr>
            </w:pPr>
            <w:r w:rsidRPr="006F4DB3">
              <w:rPr>
                <w:lang w:val="sr-Latn-RS"/>
              </w:rPr>
              <w:t>Ernad Suljević</w:t>
            </w:r>
          </w:p>
        </w:tc>
        <w:tc>
          <w:tcPr>
            <w:tcW w:w="4544" w:type="dxa"/>
            <w:tcBorders>
              <w:top w:val="single" w:sz="18" w:space="0" w:color="auto"/>
              <w:bottom w:val="nil"/>
            </w:tcBorders>
          </w:tcPr>
          <w:p w:rsidR="00AE7B59" w:rsidRPr="006F4DB3" w:rsidRDefault="00AE7B59" w:rsidP="00DB5960">
            <w:pPr>
              <w:rPr>
                <w:lang w:val="sr-Latn-RS"/>
              </w:rPr>
            </w:pPr>
          </w:p>
          <w:p w:rsidR="00AE7B59" w:rsidRPr="006F4DB3" w:rsidRDefault="00AE7B59" w:rsidP="00DB5960">
            <w:pPr>
              <w:rPr>
                <w:lang w:val="sr-Latn-RS"/>
              </w:rPr>
            </w:pPr>
          </w:p>
        </w:tc>
        <w:tc>
          <w:tcPr>
            <w:tcW w:w="4396" w:type="dxa"/>
            <w:tcBorders>
              <w:top w:val="single" w:sz="18" w:space="0" w:color="auto"/>
            </w:tcBorders>
          </w:tcPr>
          <w:p w:rsidR="00AE7B59" w:rsidRPr="006F4DB3" w:rsidRDefault="00AE7B59" w:rsidP="00DB5960">
            <w:pPr>
              <w:rPr>
                <w:lang w:val="sr-Latn-RS"/>
              </w:rPr>
            </w:pPr>
          </w:p>
        </w:tc>
        <w:tc>
          <w:tcPr>
            <w:tcW w:w="236" w:type="dxa"/>
            <w:tcBorders>
              <w:top w:val="single" w:sz="18" w:space="0" w:color="auto"/>
              <w:bottom w:val="nil"/>
              <w:right w:val="single" w:sz="18" w:space="0" w:color="auto"/>
            </w:tcBorders>
          </w:tcPr>
          <w:p w:rsidR="00AE7B59" w:rsidRPr="006F4DB3" w:rsidRDefault="00AE7B59" w:rsidP="00DB5960">
            <w:pPr>
              <w:rPr>
                <w:lang w:val="sr-Latn-RS"/>
              </w:rPr>
            </w:pPr>
          </w:p>
        </w:tc>
      </w:tr>
      <w:tr w:rsidR="00AE7B59" w:rsidRPr="006F4DB3" w:rsidTr="00DB5960">
        <w:tc>
          <w:tcPr>
            <w:tcW w:w="284" w:type="dxa"/>
            <w:tcBorders>
              <w:top w:val="nil"/>
              <w:left w:val="single" w:sz="18" w:space="0" w:color="auto"/>
              <w:bottom w:val="single" w:sz="18" w:space="0" w:color="auto"/>
            </w:tcBorders>
          </w:tcPr>
          <w:p w:rsidR="00AE7B59" w:rsidRPr="006F4DB3" w:rsidRDefault="00AE7B59" w:rsidP="00DB5960">
            <w:pPr>
              <w:rPr>
                <w:lang w:val="sr-Latn-RS"/>
              </w:rPr>
            </w:pPr>
          </w:p>
        </w:tc>
        <w:tc>
          <w:tcPr>
            <w:tcW w:w="4260" w:type="dxa"/>
            <w:tcBorders>
              <w:bottom w:val="single" w:sz="18" w:space="0" w:color="auto"/>
            </w:tcBorders>
          </w:tcPr>
          <w:p w:rsidR="00AE7B59" w:rsidRPr="006F4DB3" w:rsidRDefault="00AE7B59" w:rsidP="00DB5960">
            <w:pPr>
              <w:rPr>
                <w:lang w:val="sr-Latn-RS"/>
              </w:rPr>
            </w:pPr>
            <w:r w:rsidRPr="006F4DB3">
              <w:rPr>
                <w:lang w:val="sr-Latn-RS"/>
              </w:rPr>
              <w:t xml:space="preserve">                    Ime i prezime</w:t>
            </w:r>
          </w:p>
        </w:tc>
        <w:tc>
          <w:tcPr>
            <w:tcW w:w="4544" w:type="dxa"/>
            <w:tcBorders>
              <w:top w:val="nil"/>
              <w:bottom w:val="single" w:sz="18" w:space="0" w:color="auto"/>
            </w:tcBorders>
          </w:tcPr>
          <w:p w:rsidR="00AE7B59" w:rsidRPr="006F4DB3" w:rsidRDefault="00AE7B59" w:rsidP="00DB5960">
            <w:pPr>
              <w:rPr>
                <w:lang w:val="sr-Latn-RS"/>
              </w:rPr>
            </w:pPr>
            <w:r w:rsidRPr="006F4DB3">
              <w:rPr>
                <w:lang w:val="sr-Latn-RS"/>
              </w:rPr>
              <w:t xml:space="preserve">                          M.P.</w:t>
            </w:r>
          </w:p>
          <w:p w:rsidR="00AE7B59" w:rsidRPr="006F4DB3" w:rsidRDefault="00AE7B59" w:rsidP="00DB5960">
            <w:pPr>
              <w:rPr>
                <w:lang w:val="sr-Latn-RS"/>
              </w:rPr>
            </w:pPr>
          </w:p>
        </w:tc>
        <w:tc>
          <w:tcPr>
            <w:tcW w:w="4396" w:type="dxa"/>
            <w:tcBorders>
              <w:bottom w:val="single" w:sz="18" w:space="0" w:color="auto"/>
            </w:tcBorders>
          </w:tcPr>
          <w:p w:rsidR="00AE7B59" w:rsidRPr="006F4DB3" w:rsidRDefault="00AE7B59" w:rsidP="00DB5960">
            <w:pPr>
              <w:rPr>
                <w:lang w:val="sr-Latn-RS"/>
              </w:rPr>
            </w:pPr>
            <w:r w:rsidRPr="006F4DB3">
              <w:rPr>
                <w:lang w:val="sr-Latn-RS"/>
              </w:rPr>
              <w:t xml:space="preserve">                         Potpis</w:t>
            </w:r>
          </w:p>
        </w:tc>
        <w:tc>
          <w:tcPr>
            <w:tcW w:w="236" w:type="dxa"/>
            <w:tcBorders>
              <w:top w:val="nil"/>
              <w:bottom w:val="single" w:sz="18" w:space="0" w:color="auto"/>
              <w:right w:val="single" w:sz="18" w:space="0" w:color="auto"/>
            </w:tcBorders>
          </w:tcPr>
          <w:p w:rsidR="00AE7B59" w:rsidRPr="006F4DB3" w:rsidRDefault="00AE7B59" w:rsidP="00DB5960">
            <w:pPr>
              <w:rPr>
                <w:lang w:val="sr-Latn-RS"/>
              </w:rPr>
            </w:pPr>
          </w:p>
        </w:tc>
      </w:tr>
    </w:tbl>
    <w:p w:rsidR="00AE7B59" w:rsidRDefault="00AE7B59" w:rsidP="00AE7B59">
      <w:pPr>
        <w:pageBreakBefore/>
        <w:rPr>
          <w:b/>
          <w:lang w:val="sr-Latn-RS"/>
        </w:rPr>
      </w:pPr>
    </w:p>
    <w:p w:rsidR="00AE7B59" w:rsidRPr="006F4DB3" w:rsidRDefault="00AE7B59" w:rsidP="00AE7B59">
      <w:pPr>
        <w:pageBreakBefore/>
        <w:rPr>
          <w:b/>
          <w:lang w:val="sr-Latn-RS"/>
        </w:rPr>
      </w:pPr>
    </w:p>
    <w:p w:rsidR="00C20E0A" w:rsidRPr="006F4DB3" w:rsidRDefault="00C20E0A" w:rsidP="00375D08">
      <w:pPr>
        <w:tabs>
          <w:tab w:val="left" w:pos="1620"/>
        </w:tabs>
        <w:spacing w:before="0" w:after="0" w:line="240" w:lineRule="auto"/>
        <w:rPr>
          <w:sz w:val="20"/>
          <w:lang w:val="sr-Latn-RS"/>
        </w:rPr>
      </w:pPr>
    </w:p>
    <w:sectPr w:rsidR="00C20E0A" w:rsidRPr="006F4DB3" w:rsidSect="007A3DD1">
      <w:headerReference w:type="default" r:id="rId15"/>
      <w:footerReference w:type="even" r:id="rId16"/>
      <w:footerReference w:type="default" r:id="rId17"/>
      <w:headerReference w:type="first" r:id="rId18"/>
      <w:footerReference w:type="first" r:id="rId19"/>
      <w:pgSz w:w="16838" w:h="11906" w:orient="landscape" w:code="9"/>
      <w:pgMar w:top="1418" w:right="1276" w:bottom="1418" w:left="567" w:header="1134" w:footer="3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0F7C" w:rsidRDefault="00FD0F7C" w:rsidP="00A6505B">
      <w:pPr>
        <w:spacing w:before="0" w:after="0" w:line="240" w:lineRule="auto"/>
      </w:pPr>
      <w:r>
        <w:separator/>
      </w:r>
    </w:p>
  </w:endnote>
  <w:endnote w:type="continuationSeparator" w:id="0">
    <w:p w:rsidR="00FD0F7C" w:rsidRDefault="00FD0F7C" w:rsidP="00A6505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4D38" w:rsidRDefault="00134D3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4D38" w:rsidRDefault="00134D38">
    <w:pPr>
      <w:pStyle w:val="Footer"/>
      <w:jc w:val="right"/>
    </w:pP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0225340"/>
      <w:docPartObj>
        <w:docPartGallery w:val="Page Numbers (Bottom of Page)"/>
        <w:docPartUnique/>
      </w:docPartObj>
    </w:sdtPr>
    <w:sdtEndPr>
      <w:rPr>
        <w:noProof/>
      </w:rPr>
    </w:sdtEndPr>
    <w:sdtContent>
      <w:p w:rsidR="00134D38" w:rsidRDefault="00134D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34D38" w:rsidRDefault="00134D3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0F7C" w:rsidRDefault="00FD0F7C" w:rsidP="00A6505B">
      <w:pPr>
        <w:spacing w:before="0" w:after="0" w:line="240" w:lineRule="auto"/>
      </w:pPr>
      <w:r>
        <w:separator/>
      </w:r>
    </w:p>
  </w:footnote>
  <w:footnote w:type="continuationSeparator" w:id="0">
    <w:p w:rsidR="00FD0F7C" w:rsidRDefault="00FD0F7C" w:rsidP="00A6505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F36" w:rsidRDefault="004D2F36" w:rsidP="00A6505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F36" w:rsidRPr="00464FCC" w:rsidRDefault="004D2F36" w:rsidP="00451F6C">
    <w:pPr>
      <w:pStyle w:val="Title"/>
      <w:rPr>
        <w:rFonts w:ascii="Arial" w:eastAsiaTheme="majorEastAsia" w:hAnsi="Arial" w:cs="Arial"/>
      </w:rPr>
    </w:pPr>
    <w:r w:rsidRPr="00464FCC">
      <w:rPr>
        <w:rFonts w:ascii="Arial" w:hAnsi="Arial" w:cs="Arial"/>
        <w:lang w:val="sr-Latn-ME" w:eastAsia="sr-Latn-ME"/>
      </w:rPr>
      <mc:AlternateContent>
        <mc:Choice Requires="wps">
          <w:drawing>
            <wp:anchor distT="0" distB="0" distL="114300" distR="114300" simplePos="0" relativeHeight="251659264" behindDoc="0" locked="0" layoutInCell="1" allowOverlap="1" wp14:anchorId="1A8CB01D" wp14:editId="224D12F1">
              <wp:simplePos x="0" y="0"/>
              <wp:positionH relativeFrom="column">
                <wp:posOffset>622295</wp:posOffset>
              </wp:positionH>
              <wp:positionV relativeFrom="paragraph">
                <wp:posOffset>52750</wp:posOffset>
              </wp:positionV>
              <wp:extent cx="0" cy="635106"/>
              <wp:effectExtent l="0" t="0" r="19050" b="31750"/>
              <wp:wrapNone/>
              <wp:docPr id="27" name="Straight Connector 27"/>
              <wp:cNvGraphicFramePr/>
              <a:graphic xmlns:a="http://schemas.openxmlformats.org/drawingml/2006/main">
                <a:graphicData uri="http://schemas.microsoft.com/office/word/2010/wordprocessingShape">
                  <wps:wsp>
                    <wps:cNvCnPr/>
                    <wps:spPr>
                      <a:xfrm>
                        <a:off x="0" y="0"/>
                        <a:ext cx="0" cy="635106"/>
                      </a:xfrm>
                      <a:prstGeom prst="line">
                        <a:avLst/>
                      </a:prstGeom>
                      <a:ln w="19050">
                        <a:solidFill>
                          <a:srgbClr val="D5B0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0214FE" id="Straight Connector 2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4.15pt" to="49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" strokecolor="#d5b03d" strokeweight="1.5pt"/>
          </w:pict>
        </mc:Fallback>
      </mc:AlternateContent>
    </w:r>
    <w:r w:rsidRPr="00464FCC">
      <w:rPr>
        <w:rFonts w:ascii="Arial" w:hAnsi="Arial" w:cs="Arial"/>
        <w:lang w:val="sr-Latn-ME" w:eastAsia="sr-Latn-ME"/>
      </w:rPr>
      <w:drawing>
        <wp:anchor distT="0" distB="0" distL="114300" distR="114300" simplePos="0" relativeHeight="251660288" behindDoc="0" locked="0" layoutInCell="1" allowOverlap="1" wp14:anchorId="01DC6931" wp14:editId="7FBC34C5">
          <wp:simplePos x="0" y="0"/>
          <wp:positionH relativeFrom="column">
            <wp:posOffset>-16510</wp:posOffset>
          </wp:positionH>
          <wp:positionV relativeFrom="paragraph">
            <wp:posOffset>57150</wp:posOffset>
          </wp:positionV>
          <wp:extent cx="539115" cy="621665"/>
          <wp:effectExtent l="0" t="0" r="0" b="6985"/>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b CB 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9115" cy="621665"/>
                  </a:xfrm>
                  <a:prstGeom prst="rect">
                    <a:avLst/>
                  </a:prstGeom>
                </pic:spPr>
              </pic:pic>
            </a:graphicData>
          </a:graphic>
        </wp:anchor>
      </w:drawing>
    </w:r>
    <w:r w:rsidRPr="00464FCC">
      <w:rPr>
        <w:rFonts w:ascii="Arial" w:hAnsi="Arial" w:cs="Arial"/>
      </w:rPr>
      <w:t>Crna Gora</w:t>
    </w:r>
  </w:p>
  <w:p w:rsidR="004D2F36" w:rsidRPr="00464FCC" w:rsidRDefault="004D2F36" w:rsidP="005E2CF3">
    <w:pPr>
      <w:pStyle w:val="Title"/>
      <w:spacing w:after="0"/>
      <w:rPr>
        <w:rFonts w:ascii="Arial" w:hAnsi="Arial" w:cs="Arial"/>
        <w:sz w:val="24"/>
        <w:szCs w:val="24"/>
      </w:rPr>
    </w:pPr>
    <w:r w:rsidRPr="00464FCC">
      <w:rPr>
        <w:rFonts w:ascii="Arial" w:hAnsi="Arial" w:cs="Arial"/>
        <w:sz w:val="24"/>
        <w:szCs w:val="24"/>
      </w:rPr>
      <w:t xml:space="preserve">MINISTARSTVO REGIONALNO-INVESTICIONOG RAZVOJA </w:t>
    </w:r>
  </w:p>
  <w:p w:rsidR="004D2F36" w:rsidRPr="00464FCC" w:rsidRDefault="004D2F36" w:rsidP="00464FCC">
    <w:pPr>
      <w:rPr>
        <w:szCs w:val="24"/>
        <w:lang w:val="en-US"/>
      </w:rPr>
    </w:pPr>
    <w:r w:rsidRPr="00464FCC">
      <w:rPr>
        <w:szCs w:val="24"/>
        <w:lang w:val="en-US"/>
      </w:rPr>
      <w:tab/>
      <w:t xml:space="preserve">  </w:t>
    </w:r>
    <w:r w:rsidRPr="00464FCC">
      <w:rPr>
        <w:rFonts w:eastAsia="Times New Roman"/>
        <w:noProof/>
        <w:spacing w:val="-10"/>
        <w:kern w:val="28"/>
        <w:szCs w:val="24"/>
        <w:lang w:val="en-US"/>
      </w:rPr>
      <w:t xml:space="preserve">    </w:t>
    </w:r>
    <w:r>
      <w:rPr>
        <w:rFonts w:eastAsia="Times New Roman"/>
        <w:noProof/>
        <w:spacing w:val="-10"/>
        <w:kern w:val="28"/>
        <w:szCs w:val="24"/>
        <w:lang w:val="en-US"/>
      </w:rPr>
      <w:t xml:space="preserve"> </w:t>
    </w:r>
    <w:r w:rsidRPr="00464FCC">
      <w:rPr>
        <w:rFonts w:eastAsia="Times New Roman"/>
        <w:noProof/>
        <w:spacing w:val="-10"/>
        <w:kern w:val="28"/>
        <w:szCs w:val="24"/>
        <w:lang w:val="en-US"/>
      </w:rPr>
      <w:t>I SARADNJE SA NEVLADINIM ORGANIZACIJAMA</w:t>
    </w:r>
  </w:p>
  <w:p w:rsidR="004D2F36" w:rsidRPr="00F323F6" w:rsidRDefault="004D2F36" w:rsidP="00F12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0B2E"/>
    <w:multiLevelType w:val="hybridMultilevel"/>
    <w:tmpl w:val="45927F6C"/>
    <w:lvl w:ilvl="0" w:tplc="2996DC62">
      <w:start w:val="1"/>
      <w:numFmt w:val="bullet"/>
      <w:lvlText w:val="-"/>
      <w:lvlJc w:val="left"/>
      <w:pPr>
        <w:ind w:left="-450" w:hanging="360"/>
      </w:pPr>
      <w:rPr>
        <w:rFonts w:ascii="Arial" w:eastAsiaTheme="minorHAnsi" w:hAnsi="Arial" w:cs="Arial" w:hint="default"/>
        <w:sz w:val="20"/>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 w15:restartNumberingAfterBreak="0">
    <w:nsid w:val="02913118"/>
    <w:multiLevelType w:val="multilevel"/>
    <w:tmpl w:val="39700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668C9"/>
    <w:multiLevelType w:val="multilevel"/>
    <w:tmpl w:val="7162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A7305"/>
    <w:multiLevelType w:val="hybridMultilevel"/>
    <w:tmpl w:val="96E078BA"/>
    <w:lvl w:ilvl="0" w:tplc="8CCA864C">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4" w15:restartNumberingAfterBreak="0">
    <w:nsid w:val="0B206B4B"/>
    <w:multiLevelType w:val="hybridMultilevel"/>
    <w:tmpl w:val="EAFA2AA2"/>
    <w:lvl w:ilvl="0" w:tplc="1EAC055C">
      <w:start w:val="1"/>
      <w:numFmt w:val="decimal"/>
      <w:lvlText w:val="%1."/>
      <w:lvlJc w:val="left"/>
      <w:pPr>
        <w:ind w:left="1800" w:hanging="360"/>
      </w:pPr>
      <w:rPr>
        <w:rFonts w:eastAsia="MS Mincho"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3E53BA"/>
    <w:multiLevelType w:val="multilevel"/>
    <w:tmpl w:val="8222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077DAD"/>
    <w:multiLevelType w:val="multilevel"/>
    <w:tmpl w:val="6B7A95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B64770"/>
    <w:multiLevelType w:val="hybridMultilevel"/>
    <w:tmpl w:val="41549C6E"/>
    <w:lvl w:ilvl="0" w:tplc="A2762088">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9E73BB"/>
    <w:multiLevelType w:val="multilevel"/>
    <w:tmpl w:val="27EC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F1A0B"/>
    <w:multiLevelType w:val="multilevel"/>
    <w:tmpl w:val="9ADA3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759E7"/>
    <w:multiLevelType w:val="multilevel"/>
    <w:tmpl w:val="68E6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D8132F"/>
    <w:multiLevelType w:val="hybridMultilevel"/>
    <w:tmpl w:val="E1C4D884"/>
    <w:lvl w:ilvl="0" w:tplc="0409000F">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27B51726"/>
    <w:multiLevelType w:val="multilevel"/>
    <w:tmpl w:val="70C8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C74889"/>
    <w:multiLevelType w:val="hybridMultilevel"/>
    <w:tmpl w:val="5F9AF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07A83"/>
    <w:multiLevelType w:val="multilevel"/>
    <w:tmpl w:val="7910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B42ED6"/>
    <w:multiLevelType w:val="hybridMultilevel"/>
    <w:tmpl w:val="1DCC6668"/>
    <w:lvl w:ilvl="0" w:tplc="2C1A0001">
      <w:start w:val="1"/>
      <w:numFmt w:val="bullet"/>
      <w:lvlText w:val=""/>
      <w:lvlJc w:val="left"/>
      <w:pPr>
        <w:ind w:left="720" w:hanging="360"/>
      </w:pPr>
      <w:rPr>
        <w:rFonts w:ascii="Symbol" w:hAnsi="Symbol" w:hint="default"/>
      </w:rPr>
    </w:lvl>
    <w:lvl w:ilvl="1" w:tplc="2C1A0001">
      <w:start w:val="1"/>
      <w:numFmt w:val="bullet"/>
      <w:lvlText w:val=""/>
      <w:lvlJc w:val="left"/>
      <w:pPr>
        <w:ind w:left="1440" w:hanging="360"/>
      </w:pPr>
      <w:rPr>
        <w:rFonts w:ascii="Symbol" w:hAnsi="Symbol"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6" w15:restartNumberingAfterBreak="0">
    <w:nsid w:val="355E1AAB"/>
    <w:multiLevelType w:val="hybridMultilevel"/>
    <w:tmpl w:val="CA8E6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BD1489"/>
    <w:multiLevelType w:val="multilevel"/>
    <w:tmpl w:val="040E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BF37D3"/>
    <w:multiLevelType w:val="hybridMultilevel"/>
    <w:tmpl w:val="9384D764"/>
    <w:lvl w:ilvl="0" w:tplc="4CD4DA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B04B3D"/>
    <w:multiLevelType w:val="multilevel"/>
    <w:tmpl w:val="3D24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1736DD"/>
    <w:multiLevelType w:val="multilevel"/>
    <w:tmpl w:val="E2B0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774E16"/>
    <w:multiLevelType w:val="multilevel"/>
    <w:tmpl w:val="D4DC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E53F9C"/>
    <w:multiLevelType w:val="hybridMultilevel"/>
    <w:tmpl w:val="8A3A7A34"/>
    <w:lvl w:ilvl="0" w:tplc="8F5AE69C">
      <w:start w:val="1"/>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975B52"/>
    <w:multiLevelType w:val="hybridMultilevel"/>
    <w:tmpl w:val="C0F64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87681D"/>
    <w:multiLevelType w:val="multilevel"/>
    <w:tmpl w:val="D22A1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687671"/>
    <w:multiLevelType w:val="multilevel"/>
    <w:tmpl w:val="47F8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C543E5"/>
    <w:multiLevelType w:val="multilevel"/>
    <w:tmpl w:val="422ACD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8B7E51"/>
    <w:multiLevelType w:val="multilevel"/>
    <w:tmpl w:val="9ACE6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8664E0"/>
    <w:multiLevelType w:val="hybridMultilevel"/>
    <w:tmpl w:val="91A28832"/>
    <w:lvl w:ilvl="0" w:tplc="42066992">
      <w:start w:val="4"/>
      <w:numFmt w:val="bullet"/>
      <w:lvlText w:val="-"/>
      <w:lvlJc w:val="left"/>
      <w:pPr>
        <w:ind w:left="420" w:hanging="360"/>
      </w:pPr>
      <w:rPr>
        <w:rFonts w:ascii="Arial" w:eastAsia="MS Mincho"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5FFD25A9"/>
    <w:multiLevelType w:val="hybridMultilevel"/>
    <w:tmpl w:val="41EE9F32"/>
    <w:lvl w:ilvl="0" w:tplc="B01E256C">
      <w:start w:val="1"/>
      <w:numFmt w:val="decimal"/>
      <w:lvlText w:val="Član %1"/>
      <w:lvlJc w:val="center"/>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0" w15:restartNumberingAfterBreak="0">
    <w:nsid w:val="65400D7C"/>
    <w:multiLevelType w:val="hybridMultilevel"/>
    <w:tmpl w:val="E6608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F530D8"/>
    <w:multiLevelType w:val="multilevel"/>
    <w:tmpl w:val="FAFC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4129C5"/>
    <w:multiLevelType w:val="multilevel"/>
    <w:tmpl w:val="6172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C16EE3"/>
    <w:multiLevelType w:val="hybridMultilevel"/>
    <w:tmpl w:val="98487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A9C2C12"/>
    <w:multiLevelType w:val="multilevel"/>
    <w:tmpl w:val="F45A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212BE6"/>
    <w:multiLevelType w:val="multilevel"/>
    <w:tmpl w:val="BE623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9D74BD"/>
    <w:multiLevelType w:val="multilevel"/>
    <w:tmpl w:val="9D72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5B4572"/>
    <w:multiLevelType w:val="multilevel"/>
    <w:tmpl w:val="E504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E8472A"/>
    <w:multiLevelType w:val="hybridMultilevel"/>
    <w:tmpl w:val="1D00E166"/>
    <w:lvl w:ilvl="0" w:tplc="92C2C6A4">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C37F85"/>
    <w:multiLevelType w:val="multilevel"/>
    <w:tmpl w:val="D98A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1F67B7"/>
    <w:multiLevelType w:val="multilevel"/>
    <w:tmpl w:val="6C48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EB4BEA"/>
    <w:multiLevelType w:val="hybridMultilevel"/>
    <w:tmpl w:val="BCAE18F2"/>
    <w:lvl w:ilvl="0" w:tplc="2C1A0001">
      <w:start w:val="1"/>
      <w:numFmt w:val="bullet"/>
      <w:lvlText w:val=""/>
      <w:lvlJc w:val="left"/>
      <w:pPr>
        <w:ind w:left="720" w:hanging="360"/>
      </w:pPr>
      <w:rPr>
        <w:rFonts w:ascii="Symbol" w:hAnsi="Symbol" w:hint="default"/>
      </w:rPr>
    </w:lvl>
    <w:lvl w:ilvl="1" w:tplc="1A5A7822">
      <w:start w:val="1"/>
      <w:numFmt w:val="bullet"/>
      <w:lvlText w:val=""/>
      <w:lvlJc w:val="left"/>
      <w:pPr>
        <w:ind w:left="1440" w:hanging="360"/>
      </w:pPr>
      <w:rPr>
        <w:rFonts w:ascii="Symbol" w:hAnsi="Symbol"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2" w15:restartNumberingAfterBreak="0">
    <w:nsid w:val="7BFD5FB1"/>
    <w:multiLevelType w:val="multilevel"/>
    <w:tmpl w:val="9282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A06659"/>
    <w:multiLevelType w:val="multilevel"/>
    <w:tmpl w:val="5A3E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7B206E"/>
    <w:multiLevelType w:val="multilevel"/>
    <w:tmpl w:val="8E3C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2578DC"/>
    <w:multiLevelType w:val="multilevel"/>
    <w:tmpl w:val="B2F8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41"/>
  </w:num>
  <w:num w:numId="3">
    <w:abstractNumId w:val="41"/>
  </w:num>
  <w:num w:numId="4">
    <w:abstractNumId w:val="15"/>
  </w:num>
  <w:num w:numId="5">
    <w:abstractNumId w:val="3"/>
  </w:num>
  <w:num w:numId="6">
    <w:abstractNumId w:val="38"/>
  </w:num>
  <w:num w:numId="7">
    <w:abstractNumId w:val="16"/>
  </w:num>
  <w:num w:numId="8">
    <w:abstractNumId w:val="22"/>
  </w:num>
  <w:num w:numId="9">
    <w:abstractNumId w:val="28"/>
  </w:num>
  <w:num w:numId="10">
    <w:abstractNumId w:val="7"/>
  </w:num>
  <w:num w:numId="11">
    <w:abstractNumId w:val="13"/>
  </w:num>
  <w:num w:numId="12">
    <w:abstractNumId w:val="30"/>
  </w:num>
  <w:num w:numId="13">
    <w:abstractNumId w:val="11"/>
  </w:num>
  <w:num w:numId="14">
    <w:abstractNumId w:val="18"/>
  </w:num>
  <w:num w:numId="15">
    <w:abstractNumId w:val="0"/>
  </w:num>
  <w:num w:numId="16">
    <w:abstractNumId w:val="1"/>
  </w:num>
  <w:num w:numId="17">
    <w:abstractNumId w:val="40"/>
  </w:num>
  <w:num w:numId="18">
    <w:abstractNumId w:val="8"/>
  </w:num>
  <w:num w:numId="19">
    <w:abstractNumId w:val="39"/>
  </w:num>
  <w:num w:numId="20">
    <w:abstractNumId w:val="25"/>
  </w:num>
  <w:num w:numId="21">
    <w:abstractNumId w:val="34"/>
  </w:num>
  <w:num w:numId="22">
    <w:abstractNumId w:val="20"/>
  </w:num>
  <w:num w:numId="23">
    <w:abstractNumId w:val="32"/>
  </w:num>
  <w:num w:numId="24">
    <w:abstractNumId w:val="42"/>
  </w:num>
  <w:num w:numId="25">
    <w:abstractNumId w:val="12"/>
  </w:num>
  <w:num w:numId="26">
    <w:abstractNumId w:val="19"/>
  </w:num>
  <w:num w:numId="27">
    <w:abstractNumId w:val="21"/>
  </w:num>
  <w:num w:numId="28">
    <w:abstractNumId w:val="26"/>
  </w:num>
  <w:num w:numId="29">
    <w:abstractNumId w:val="9"/>
  </w:num>
  <w:num w:numId="30">
    <w:abstractNumId w:val="14"/>
  </w:num>
  <w:num w:numId="31">
    <w:abstractNumId w:val="27"/>
  </w:num>
  <w:num w:numId="32">
    <w:abstractNumId w:val="6"/>
  </w:num>
  <w:num w:numId="33">
    <w:abstractNumId w:val="44"/>
  </w:num>
  <w:num w:numId="34">
    <w:abstractNumId w:val="43"/>
  </w:num>
  <w:num w:numId="35">
    <w:abstractNumId w:val="17"/>
  </w:num>
  <w:num w:numId="36">
    <w:abstractNumId w:val="24"/>
  </w:num>
  <w:num w:numId="37">
    <w:abstractNumId w:val="45"/>
  </w:num>
  <w:num w:numId="38">
    <w:abstractNumId w:val="5"/>
  </w:num>
  <w:num w:numId="39">
    <w:abstractNumId w:val="10"/>
  </w:num>
  <w:num w:numId="40">
    <w:abstractNumId w:val="37"/>
  </w:num>
  <w:num w:numId="41">
    <w:abstractNumId w:val="2"/>
  </w:num>
  <w:num w:numId="42">
    <w:abstractNumId w:val="31"/>
  </w:num>
  <w:num w:numId="43">
    <w:abstractNumId w:val="35"/>
  </w:num>
  <w:num w:numId="44">
    <w:abstractNumId w:val="36"/>
  </w:num>
  <w:num w:numId="45">
    <w:abstractNumId w:val="33"/>
  </w:num>
  <w:num w:numId="46">
    <w:abstractNumId w:val="23"/>
  </w:num>
  <w:num w:numId="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5B"/>
    <w:rsid w:val="00001178"/>
    <w:rsid w:val="0001018D"/>
    <w:rsid w:val="00017BE5"/>
    <w:rsid w:val="00020673"/>
    <w:rsid w:val="00021167"/>
    <w:rsid w:val="00070ABE"/>
    <w:rsid w:val="00071E3B"/>
    <w:rsid w:val="000775A8"/>
    <w:rsid w:val="000835F8"/>
    <w:rsid w:val="00084433"/>
    <w:rsid w:val="000924CF"/>
    <w:rsid w:val="00093D71"/>
    <w:rsid w:val="000A2B0F"/>
    <w:rsid w:val="000B0E1D"/>
    <w:rsid w:val="000C054A"/>
    <w:rsid w:val="000D33E7"/>
    <w:rsid w:val="000E160A"/>
    <w:rsid w:val="000F2AA0"/>
    <w:rsid w:val="000F2B95"/>
    <w:rsid w:val="000F2BFC"/>
    <w:rsid w:val="000F6C15"/>
    <w:rsid w:val="00101941"/>
    <w:rsid w:val="00104240"/>
    <w:rsid w:val="00104ABF"/>
    <w:rsid w:val="001053EE"/>
    <w:rsid w:val="00107821"/>
    <w:rsid w:val="00107D7D"/>
    <w:rsid w:val="00111A0C"/>
    <w:rsid w:val="00134D38"/>
    <w:rsid w:val="001478DE"/>
    <w:rsid w:val="00150B7C"/>
    <w:rsid w:val="00154D42"/>
    <w:rsid w:val="0015527F"/>
    <w:rsid w:val="00173C42"/>
    <w:rsid w:val="001822F4"/>
    <w:rsid w:val="001822FC"/>
    <w:rsid w:val="001847FD"/>
    <w:rsid w:val="00193722"/>
    <w:rsid w:val="0019573A"/>
    <w:rsid w:val="00196664"/>
    <w:rsid w:val="001A79B6"/>
    <w:rsid w:val="001A7E96"/>
    <w:rsid w:val="001B1AE0"/>
    <w:rsid w:val="001B797E"/>
    <w:rsid w:val="001C04EB"/>
    <w:rsid w:val="001C2DA5"/>
    <w:rsid w:val="001C6822"/>
    <w:rsid w:val="001C78CF"/>
    <w:rsid w:val="001D2F8F"/>
    <w:rsid w:val="001D3909"/>
    <w:rsid w:val="001D7FF8"/>
    <w:rsid w:val="001F1805"/>
    <w:rsid w:val="001F75D5"/>
    <w:rsid w:val="0020235E"/>
    <w:rsid w:val="002033AE"/>
    <w:rsid w:val="00205759"/>
    <w:rsid w:val="00207835"/>
    <w:rsid w:val="00217254"/>
    <w:rsid w:val="00226375"/>
    <w:rsid w:val="00227BAB"/>
    <w:rsid w:val="00231417"/>
    <w:rsid w:val="00231D5F"/>
    <w:rsid w:val="00235A35"/>
    <w:rsid w:val="00237940"/>
    <w:rsid w:val="00240F02"/>
    <w:rsid w:val="0024788C"/>
    <w:rsid w:val="00250B84"/>
    <w:rsid w:val="002511E4"/>
    <w:rsid w:val="00251C96"/>
    <w:rsid w:val="00252A36"/>
    <w:rsid w:val="00260E8F"/>
    <w:rsid w:val="00264F60"/>
    <w:rsid w:val="00267879"/>
    <w:rsid w:val="00292D5E"/>
    <w:rsid w:val="00293A0E"/>
    <w:rsid w:val="002A4701"/>
    <w:rsid w:val="002A7CB3"/>
    <w:rsid w:val="002B4A70"/>
    <w:rsid w:val="002B633A"/>
    <w:rsid w:val="002C3D77"/>
    <w:rsid w:val="002D3C17"/>
    <w:rsid w:val="002D4447"/>
    <w:rsid w:val="002E01C2"/>
    <w:rsid w:val="002F461C"/>
    <w:rsid w:val="00302662"/>
    <w:rsid w:val="003028E5"/>
    <w:rsid w:val="003040AC"/>
    <w:rsid w:val="00304B9E"/>
    <w:rsid w:val="003168DA"/>
    <w:rsid w:val="0032257A"/>
    <w:rsid w:val="00323D8A"/>
    <w:rsid w:val="003247A7"/>
    <w:rsid w:val="003323B3"/>
    <w:rsid w:val="003417B8"/>
    <w:rsid w:val="003439BF"/>
    <w:rsid w:val="00350578"/>
    <w:rsid w:val="00354D08"/>
    <w:rsid w:val="00356869"/>
    <w:rsid w:val="00370754"/>
    <w:rsid w:val="00374FC4"/>
    <w:rsid w:val="00375D08"/>
    <w:rsid w:val="00380722"/>
    <w:rsid w:val="00395036"/>
    <w:rsid w:val="0039558B"/>
    <w:rsid w:val="003A522F"/>
    <w:rsid w:val="003A6DB5"/>
    <w:rsid w:val="003B186B"/>
    <w:rsid w:val="003B2313"/>
    <w:rsid w:val="003B4527"/>
    <w:rsid w:val="003C1F8B"/>
    <w:rsid w:val="003D1FB1"/>
    <w:rsid w:val="003D33D6"/>
    <w:rsid w:val="004112D5"/>
    <w:rsid w:val="004317AE"/>
    <w:rsid w:val="004378E1"/>
    <w:rsid w:val="0044723A"/>
    <w:rsid w:val="004501E6"/>
    <w:rsid w:val="0045170A"/>
    <w:rsid w:val="00451F6C"/>
    <w:rsid w:val="00451FF9"/>
    <w:rsid w:val="00460F3F"/>
    <w:rsid w:val="0046254F"/>
    <w:rsid w:val="00464FCC"/>
    <w:rsid w:val="004679C3"/>
    <w:rsid w:val="00474298"/>
    <w:rsid w:val="004754B7"/>
    <w:rsid w:val="00476B33"/>
    <w:rsid w:val="00487B7A"/>
    <w:rsid w:val="004934B6"/>
    <w:rsid w:val="00493D19"/>
    <w:rsid w:val="004A175D"/>
    <w:rsid w:val="004B46C1"/>
    <w:rsid w:val="004B5AE9"/>
    <w:rsid w:val="004B76A4"/>
    <w:rsid w:val="004B794D"/>
    <w:rsid w:val="004C7AD7"/>
    <w:rsid w:val="004D2F36"/>
    <w:rsid w:val="004E3DA7"/>
    <w:rsid w:val="004F24B0"/>
    <w:rsid w:val="004F7454"/>
    <w:rsid w:val="00511650"/>
    <w:rsid w:val="005135BC"/>
    <w:rsid w:val="00523147"/>
    <w:rsid w:val="005237D4"/>
    <w:rsid w:val="00531C38"/>
    <w:rsid w:val="00531FDF"/>
    <w:rsid w:val="00533DF4"/>
    <w:rsid w:val="005432CB"/>
    <w:rsid w:val="00546D0B"/>
    <w:rsid w:val="005723C7"/>
    <w:rsid w:val="00572D76"/>
    <w:rsid w:val="00581722"/>
    <w:rsid w:val="00585B78"/>
    <w:rsid w:val="005952BB"/>
    <w:rsid w:val="005A2821"/>
    <w:rsid w:val="005A4E7E"/>
    <w:rsid w:val="005A6AD9"/>
    <w:rsid w:val="005B44BF"/>
    <w:rsid w:val="005C37B5"/>
    <w:rsid w:val="005C6F24"/>
    <w:rsid w:val="005D0532"/>
    <w:rsid w:val="005D3EB1"/>
    <w:rsid w:val="005E290E"/>
    <w:rsid w:val="005E2CF3"/>
    <w:rsid w:val="005E5C14"/>
    <w:rsid w:val="005E6D24"/>
    <w:rsid w:val="005E6ECD"/>
    <w:rsid w:val="005E78C4"/>
    <w:rsid w:val="005F0892"/>
    <w:rsid w:val="005F56D9"/>
    <w:rsid w:val="005F7D46"/>
    <w:rsid w:val="006007AA"/>
    <w:rsid w:val="00612213"/>
    <w:rsid w:val="006159EE"/>
    <w:rsid w:val="00630A76"/>
    <w:rsid w:val="006344BC"/>
    <w:rsid w:val="00643692"/>
    <w:rsid w:val="0066010E"/>
    <w:rsid w:val="00661A41"/>
    <w:rsid w:val="00670FF6"/>
    <w:rsid w:val="006739CA"/>
    <w:rsid w:val="00681B5E"/>
    <w:rsid w:val="00683884"/>
    <w:rsid w:val="0068793B"/>
    <w:rsid w:val="006908A4"/>
    <w:rsid w:val="00691833"/>
    <w:rsid w:val="00696748"/>
    <w:rsid w:val="006A24FA"/>
    <w:rsid w:val="006A2698"/>
    <w:rsid w:val="006A2C40"/>
    <w:rsid w:val="006A6AE2"/>
    <w:rsid w:val="006B0CEE"/>
    <w:rsid w:val="006C3199"/>
    <w:rsid w:val="006C3891"/>
    <w:rsid w:val="006D0238"/>
    <w:rsid w:val="006D05C5"/>
    <w:rsid w:val="006D1712"/>
    <w:rsid w:val="006D22B2"/>
    <w:rsid w:val="006D2B2D"/>
    <w:rsid w:val="006D6357"/>
    <w:rsid w:val="006D711E"/>
    <w:rsid w:val="006E262C"/>
    <w:rsid w:val="006E4CAE"/>
    <w:rsid w:val="006F4DB3"/>
    <w:rsid w:val="0070005F"/>
    <w:rsid w:val="00703BEA"/>
    <w:rsid w:val="0071206B"/>
    <w:rsid w:val="00713886"/>
    <w:rsid w:val="00717B58"/>
    <w:rsid w:val="00720314"/>
    <w:rsid w:val="00722040"/>
    <w:rsid w:val="0073561A"/>
    <w:rsid w:val="007434BD"/>
    <w:rsid w:val="00753660"/>
    <w:rsid w:val="007628D1"/>
    <w:rsid w:val="0077100B"/>
    <w:rsid w:val="00772C0E"/>
    <w:rsid w:val="00786F2E"/>
    <w:rsid w:val="007904A7"/>
    <w:rsid w:val="0079207C"/>
    <w:rsid w:val="00794586"/>
    <w:rsid w:val="00796720"/>
    <w:rsid w:val="007978B6"/>
    <w:rsid w:val="007A0248"/>
    <w:rsid w:val="007A118F"/>
    <w:rsid w:val="007A3DD1"/>
    <w:rsid w:val="007B118B"/>
    <w:rsid w:val="007B2B13"/>
    <w:rsid w:val="007C34F7"/>
    <w:rsid w:val="007C3925"/>
    <w:rsid w:val="007C5401"/>
    <w:rsid w:val="007D3AD5"/>
    <w:rsid w:val="007D633C"/>
    <w:rsid w:val="007E498B"/>
    <w:rsid w:val="007F67A4"/>
    <w:rsid w:val="00800332"/>
    <w:rsid w:val="00810076"/>
    <w:rsid w:val="00810444"/>
    <w:rsid w:val="008118BE"/>
    <w:rsid w:val="00811F55"/>
    <w:rsid w:val="00816114"/>
    <w:rsid w:val="00835E3E"/>
    <w:rsid w:val="0084196C"/>
    <w:rsid w:val="008472F9"/>
    <w:rsid w:val="00847A3A"/>
    <w:rsid w:val="0085342C"/>
    <w:rsid w:val="008557C7"/>
    <w:rsid w:val="00871194"/>
    <w:rsid w:val="00880B42"/>
    <w:rsid w:val="008811E8"/>
    <w:rsid w:val="0088156B"/>
    <w:rsid w:val="00885190"/>
    <w:rsid w:val="0089630F"/>
    <w:rsid w:val="008A5088"/>
    <w:rsid w:val="008C1FA8"/>
    <w:rsid w:val="008C7F82"/>
    <w:rsid w:val="008D08D4"/>
    <w:rsid w:val="008D5844"/>
    <w:rsid w:val="008E52EE"/>
    <w:rsid w:val="008E6F47"/>
    <w:rsid w:val="008F7D2B"/>
    <w:rsid w:val="00902E6C"/>
    <w:rsid w:val="00907170"/>
    <w:rsid w:val="009116F6"/>
    <w:rsid w:val="009130A0"/>
    <w:rsid w:val="00914A3B"/>
    <w:rsid w:val="00922A8D"/>
    <w:rsid w:val="00922BAC"/>
    <w:rsid w:val="00923519"/>
    <w:rsid w:val="00930E6F"/>
    <w:rsid w:val="00933054"/>
    <w:rsid w:val="00933725"/>
    <w:rsid w:val="00937684"/>
    <w:rsid w:val="0094135C"/>
    <w:rsid w:val="00946A67"/>
    <w:rsid w:val="0096107C"/>
    <w:rsid w:val="009632DD"/>
    <w:rsid w:val="0096528C"/>
    <w:rsid w:val="009732F8"/>
    <w:rsid w:val="009751DF"/>
    <w:rsid w:val="0098130A"/>
    <w:rsid w:val="009902D5"/>
    <w:rsid w:val="00993FA5"/>
    <w:rsid w:val="00997C04"/>
    <w:rsid w:val="009A7691"/>
    <w:rsid w:val="009B72EE"/>
    <w:rsid w:val="009C546C"/>
    <w:rsid w:val="009C7712"/>
    <w:rsid w:val="009D04C3"/>
    <w:rsid w:val="009E797A"/>
    <w:rsid w:val="009F5AED"/>
    <w:rsid w:val="00A060FE"/>
    <w:rsid w:val="00A273AB"/>
    <w:rsid w:val="00A413A6"/>
    <w:rsid w:val="00A455E1"/>
    <w:rsid w:val="00A47C70"/>
    <w:rsid w:val="00A53862"/>
    <w:rsid w:val="00A5491B"/>
    <w:rsid w:val="00A60445"/>
    <w:rsid w:val="00A61C64"/>
    <w:rsid w:val="00A640F0"/>
    <w:rsid w:val="00A6505B"/>
    <w:rsid w:val="00A707B0"/>
    <w:rsid w:val="00A82CB9"/>
    <w:rsid w:val="00A912A9"/>
    <w:rsid w:val="00AA5E68"/>
    <w:rsid w:val="00AA6DBF"/>
    <w:rsid w:val="00AD29CE"/>
    <w:rsid w:val="00AD5C08"/>
    <w:rsid w:val="00AE277F"/>
    <w:rsid w:val="00AE3848"/>
    <w:rsid w:val="00AE7B59"/>
    <w:rsid w:val="00AF27FF"/>
    <w:rsid w:val="00AF3564"/>
    <w:rsid w:val="00AF48B3"/>
    <w:rsid w:val="00AF491F"/>
    <w:rsid w:val="00AF62D0"/>
    <w:rsid w:val="00B003EE"/>
    <w:rsid w:val="00B05443"/>
    <w:rsid w:val="00B13AFC"/>
    <w:rsid w:val="00B167AC"/>
    <w:rsid w:val="00B30D58"/>
    <w:rsid w:val="00B40A06"/>
    <w:rsid w:val="00B43769"/>
    <w:rsid w:val="00B473C2"/>
    <w:rsid w:val="00B47D2C"/>
    <w:rsid w:val="00B563F5"/>
    <w:rsid w:val="00B609F5"/>
    <w:rsid w:val="00B62805"/>
    <w:rsid w:val="00B63CC6"/>
    <w:rsid w:val="00B7650E"/>
    <w:rsid w:val="00B82085"/>
    <w:rsid w:val="00B83F7A"/>
    <w:rsid w:val="00B84F08"/>
    <w:rsid w:val="00B952AB"/>
    <w:rsid w:val="00BB014F"/>
    <w:rsid w:val="00BB506C"/>
    <w:rsid w:val="00BB5B0F"/>
    <w:rsid w:val="00BE3206"/>
    <w:rsid w:val="00BF464E"/>
    <w:rsid w:val="00C123D2"/>
    <w:rsid w:val="00C176EB"/>
    <w:rsid w:val="00C17D54"/>
    <w:rsid w:val="00C20E0A"/>
    <w:rsid w:val="00C2622E"/>
    <w:rsid w:val="00C4431F"/>
    <w:rsid w:val="00C45D48"/>
    <w:rsid w:val="00C503C0"/>
    <w:rsid w:val="00C56EC2"/>
    <w:rsid w:val="00C63E01"/>
    <w:rsid w:val="00C664A7"/>
    <w:rsid w:val="00C80474"/>
    <w:rsid w:val="00C84028"/>
    <w:rsid w:val="00C96A58"/>
    <w:rsid w:val="00C96F25"/>
    <w:rsid w:val="00CA4058"/>
    <w:rsid w:val="00CA6342"/>
    <w:rsid w:val="00CC0261"/>
    <w:rsid w:val="00CC2580"/>
    <w:rsid w:val="00CD159D"/>
    <w:rsid w:val="00CD2473"/>
    <w:rsid w:val="00CF540B"/>
    <w:rsid w:val="00D06E02"/>
    <w:rsid w:val="00D12DF7"/>
    <w:rsid w:val="00D218F0"/>
    <w:rsid w:val="00D23B4D"/>
    <w:rsid w:val="00D2455F"/>
    <w:rsid w:val="00D61A8B"/>
    <w:rsid w:val="00D63B3D"/>
    <w:rsid w:val="00D720B1"/>
    <w:rsid w:val="00D84503"/>
    <w:rsid w:val="00DA3DE2"/>
    <w:rsid w:val="00DC116B"/>
    <w:rsid w:val="00DC5DF1"/>
    <w:rsid w:val="00DC61B0"/>
    <w:rsid w:val="00DE19DE"/>
    <w:rsid w:val="00DE3B98"/>
    <w:rsid w:val="00DE73CA"/>
    <w:rsid w:val="00DF60F7"/>
    <w:rsid w:val="00E005A7"/>
    <w:rsid w:val="00E0701D"/>
    <w:rsid w:val="00E12A02"/>
    <w:rsid w:val="00E16E72"/>
    <w:rsid w:val="00E17397"/>
    <w:rsid w:val="00E17788"/>
    <w:rsid w:val="00E22333"/>
    <w:rsid w:val="00E42EA7"/>
    <w:rsid w:val="00E4450E"/>
    <w:rsid w:val="00E57602"/>
    <w:rsid w:val="00E577A2"/>
    <w:rsid w:val="00E62554"/>
    <w:rsid w:val="00E73A9B"/>
    <w:rsid w:val="00E74F68"/>
    <w:rsid w:val="00E75466"/>
    <w:rsid w:val="00E76691"/>
    <w:rsid w:val="00E806B7"/>
    <w:rsid w:val="00E83D20"/>
    <w:rsid w:val="00E97C22"/>
    <w:rsid w:val="00EA0F6C"/>
    <w:rsid w:val="00EA22A1"/>
    <w:rsid w:val="00EA3F9B"/>
    <w:rsid w:val="00EB4DC0"/>
    <w:rsid w:val="00EC0D58"/>
    <w:rsid w:val="00EC3C89"/>
    <w:rsid w:val="00ED06A9"/>
    <w:rsid w:val="00ED7458"/>
    <w:rsid w:val="00ED7D36"/>
    <w:rsid w:val="00EE13BF"/>
    <w:rsid w:val="00EE1681"/>
    <w:rsid w:val="00EF4B5C"/>
    <w:rsid w:val="00F127D8"/>
    <w:rsid w:val="00F14B0C"/>
    <w:rsid w:val="00F16D1B"/>
    <w:rsid w:val="00F2167D"/>
    <w:rsid w:val="00F21A4A"/>
    <w:rsid w:val="00F24901"/>
    <w:rsid w:val="00F27598"/>
    <w:rsid w:val="00F323F6"/>
    <w:rsid w:val="00F42015"/>
    <w:rsid w:val="00F523C7"/>
    <w:rsid w:val="00F63FBA"/>
    <w:rsid w:val="00F657FC"/>
    <w:rsid w:val="00F76BE1"/>
    <w:rsid w:val="00F9559D"/>
    <w:rsid w:val="00F9760A"/>
    <w:rsid w:val="00FA745B"/>
    <w:rsid w:val="00FB409E"/>
    <w:rsid w:val="00FD0F7C"/>
    <w:rsid w:val="00FD30CD"/>
    <w:rsid w:val="00FD5E79"/>
    <w:rsid w:val="00FD7606"/>
    <w:rsid w:val="00FE3427"/>
    <w:rsid w:val="00FE4CFA"/>
    <w:rsid w:val="00FF047E"/>
    <w:rsid w:val="00FF368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0CB9F4"/>
  <w15:docId w15:val="{D91BFA49-0541-40DD-85EA-E626F29FF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7B59"/>
    <w:pPr>
      <w:spacing w:before="120" w:after="120" w:line="264" w:lineRule="auto"/>
      <w:jc w:val="both"/>
    </w:pPr>
    <w:rPr>
      <w:rFonts w:ascii="Arial" w:eastAsia="Arial" w:hAnsi="Arial" w:cs="Arial"/>
      <w:sz w:val="24"/>
    </w:rPr>
  </w:style>
  <w:style w:type="paragraph" w:styleId="Heading1">
    <w:name w:val="heading 1"/>
    <w:basedOn w:val="Normal"/>
    <w:next w:val="Normal"/>
    <w:link w:val="Heading1Char"/>
    <w:uiPriority w:val="9"/>
    <w:qFormat/>
    <w:rsid w:val="00451F6C"/>
    <w:pPr>
      <w:spacing w:before="0" w:after="0" w:line="240" w:lineRule="auto"/>
      <w:ind w:left="1134"/>
      <w:outlineLvl w:val="0"/>
    </w:pPr>
    <w:rPr>
      <w:b/>
      <w:bCs/>
      <w:lang w:val="hr-HR"/>
    </w:rPr>
  </w:style>
  <w:style w:type="paragraph" w:styleId="Heading2">
    <w:name w:val="heading 2"/>
    <w:basedOn w:val="Normal"/>
    <w:next w:val="Normal"/>
    <w:link w:val="Heading2Char"/>
    <w:uiPriority w:val="9"/>
    <w:unhideWhenUsed/>
    <w:qFormat/>
    <w:rsid w:val="00451F6C"/>
    <w:pPr>
      <w:tabs>
        <w:tab w:val="left" w:pos="1134"/>
      </w:tabs>
      <w:spacing w:before="0" w:after="0" w:line="240" w:lineRule="auto"/>
      <w:outlineLvl w:val="1"/>
    </w:pPr>
  </w:style>
  <w:style w:type="paragraph" w:styleId="Heading3">
    <w:name w:val="heading 3"/>
    <w:basedOn w:val="Normal"/>
    <w:next w:val="Normal"/>
    <w:link w:val="Heading3Char"/>
    <w:uiPriority w:val="9"/>
    <w:unhideWhenUsed/>
    <w:qFormat/>
    <w:rsid w:val="00451F6C"/>
    <w:pPr>
      <w:tabs>
        <w:tab w:val="left" w:pos="1134"/>
      </w:tabs>
      <w:outlineLvl w:val="2"/>
    </w:pPr>
    <w:rPr>
      <w:b/>
    </w:rPr>
  </w:style>
  <w:style w:type="paragraph" w:styleId="Heading4">
    <w:name w:val="heading 4"/>
    <w:basedOn w:val="Normal"/>
    <w:next w:val="Normal"/>
    <w:link w:val="Heading4Char"/>
    <w:uiPriority w:val="9"/>
    <w:unhideWhenUsed/>
    <w:qFormat/>
    <w:rsid w:val="00E73A9B"/>
    <w:pPr>
      <w:keepNext/>
      <w:keepLines/>
      <w:outlineLvl w:val="3"/>
    </w:pPr>
    <w:rPr>
      <w:rFonts w:eastAsiaTheme="majorEastAsia" w:cstheme="majorBidi"/>
      <w:bCs/>
      <w:iCs/>
      <w:u w:val="single"/>
    </w:rPr>
  </w:style>
  <w:style w:type="paragraph" w:styleId="Heading5">
    <w:name w:val="heading 5"/>
    <w:basedOn w:val="Normal"/>
    <w:next w:val="Normal"/>
    <w:link w:val="Heading5Char"/>
    <w:uiPriority w:val="9"/>
    <w:unhideWhenUsed/>
    <w:qFormat/>
    <w:rsid w:val="00252A36"/>
    <w:pPr>
      <w:keepNext/>
      <w:keepLines/>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F6C"/>
    <w:rPr>
      <w:rFonts w:ascii="Arial" w:hAnsi="Arial" w:cs="Arial"/>
      <w:bCs/>
      <w:sz w:val="24"/>
      <w:lang w:val="hr-HR"/>
    </w:rPr>
  </w:style>
  <w:style w:type="character" w:customStyle="1" w:styleId="Heading2Char">
    <w:name w:val="Heading 2 Char"/>
    <w:basedOn w:val="DefaultParagraphFont"/>
    <w:link w:val="Heading2"/>
    <w:uiPriority w:val="9"/>
    <w:rsid w:val="00451F6C"/>
    <w:rPr>
      <w:rFonts w:ascii="Arial" w:hAnsi="Arial" w:cs="Arial"/>
    </w:rPr>
  </w:style>
  <w:style w:type="character" w:customStyle="1" w:styleId="Heading3Char">
    <w:name w:val="Heading 3 Char"/>
    <w:basedOn w:val="DefaultParagraphFont"/>
    <w:link w:val="Heading3"/>
    <w:uiPriority w:val="9"/>
    <w:rsid w:val="00451F6C"/>
    <w:rPr>
      <w:rFonts w:ascii="Arial" w:hAnsi="Arial" w:cs="Arial"/>
      <w:b/>
    </w:rPr>
  </w:style>
  <w:style w:type="character" w:customStyle="1" w:styleId="Heading4Char">
    <w:name w:val="Heading 4 Char"/>
    <w:basedOn w:val="DefaultParagraphFont"/>
    <w:link w:val="Heading4"/>
    <w:uiPriority w:val="9"/>
    <w:rsid w:val="00E73A9B"/>
    <w:rPr>
      <w:rFonts w:eastAsiaTheme="majorEastAsia" w:cstheme="majorBidi"/>
      <w:bCs/>
      <w:iCs/>
      <w:sz w:val="24"/>
      <w:u w:val="single"/>
    </w:rPr>
  </w:style>
  <w:style w:type="character" w:customStyle="1" w:styleId="Heading5Char">
    <w:name w:val="Heading 5 Char"/>
    <w:basedOn w:val="DefaultParagraphFont"/>
    <w:link w:val="Heading5"/>
    <w:uiPriority w:val="9"/>
    <w:rsid w:val="00252A36"/>
    <w:rPr>
      <w:rFonts w:eastAsiaTheme="majorEastAsia" w:cstheme="majorBidi"/>
      <w:i/>
      <w:sz w:val="24"/>
    </w:rPr>
  </w:style>
  <w:style w:type="paragraph" w:customStyle="1" w:styleId="NormalTab">
    <w:name w:val="Normal Tab"/>
    <w:basedOn w:val="Normal"/>
    <w:link w:val="NormalTabChar"/>
    <w:qFormat/>
    <w:rsid w:val="00252A36"/>
    <w:pPr>
      <w:ind w:left="708"/>
    </w:pPr>
  </w:style>
  <w:style w:type="character" w:customStyle="1" w:styleId="NormalTabChar">
    <w:name w:val="Normal Tab Char"/>
    <w:basedOn w:val="DefaultParagraphFont"/>
    <w:link w:val="NormalTab"/>
    <w:rsid w:val="00252A36"/>
    <w:rPr>
      <w:sz w:val="24"/>
    </w:rPr>
  </w:style>
  <w:style w:type="paragraph" w:styleId="Header">
    <w:name w:val="header"/>
    <w:basedOn w:val="Normal"/>
    <w:link w:val="HeaderChar"/>
    <w:uiPriority w:val="99"/>
    <w:unhideWhenUsed/>
    <w:rsid w:val="00A6505B"/>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A6505B"/>
    <w:rPr>
      <w:sz w:val="24"/>
    </w:rPr>
  </w:style>
  <w:style w:type="paragraph" w:styleId="Footer">
    <w:name w:val="footer"/>
    <w:basedOn w:val="Normal"/>
    <w:link w:val="FooterChar"/>
    <w:uiPriority w:val="99"/>
    <w:unhideWhenUsed/>
    <w:rsid w:val="00A6505B"/>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A6505B"/>
    <w:rPr>
      <w:sz w:val="24"/>
    </w:rPr>
  </w:style>
  <w:style w:type="paragraph" w:styleId="BalloonText">
    <w:name w:val="Balloon Text"/>
    <w:basedOn w:val="Normal"/>
    <w:link w:val="BalloonTextChar"/>
    <w:uiPriority w:val="99"/>
    <w:semiHidden/>
    <w:unhideWhenUsed/>
    <w:rsid w:val="00A6505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05B"/>
    <w:rPr>
      <w:rFonts w:ascii="Tahoma" w:hAnsi="Tahoma" w:cs="Tahoma"/>
      <w:sz w:val="16"/>
      <w:szCs w:val="16"/>
    </w:rPr>
  </w:style>
  <w:style w:type="paragraph" w:styleId="NormalWeb">
    <w:name w:val="Normal (Web)"/>
    <w:basedOn w:val="Normal"/>
    <w:uiPriority w:val="99"/>
    <w:semiHidden/>
    <w:unhideWhenUsed/>
    <w:rsid w:val="00F127D8"/>
    <w:rPr>
      <w:rFonts w:ascii="Times New Roman" w:hAnsi="Times New Roman" w:cs="Times New Roman"/>
      <w:szCs w:val="24"/>
    </w:rPr>
  </w:style>
  <w:style w:type="character" w:styleId="Hyperlink">
    <w:name w:val="Hyperlink"/>
    <w:basedOn w:val="DefaultParagraphFont"/>
    <w:uiPriority w:val="99"/>
    <w:unhideWhenUsed/>
    <w:rsid w:val="00F127D8"/>
    <w:rPr>
      <w:color w:val="0000FF" w:themeColor="hyperlink"/>
      <w:u w:val="single"/>
    </w:rPr>
  </w:style>
  <w:style w:type="paragraph" w:styleId="Title">
    <w:name w:val="Title"/>
    <w:basedOn w:val="Normal"/>
    <w:next w:val="Normal"/>
    <w:link w:val="TitleChar"/>
    <w:uiPriority w:val="10"/>
    <w:qFormat/>
    <w:rsid w:val="00451F6C"/>
    <w:pPr>
      <w:spacing w:after="80" w:line="192" w:lineRule="auto"/>
      <w:ind w:left="1134"/>
      <w:jc w:val="left"/>
    </w:pPr>
    <w:rPr>
      <w:rFonts w:ascii="Calibri" w:eastAsia="Times New Roman" w:hAnsi="Calibri" w:cs="Times New Roman"/>
      <w:noProof/>
      <w:spacing w:val="-10"/>
      <w:kern w:val="28"/>
      <w:sz w:val="28"/>
      <w:szCs w:val="40"/>
      <w:lang w:val="en-US"/>
    </w:rPr>
  </w:style>
  <w:style w:type="character" w:customStyle="1" w:styleId="TitleChar">
    <w:name w:val="Title Char"/>
    <w:basedOn w:val="DefaultParagraphFont"/>
    <w:link w:val="Title"/>
    <w:uiPriority w:val="10"/>
    <w:rsid w:val="00451F6C"/>
    <w:rPr>
      <w:rFonts w:ascii="Calibri" w:eastAsia="Times New Roman" w:hAnsi="Calibri" w:cs="Times New Roman"/>
      <w:noProof/>
      <w:spacing w:val="-10"/>
      <w:kern w:val="28"/>
      <w:sz w:val="28"/>
      <w:szCs w:val="40"/>
      <w:lang w:val="en-US"/>
    </w:rPr>
  </w:style>
  <w:style w:type="character" w:styleId="CommentReference">
    <w:name w:val="annotation reference"/>
    <w:basedOn w:val="DefaultParagraphFont"/>
    <w:uiPriority w:val="99"/>
    <w:semiHidden/>
    <w:unhideWhenUsed/>
    <w:rsid w:val="00451F6C"/>
    <w:rPr>
      <w:sz w:val="16"/>
      <w:szCs w:val="16"/>
    </w:rPr>
  </w:style>
  <w:style w:type="paragraph" w:styleId="CommentText">
    <w:name w:val="annotation text"/>
    <w:basedOn w:val="Normal"/>
    <w:link w:val="CommentTextChar"/>
    <w:uiPriority w:val="99"/>
    <w:semiHidden/>
    <w:unhideWhenUsed/>
    <w:rsid w:val="00451F6C"/>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451F6C"/>
    <w:rPr>
      <w:sz w:val="20"/>
      <w:szCs w:val="20"/>
      <w:lang w:val="en-US"/>
    </w:rPr>
  </w:style>
  <w:style w:type="paragraph" w:styleId="CommentSubject">
    <w:name w:val="annotation subject"/>
    <w:basedOn w:val="CommentText"/>
    <w:next w:val="CommentText"/>
    <w:link w:val="CommentSubjectChar"/>
    <w:uiPriority w:val="99"/>
    <w:semiHidden/>
    <w:unhideWhenUsed/>
    <w:rsid w:val="00451F6C"/>
    <w:rPr>
      <w:b/>
      <w:bCs/>
      <w:lang w:val="sr-Latn-ME"/>
    </w:rPr>
  </w:style>
  <w:style w:type="character" w:customStyle="1" w:styleId="CommentSubjectChar">
    <w:name w:val="Comment Subject Char"/>
    <w:basedOn w:val="CommentTextChar"/>
    <w:link w:val="CommentSubject"/>
    <w:uiPriority w:val="99"/>
    <w:semiHidden/>
    <w:rsid w:val="00451F6C"/>
    <w:rPr>
      <w:b/>
      <w:bCs/>
      <w:sz w:val="20"/>
      <w:szCs w:val="20"/>
      <w:lang w:val="en-US"/>
    </w:rPr>
  </w:style>
  <w:style w:type="table" w:styleId="TableGrid">
    <w:name w:val="Table Grid"/>
    <w:basedOn w:val="TableNormal"/>
    <w:uiPriority w:val="59"/>
    <w:rsid w:val="00370754"/>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0754"/>
    <w:pPr>
      <w:spacing w:before="0" w:after="200" w:line="240" w:lineRule="auto"/>
      <w:ind w:left="720"/>
      <w:contextualSpacing/>
      <w:jc w:val="left"/>
    </w:pPr>
    <w:rPr>
      <w:szCs w:val="24"/>
      <w:lang w:val="en-US" w:eastAsia="ja-JP"/>
    </w:rPr>
  </w:style>
  <w:style w:type="character" w:styleId="UnresolvedMention">
    <w:name w:val="Unresolved Mention"/>
    <w:basedOn w:val="DefaultParagraphFont"/>
    <w:uiPriority w:val="99"/>
    <w:semiHidden/>
    <w:unhideWhenUsed/>
    <w:rsid w:val="00E62554"/>
    <w:rPr>
      <w:color w:val="605E5C"/>
      <w:shd w:val="clear" w:color="auto" w:fill="E1DFDD"/>
    </w:rPr>
  </w:style>
  <w:style w:type="paragraph" w:styleId="Revision">
    <w:name w:val="Revision"/>
    <w:hidden/>
    <w:uiPriority w:val="99"/>
    <w:semiHidden/>
    <w:rsid w:val="00933054"/>
    <w:pPr>
      <w:spacing w:after="0" w:line="240" w:lineRule="auto"/>
    </w:pPr>
    <w:rPr>
      <w:sz w:val="24"/>
    </w:rPr>
  </w:style>
  <w:style w:type="paragraph" w:styleId="NoSpacing">
    <w:name w:val="No Spacing"/>
    <w:uiPriority w:val="1"/>
    <w:qFormat/>
    <w:rsid w:val="003B2313"/>
    <w:pPr>
      <w:spacing w:after="0" w:line="240" w:lineRule="auto"/>
      <w:jc w:val="both"/>
    </w:pPr>
    <w:rPr>
      <w:sz w:val="24"/>
    </w:rPr>
  </w:style>
  <w:style w:type="character" w:styleId="Strong">
    <w:name w:val="Strong"/>
    <w:basedOn w:val="DefaultParagraphFont"/>
    <w:uiPriority w:val="22"/>
    <w:qFormat/>
    <w:rsid w:val="00A82C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71430">
      <w:bodyDiv w:val="1"/>
      <w:marLeft w:val="0"/>
      <w:marRight w:val="0"/>
      <w:marTop w:val="0"/>
      <w:marBottom w:val="0"/>
      <w:divBdr>
        <w:top w:val="none" w:sz="0" w:space="0" w:color="auto"/>
        <w:left w:val="none" w:sz="0" w:space="0" w:color="auto"/>
        <w:bottom w:val="none" w:sz="0" w:space="0" w:color="auto"/>
        <w:right w:val="none" w:sz="0" w:space="0" w:color="auto"/>
      </w:divBdr>
    </w:div>
    <w:div w:id="126431337">
      <w:bodyDiv w:val="1"/>
      <w:marLeft w:val="0"/>
      <w:marRight w:val="0"/>
      <w:marTop w:val="0"/>
      <w:marBottom w:val="0"/>
      <w:divBdr>
        <w:top w:val="none" w:sz="0" w:space="0" w:color="auto"/>
        <w:left w:val="none" w:sz="0" w:space="0" w:color="auto"/>
        <w:bottom w:val="none" w:sz="0" w:space="0" w:color="auto"/>
        <w:right w:val="none" w:sz="0" w:space="0" w:color="auto"/>
      </w:divBdr>
    </w:div>
    <w:div w:id="139229477">
      <w:bodyDiv w:val="1"/>
      <w:marLeft w:val="0"/>
      <w:marRight w:val="0"/>
      <w:marTop w:val="0"/>
      <w:marBottom w:val="0"/>
      <w:divBdr>
        <w:top w:val="none" w:sz="0" w:space="0" w:color="auto"/>
        <w:left w:val="none" w:sz="0" w:space="0" w:color="auto"/>
        <w:bottom w:val="none" w:sz="0" w:space="0" w:color="auto"/>
        <w:right w:val="none" w:sz="0" w:space="0" w:color="auto"/>
      </w:divBdr>
    </w:div>
    <w:div w:id="249512717">
      <w:bodyDiv w:val="1"/>
      <w:marLeft w:val="0"/>
      <w:marRight w:val="0"/>
      <w:marTop w:val="0"/>
      <w:marBottom w:val="0"/>
      <w:divBdr>
        <w:top w:val="none" w:sz="0" w:space="0" w:color="auto"/>
        <w:left w:val="none" w:sz="0" w:space="0" w:color="auto"/>
        <w:bottom w:val="none" w:sz="0" w:space="0" w:color="auto"/>
        <w:right w:val="none" w:sz="0" w:space="0" w:color="auto"/>
      </w:divBdr>
    </w:div>
    <w:div w:id="262223418">
      <w:bodyDiv w:val="1"/>
      <w:marLeft w:val="0"/>
      <w:marRight w:val="0"/>
      <w:marTop w:val="0"/>
      <w:marBottom w:val="0"/>
      <w:divBdr>
        <w:top w:val="none" w:sz="0" w:space="0" w:color="auto"/>
        <w:left w:val="none" w:sz="0" w:space="0" w:color="auto"/>
        <w:bottom w:val="none" w:sz="0" w:space="0" w:color="auto"/>
        <w:right w:val="none" w:sz="0" w:space="0" w:color="auto"/>
      </w:divBdr>
    </w:div>
    <w:div w:id="323976082">
      <w:bodyDiv w:val="1"/>
      <w:marLeft w:val="0"/>
      <w:marRight w:val="0"/>
      <w:marTop w:val="0"/>
      <w:marBottom w:val="0"/>
      <w:divBdr>
        <w:top w:val="none" w:sz="0" w:space="0" w:color="auto"/>
        <w:left w:val="none" w:sz="0" w:space="0" w:color="auto"/>
        <w:bottom w:val="none" w:sz="0" w:space="0" w:color="auto"/>
        <w:right w:val="none" w:sz="0" w:space="0" w:color="auto"/>
      </w:divBdr>
    </w:div>
    <w:div w:id="328991393">
      <w:bodyDiv w:val="1"/>
      <w:marLeft w:val="0"/>
      <w:marRight w:val="0"/>
      <w:marTop w:val="0"/>
      <w:marBottom w:val="0"/>
      <w:divBdr>
        <w:top w:val="none" w:sz="0" w:space="0" w:color="auto"/>
        <w:left w:val="none" w:sz="0" w:space="0" w:color="auto"/>
        <w:bottom w:val="none" w:sz="0" w:space="0" w:color="auto"/>
        <w:right w:val="none" w:sz="0" w:space="0" w:color="auto"/>
      </w:divBdr>
    </w:div>
    <w:div w:id="426002520">
      <w:bodyDiv w:val="1"/>
      <w:marLeft w:val="0"/>
      <w:marRight w:val="0"/>
      <w:marTop w:val="0"/>
      <w:marBottom w:val="0"/>
      <w:divBdr>
        <w:top w:val="none" w:sz="0" w:space="0" w:color="auto"/>
        <w:left w:val="none" w:sz="0" w:space="0" w:color="auto"/>
        <w:bottom w:val="none" w:sz="0" w:space="0" w:color="auto"/>
        <w:right w:val="none" w:sz="0" w:space="0" w:color="auto"/>
      </w:divBdr>
    </w:div>
    <w:div w:id="466361403">
      <w:bodyDiv w:val="1"/>
      <w:marLeft w:val="0"/>
      <w:marRight w:val="0"/>
      <w:marTop w:val="0"/>
      <w:marBottom w:val="0"/>
      <w:divBdr>
        <w:top w:val="none" w:sz="0" w:space="0" w:color="auto"/>
        <w:left w:val="none" w:sz="0" w:space="0" w:color="auto"/>
        <w:bottom w:val="none" w:sz="0" w:space="0" w:color="auto"/>
        <w:right w:val="none" w:sz="0" w:space="0" w:color="auto"/>
      </w:divBdr>
    </w:div>
    <w:div w:id="521362215">
      <w:bodyDiv w:val="1"/>
      <w:marLeft w:val="0"/>
      <w:marRight w:val="0"/>
      <w:marTop w:val="0"/>
      <w:marBottom w:val="0"/>
      <w:divBdr>
        <w:top w:val="none" w:sz="0" w:space="0" w:color="auto"/>
        <w:left w:val="none" w:sz="0" w:space="0" w:color="auto"/>
        <w:bottom w:val="none" w:sz="0" w:space="0" w:color="auto"/>
        <w:right w:val="none" w:sz="0" w:space="0" w:color="auto"/>
      </w:divBdr>
    </w:div>
    <w:div w:id="564608851">
      <w:bodyDiv w:val="1"/>
      <w:marLeft w:val="0"/>
      <w:marRight w:val="0"/>
      <w:marTop w:val="0"/>
      <w:marBottom w:val="0"/>
      <w:divBdr>
        <w:top w:val="none" w:sz="0" w:space="0" w:color="auto"/>
        <w:left w:val="none" w:sz="0" w:space="0" w:color="auto"/>
        <w:bottom w:val="none" w:sz="0" w:space="0" w:color="auto"/>
        <w:right w:val="none" w:sz="0" w:space="0" w:color="auto"/>
      </w:divBdr>
    </w:div>
    <w:div w:id="575087600">
      <w:bodyDiv w:val="1"/>
      <w:marLeft w:val="0"/>
      <w:marRight w:val="0"/>
      <w:marTop w:val="0"/>
      <w:marBottom w:val="0"/>
      <w:divBdr>
        <w:top w:val="none" w:sz="0" w:space="0" w:color="auto"/>
        <w:left w:val="none" w:sz="0" w:space="0" w:color="auto"/>
        <w:bottom w:val="none" w:sz="0" w:space="0" w:color="auto"/>
        <w:right w:val="none" w:sz="0" w:space="0" w:color="auto"/>
      </w:divBdr>
    </w:div>
    <w:div w:id="639726228">
      <w:bodyDiv w:val="1"/>
      <w:marLeft w:val="0"/>
      <w:marRight w:val="0"/>
      <w:marTop w:val="0"/>
      <w:marBottom w:val="0"/>
      <w:divBdr>
        <w:top w:val="none" w:sz="0" w:space="0" w:color="auto"/>
        <w:left w:val="none" w:sz="0" w:space="0" w:color="auto"/>
        <w:bottom w:val="none" w:sz="0" w:space="0" w:color="auto"/>
        <w:right w:val="none" w:sz="0" w:space="0" w:color="auto"/>
      </w:divBdr>
    </w:div>
    <w:div w:id="643630591">
      <w:bodyDiv w:val="1"/>
      <w:marLeft w:val="0"/>
      <w:marRight w:val="0"/>
      <w:marTop w:val="0"/>
      <w:marBottom w:val="0"/>
      <w:divBdr>
        <w:top w:val="none" w:sz="0" w:space="0" w:color="auto"/>
        <w:left w:val="none" w:sz="0" w:space="0" w:color="auto"/>
        <w:bottom w:val="none" w:sz="0" w:space="0" w:color="auto"/>
        <w:right w:val="none" w:sz="0" w:space="0" w:color="auto"/>
      </w:divBdr>
    </w:div>
    <w:div w:id="687289961">
      <w:bodyDiv w:val="1"/>
      <w:marLeft w:val="0"/>
      <w:marRight w:val="0"/>
      <w:marTop w:val="0"/>
      <w:marBottom w:val="0"/>
      <w:divBdr>
        <w:top w:val="none" w:sz="0" w:space="0" w:color="auto"/>
        <w:left w:val="none" w:sz="0" w:space="0" w:color="auto"/>
        <w:bottom w:val="none" w:sz="0" w:space="0" w:color="auto"/>
        <w:right w:val="none" w:sz="0" w:space="0" w:color="auto"/>
      </w:divBdr>
    </w:div>
    <w:div w:id="727193790">
      <w:bodyDiv w:val="1"/>
      <w:marLeft w:val="0"/>
      <w:marRight w:val="0"/>
      <w:marTop w:val="0"/>
      <w:marBottom w:val="0"/>
      <w:divBdr>
        <w:top w:val="none" w:sz="0" w:space="0" w:color="auto"/>
        <w:left w:val="none" w:sz="0" w:space="0" w:color="auto"/>
        <w:bottom w:val="none" w:sz="0" w:space="0" w:color="auto"/>
        <w:right w:val="none" w:sz="0" w:space="0" w:color="auto"/>
      </w:divBdr>
    </w:div>
    <w:div w:id="728843377">
      <w:bodyDiv w:val="1"/>
      <w:marLeft w:val="0"/>
      <w:marRight w:val="0"/>
      <w:marTop w:val="0"/>
      <w:marBottom w:val="0"/>
      <w:divBdr>
        <w:top w:val="none" w:sz="0" w:space="0" w:color="auto"/>
        <w:left w:val="none" w:sz="0" w:space="0" w:color="auto"/>
        <w:bottom w:val="none" w:sz="0" w:space="0" w:color="auto"/>
        <w:right w:val="none" w:sz="0" w:space="0" w:color="auto"/>
      </w:divBdr>
    </w:div>
    <w:div w:id="768624073">
      <w:bodyDiv w:val="1"/>
      <w:marLeft w:val="0"/>
      <w:marRight w:val="0"/>
      <w:marTop w:val="0"/>
      <w:marBottom w:val="0"/>
      <w:divBdr>
        <w:top w:val="none" w:sz="0" w:space="0" w:color="auto"/>
        <w:left w:val="none" w:sz="0" w:space="0" w:color="auto"/>
        <w:bottom w:val="none" w:sz="0" w:space="0" w:color="auto"/>
        <w:right w:val="none" w:sz="0" w:space="0" w:color="auto"/>
      </w:divBdr>
    </w:div>
    <w:div w:id="846821302">
      <w:bodyDiv w:val="1"/>
      <w:marLeft w:val="0"/>
      <w:marRight w:val="0"/>
      <w:marTop w:val="0"/>
      <w:marBottom w:val="0"/>
      <w:divBdr>
        <w:top w:val="none" w:sz="0" w:space="0" w:color="auto"/>
        <w:left w:val="none" w:sz="0" w:space="0" w:color="auto"/>
        <w:bottom w:val="none" w:sz="0" w:space="0" w:color="auto"/>
        <w:right w:val="none" w:sz="0" w:space="0" w:color="auto"/>
      </w:divBdr>
    </w:div>
    <w:div w:id="975992855">
      <w:bodyDiv w:val="1"/>
      <w:marLeft w:val="0"/>
      <w:marRight w:val="0"/>
      <w:marTop w:val="0"/>
      <w:marBottom w:val="0"/>
      <w:divBdr>
        <w:top w:val="none" w:sz="0" w:space="0" w:color="auto"/>
        <w:left w:val="none" w:sz="0" w:space="0" w:color="auto"/>
        <w:bottom w:val="none" w:sz="0" w:space="0" w:color="auto"/>
        <w:right w:val="none" w:sz="0" w:space="0" w:color="auto"/>
      </w:divBdr>
    </w:div>
    <w:div w:id="1002314633">
      <w:bodyDiv w:val="1"/>
      <w:marLeft w:val="0"/>
      <w:marRight w:val="0"/>
      <w:marTop w:val="0"/>
      <w:marBottom w:val="0"/>
      <w:divBdr>
        <w:top w:val="none" w:sz="0" w:space="0" w:color="auto"/>
        <w:left w:val="none" w:sz="0" w:space="0" w:color="auto"/>
        <w:bottom w:val="none" w:sz="0" w:space="0" w:color="auto"/>
        <w:right w:val="none" w:sz="0" w:space="0" w:color="auto"/>
      </w:divBdr>
    </w:div>
    <w:div w:id="1024290547">
      <w:bodyDiv w:val="1"/>
      <w:marLeft w:val="0"/>
      <w:marRight w:val="0"/>
      <w:marTop w:val="0"/>
      <w:marBottom w:val="0"/>
      <w:divBdr>
        <w:top w:val="none" w:sz="0" w:space="0" w:color="auto"/>
        <w:left w:val="none" w:sz="0" w:space="0" w:color="auto"/>
        <w:bottom w:val="none" w:sz="0" w:space="0" w:color="auto"/>
        <w:right w:val="none" w:sz="0" w:space="0" w:color="auto"/>
      </w:divBdr>
    </w:div>
    <w:div w:id="1036152728">
      <w:bodyDiv w:val="1"/>
      <w:marLeft w:val="0"/>
      <w:marRight w:val="0"/>
      <w:marTop w:val="0"/>
      <w:marBottom w:val="0"/>
      <w:divBdr>
        <w:top w:val="none" w:sz="0" w:space="0" w:color="auto"/>
        <w:left w:val="none" w:sz="0" w:space="0" w:color="auto"/>
        <w:bottom w:val="none" w:sz="0" w:space="0" w:color="auto"/>
        <w:right w:val="none" w:sz="0" w:space="0" w:color="auto"/>
      </w:divBdr>
    </w:div>
    <w:div w:id="1108547828">
      <w:bodyDiv w:val="1"/>
      <w:marLeft w:val="0"/>
      <w:marRight w:val="0"/>
      <w:marTop w:val="0"/>
      <w:marBottom w:val="0"/>
      <w:divBdr>
        <w:top w:val="none" w:sz="0" w:space="0" w:color="auto"/>
        <w:left w:val="none" w:sz="0" w:space="0" w:color="auto"/>
        <w:bottom w:val="none" w:sz="0" w:space="0" w:color="auto"/>
        <w:right w:val="none" w:sz="0" w:space="0" w:color="auto"/>
      </w:divBdr>
    </w:div>
    <w:div w:id="1115367602">
      <w:bodyDiv w:val="1"/>
      <w:marLeft w:val="0"/>
      <w:marRight w:val="0"/>
      <w:marTop w:val="0"/>
      <w:marBottom w:val="0"/>
      <w:divBdr>
        <w:top w:val="none" w:sz="0" w:space="0" w:color="auto"/>
        <w:left w:val="none" w:sz="0" w:space="0" w:color="auto"/>
        <w:bottom w:val="none" w:sz="0" w:space="0" w:color="auto"/>
        <w:right w:val="none" w:sz="0" w:space="0" w:color="auto"/>
      </w:divBdr>
    </w:div>
    <w:div w:id="1151947009">
      <w:bodyDiv w:val="1"/>
      <w:marLeft w:val="0"/>
      <w:marRight w:val="0"/>
      <w:marTop w:val="0"/>
      <w:marBottom w:val="0"/>
      <w:divBdr>
        <w:top w:val="none" w:sz="0" w:space="0" w:color="auto"/>
        <w:left w:val="none" w:sz="0" w:space="0" w:color="auto"/>
        <w:bottom w:val="none" w:sz="0" w:space="0" w:color="auto"/>
        <w:right w:val="none" w:sz="0" w:space="0" w:color="auto"/>
      </w:divBdr>
      <w:divsChild>
        <w:div w:id="854538122">
          <w:marLeft w:val="0"/>
          <w:marRight w:val="0"/>
          <w:marTop w:val="0"/>
          <w:marBottom w:val="0"/>
          <w:divBdr>
            <w:top w:val="none" w:sz="0" w:space="0" w:color="auto"/>
            <w:left w:val="none" w:sz="0" w:space="0" w:color="auto"/>
            <w:bottom w:val="none" w:sz="0" w:space="0" w:color="auto"/>
            <w:right w:val="none" w:sz="0" w:space="0" w:color="auto"/>
          </w:divBdr>
        </w:div>
      </w:divsChild>
    </w:div>
    <w:div w:id="1177117221">
      <w:bodyDiv w:val="1"/>
      <w:marLeft w:val="0"/>
      <w:marRight w:val="0"/>
      <w:marTop w:val="0"/>
      <w:marBottom w:val="0"/>
      <w:divBdr>
        <w:top w:val="none" w:sz="0" w:space="0" w:color="auto"/>
        <w:left w:val="none" w:sz="0" w:space="0" w:color="auto"/>
        <w:bottom w:val="none" w:sz="0" w:space="0" w:color="auto"/>
        <w:right w:val="none" w:sz="0" w:space="0" w:color="auto"/>
      </w:divBdr>
    </w:div>
    <w:div w:id="1253704396">
      <w:bodyDiv w:val="1"/>
      <w:marLeft w:val="0"/>
      <w:marRight w:val="0"/>
      <w:marTop w:val="0"/>
      <w:marBottom w:val="0"/>
      <w:divBdr>
        <w:top w:val="none" w:sz="0" w:space="0" w:color="auto"/>
        <w:left w:val="none" w:sz="0" w:space="0" w:color="auto"/>
        <w:bottom w:val="none" w:sz="0" w:space="0" w:color="auto"/>
        <w:right w:val="none" w:sz="0" w:space="0" w:color="auto"/>
      </w:divBdr>
    </w:div>
    <w:div w:id="1267077914">
      <w:bodyDiv w:val="1"/>
      <w:marLeft w:val="0"/>
      <w:marRight w:val="0"/>
      <w:marTop w:val="0"/>
      <w:marBottom w:val="0"/>
      <w:divBdr>
        <w:top w:val="none" w:sz="0" w:space="0" w:color="auto"/>
        <w:left w:val="none" w:sz="0" w:space="0" w:color="auto"/>
        <w:bottom w:val="none" w:sz="0" w:space="0" w:color="auto"/>
        <w:right w:val="none" w:sz="0" w:space="0" w:color="auto"/>
      </w:divBdr>
    </w:div>
    <w:div w:id="1336803907">
      <w:bodyDiv w:val="1"/>
      <w:marLeft w:val="0"/>
      <w:marRight w:val="0"/>
      <w:marTop w:val="0"/>
      <w:marBottom w:val="0"/>
      <w:divBdr>
        <w:top w:val="none" w:sz="0" w:space="0" w:color="auto"/>
        <w:left w:val="none" w:sz="0" w:space="0" w:color="auto"/>
        <w:bottom w:val="none" w:sz="0" w:space="0" w:color="auto"/>
        <w:right w:val="none" w:sz="0" w:space="0" w:color="auto"/>
      </w:divBdr>
    </w:div>
    <w:div w:id="1375424314">
      <w:bodyDiv w:val="1"/>
      <w:marLeft w:val="0"/>
      <w:marRight w:val="0"/>
      <w:marTop w:val="0"/>
      <w:marBottom w:val="0"/>
      <w:divBdr>
        <w:top w:val="none" w:sz="0" w:space="0" w:color="auto"/>
        <w:left w:val="none" w:sz="0" w:space="0" w:color="auto"/>
        <w:bottom w:val="none" w:sz="0" w:space="0" w:color="auto"/>
        <w:right w:val="none" w:sz="0" w:space="0" w:color="auto"/>
      </w:divBdr>
    </w:div>
    <w:div w:id="1432971994">
      <w:bodyDiv w:val="1"/>
      <w:marLeft w:val="0"/>
      <w:marRight w:val="0"/>
      <w:marTop w:val="0"/>
      <w:marBottom w:val="0"/>
      <w:divBdr>
        <w:top w:val="none" w:sz="0" w:space="0" w:color="auto"/>
        <w:left w:val="none" w:sz="0" w:space="0" w:color="auto"/>
        <w:bottom w:val="none" w:sz="0" w:space="0" w:color="auto"/>
        <w:right w:val="none" w:sz="0" w:space="0" w:color="auto"/>
      </w:divBdr>
    </w:div>
    <w:div w:id="1457523395">
      <w:bodyDiv w:val="1"/>
      <w:marLeft w:val="0"/>
      <w:marRight w:val="0"/>
      <w:marTop w:val="0"/>
      <w:marBottom w:val="0"/>
      <w:divBdr>
        <w:top w:val="none" w:sz="0" w:space="0" w:color="auto"/>
        <w:left w:val="none" w:sz="0" w:space="0" w:color="auto"/>
        <w:bottom w:val="none" w:sz="0" w:space="0" w:color="auto"/>
        <w:right w:val="none" w:sz="0" w:space="0" w:color="auto"/>
      </w:divBdr>
    </w:div>
    <w:div w:id="1484813628">
      <w:bodyDiv w:val="1"/>
      <w:marLeft w:val="0"/>
      <w:marRight w:val="0"/>
      <w:marTop w:val="0"/>
      <w:marBottom w:val="0"/>
      <w:divBdr>
        <w:top w:val="none" w:sz="0" w:space="0" w:color="auto"/>
        <w:left w:val="none" w:sz="0" w:space="0" w:color="auto"/>
        <w:bottom w:val="none" w:sz="0" w:space="0" w:color="auto"/>
        <w:right w:val="none" w:sz="0" w:space="0" w:color="auto"/>
      </w:divBdr>
    </w:div>
    <w:div w:id="1550989744">
      <w:bodyDiv w:val="1"/>
      <w:marLeft w:val="0"/>
      <w:marRight w:val="0"/>
      <w:marTop w:val="0"/>
      <w:marBottom w:val="0"/>
      <w:divBdr>
        <w:top w:val="none" w:sz="0" w:space="0" w:color="auto"/>
        <w:left w:val="none" w:sz="0" w:space="0" w:color="auto"/>
        <w:bottom w:val="none" w:sz="0" w:space="0" w:color="auto"/>
        <w:right w:val="none" w:sz="0" w:space="0" w:color="auto"/>
      </w:divBdr>
    </w:div>
    <w:div w:id="1608734663">
      <w:bodyDiv w:val="1"/>
      <w:marLeft w:val="0"/>
      <w:marRight w:val="0"/>
      <w:marTop w:val="0"/>
      <w:marBottom w:val="0"/>
      <w:divBdr>
        <w:top w:val="none" w:sz="0" w:space="0" w:color="auto"/>
        <w:left w:val="none" w:sz="0" w:space="0" w:color="auto"/>
        <w:bottom w:val="none" w:sz="0" w:space="0" w:color="auto"/>
        <w:right w:val="none" w:sz="0" w:space="0" w:color="auto"/>
      </w:divBdr>
      <w:divsChild>
        <w:div w:id="986323255">
          <w:marLeft w:val="0"/>
          <w:marRight w:val="0"/>
          <w:marTop w:val="0"/>
          <w:marBottom w:val="0"/>
          <w:divBdr>
            <w:top w:val="none" w:sz="0" w:space="0" w:color="auto"/>
            <w:left w:val="none" w:sz="0" w:space="0" w:color="auto"/>
            <w:bottom w:val="none" w:sz="0" w:space="0" w:color="auto"/>
            <w:right w:val="none" w:sz="0" w:space="0" w:color="auto"/>
          </w:divBdr>
          <w:divsChild>
            <w:div w:id="1592466352">
              <w:marLeft w:val="0"/>
              <w:marRight w:val="0"/>
              <w:marTop w:val="0"/>
              <w:marBottom w:val="0"/>
              <w:divBdr>
                <w:top w:val="none" w:sz="0" w:space="0" w:color="auto"/>
                <w:left w:val="none" w:sz="0" w:space="0" w:color="auto"/>
                <w:bottom w:val="none" w:sz="0" w:space="0" w:color="auto"/>
                <w:right w:val="none" w:sz="0" w:space="0" w:color="auto"/>
              </w:divBdr>
            </w:div>
          </w:divsChild>
        </w:div>
        <w:div w:id="1421827546">
          <w:marLeft w:val="0"/>
          <w:marRight w:val="0"/>
          <w:marTop w:val="0"/>
          <w:marBottom w:val="0"/>
          <w:divBdr>
            <w:top w:val="none" w:sz="0" w:space="0" w:color="auto"/>
            <w:left w:val="none" w:sz="0" w:space="0" w:color="auto"/>
            <w:bottom w:val="none" w:sz="0" w:space="0" w:color="auto"/>
            <w:right w:val="none" w:sz="0" w:space="0" w:color="auto"/>
          </w:divBdr>
        </w:div>
        <w:div w:id="90707165">
          <w:marLeft w:val="0"/>
          <w:marRight w:val="0"/>
          <w:marTop w:val="0"/>
          <w:marBottom w:val="0"/>
          <w:divBdr>
            <w:top w:val="none" w:sz="0" w:space="0" w:color="auto"/>
            <w:left w:val="none" w:sz="0" w:space="0" w:color="auto"/>
            <w:bottom w:val="none" w:sz="0" w:space="0" w:color="auto"/>
            <w:right w:val="none" w:sz="0" w:space="0" w:color="auto"/>
          </w:divBdr>
          <w:divsChild>
            <w:div w:id="1348170109">
              <w:marLeft w:val="0"/>
              <w:marRight w:val="0"/>
              <w:marTop w:val="0"/>
              <w:marBottom w:val="0"/>
              <w:divBdr>
                <w:top w:val="none" w:sz="0" w:space="0" w:color="auto"/>
                <w:left w:val="none" w:sz="0" w:space="0" w:color="auto"/>
                <w:bottom w:val="none" w:sz="0" w:space="0" w:color="auto"/>
                <w:right w:val="none" w:sz="0" w:space="0" w:color="auto"/>
              </w:divBdr>
              <w:divsChild>
                <w:div w:id="63917554">
                  <w:marLeft w:val="0"/>
                  <w:marRight w:val="0"/>
                  <w:marTop w:val="0"/>
                  <w:marBottom w:val="0"/>
                  <w:divBdr>
                    <w:top w:val="none" w:sz="0" w:space="0" w:color="auto"/>
                    <w:left w:val="none" w:sz="0" w:space="0" w:color="auto"/>
                    <w:bottom w:val="none" w:sz="0" w:space="0" w:color="auto"/>
                    <w:right w:val="none" w:sz="0" w:space="0" w:color="auto"/>
                  </w:divBdr>
                  <w:divsChild>
                    <w:div w:id="491288414">
                      <w:marLeft w:val="0"/>
                      <w:marRight w:val="0"/>
                      <w:marTop w:val="0"/>
                      <w:marBottom w:val="0"/>
                      <w:divBdr>
                        <w:top w:val="none" w:sz="0" w:space="0" w:color="auto"/>
                        <w:left w:val="none" w:sz="0" w:space="0" w:color="auto"/>
                        <w:bottom w:val="none" w:sz="0" w:space="0" w:color="auto"/>
                        <w:right w:val="none" w:sz="0" w:space="0" w:color="auto"/>
                      </w:divBdr>
                      <w:divsChild>
                        <w:div w:id="7011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93913">
      <w:bodyDiv w:val="1"/>
      <w:marLeft w:val="0"/>
      <w:marRight w:val="0"/>
      <w:marTop w:val="0"/>
      <w:marBottom w:val="0"/>
      <w:divBdr>
        <w:top w:val="none" w:sz="0" w:space="0" w:color="auto"/>
        <w:left w:val="none" w:sz="0" w:space="0" w:color="auto"/>
        <w:bottom w:val="none" w:sz="0" w:space="0" w:color="auto"/>
        <w:right w:val="none" w:sz="0" w:space="0" w:color="auto"/>
      </w:divBdr>
    </w:div>
    <w:div w:id="1621912156">
      <w:bodyDiv w:val="1"/>
      <w:marLeft w:val="0"/>
      <w:marRight w:val="0"/>
      <w:marTop w:val="0"/>
      <w:marBottom w:val="0"/>
      <w:divBdr>
        <w:top w:val="none" w:sz="0" w:space="0" w:color="auto"/>
        <w:left w:val="none" w:sz="0" w:space="0" w:color="auto"/>
        <w:bottom w:val="none" w:sz="0" w:space="0" w:color="auto"/>
        <w:right w:val="none" w:sz="0" w:space="0" w:color="auto"/>
      </w:divBdr>
    </w:div>
    <w:div w:id="1643460857">
      <w:bodyDiv w:val="1"/>
      <w:marLeft w:val="0"/>
      <w:marRight w:val="0"/>
      <w:marTop w:val="0"/>
      <w:marBottom w:val="0"/>
      <w:divBdr>
        <w:top w:val="none" w:sz="0" w:space="0" w:color="auto"/>
        <w:left w:val="none" w:sz="0" w:space="0" w:color="auto"/>
        <w:bottom w:val="none" w:sz="0" w:space="0" w:color="auto"/>
        <w:right w:val="none" w:sz="0" w:space="0" w:color="auto"/>
      </w:divBdr>
    </w:div>
    <w:div w:id="1659383401">
      <w:bodyDiv w:val="1"/>
      <w:marLeft w:val="0"/>
      <w:marRight w:val="0"/>
      <w:marTop w:val="0"/>
      <w:marBottom w:val="0"/>
      <w:divBdr>
        <w:top w:val="none" w:sz="0" w:space="0" w:color="auto"/>
        <w:left w:val="none" w:sz="0" w:space="0" w:color="auto"/>
        <w:bottom w:val="none" w:sz="0" w:space="0" w:color="auto"/>
        <w:right w:val="none" w:sz="0" w:space="0" w:color="auto"/>
      </w:divBdr>
    </w:div>
    <w:div w:id="1673217965">
      <w:bodyDiv w:val="1"/>
      <w:marLeft w:val="0"/>
      <w:marRight w:val="0"/>
      <w:marTop w:val="0"/>
      <w:marBottom w:val="0"/>
      <w:divBdr>
        <w:top w:val="none" w:sz="0" w:space="0" w:color="auto"/>
        <w:left w:val="none" w:sz="0" w:space="0" w:color="auto"/>
        <w:bottom w:val="none" w:sz="0" w:space="0" w:color="auto"/>
        <w:right w:val="none" w:sz="0" w:space="0" w:color="auto"/>
      </w:divBdr>
    </w:div>
    <w:div w:id="1696345746">
      <w:bodyDiv w:val="1"/>
      <w:marLeft w:val="0"/>
      <w:marRight w:val="0"/>
      <w:marTop w:val="0"/>
      <w:marBottom w:val="0"/>
      <w:divBdr>
        <w:top w:val="none" w:sz="0" w:space="0" w:color="auto"/>
        <w:left w:val="none" w:sz="0" w:space="0" w:color="auto"/>
        <w:bottom w:val="none" w:sz="0" w:space="0" w:color="auto"/>
        <w:right w:val="none" w:sz="0" w:space="0" w:color="auto"/>
      </w:divBdr>
    </w:div>
    <w:div w:id="1752462729">
      <w:bodyDiv w:val="1"/>
      <w:marLeft w:val="0"/>
      <w:marRight w:val="0"/>
      <w:marTop w:val="0"/>
      <w:marBottom w:val="0"/>
      <w:divBdr>
        <w:top w:val="none" w:sz="0" w:space="0" w:color="auto"/>
        <w:left w:val="none" w:sz="0" w:space="0" w:color="auto"/>
        <w:bottom w:val="none" w:sz="0" w:space="0" w:color="auto"/>
        <w:right w:val="none" w:sz="0" w:space="0" w:color="auto"/>
      </w:divBdr>
    </w:div>
    <w:div w:id="1770151569">
      <w:bodyDiv w:val="1"/>
      <w:marLeft w:val="0"/>
      <w:marRight w:val="0"/>
      <w:marTop w:val="0"/>
      <w:marBottom w:val="0"/>
      <w:divBdr>
        <w:top w:val="none" w:sz="0" w:space="0" w:color="auto"/>
        <w:left w:val="none" w:sz="0" w:space="0" w:color="auto"/>
        <w:bottom w:val="none" w:sz="0" w:space="0" w:color="auto"/>
        <w:right w:val="none" w:sz="0" w:space="0" w:color="auto"/>
      </w:divBdr>
    </w:div>
    <w:div w:id="1930843177">
      <w:bodyDiv w:val="1"/>
      <w:marLeft w:val="0"/>
      <w:marRight w:val="0"/>
      <w:marTop w:val="0"/>
      <w:marBottom w:val="0"/>
      <w:divBdr>
        <w:top w:val="none" w:sz="0" w:space="0" w:color="auto"/>
        <w:left w:val="none" w:sz="0" w:space="0" w:color="auto"/>
        <w:bottom w:val="none" w:sz="0" w:space="0" w:color="auto"/>
        <w:right w:val="none" w:sz="0" w:space="0" w:color="auto"/>
      </w:divBdr>
    </w:div>
    <w:div w:id="1968930076">
      <w:bodyDiv w:val="1"/>
      <w:marLeft w:val="0"/>
      <w:marRight w:val="0"/>
      <w:marTop w:val="0"/>
      <w:marBottom w:val="0"/>
      <w:divBdr>
        <w:top w:val="none" w:sz="0" w:space="0" w:color="auto"/>
        <w:left w:val="none" w:sz="0" w:space="0" w:color="auto"/>
        <w:bottom w:val="none" w:sz="0" w:space="0" w:color="auto"/>
        <w:right w:val="none" w:sz="0" w:space="0" w:color="auto"/>
      </w:divBdr>
    </w:div>
    <w:div w:id="2044985742">
      <w:bodyDiv w:val="1"/>
      <w:marLeft w:val="0"/>
      <w:marRight w:val="0"/>
      <w:marTop w:val="0"/>
      <w:marBottom w:val="0"/>
      <w:divBdr>
        <w:top w:val="none" w:sz="0" w:space="0" w:color="auto"/>
        <w:left w:val="none" w:sz="0" w:space="0" w:color="auto"/>
        <w:bottom w:val="none" w:sz="0" w:space="0" w:color="auto"/>
        <w:right w:val="none" w:sz="0" w:space="0" w:color="auto"/>
      </w:divBdr>
    </w:div>
    <w:div w:id="206799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oecd.org/content/dam/oecd/en/publications/reports/2026/06/sme-policy-index-for-western-balkans-and-turkiye-2026-economy-profile-for-montenegro_5f032a35/8b6d7a9f-en.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api.gov.me/download/a765ef66-9ae1-42d8-8802-0ad28144f6fe?version=1.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cg.me/me/javnost-rada/aktuelno/saopstenja/odrzana-sjednica-nacionalnog-komiteta-za-finansijsku-edukaciju-visok-stepen-realizacije-akcionog-plana-za-2025-godinu?id=2970"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cbcg.me/slike_i_fajlovi/fajlovi/fajlovi_o_nama/drustvena_odgovornost/finansijska_edukacija/program_razvoja_finansijske_edukacije_2023-2027.pdf"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oecd.org/content/dam/oecd/en/publications/reports/2020/05/financial-literacy-of-adults-in-south-east-europe_4bc7fc5f/c639aa3c-en.pdf" TargetMode="External"/><Relationship Id="rId14" Type="http://schemas.openxmlformats.org/officeDocument/2006/relationships/hyperlink" Target="https://www.cbcg.me/r/javnost-rada/aktuelno/saopstenja/nacionalni-komitet-za-razvoj-finansijske-edukacije-usvojio-akcioni-plan-za-2025-godinu?id=268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jjj</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94F39-6BF5-471F-82DA-06510B946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5130</Words>
  <Characters>29247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Sektorska analiza 2027 – Finansijska pismenost za održivi razvoj – radna verzija za konsultacije</vt:lpstr>
    </vt:vector>
  </TitlesOfParts>
  <Company/>
  <LinksUpToDate>false</LinksUpToDate>
  <CharactersWithSpaces>34309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Sektorska analiza 2027 – Finansijska pismenost za održivi razvoj – radna verzija za konsultacije</dc:title>
  <dc:subject>Korigovana sektorska analiza za 2027. godinu</dc:subject>
  <dc:creator>Vlada Crne Gore</dc:creator>
  <cp:keywords>finansijska pismenost, regionalni razvoj, nevladine organizacije, 2027</cp:keywords>
  <cp:lastModifiedBy>Milena Vujacic</cp:lastModifiedBy>
  <cp:revision>6</cp:revision>
  <cp:lastPrinted>2026-08-06T08:16:00Z</cp:lastPrinted>
  <dcterms:created xsi:type="dcterms:W3CDTF">2026-09-09T07:19:00Z</dcterms:created>
  <dcterms:modified xsi:type="dcterms:W3CDTF">2026-09-10T07:27:00Z</dcterms:modified>
</cp:coreProperties>
</file>