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6D5F4E">
      <w:pPr>
        <w:pStyle w:val="1tekst"/>
        <w:rPr>
          <w:rFonts w:ascii="Tahoma" w:hAnsi="Tahoma" w:cs="Tahoma"/>
        </w:rPr>
      </w:pPr>
      <w:bookmarkStart w:id="0" w:name="_GoBack"/>
      <w:bookmarkEnd w:id="0"/>
      <w:r>
        <w:rPr>
          <w:rFonts w:ascii="Tahoma" w:hAnsi="Tahoma" w:cs="Tahoma"/>
        </w:rPr>
        <w:t>Na osnovu člana 12 st. 2 i 3 Uredbe o Vladi Crne Gore ("Službeni list CG", br. 80/08, 14/17, 28/18, 63/22 i 121/23), Vlada Crne Gore je, 11. maja 2026. godine, bez održavanja sjednice, na osnovu pribavljenih saglasnosti većine članova Vlade, donijela</w:t>
      </w:r>
    </w:p>
    <w:p w:rsidR="00000000" w:rsidRDefault="006D5F4E">
      <w:pPr>
        <w:pStyle w:val="2zakon"/>
        <w:rPr>
          <w:rFonts w:ascii="Tahoma" w:hAnsi="Tahoma" w:cs="Tahoma"/>
        </w:rPr>
      </w:pPr>
      <w:r>
        <w:rPr>
          <w:rFonts w:ascii="Tahoma" w:hAnsi="Tahoma" w:cs="Tahoma"/>
        </w:rPr>
        <w:t>Odluku o obrazovanju Komisije za integritet</w:t>
      </w:r>
    </w:p>
    <w:p w:rsidR="00000000" w:rsidRDefault="006D5F4E">
      <w:pPr>
        <w:pStyle w:val="3mesto"/>
        <w:rPr>
          <w:rFonts w:ascii="Tahoma" w:hAnsi="Tahoma" w:cs="Tahoma"/>
        </w:rPr>
      </w:pPr>
      <w:r>
        <w:rPr>
          <w:rFonts w:ascii="Tahoma" w:hAnsi="Tahoma" w:cs="Tahoma"/>
        </w:rPr>
        <w:t>Odluka je objavljena u "Službenom listu CG", br. 78/2026 od 8.6.2026. godine, a stupila je na snagu 16.6.2026.</w:t>
      </w:r>
    </w:p>
    <w:p w:rsidR="00000000" w:rsidRDefault="006D5F4E">
      <w:pPr>
        <w:jc w:val="center"/>
        <w:divId w:val="1589071746"/>
        <w:rPr>
          <w:rFonts w:ascii="Tahoma" w:eastAsia="Times New Roman" w:hAnsi="Tahoma" w:cs="Tahoma"/>
          <w:b/>
          <w:bCs/>
        </w:rPr>
      </w:pPr>
      <w:r>
        <w:rPr>
          <w:rFonts w:ascii="Tahoma" w:eastAsia="Times New Roman" w:hAnsi="Tahoma" w:cs="Tahoma"/>
          <w:b/>
          <w:bCs/>
        </w:rPr>
        <w:t>Član 1</w:t>
      </w:r>
    </w:p>
    <w:p w:rsidR="00000000" w:rsidRDefault="006D5F4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Ovom odlukom obrazuje se Komisija za integritet (u daljem tekstu: Komisija) i utvrđuju sastav,</w:t>
      </w:r>
      <w:r>
        <w:rPr>
          <w:rFonts w:ascii="Tahoma" w:hAnsi="Tahoma" w:cs="Tahoma"/>
        </w:rPr>
        <w:t xml:space="preserve"> zadaci i druga pitanja od značaja za unapređenje integriteta u okviru izvršne vlasti.</w:t>
      </w:r>
    </w:p>
    <w:p w:rsidR="00000000" w:rsidRDefault="006D5F4E">
      <w:pPr>
        <w:jc w:val="center"/>
        <w:divId w:val="183830909"/>
        <w:rPr>
          <w:rFonts w:ascii="Tahoma" w:eastAsia="Times New Roman" w:hAnsi="Tahoma" w:cs="Tahoma"/>
          <w:b/>
          <w:bCs/>
        </w:rPr>
      </w:pPr>
      <w:r>
        <w:rPr>
          <w:rFonts w:ascii="Tahoma" w:eastAsia="Times New Roman" w:hAnsi="Tahoma" w:cs="Tahoma"/>
          <w:b/>
          <w:bCs/>
        </w:rPr>
        <w:t>Član 2</w:t>
      </w:r>
    </w:p>
    <w:p w:rsidR="00000000" w:rsidRDefault="006D5F4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Izrazi koji se u ovoj odluci koriste za fizička lica u muškom rodu podrazumijevaju iste izraze u ženskom rodu.</w:t>
      </w:r>
    </w:p>
    <w:p w:rsidR="00000000" w:rsidRDefault="006D5F4E">
      <w:pPr>
        <w:jc w:val="center"/>
        <w:divId w:val="516117493"/>
        <w:rPr>
          <w:rFonts w:ascii="Tahoma" w:eastAsia="Times New Roman" w:hAnsi="Tahoma" w:cs="Tahoma"/>
          <w:b/>
          <w:bCs/>
        </w:rPr>
      </w:pPr>
      <w:r>
        <w:rPr>
          <w:rFonts w:ascii="Tahoma" w:eastAsia="Times New Roman" w:hAnsi="Tahoma" w:cs="Tahoma"/>
          <w:b/>
          <w:bCs/>
        </w:rPr>
        <w:t>Član 3</w:t>
      </w:r>
    </w:p>
    <w:p w:rsidR="00000000" w:rsidRDefault="006D5F4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Komisiju čine:</w:t>
      </w:r>
    </w:p>
    <w:p w:rsidR="00000000" w:rsidRDefault="006D5F4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1) predstavnik Generalnog sek</w:t>
      </w:r>
      <w:r>
        <w:rPr>
          <w:rFonts w:ascii="Tahoma" w:hAnsi="Tahoma" w:cs="Tahoma"/>
        </w:rPr>
        <w:t>retarijata Vlade Crne Gore;</w:t>
      </w:r>
    </w:p>
    <w:p w:rsidR="00000000" w:rsidRDefault="006D5F4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2) predstavnik Ministarstva pravde;</w:t>
      </w:r>
    </w:p>
    <w:p w:rsidR="00000000" w:rsidRDefault="006D5F4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3) predstavnik Sekretarijata za zakonodavstvo.</w:t>
      </w:r>
    </w:p>
    <w:p w:rsidR="00000000" w:rsidRDefault="006D5F4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Komisija ima sekretara koji obavlja stručne i administrativno-tehničke poslove za potrebe Komisije.</w:t>
      </w:r>
    </w:p>
    <w:p w:rsidR="00000000" w:rsidRDefault="006D5F4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Sekretar Komisije određuje se iz reda zaposle</w:t>
      </w:r>
      <w:r>
        <w:rPr>
          <w:rFonts w:ascii="Tahoma" w:hAnsi="Tahoma" w:cs="Tahoma"/>
        </w:rPr>
        <w:t>nih u Generalnom sekretarijatu Vlade Crne Gore.</w:t>
      </w:r>
    </w:p>
    <w:p w:rsidR="00000000" w:rsidRDefault="006D5F4E">
      <w:pPr>
        <w:jc w:val="center"/>
        <w:divId w:val="769618183"/>
        <w:rPr>
          <w:rFonts w:ascii="Tahoma" w:eastAsia="Times New Roman" w:hAnsi="Tahoma" w:cs="Tahoma"/>
          <w:b/>
          <w:bCs/>
        </w:rPr>
      </w:pPr>
      <w:r>
        <w:rPr>
          <w:rFonts w:ascii="Tahoma" w:eastAsia="Times New Roman" w:hAnsi="Tahoma" w:cs="Tahoma"/>
          <w:b/>
          <w:bCs/>
        </w:rPr>
        <w:t>Član 4</w:t>
      </w:r>
    </w:p>
    <w:p w:rsidR="00000000" w:rsidRDefault="006D5F4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Zadaci Komisije su da:</w:t>
      </w:r>
    </w:p>
    <w:p w:rsidR="00000000" w:rsidRDefault="006D5F4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1) obezbijedi savjetovanje lica na najvišim funkcijama izvršne vlasti koje se odnosi na sukob interesa, primanje i davanje poklona, izvještaje o prihodima i imovini i druga pitan</w:t>
      </w:r>
      <w:r>
        <w:rPr>
          <w:rFonts w:ascii="Tahoma" w:hAnsi="Tahoma" w:cs="Tahoma"/>
        </w:rPr>
        <w:t>ja od značaja za pravno-etički integritet;</w:t>
      </w:r>
    </w:p>
    <w:p w:rsidR="00000000" w:rsidRDefault="006D5F4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2) pripremi smjernice koje se odnose na integritet lica na najvišim funkcijama izvršne vlasti;</w:t>
      </w:r>
    </w:p>
    <w:p w:rsidR="00000000" w:rsidRDefault="006D5F4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3) sprovede aktivnosti u cilju jačanja integriteta lica na najvišim funkcijama izvršne vlasti;</w:t>
      </w:r>
    </w:p>
    <w:p w:rsidR="00000000" w:rsidRDefault="006D5F4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 xml:space="preserve">4) identifikuje rizike </w:t>
      </w:r>
      <w:r>
        <w:rPr>
          <w:rFonts w:ascii="Tahoma" w:hAnsi="Tahoma" w:cs="Tahoma"/>
        </w:rPr>
        <w:t>i slabosti u sistemu integriteta lica na najvišim funkcijama izvršne vlasti;</w:t>
      </w:r>
    </w:p>
    <w:p w:rsidR="00000000" w:rsidRDefault="006D5F4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5) predlaže mjere za jačanje etike, transparentnosti i odgovornosti lica na najvišim funkcijama izvršne vlasti;</w:t>
      </w:r>
    </w:p>
    <w:p w:rsidR="00000000" w:rsidRDefault="006D5F4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6) pripremi godišnji plan obuka za savjetovanje lica na najvišim fu</w:t>
      </w:r>
      <w:r>
        <w:rPr>
          <w:rFonts w:ascii="Tahoma" w:hAnsi="Tahoma" w:cs="Tahoma"/>
        </w:rPr>
        <w:t>nkcijama izvršne vlasti;</w:t>
      </w:r>
    </w:p>
    <w:p w:rsidR="00000000" w:rsidRDefault="006D5F4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lastRenderedPageBreak/>
        <w:t>7) sarađuje sa organom nadležnim za sprečavanje korupcije.</w:t>
      </w:r>
    </w:p>
    <w:p w:rsidR="00000000" w:rsidRDefault="006D5F4E">
      <w:pPr>
        <w:jc w:val="center"/>
        <w:divId w:val="781464279"/>
        <w:rPr>
          <w:rFonts w:ascii="Tahoma" w:eastAsia="Times New Roman" w:hAnsi="Tahoma" w:cs="Tahoma"/>
          <w:b/>
          <w:bCs/>
        </w:rPr>
      </w:pPr>
      <w:r>
        <w:rPr>
          <w:rFonts w:ascii="Tahoma" w:eastAsia="Times New Roman" w:hAnsi="Tahoma" w:cs="Tahoma"/>
          <w:b/>
          <w:bCs/>
        </w:rPr>
        <w:t>Član 5</w:t>
      </w:r>
    </w:p>
    <w:p w:rsidR="00000000" w:rsidRDefault="006D5F4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Savjetovanje iz člana 4 stav 1 tačka 1 ove odluke je povjerljivo.</w:t>
      </w:r>
    </w:p>
    <w:p w:rsidR="00000000" w:rsidRDefault="006D5F4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Članovi Komisije dužni su da sa podacima i informacijama do kojih dođu u radu postupaju u skladu sa</w:t>
      </w:r>
      <w:r>
        <w:rPr>
          <w:rFonts w:ascii="Tahoma" w:hAnsi="Tahoma" w:cs="Tahoma"/>
        </w:rPr>
        <w:t xml:space="preserve"> propisima kojima se uređuje tajnost podataka i zaštita podataka o ličnosti.</w:t>
      </w:r>
    </w:p>
    <w:p w:rsidR="00000000" w:rsidRDefault="006D5F4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Obaveza čuvanja povjerljivosti odnosi se i na sva lica uključena u rad Komisije i traje i nakon prestanka njihovog angažmana.</w:t>
      </w:r>
    </w:p>
    <w:p w:rsidR="00000000" w:rsidRDefault="006D5F4E">
      <w:pPr>
        <w:jc w:val="center"/>
        <w:divId w:val="1887403960"/>
        <w:rPr>
          <w:rFonts w:ascii="Tahoma" w:eastAsia="Times New Roman" w:hAnsi="Tahoma" w:cs="Tahoma"/>
          <w:b/>
          <w:bCs/>
        </w:rPr>
      </w:pPr>
      <w:r>
        <w:rPr>
          <w:rFonts w:ascii="Tahoma" w:eastAsia="Times New Roman" w:hAnsi="Tahoma" w:cs="Tahoma"/>
          <w:b/>
          <w:bCs/>
        </w:rPr>
        <w:t>Član 6</w:t>
      </w:r>
    </w:p>
    <w:p w:rsidR="00000000" w:rsidRDefault="006D5F4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 xml:space="preserve">Vlada posebnom odlukom imenuje članove i </w:t>
      </w:r>
      <w:r>
        <w:rPr>
          <w:rFonts w:ascii="Tahoma" w:hAnsi="Tahoma" w:cs="Tahoma"/>
        </w:rPr>
        <w:t>sekretara Komisije.</w:t>
      </w:r>
    </w:p>
    <w:p w:rsidR="00000000" w:rsidRDefault="006D5F4E">
      <w:pPr>
        <w:jc w:val="center"/>
        <w:divId w:val="295108870"/>
        <w:rPr>
          <w:rFonts w:ascii="Tahoma" w:eastAsia="Times New Roman" w:hAnsi="Tahoma" w:cs="Tahoma"/>
          <w:b/>
          <w:bCs/>
        </w:rPr>
      </w:pPr>
      <w:r>
        <w:rPr>
          <w:rFonts w:ascii="Tahoma" w:eastAsia="Times New Roman" w:hAnsi="Tahoma" w:cs="Tahoma"/>
          <w:b/>
          <w:bCs/>
        </w:rPr>
        <w:t>Član 7</w:t>
      </w:r>
    </w:p>
    <w:p w:rsidR="00000000" w:rsidRDefault="006D5F4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Kandidata za predstavnika Komisije predlažu starješine organa.</w:t>
      </w:r>
    </w:p>
    <w:p w:rsidR="00000000" w:rsidRDefault="006D5F4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Kandidati iz stava 1 ovog člana moraju imati najmanje VII1 nivo kvalifikacije obrazovanja i najmanje tri godine radnog iskustva, od čega najmanje jednu godinu na posl</w:t>
      </w:r>
      <w:r>
        <w:rPr>
          <w:rFonts w:ascii="Tahoma" w:hAnsi="Tahoma" w:cs="Tahoma"/>
        </w:rPr>
        <w:t>ovima koji se odnose na oblast sprečavanja korupcije.</w:t>
      </w:r>
    </w:p>
    <w:p w:rsidR="00000000" w:rsidRDefault="006D5F4E">
      <w:pPr>
        <w:jc w:val="center"/>
        <w:divId w:val="2019500698"/>
        <w:rPr>
          <w:rFonts w:ascii="Tahoma" w:eastAsia="Times New Roman" w:hAnsi="Tahoma" w:cs="Tahoma"/>
          <w:b/>
          <w:bCs/>
        </w:rPr>
      </w:pPr>
      <w:r>
        <w:rPr>
          <w:rFonts w:ascii="Tahoma" w:eastAsia="Times New Roman" w:hAnsi="Tahoma" w:cs="Tahoma"/>
          <w:b/>
          <w:bCs/>
        </w:rPr>
        <w:t>Član 8</w:t>
      </w:r>
    </w:p>
    <w:p w:rsidR="00000000" w:rsidRDefault="006D5F4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Komisija donosi Poslovnik o radu.</w:t>
      </w:r>
    </w:p>
    <w:p w:rsidR="00000000" w:rsidRDefault="006D5F4E">
      <w:pPr>
        <w:jc w:val="center"/>
        <w:divId w:val="392584221"/>
        <w:rPr>
          <w:rFonts w:ascii="Tahoma" w:eastAsia="Times New Roman" w:hAnsi="Tahoma" w:cs="Tahoma"/>
          <w:b/>
          <w:bCs/>
        </w:rPr>
      </w:pPr>
      <w:r>
        <w:rPr>
          <w:rFonts w:ascii="Tahoma" w:eastAsia="Times New Roman" w:hAnsi="Tahoma" w:cs="Tahoma"/>
          <w:b/>
          <w:bCs/>
        </w:rPr>
        <w:t>Član 9</w:t>
      </w:r>
    </w:p>
    <w:p w:rsidR="00000000" w:rsidRDefault="006D5F4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Generalni sekretarijat Vlade obezbjeđuje prostorno tehničke uslove za potrebe rada Komisije.</w:t>
      </w:r>
    </w:p>
    <w:p w:rsidR="00000000" w:rsidRDefault="006D5F4E">
      <w:pPr>
        <w:jc w:val="center"/>
        <w:divId w:val="2012223285"/>
        <w:rPr>
          <w:rFonts w:ascii="Tahoma" w:eastAsia="Times New Roman" w:hAnsi="Tahoma" w:cs="Tahoma"/>
          <w:b/>
          <w:bCs/>
        </w:rPr>
      </w:pPr>
      <w:r>
        <w:rPr>
          <w:rFonts w:ascii="Tahoma" w:eastAsia="Times New Roman" w:hAnsi="Tahoma" w:cs="Tahoma"/>
          <w:b/>
          <w:bCs/>
        </w:rPr>
        <w:t>Član 10</w:t>
      </w:r>
    </w:p>
    <w:p w:rsidR="00000000" w:rsidRDefault="006D5F4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Članovima i sekretaru Komisije pripada mjesečna nakna</w:t>
      </w:r>
      <w:r>
        <w:rPr>
          <w:rFonts w:ascii="Tahoma" w:hAnsi="Tahoma" w:cs="Tahoma"/>
        </w:rPr>
        <w:t>da za rad.</w:t>
      </w:r>
    </w:p>
    <w:p w:rsidR="00000000" w:rsidRDefault="006D5F4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Visina naknade iz stava 1 ovog člana utvrđuje se posebnom odlukom Vlade.</w:t>
      </w:r>
    </w:p>
    <w:p w:rsidR="00000000" w:rsidRDefault="006D5F4E">
      <w:pPr>
        <w:jc w:val="center"/>
        <w:divId w:val="993487733"/>
        <w:rPr>
          <w:rFonts w:ascii="Tahoma" w:eastAsia="Times New Roman" w:hAnsi="Tahoma" w:cs="Tahoma"/>
          <w:b/>
          <w:bCs/>
        </w:rPr>
      </w:pPr>
      <w:r>
        <w:rPr>
          <w:rFonts w:ascii="Tahoma" w:eastAsia="Times New Roman" w:hAnsi="Tahoma" w:cs="Tahoma"/>
          <w:b/>
          <w:bCs/>
        </w:rPr>
        <w:t>Član 11</w:t>
      </w:r>
    </w:p>
    <w:p w:rsidR="00000000" w:rsidRDefault="006D5F4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Komisija jednom godišnje podnosi Vladi Crne Gore izvještaj o radu.</w:t>
      </w:r>
    </w:p>
    <w:p w:rsidR="00000000" w:rsidRDefault="006D5F4E">
      <w:pPr>
        <w:jc w:val="center"/>
        <w:divId w:val="625695292"/>
        <w:rPr>
          <w:rFonts w:ascii="Tahoma" w:eastAsia="Times New Roman" w:hAnsi="Tahoma" w:cs="Tahoma"/>
          <w:b/>
          <w:bCs/>
        </w:rPr>
      </w:pPr>
      <w:r>
        <w:rPr>
          <w:rFonts w:ascii="Tahoma" w:eastAsia="Times New Roman" w:hAnsi="Tahoma" w:cs="Tahoma"/>
          <w:b/>
          <w:bCs/>
        </w:rPr>
        <w:t>Član 12</w:t>
      </w:r>
    </w:p>
    <w:p w:rsidR="00000000" w:rsidRDefault="006D5F4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Ova odluka stupa na snagu osmog dana od dana objavljivanja u "Službenom listu Crne Gore".</w:t>
      </w:r>
    </w:p>
    <w:p w:rsidR="00000000" w:rsidRDefault="006D5F4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Broj: 11-010/26-1817/2</w:t>
      </w:r>
    </w:p>
    <w:p w:rsidR="00000000" w:rsidRDefault="006D5F4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Podgorica, 11. maja 2026. godine</w:t>
      </w:r>
    </w:p>
    <w:p w:rsidR="00000000" w:rsidRDefault="006D5F4E">
      <w:pPr>
        <w:pStyle w:val="1tekst"/>
        <w:jc w:val="center"/>
        <w:rPr>
          <w:rFonts w:ascii="Tahoma" w:hAnsi="Tahoma" w:cs="Tahoma"/>
        </w:rPr>
      </w:pPr>
      <w:r>
        <w:rPr>
          <w:rFonts w:ascii="Tahoma" w:hAnsi="Tahoma" w:cs="Tahoma"/>
          <w:b/>
          <w:bCs/>
        </w:rPr>
        <w:t>Vlada Crne Gore</w:t>
      </w:r>
    </w:p>
    <w:p w:rsidR="00000000" w:rsidRDefault="006D5F4E">
      <w:pPr>
        <w:pStyle w:val="1tekst"/>
        <w:jc w:val="right"/>
        <w:rPr>
          <w:rFonts w:ascii="Tahoma" w:hAnsi="Tahoma" w:cs="Tahoma"/>
        </w:rPr>
      </w:pPr>
      <w:r>
        <w:rPr>
          <w:rFonts w:ascii="Tahoma" w:hAnsi="Tahoma" w:cs="Tahoma"/>
        </w:rPr>
        <w:t>Predsjednik,</w:t>
      </w:r>
    </w:p>
    <w:p w:rsidR="006D5F4E" w:rsidRDefault="006D5F4E">
      <w:pPr>
        <w:pStyle w:val="1tekst"/>
        <w:jc w:val="right"/>
        <w:rPr>
          <w:rFonts w:ascii="Tahoma" w:hAnsi="Tahoma" w:cs="Tahoma"/>
        </w:rPr>
      </w:pPr>
      <w:r>
        <w:rPr>
          <w:rFonts w:ascii="Tahoma" w:hAnsi="Tahoma" w:cs="Tahoma"/>
        </w:rPr>
        <w:lastRenderedPageBreak/>
        <w:t xml:space="preserve">mr </w:t>
      </w:r>
      <w:r>
        <w:rPr>
          <w:rFonts w:ascii="Tahoma" w:hAnsi="Tahoma" w:cs="Tahoma"/>
          <w:b/>
          <w:bCs/>
        </w:rPr>
        <w:t>Milojko Spajić</w:t>
      </w:r>
      <w:r>
        <w:rPr>
          <w:rFonts w:ascii="Tahoma" w:hAnsi="Tahoma" w:cs="Tahoma"/>
        </w:rPr>
        <w:t>, s.r.</w:t>
      </w:r>
    </w:p>
    <w:sectPr w:rsidR="006D5F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4F5"/>
    <w:rsid w:val="000674F5"/>
    <w:rsid w:val="006D5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EF1521-EF9A-42F7-BE08-CF32A76A7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Pr>
      <w:color w:val="000080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000080"/>
      <w:u w:val="single"/>
    </w:rPr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customStyle="1" w:styleId="1tekst">
    <w:name w:val="_1tekst"/>
    <w:basedOn w:val="Normal"/>
    <w:pPr>
      <w:ind w:left="150" w:right="150" w:firstLine="240"/>
      <w:jc w:val="both"/>
    </w:pPr>
    <w:rPr>
      <w:sz w:val="23"/>
      <w:szCs w:val="23"/>
    </w:rPr>
  </w:style>
  <w:style w:type="paragraph" w:customStyle="1" w:styleId="osnovnitekst">
    <w:name w:val="osnovnitekst"/>
    <w:basedOn w:val="Normal"/>
    <w:pPr>
      <w:spacing w:before="100" w:beforeAutospacing="1" w:after="100" w:afterAutospacing="1"/>
      <w:ind w:left="240" w:right="240"/>
    </w:pPr>
    <w:rPr>
      <w:b/>
      <w:bCs/>
      <w:color w:val="FF0000"/>
      <w:sz w:val="36"/>
      <w:szCs w:val="36"/>
    </w:rPr>
  </w:style>
  <w:style w:type="paragraph" w:customStyle="1" w:styleId="rasir">
    <w:name w:val="rasir"/>
    <w:basedOn w:val="Normal"/>
    <w:pPr>
      <w:spacing w:before="100" w:beforeAutospacing="1" w:after="100" w:afterAutospacing="1"/>
      <w:jc w:val="center"/>
    </w:pPr>
    <w:rPr>
      <w:sz w:val="27"/>
      <w:szCs w:val="27"/>
    </w:rPr>
  </w:style>
  <w:style w:type="paragraph" w:customStyle="1" w:styleId="obrazac">
    <w:name w:val="obrazac"/>
    <w:basedOn w:val="Normal"/>
    <w:pPr>
      <w:spacing w:before="100" w:beforeAutospacing="1" w:after="100" w:afterAutospacing="1"/>
      <w:jc w:val="right"/>
    </w:pPr>
    <w:rPr>
      <w:b/>
      <w:bCs/>
    </w:rPr>
  </w:style>
  <w:style w:type="paragraph" w:customStyle="1" w:styleId="izmene">
    <w:name w:val="izmene"/>
    <w:basedOn w:val="Normal"/>
    <w:pPr>
      <w:shd w:val="clear" w:color="auto" w:fill="FFCCCC"/>
      <w:spacing w:before="100" w:beforeAutospacing="1" w:after="100" w:afterAutospacing="1"/>
      <w:ind w:firstLine="240"/>
    </w:pPr>
    <w:rPr>
      <w:b/>
      <w:bCs/>
      <w:color w:val="000080"/>
      <w:sz w:val="36"/>
      <w:szCs w:val="36"/>
    </w:rPr>
  </w:style>
  <w:style w:type="paragraph" w:customStyle="1" w:styleId="napomena">
    <w:name w:val="napomena"/>
    <w:basedOn w:val="Normal"/>
    <w:pPr>
      <w:shd w:val="clear" w:color="auto" w:fill="FFCCCC"/>
      <w:spacing w:before="100" w:beforeAutospacing="1" w:after="100" w:afterAutospacing="1"/>
      <w:ind w:firstLine="240"/>
    </w:pPr>
    <w:rPr>
      <w:b/>
      <w:bCs/>
      <w:color w:val="008080"/>
      <w:sz w:val="36"/>
      <w:szCs w:val="36"/>
    </w:rPr>
  </w:style>
  <w:style w:type="paragraph" w:customStyle="1" w:styleId="2zakon">
    <w:name w:val="_2zakon"/>
    <w:basedOn w:val="Normal"/>
    <w:pPr>
      <w:spacing w:before="100" w:beforeAutospacing="1" w:after="100" w:afterAutospacing="1"/>
      <w:jc w:val="center"/>
    </w:pPr>
    <w:rPr>
      <w:color w:val="0033CC"/>
      <w:sz w:val="42"/>
      <w:szCs w:val="42"/>
    </w:rPr>
  </w:style>
  <w:style w:type="paragraph" w:customStyle="1" w:styleId="6naslov">
    <w:name w:val="_6naslov"/>
    <w:basedOn w:val="Normal"/>
    <w:pPr>
      <w:spacing w:before="60" w:after="30"/>
      <w:jc w:val="center"/>
    </w:pPr>
    <w:rPr>
      <w:sz w:val="32"/>
      <w:szCs w:val="32"/>
    </w:rPr>
  </w:style>
  <w:style w:type="paragraph" w:customStyle="1" w:styleId="5nadnaslov">
    <w:name w:val="_5nadnaslov"/>
    <w:basedOn w:val="Normal"/>
    <w:pPr>
      <w:spacing w:before="240"/>
      <w:jc w:val="center"/>
    </w:pPr>
    <w:rPr>
      <w:b/>
      <w:bCs/>
      <w:sz w:val="33"/>
      <w:szCs w:val="33"/>
    </w:rPr>
  </w:style>
  <w:style w:type="paragraph" w:customStyle="1" w:styleId="7podnas">
    <w:name w:val="_7podnas"/>
    <w:basedOn w:val="Normal"/>
    <w:pPr>
      <w:spacing w:before="60"/>
      <w:jc w:val="center"/>
    </w:pPr>
    <w:rPr>
      <w:b/>
      <w:bCs/>
      <w:sz w:val="27"/>
      <w:szCs w:val="27"/>
    </w:rPr>
  </w:style>
  <w:style w:type="paragraph" w:customStyle="1" w:styleId="8podpodnas">
    <w:name w:val="_8podpodnas"/>
    <w:basedOn w:val="Normal"/>
    <w:pPr>
      <w:spacing w:before="240" w:after="240"/>
      <w:jc w:val="center"/>
    </w:pPr>
    <w:rPr>
      <w:i/>
      <w:iCs/>
      <w:sz w:val="27"/>
      <w:szCs w:val="27"/>
    </w:rPr>
  </w:style>
  <w:style w:type="paragraph" w:customStyle="1" w:styleId="odeljak">
    <w:name w:val="odeljak"/>
    <w:basedOn w:val="Normal"/>
    <w:pPr>
      <w:spacing w:before="240" w:after="240"/>
      <w:jc w:val="center"/>
    </w:pPr>
  </w:style>
  <w:style w:type="paragraph" w:customStyle="1" w:styleId="3mesto">
    <w:name w:val="_3mesto"/>
    <w:basedOn w:val="Normal"/>
    <w:pPr>
      <w:spacing w:before="100" w:beforeAutospacing="1" w:after="100" w:afterAutospacing="1"/>
      <w:ind w:left="375" w:right="375"/>
      <w:jc w:val="center"/>
    </w:pPr>
  </w:style>
  <w:style w:type="paragraph" w:customStyle="1" w:styleId="4clan">
    <w:name w:val="_4clan"/>
    <w:basedOn w:val="Normal"/>
    <w:pPr>
      <w:spacing w:before="240" w:after="240"/>
      <w:jc w:val="center"/>
    </w:pPr>
    <w:rPr>
      <w:b/>
      <w:bCs/>
    </w:rPr>
  </w:style>
  <w:style w:type="paragraph" w:customStyle="1" w:styleId="medjclan">
    <w:name w:val="medjclan"/>
    <w:basedOn w:val="Normal"/>
    <w:pPr>
      <w:spacing w:before="240" w:after="240"/>
      <w:jc w:val="center"/>
    </w:pPr>
    <w:rPr>
      <w:b/>
      <w:bCs/>
      <w:sz w:val="29"/>
      <w:szCs w:val="29"/>
    </w:rPr>
  </w:style>
  <w:style w:type="paragraph" w:customStyle="1" w:styleId="medjtekst">
    <w:name w:val="medjtekst"/>
    <w:basedOn w:val="Normal"/>
    <w:pPr>
      <w:ind w:left="525" w:right="525" w:firstLine="240"/>
      <w:jc w:val="both"/>
    </w:pPr>
    <w:rPr>
      <w:sz w:val="27"/>
      <w:szCs w:val="27"/>
    </w:rPr>
  </w:style>
  <w:style w:type="paragraph" w:customStyle="1" w:styleId="glava">
    <w:name w:val="glava"/>
    <w:basedOn w:val="Normal"/>
    <w:pPr>
      <w:spacing w:before="240" w:after="240"/>
      <w:jc w:val="center"/>
    </w:pPr>
    <w:rPr>
      <w:b/>
      <w:bCs/>
      <w:i/>
      <w:iCs/>
      <w:sz w:val="36"/>
      <w:szCs w:val="36"/>
    </w:rPr>
  </w:style>
  <w:style w:type="paragraph" w:customStyle="1" w:styleId="deo">
    <w:name w:val="deo"/>
    <w:basedOn w:val="Normal"/>
    <w:pPr>
      <w:spacing w:before="240" w:after="240"/>
      <w:jc w:val="center"/>
    </w:pPr>
    <w:rPr>
      <w:b/>
      <w:bCs/>
      <w:sz w:val="33"/>
      <w:szCs w:val="33"/>
    </w:rPr>
  </w:style>
  <w:style w:type="paragraph" w:customStyle="1" w:styleId="vidi">
    <w:name w:val="vidi"/>
    <w:basedOn w:val="Normal"/>
    <w:pPr>
      <w:ind w:right="1650"/>
    </w:pPr>
    <w:rPr>
      <w:b/>
      <w:bCs/>
      <w:color w:val="800000"/>
      <w:sz w:val="20"/>
      <w:szCs w:val="20"/>
    </w:rPr>
  </w:style>
  <w:style w:type="paragraph" w:customStyle="1" w:styleId="vidividi">
    <w:name w:val="vidi_vidi"/>
    <w:basedOn w:val="Normal"/>
    <w:rPr>
      <w:b/>
      <w:bCs/>
      <w:color w:val="800000"/>
      <w:sz w:val="20"/>
      <w:szCs w:val="20"/>
    </w:rPr>
  </w:style>
  <w:style w:type="paragraph" w:customStyle="1" w:styleId="nodis">
    <w:name w:val="nodis"/>
    <w:basedOn w:val="Normal"/>
    <w:pPr>
      <w:spacing w:before="100" w:beforeAutospacing="1" w:after="100" w:afterAutospacing="1"/>
    </w:pPr>
    <w:rPr>
      <w:vanish/>
    </w:rPr>
  </w:style>
  <w:style w:type="paragraph" w:customStyle="1" w:styleId="vlinkovi">
    <w:name w:val="vlinkovi"/>
    <w:basedOn w:val="Normal"/>
    <w:pPr>
      <w:ind w:left="375" w:right="375"/>
    </w:pPr>
    <w:rPr>
      <w:sz w:val="20"/>
      <w:szCs w:val="20"/>
    </w:rPr>
  </w:style>
  <w:style w:type="paragraph" w:customStyle="1" w:styleId="vlb">
    <w:name w:val="vlb"/>
    <w:basedOn w:val="Normal"/>
    <w:pPr>
      <w:spacing w:before="100" w:beforeAutospacing="1" w:after="100" w:afterAutospacing="1"/>
    </w:pPr>
    <w:rPr>
      <w:b/>
      <w:bCs/>
      <w:sz w:val="17"/>
      <w:szCs w:val="17"/>
    </w:rPr>
  </w:style>
  <w:style w:type="paragraph" w:customStyle="1" w:styleId="vlnowrap">
    <w:name w:val="vlnowrap"/>
    <w:basedOn w:val="Normal"/>
    <w:pPr>
      <w:spacing w:before="100" w:beforeAutospacing="1" w:after="100" w:afterAutospacing="1"/>
    </w:pPr>
    <w:rPr>
      <w:color w:val="000080"/>
    </w:rPr>
  </w:style>
  <w:style w:type="paragraph" w:customStyle="1" w:styleId="vlf">
    <w:name w:val="vlf"/>
    <w:basedOn w:val="Normal"/>
    <w:pPr>
      <w:shd w:val="clear" w:color="auto" w:fill="FFFFFF"/>
      <w:spacing w:before="75"/>
      <w:ind w:right="225"/>
    </w:pPr>
    <w:rPr>
      <w:b/>
      <w:bCs/>
      <w:color w:val="8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2200717">
      <w:marLeft w:val="0"/>
      <w:marRight w:val="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3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41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108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2519300">
      <w:marLeft w:val="0"/>
      <w:marRight w:val="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19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8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464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3340891">
      <w:marLeft w:val="0"/>
      <w:marRight w:val="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27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69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403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1546205">
      <w:marLeft w:val="0"/>
      <w:marRight w:val="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8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70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584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9384256">
      <w:marLeft w:val="0"/>
      <w:marRight w:val="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67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558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071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149289">
      <w:marLeft w:val="0"/>
      <w:marRight w:val="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52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17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223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9160582">
      <w:marLeft w:val="0"/>
      <w:marRight w:val="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12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0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30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8662882">
      <w:marLeft w:val="0"/>
      <w:marRight w:val="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70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0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48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5092582">
      <w:marLeft w:val="0"/>
      <w:marRight w:val="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8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79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618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0874351">
      <w:marLeft w:val="0"/>
      <w:marRight w:val="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06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18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500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9081096">
      <w:marLeft w:val="0"/>
      <w:marRight w:val="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74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88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695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1774731">
      <w:marLeft w:val="0"/>
      <w:marRight w:val="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13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1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117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473</Words>
  <Characters>2699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 Knezevic</dc:creator>
  <cp:keywords/>
  <dc:description/>
  <cp:lastModifiedBy>Lidija Knezevic</cp:lastModifiedBy>
  <cp:revision>2</cp:revision>
  <dcterms:created xsi:type="dcterms:W3CDTF">2026-10-05T08:03:00Z</dcterms:created>
  <dcterms:modified xsi:type="dcterms:W3CDTF">2026-10-05T08:03:00Z</dcterms:modified>
</cp:coreProperties>
</file>