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46" w:rsidRPr="00A80B83" w:rsidRDefault="00966546" w:rsidP="00A80B83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4F6DE1"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jul</w:t>
      </w: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b/>
          <w:sz w:val="24"/>
          <w:szCs w:val="24"/>
          <w:lang w:val="sr-Latn-ME"/>
        </w:rPr>
      </w:pPr>
      <w:r w:rsidRPr="00A80B83">
        <w:rPr>
          <w:rFonts w:ascii="Garamond" w:hAnsi="Garamond"/>
          <w:b/>
          <w:sz w:val="24"/>
          <w:szCs w:val="24"/>
          <w:lang w:val="sr-Latn-ME"/>
        </w:rPr>
        <w:t xml:space="preserve">Prihodi budžeta </w:t>
      </w:r>
      <w:r w:rsidR="004F6DE1" w:rsidRPr="00A80B83">
        <w:rPr>
          <w:rFonts w:ascii="Garamond" w:hAnsi="Garamond"/>
          <w:sz w:val="24"/>
          <w:szCs w:val="24"/>
          <w:lang w:val="sr-Latn-ME"/>
        </w:rPr>
        <w:t>u periodu januar – jul 2023. godine iznosili su 1.443,9 mil. € ili 23,4</w:t>
      </w:r>
      <w:r w:rsidRPr="00A80B83">
        <w:rPr>
          <w:rFonts w:ascii="Garamond" w:hAnsi="Garamond"/>
          <w:sz w:val="24"/>
          <w:szCs w:val="24"/>
          <w:lang w:val="sr-Latn-ME"/>
        </w:rPr>
        <w:t>% pro</w:t>
      </w:r>
      <w:r w:rsidR="004F6DE1" w:rsidRPr="00A80B83">
        <w:rPr>
          <w:rFonts w:ascii="Garamond" w:hAnsi="Garamond"/>
          <w:sz w:val="24"/>
          <w:szCs w:val="24"/>
          <w:lang w:val="sr-Latn-ME"/>
        </w:rPr>
        <w:t>cijenjenog BDP-a i veći su za 256,7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€ ili 2</w:t>
      </w:r>
      <w:r w:rsidR="004F6DE1" w:rsidRPr="00A80B83">
        <w:rPr>
          <w:rFonts w:ascii="Garamond" w:hAnsi="Garamond"/>
          <w:sz w:val="24"/>
          <w:szCs w:val="24"/>
          <w:lang w:val="sr-Latn-ME"/>
        </w:rPr>
        <w:t>1,6</w:t>
      </w:r>
      <w:r w:rsidRPr="00A80B83">
        <w:rPr>
          <w:rFonts w:ascii="Garamond" w:hAnsi="Garamond"/>
          <w:sz w:val="24"/>
          <w:szCs w:val="24"/>
          <w:lang w:val="sr-Latn-ME"/>
        </w:rPr>
        <w:t>% u odnosu na planirane, dok su u odnosu na upored</w:t>
      </w:r>
      <w:r w:rsidR="004F6DE1" w:rsidRPr="00A80B83">
        <w:rPr>
          <w:rFonts w:ascii="Garamond" w:hAnsi="Garamond"/>
          <w:sz w:val="24"/>
          <w:szCs w:val="24"/>
          <w:lang w:val="sr-Latn-ME"/>
        </w:rPr>
        <w:t>ni period 2022. godine veći za 363,9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 ili 3</w:t>
      </w:r>
      <w:r w:rsidR="004F6DE1" w:rsidRPr="00A80B83">
        <w:rPr>
          <w:rFonts w:ascii="Garamond" w:hAnsi="Garamond"/>
          <w:sz w:val="24"/>
          <w:szCs w:val="24"/>
          <w:lang w:val="sr-Latn-ME"/>
        </w:rPr>
        <w:t>3,7</w:t>
      </w:r>
      <w:r w:rsidR="00907FB8" w:rsidRPr="00A80B83">
        <w:rPr>
          <w:rFonts w:ascii="Garamond" w:hAnsi="Garamond"/>
          <w:sz w:val="24"/>
          <w:szCs w:val="24"/>
          <w:lang w:val="sr-Latn-ME"/>
        </w:rPr>
        <w:t xml:space="preserve">%. </w:t>
      </w:r>
      <w:r w:rsidRPr="00A80B83">
        <w:rPr>
          <w:rFonts w:ascii="Garamond" w:hAnsi="Garamond"/>
          <w:sz w:val="24"/>
          <w:szCs w:val="24"/>
          <w:lang w:val="sr-Latn-ME"/>
        </w:rPr>
        <w:t xml:space="preserve">Najznačajnija pozitivna odstupanja zabilježena su kod </w:t>
      </w:r>
      <w:r w:rsidRPr="00A80B83">
        <w:rPr>
          <w:rFonts w:ascii="Garamond" w:hAnsi="Garamond"/>
          <w:b/>
          <w:sz w:val="24"/>
          <w:szCs w:val="24"/>
          <w:lang w:val="sr-Latn-ME"/>
        </w:rPr>
        <w:t>Ostalih prihoda, Prihoda po osnovu poreza na dodatu vrijednost, Prihoda po osnovu poreza na dobit pravnih lica, Doprinosa za obavezno socijalno osiguranje i Donacija i transfera.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A80B83">
        <w:rPr>
          <w:rFonts w:ascii="Garamond" w:hAnsi="Garamond"/>
          <w:b/>
          <w:sz w:val="24"/>
          <w:szCs w:val="24"/>
          <w:lang w:val="sr-Latn-ME"/>
        </w:rPr>
        <w:t>PDV-a</w:t>
      </w:r>
      <w:r w:rsidR="00907FB8" w:rsidRPr="00A80B83">
        <w:rPr>
          <w:rFonts w:ascii="Garamond" w:hAnsi="Garamond"/>
          <w:sz w:val="24"/>
          <w:szCs w:val="24"/>
          <w:lang w:val="sr-Latn-ME"/>
        </w:rPr>
        <w:t xml:space="preserve"> do kraja jula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mjesec</w:t>
      </w:r>
      <w:r w:rsidR="00F25080" w:rsidRPr="00A80B83">
        <w:rPr>
          <w:rFonts w:ascii="Garamond" w:hAnsi="Garamond"/>
          <w:sz w:val="24"/>
          <w:szCs w:val="24"/>
          <w:lang w:val="sr-Latn-ME"/>
        </w:rPr>
        <w:t>a naplaćeni su u iznosu od 568,3 mil. € što je za 46,4 mil. € ili 8,9</w:t>
      </w:r>
      <w:r w:rsidRPr="00A80B83">
        <w:rPr>
          <w:rFonts w:ascii="Garamond" w:hAnsi="Garamond"/>
          <w:sz w:val="24"/>
          <w:szCs w:val="24"/>
          <w:lang w:val="sr-Latn-ME"/>
        </w:rPr>
        <w:t>% v</w:t>
      </w:r>
      <w:r w:rsidR="00F25080" w:rsidRPr="00A80B83">
        <w:rPr>
          <w:rFonts w:ascii="Garamond" w:hAnsi="Garamond"/>
          <w:sz w:val="24"/>
          <w:szCs w:val="24"/>
          <w:lang w:val="sr-Latn-ME"/>
        </w:rPr>
        <w:t>eće u odnosu na planirane i 83,3 mil. € ili 17,2</w:t>
      </w:r>
      <w:r w:rsidRPr="00A80B83">
        <w:rPr>
          <w:rFonts w:ascii="Garamond" w:hAnsi="Garamond"/>
          <w:sz w:val="24"/>
          <w:szCs w:val="24"/>
          <w:lang w:val="sr-Latn-ME"/>
        </w:rPr>
        <w:t xml:space="preserve">% veće u odnosu na isti period prethodne godine. 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A80B83">
        <w:rPr>
          <w:rFonts w:ascii="Garamond" w:hAnsi="Garamond"/>
          <w:b/>
          <w:sz w:val="24"/>
          <w:szCs w:val="24"/>
          <w:lang w:val="sr-Latn-ME"/>
        </w:rPr>
        <w:t>Poreza na dobit pravnih lica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naplaćeni su u izn</w:t>
      </w:r>
      <w:r w:rsidR="00F25080" w:rsidRPr="00A80B83">
        <w:rPr>
          <w:rFonts w:ascii="Garamond" w:hAnsi="Garamond"/>
          <w:sz w:val="24"/>
          <w:szCs w:val="24"/>
          <w:lang w:val="sr-Latn-ME"/>
        </w:rPr>
        <w:t>osu od 135,8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 i veći </w:t>
      </w:r>
      <w:r w:rsidR="00F25080" w:rsidRPr="00A80B83">
        <w:rPr>
          <w:rFonts w:ascii="Garamond" w:hAnsi="Garamond"/>
          <w:sz w:val="24"/>
          <w:szCs w:val="24"/>
          <w:lang w:val="sr-Latn-ME"/>
        </w:rPr>
        <w:t>su u odnosu na planirane za 31,8 mil. € ili 30,6</w:t>
      </w:r>
      <w:r w:rsidRPr="00A80B83">
        <w:rPr>
          <w:rFonts w:ascii="Garamond" w:hAnsi="Garamond"/>
          <w:sz w:val="24"/>
          <w:szCs w:val="24"/>
          <w:lang w:val="sr-Latn-ME"/>
        </w:rPr>
        <w:t xml:space="preserve">%, dok su u odnosu na uporedni </w:t>
      </w:r>
      <w:r w:rsidR="00F25080" w:rsidRPr="00A80B83">
        <w:rPr>
          <w:rFonts w:ascii="Garamond" w:hAnsi="Garamond"/>
          <w:sz w:val="24"/>
          <w:szCs w:val="24"/>
          <w:lang w:val="sr-Latn-ME"/>
        </w:rPr>
        <w:t>period 2022. godine veći za 58,7 mil. €  ili 76,2%. Značajan rast ove kategorije prihoda,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prevashodno </w:t>
      </w:r>
      <w:r w:rsidR="00F25080" w:rsidRPr="00A80B83">
        <w:rPr>
          <w:rFonts w:ascii="Garamond" w:hAnsi="Garamond"/>
          <w:sz w:val="24"/>
          <w:szCs w:val="24"/>
          <w:lang w:val="sr-Latn-ME"/>
        </w:rPr>
        <w:t xml:space="preserve">je rezultat </w:t>
      </w:r>
      <w:r w:rsidRPr="00A80B83">
        <w:rPr>
          <w:rFonts w:ascii="Garamond" w:hAnsi="Garamond"/>
          <w:sz w:val="24"/>
          <w:szCs w:val="24"/>
          <w:lang w:val="sr-Latn-ME"/>
        </w:rPr>
        <w:t xml:space="preserve">rasta ekonomske aktivnosti i ostvarenih rezulata privrednih subjekata u prethodnoj godini, poboljšanja poreske discipline, kao i implementacije progresivne stope oporezivanja dobiti.  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b/>
          <w:sz w:val="24"/>
          <w:szCs w:val="24"/>
          <w:lang w:val="sr-Latn-ME"/>
        </w:rPr>
        <w:t>Ostali prihodi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u posma</w:t>
      </w:r>
      <w:r w:rsidR="00626B1A" w:rsidRPr="00A80B83">
        <w:rPr>
          <w:rFonts w:ascii="Garamond" w:hAnsi="Garamond"/>
          <w:sz w:val="24"/>
          <w:szCs w:val="24"/>
          <w:lang w:val="sr-Latn-ME"/>
        </w:rPr>
        <w:t>tranom periodu iznosili su 119,8 mil. €, što je za 62,4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 veće u odnosu na planirane, i u odnosu na posmatrani period</w:t>
      </w:r>
      <w:r w:rsidR="00626B1A" w:rsidRPr="00A80B83">
        <w:rPr>
          <w:rFonts w:ascii="Garamond" w:hAnsi="Garamond"/>
          <w:sz w:val="24"/>
          <w:szCs w:val="24"/>
          <w:lang w:val="sr-Latn-ME"/>
        </w:rPr>
        <w:t xml:space="preserve"> prethodne godine veći su za 103,7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€. </w:t>
      </w:r>
      <w:r w:rsidR="00626B1A" w:rsidRPr="00A80B83">
        <w:rPr>
          <w:rFonts w:ascii="Garamond" w:hAnsi="Garamond"/>
          <w:sz w:val="24"/>
          <w:szCs w:val="24"/>
          <w:lang w:val="sr-Latn-ME"/>
        </w:rPr>
        <w:t>N</w:t>
      </w:r>
      <w:r w:rsidRPr="00A80B83">
        <w:rPr>
          <w:rFonts w:ascii="Garamond" w:hAnsi="Garamond"/>
          <w:sz w:val="24"/>
          <w:szCs w:val="24"/>
          <w:lang w:val="sr-Latn-ME"/>
        </w:rPr>
        <w:t xml:space="preserve">ajznačajniji priliv ostvaren je usljed prekida hedžing aranžmana iz 2021. </w:t>
      </w:r>
      <w:r w:rsidR="00626B1A" w:rsidRPr="00A80B83">
        <w:rPr>
          <w:rFonts w:ascii="Garamond" w:hAnsi="Garamond"/>
          <w:sz w:val="24"/>
          <w:szCs w:val="24"/>
          <w:lang w:val="sr-Latn-ME"/>
        </w:rPr>
        <w:t>godine koji je, zaključno sa jul</w:t>
      </w:r>
      <w:r w:rsidRPr="00A80B83">
        <w:rPr>
          <w:rFonts w:ascii="Garamond" w:hAnsi="Garamond"/>
          <w:sz w:val="24"/>
          <w:szCs w:val="24"/>
          <w:lang w:val="sr-Latn-ME"/>
        </w:rPr>
        <w:t>om mjesecom iznosio oko 60 mil. € i prenosa sredstava naplaćenih u okviru implementacije  projekta „Ekonomskog državljanstva“  u iznosu od 34 mil</w:t>
      </w:r>
      <w:r w:rsidR="00C72429" w:rsidRPr="00A80B83">
        <w:rPr>
          <w:rFonts w:ascii="Garamond" w:hAnsi="Garamond"/>
          <w:sz w:val="24"/>
          <w:szCs w:val="24"/>
          <w:lang w:val="sr-Latn-ME"/>
        </w:rPr>
        <w:t>.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€.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Kategorija </w:t>
      </w:r>
      <w:r w:rsidRPr="00A80B83">
        <w:rPr>
          <w:rFonts w:ascii="Garamond" w:hAnsi="Garamond"/>
          <w:b/>
          <w:sz w:val="24"/>
          <w:szCs w:val="24"/>
          <w:lang w:val="sr-Latn-ME"/>
        </w:rPr>
        <w:t>Doprinosa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</w:t>
      </w:r>
      <w:r w:rsidR="00F67E09" w:rsidRPr="00A80B83">
        <w:rPr>
          <w:rFonts w:ascii="Garamond" w:hAnsi="Garamond"/>
          <w:sz w:val="24"/>
          <w:szCs w:val="24"/>
          <w:lang w:val="sr-Latn-ME"/>
        </w:rPr>
        <w:t xml:space="preserve">realizovana je u iznosu </w:t>
      </w:r>
      <w:r w:rsidRPr="00A80B83">
        <w:rPr>
          <w:rFonts w:ascii="Garamond" w:hAnsi="Garamond"/>
          <w:sz w:val="24"/>
          <w:szCs w:val="24"/>
          <w:lang w:val="sr-Latn-ME"/>
        </w:rPr>
        <w:t xml:space="preserve">od </w:t>
      </w:r>
      <w:r w:rsidR="00F67E09" w:rsidRPr="00A80B83">
        <w:rPr>
          <w:rFonts w:ascii="Garamond" w:hAnsi="Garamond"/>
          <w:sz w:val="24"/>
          <w:szCs w:val="24"/>
          <w:lang w:val="sr-Latn-ME"/>
        </w:rPr>
        <w:t>289,8 mil. € što je za 50,3 mil. € ili 21</w:t>
      </w:r>
      <w:r w:rsidRPr="00A80B83">
        <w:rPr>
          <w:rFonts w:ascii="Garamond" w:hAnsi="Garamond"/>
          <w:sz w:val="24"/>
          <w:szCs w:val="24"/>
          <w:lang w:val="sr-Latn-ME"/>
        </w:rPr>
        <w:t>% veće u o</w:t>
      </w:r>
      <w:r w:rsidR="00F67E09" w:rsidRPr="00A80B83">
        <w:rPr>
          <w:rFonts w:ascii="Garamond" w:hAnsi="Garamond"/>
          <w:sz w:val="24"/>
          <w:szCs w:val="24"/>
          <w:lang w:val="sr-Latn-ME"/>
        </w:rPr>
        <w:t>dnosu na planirane, odnosno 60,5 mil. € ili 26,4</w:t>
      </w:r>
      <w:r w:rsidRPr="00A80B83">
        <w:rPr>
          <w:rFonts w:ascii="Garamond" w:hAnsi="Garamond"/>
          <w:sz w:val="24"/>
          <w:szCs w:val="24"/>
          <w:lang w:val="sr-Latn-ME"/>
        </w:rPr>
        <w:t xml:space="preserve">%  veće u odnosu na uporedni period 2022. godine. </w:t>
      </w:r>
      <w:r w:rsidR="00F67E09" w:rsidRPr="00A80B83">
        <w:rPr>
          <w:rFonts w:ascii="Garamond" w:hAnsi="Garamond"/>
          <w:sz w:val="24"/>
          <w:szCs w:val="24"/>
          <w:lang w:val="sr-Latn-ME"/>
        </w:rPr>
        <w:t>Doprinosi i u julu nastvljaju trend rasta, a b</w:t>
      </w:r>
      <w:r w:rsidRPr="00A80B83">
        <w:rPr>
          <w:rFonts w:ascii="Garamond" w:hAnsi="Garamond"/>
          <w:sz w:val="24"/>
          <w:szCs w:val="24"/>
          <w:lang w:val="sr-Latn-ME"/>
        </w:rPr>
        <w:t>ol</w:t>
      </w:r>
      <w:r w:rsidR="00F67E09" w:rsidRPr="00A80B83">
        <w:rPr>
          <w:rFonts w:ascii="Garamond" w:hAnsi="Garamond"/>
          <w:sz w:val="24"/>
          <w:szCs w:val="24"/>
          <w:lang w:val="sr-Latn-ME"/>
        </w:rPr>
        <w:t xml:space="preserve">ja naplata ove kategorije prihoda </w:t>
      </w:r>
      <w:r w:rsidRPr="00A80B83">
        <w:rPr>
          <w:rFonts w:ascii="Garamond" w:hAnsi="Garamond"/>
          <w:sz w:val="24"/>
          <w:szCs w:val="24"/>
          <w:lang w:val="sr-Latn-ME"/>
        </w:rPr>
        <w:t>rezultat je efekata implementacije Zakona o reprogamu poreskog potraživanja, ali i uvećane osnove za obračun doprinosa usljed povećanja koeficijenata za zarade zaposlenih u javnom sektoru.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U navedenom periodu značajan rast zabilježen je i kod kategorije </w:t>
      </w:r>
      <w:r w:rsidRPr="00A80B83">
        <w:rPr>
          <w:rFonts w:ascii="Garamond" w:hAnsi="Garamond"/>
          <w:b/>
          <w:sz w:val="24"/>
          <w:szCs w:val="24"/>
          <w:lang w:val="sr-Latn-ME"/>
        </w:rPr>
        <w:t>Donacije i transferi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ko</w:t>
      </w:r>
      <w:r w:rsidR="005856E0" w:rsidRPr="00A80B83">
        <w:rPr>
          <w:rFonts w:ascii="Garamond" w:hAnsi="Garamond"/>
          <w:sz w:val="24"/>
          <w:szCs w:val="24"/>
          <w:lang w:val="sr-Latn-ME"/>
        </w:rPr>
        <w:t>ji su ostvareni u iznosu od 47,0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€, što je u o</w:t>
      </w:r>
      <w:r w:rsidR="005856E0" w:rsidRPr="00A80B83">
        <w:rPr>
          <w:rFonts w:ascii="Garamond" w:hAnsi="Garamond"/>
          <w:sz w:val="24"/>
          <w:szCs w:val="24"/>
          <w:lang w:val="sr-Latn-ME"/>
        </w:rPr>
        <w:t>dnosu na plan veće za 21,4 mil. € i 32,0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 u odnosu na uporedni period 2022. godine. Rast navedene kategorije prevashodno je rezultat izvršene uplate sredstava od strane EU, a po osnovu direktne budžetske podrške za energetsku efikasnost. Navedena sredstva, shodno Finansijskom sporazumu, predstavljaju nenamjenska sredstva koja se mogu koristiti za finansiranje budžeskih potreba.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Prihodi od </w:t>
      </w:r>
      <w:r w:rsidRPr="00A80B83">
        <w:rPr>
          <w:rFonts w:ascii="Garamond" w:hAnsi="Garamond"/>
          <w:b/>
          <w:sz w:val="24"/>
          <w:szCs w:val="24"/>
          <w:lang w:val="sr-Latn-ME"/>
        </w:rPr>
        <w:t>akciza</w:t>
      </w:r>
      <w:r w:rsidR="005856E0" w:rsidRPr="00A80B83">
        <w:rPr>
          <w:rFonts w:ascii="Garamond" w:hAnsi="Garamond"/>
          <w:sz w:val="24"/>
          <w:szCs w:val="24"/>
          <w:lang w:val="sr-Latn-ME"/>
        </w:rPr>
        <w:t xml:space="preserve"> do kraja jula ostvareni su u iznosu od 171,5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 i veći </w:t>
      </w:r>
      <w:r w:rsidR="005856E0" w:rsidRPr="00A80B83">
        <w:rPr>
          <w:rFonts w:ascii="Garamond" w:hAnsi="Garamond"/>
          <w:sz w:val="24"/>
          <w:szCs w:val="24"/>
          <w:lang w:val="sr-Latn-ME"/>
        </w:rPr>
        <w:t>su u odnosu na planirane za 29,9 mil. € ili 21,1%, odnosno 34,2 mil. € ili 24,9</w:t>
      </w:r>
      <w:r w:rsidRPr="00A80B83">
        <w:rPr>
          <w:rFonts w:ascii="Garamond" w:hAnsi="Garamond"/>
          <w:sz w:val="24"/>
          <w:szCs w:val="24"/>
          <w:lang w:val="sr-Latn-ME"/>
        </w:rPr>
        <w:t xml:space="preserve">% u odnosu na isti period 2022. </w:t>
      </w:r>
      <w:r w:rsidR="005856E0" w:rsidRPr="00A80B83">
        <w:rPr>
          <w:rFonts w:ascii="Garamond" w:hAnsi="Garamond"/>
          <w:sz w:val="24"/>
          <w:szCs w:val="24"/>
          <w:lang w:val="sr-Latn-ME"/>
        </w:rPr>
        <w:t xml:space="preserve">godine. Ova kategorija prihoda </w:t>
      </w:r>
      <w:r w:rsidRPr="00A80B83">
        <w:rPr>
          <w:rFonts w:ascii="Garamond" w:hAnsi="Garamond"/>
          <w:sz w:val="24"/>
          <w:szCs w:val="24"/>
          <w:lang w:val="sr-Latn-ME"/>
        </w:rPr>
        <w:t>bilježi rast prevashodno usljed prestanka implementacije Odluke o umanjenju iznosa akcize za promet bezolovnog benzina i gasnih ulja, a značajan doprinos rastu akciza zabilježen je u posmatranom periodu i kod akcize na duvan i duvanske proizvode.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>Najve</w:t>
      </w:r>
      <w:r w:rsidR="005856E0" w:rsidRPr="00A80B83">
        <w:rPr>
          <w:rFonts w:ascii="Garamond" w:hAnsi="Garamond"/>
          <w:sz w:val="24"/>
          <w:szCs w:val="24"/>
          <w:lang w:val="sr-Latn-ME"/>
        </w:rPr>
        <w:t>ći doprinos rastu akciza za sedam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mjeseci 2023. godine zabilježen je kod:</w:t>
      </w:r>
    </w:p>
    <w:p w:rsidR="005856E0" w:rsidRPr="00A80B83" w:rsidRDefault="005856E0" w:rsidP="00A80B83">
      <w:pPr>
        <w:tabs>
          <w:tab w:val="left" w:pos="3578"/>
        </w:tabs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lastRenderedPageBreak/>
        <w:t>- akcize na duvan i duvanske proizvode, i to u iznosu od 11,7 mil. €, što je za 4,3 mil. € veće u odnosu na isti period prethodne godine;</w:t>
      </w:r>
    </w:p>
    <w:p w:rsidR="005856E0" w:rsidRPr="00A80B83" w:rsidRDefault="005856E0" w:rsidP="00A80B83">
      <w:pPr>
        <w:tabs>
          <w:tab w:val="left" w:pos="3578"/>
        </w:tabs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>- akcize na mineralna ulja i njihove derivate, i to u iznosu od 17,8 mil. €, što je za 9,6 mil. € veće u odnosu na isti period prethodne godine.</w:t>
      </w:r>
    </w:p>
    <w:p w:rsidR="005856E0" w:rsidRPr="00A80B83" w:rsidRDefault="005856E0" w:rsidP="00A80B83">
      <w:pPr>
        <w:tabs>
          <w:tab w:val="left" w:pos="3578"/>
        </w:tabs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Pored navedonog, 01. jula 2023. godine stupio </w:t>
      </w:r>
      <w:r w:rsidR="00DF593B" w:rsidRPr="00A80B83">
        <w:rPr>
          <w:rFonts w:ascii="Garamond" w:hAnsi="Garamond"/>
          <w:sz w:val="24"/>
          <w:szCs w:val="24"/>
          <w:lang w:val="sr-Latn-ME"/>
        </w:rPr>
        <w:t xml:space="preserve">je </w:t>
      </w:r>
      <w:r w:rsidRPr="00A80B83">
        <w:rPr>
          <w:rFonts w:ascii="Garamond" w:hAnsi="Garamond"/>
          <w:sz w:val="24"/>
          <w:szCs w:val="24"/>
          <w:lang w:val="sr-Latn-ME"/>
        </w:rPr>
        <w:t xml:space="preserve">na snagu član Zakona o akcizama, kojim se uvodi akciza na proizvode od šećera, kakaoa i sladoled. U julu mjesecu, po ovom osnovu naplaćeno je ukupno 0,39 mil. €. Osim toga, istog datuma na snagu je stupio novi akcizni kalendar za duvanske proizvode. </w:t>
      </w:r>
    </w:p>
    <w:p w:rsidR="00132316" w:rsidRPr="00A80B83" w:rsidRDefault="00132316" w:rsidP="00A80B83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>Sa druge strane, prihodi od poreza na dohodak fizičkih li</w:t>
      </w:r>
      <w:r w:rsidR="005856E0" w:rsidRPr="00A80B83">
        <w:rPr>
          <w:rFonts w:ascii="Garamond" w:hAnsi="Garamond"/>
          <w:sz w:val="24"/>
          <w:szCs w:val="24"/>
          <w:lang w:val="sr-Latn-ME"/>
        </w:rPr>
        <w:t>ca ostvareni su u iznosu od 31,5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€, što je u odnosu na plan</w:t>
      </w:r>
      <w:r w:rsidR="005856E0" w:rsidRPr="00A80B83">
        <w:rPr>
          <w:rFonts w:ascii="Garamond" w:hAnsi="Garamond"/>
          <w:sz w:val="24"/>
          <w:szCs w:val="24"/>
          <w:lang w:val="sr-Latn-ME"/>
        </w:rPr>
        <w:t xml:space="preserve"> manje u iznosu od 0,2 mil. € ili 0,5% i 20,7 mil. € ili 39,7</w:t>
      </w:r>
      <w:r w:rsidRPr="00A80B83">
        <w:rPr>
          <w:rFonts w:ascii="Garamond" w:hAnsi="Garamond"/>
          <w:sz w:val="24"/>
          <w:szCs w:val="24"/>
          <w:lang w:val="sr-Latn-ME"/>
        </w:rPr>
        <w:t>% u odnosu na isti period prethodne godine. Umanjenje ove katgeorije prihoda u odnosu na isti period 2022. godine, prvenstveno je rezultat značajnog uvećanja procenta ustupanja prihoda po osnovu poreza na dohodak fizičkih lica opštinama, shodno Zakonu o izmjenama i dopuni zakona o finansiranju lokalne samouprave koji je stupio na snagu u avgustu prošle godine ('Službeni list Crne Gore', br. 086/72 od 03.08.2022. godine).</w:t>
      </w:r>
    </w:p>
    <w:p w:rsidR="00DF593B" w:rsidRPr="00A80B83" w:rsidRDefault="00DF593B" w:rsidP="00A80B83">
      <w:pPr>
        <w:spacing w:before="100" w:beforeAutospacing="1" w:after="100" w:afterAutospacing="1"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Izdaci budžeta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za period januar-jul 2023. godine iznosili su 1.292,4 mil. € ili 20,9% procijenjenog BDP-a i u odnosu na planirane manji su za 128,6 mil. € ili 9,1% dok su u odnosu na isti period 2022. godine veći za 139 mil. € ili 12%.</w:t>
      </w:r>
    </w:p>
    <w:p w:rsidR="00DF593B" w:rsidRPr="00A80B83" w:rsidRDefault="00DF593B" w:rsidP="00A80B83">
      <w:pPr>
        <w:spacing w:before="100" w:beforeAutospacing="1" w:after="100" w:afterAutospacing="1"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U strukturi ukupne potrošnje u posmatranom periodu, </w:t>
      </w:r>
      <w:r w:rsidRPr="00A80B83">
        <w:rPr>
          <w:rFonts w:ascii="Garamond" w:eastAsia="Calibri" w:hAnsi="Garamond" w:cs="Calibri"/>
          <w:sz w:val="24"/>
          <w:szCs w:val="24"/>
          <w:u w:val="single"/>
          <w:lang w:val="sr-Latn-ME"/>
        </w:rPr>
        <w:t>Tekući budžet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izvršen je na nivou od 1</w:t>
      </w:r>
      <w:r w:rsidR="00C45F48" w:rsidRPr="00A80B83">
        <w:rPr>
          <w:rFonts w:ascii="Garamond" w:eastAsia="Calibri" w:hAnsi="Garamond" w:cs="Calibri"/>
          <w:sz w:val="24"/>
          <w:szCs w:val="24"/>
          <w:lang w:val="sr-Latn-ME"/>
        </w:rPr>
        <w:t>.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243,2 mil €, što predstavlja 96% ukupne potrošnje, dok je </w:t>
      </w:r>
      <w:r w:rsidRPr="00A80B83">
        <w:rPr>
          <w:rFonts w:ascii="Garamond" w:eastAsia="Calibri" w:hAnsi="Garamond" w:cs="Calibri"/>
          <w:sz w:val="24"/>
          <w:szCs w:val="24"/>
          <w:u w:val="single"/>
          <w:lang w:val="sr-Latn-ME"/>
        </w:rPr>
        <w:t>Kapitlani budžet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izvršen na nivou od 49</w:t>
      </w:r>
      <w:r w:rsidR="00C45F48" w:rsidRPr="00A80B83">
        <w:rPr>
          <w:rFonts w:ascii="Garamond" w:eastAsia="Calibri" w:hAnsi="Garamond" w:cs="Calibri"/>
          <w:sz w:val="24"/>
          <w:szCs w:val="24"/>
          <w:lang w:val="sr-Latn-ME"/>
        </w:rPr>
        <w:t>,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>2 mi €, što predstavlja 4% ukupne potrošnje.</w:t>
      </w:r>
    </w:p>
    <w:p w:rsidR="00C55AD3" w:rsidRPr="00A80B83" w:rsidRDefault="00DF593B" w:rsidP="00A80B83">
      <w:pPr>
        <w:spacing w:before="100" w:beforeAutospacing="1" w:after="100" w:afterAutospacing="1"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Posmatrajući glavne katergorije potrošnje u okviru </w:t>
      </w:r>
      <w:r w:rsidRPr="00A80B83">
        <w:rPr>
          <w:rFonts w:ascii="Garamond" w:eastAsia="Calibri" w:hAnsi="Garamond" w:cs="Calibri"/>
          <w:sz w:val="24"/>
          <w:szCs w:val="24"/>
          <w:u w:val="single"/>
          <w:lang w:val="sr-Latn-ME"/>
        </w:rPr>
        <w:t>Tekućeg budžeta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, tekući izdaci, u navedenom periodu, realizovani su u iznosu od 558,6 mil. € i u odnosu na planirane manji su za 24,8 mil. € ili 4,3%. U okviru ove kategorije izdataka najznačajnija izdvajanja su u kod Bruto zarada i doprinosa na teret poslodavca u iznosu od 368,6 mil. €, što je u odnosu na plan veće za 12,9 mil. € ili 3.6% i koje su realizovane u skladu sa važećim zakonskim propisima, popisanim kolektivnim ugovorima i stvarnom obračunu zarada, dok su ostale budžetske pozicije u okviru Tekućih izdataka ispod plana, shodno stvarnoj dinamici potrošnje potrošačkih jedinica. Transferi za socijalnu zaštitu do kraja jula ostvareni su u iznosu od 460,4 mil. € i veći su u odnosu na planirane za 6,2 mil. € ili 1,4%, dok su u odnosu na isti period 2022. godine veći za 107,7 mil. € ili 30,5%, što je dominantno rezultat većeg izvršenja po osnovu prava iz oblasti socijalne zaštite i prava iz oblasti penzijskog i invalidskog osiguranja, usljed primjene novih zakonskih rješenja. </w:t>
      </w:r>
    </w:p>
    <w:p w:rsidR="00DF593B" w:rsidRPr="00A80B83" w:rsidRDefault="00DF593B" w:rsidP="00A80B83">
      <w:pPr>
        <w:spacing w:before="100" w:beforeAutospacing="1" w:after="100" w:afterAutospacing="1"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u w:val="single"/>
          <w:lang w:val="sr-Latn-ME"/>
        </w:rPr>
        <w:t>Kapitalni budžet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u posmatranom periodu ostvaren je u iznosu od 49,23 mil. €, što predstavlja izvršenje 43% plana.</w:t>
      </w:r>
    </w:p>
    <w:p w:rsidR="00DF593B" w:rsidRPr="00A80B83" w:rsidRDefault="00DF593B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Rashodi u julu mjesecu 2023. godine iznosili su 223,8 mil. € i manji su u odnosu na plan 13,4 mil. € ili 5,7%, a veći su za 45,6 mil. € ili 25,6% u odnosu na jul 2022. godine. </w:t>
      </w:r>
    </w:p>
    <w:p w:rsidR="00DF593B" w:rsidRPr="00A80B83" w:rsidRDefault="00DF593B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lastRenderedPageBreak/>
        <w:t>Najveće odstupanje, odnosno niže izvršenje od plana u julu mesecu u okviru Tekućeg budžeta je kod Tekućih izdataka za 4,25 mil € i Kapitalnih izdataka u Tekućem budžetu za 3,7 mil €, dok je kod Transfera za socijalnu zaštitu veće izvršenje za 2</w:t>
      </w:r>
      <w:r w:rsidR="00B4769C" w:rsidRPr="00A80B83">
        <w:rPr>
          <w:rFonts w:ascii="Garamond" w:eastAsia="Calibri" w:hAnsi="Garamond" w:cs="Calibri"/>
          <w:sz w:val="24"/>
          <w:szCs w:val="24"/>
          <w:lang w:val="sr-Latn-ME"/>
        </w:rPr>
        <w:t>,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3 mil € usljed većeg izvršenja po osnouv Prava iz oblasti socijalne zaštite i Prava iz oblasti penzijskog i invalidskog osiguranja. </w:t>
      </w:r>
    </w:p>
    <w:p w:rsidR="00DF593B" w:rsidRPr="00A80B83" w:rsidRDefault="00DF593B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>Rashodi u Kapitalnom Budžetu Crne Gore u julu mjesecu 2023. godine ostvareni su u iznosu od 12</w:t>
      </w:r>
      <w:r w:rsidR="00B4769C" w:rsidRPr="00A80B83">
        <w:rPr>
          <w:rFonts w:ascii="Garamond" w:eastAsia="Calibri" w:hAnsi="Garamond" w:cs="Calibri"/>
          <w:sz w:val="24"/>
          <w:szCs w:val="24"/>
          <w:lang w:val="sr-Latn-ME"/>
        </w:rPr>
        <w:t>,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>5</w:t>
      </w:r>
      <w:r w:rsidR="00B4769C"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mil. € odnosno 62% plana. </w:t>
      </w:r>
    </w:p>
    <w:p w:rsidR="00DF593B" w:rsidRPr="00A80B83" w:rsidRDefault="00DF593B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Imajući u vidu realizaciju prihoda i rashoda, u posmatranom periodu </w:t>
      </w:r>
      <w:r w:rsidR="004E42E0"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januar-jul 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ostvaren je </w:t>
      </w: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suficit budžeta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u iznosu od 151,5 mil. €, odnosno na nivou od 2,5% procjenjenog BDP-a. U </w:t>
      </w:r>
      <w:r w:rsidRPr="00A80B83">
        <w:rPr>
          <w:rFonts w:ascii="Garamond" w:eastAsia="Calibri" w:hAnsi="Garamond" w:cs="Calibri"/>
          <w:sz w:val="24"/>
          <w:szCs w:val="24"/>
          <w:u w:val="single"/>
          <w:lang w:val="sr-Latn-ME"/>
        </w:rPr>
        <w:t>julu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je ostvaren budžetski deficit u iznos</w:t>
      </w:r>
      <w:r w:rsidR="00B4769C" w:rsidRPr="00A80B83">
        <w:rPr>
          <w:rFonts w:ascii="Garamond" w:eastAsia="Calibri" w:hAnsi="Garamond" w:cs="Calibri"/>
          <w:sz w:val="24"/>
          <w:szCs w:val="24"/>
          <w:lang w:val="sr-Latn-ME"/>
        </w:rPr>
        <w:t>u od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16,3 mil. €. </w:t>
      </w:r>
    </w:p>
    <w:p w:rsidR="00FA4615" w:rsidRPr="00A80B83" w:rsidRDefault="00FA4615" w:rsidP="00A80B83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Preliminarni podaci </w:t>
      </w:r>
      <w:r w:rsidR="007E1491"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o izvršenju budžeta za avgust </w:t>
      </w: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2023. godine</w:t>
      </w:r>
    </w:p>
    <w:p w:rsidR="00D20CE2" w:rsidRPr="00A80B83" w:rsidRDefault="00DE4C51" w:rsidP="00A80B83">
      <w:pPr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>Po</w:t>
      </w:r>
      <w:r w:rsidR="00F3025D" w:rsidRPr="00A80B83">
        <w:rPr>
          <w:rFonts w:ascii="Garamond" w:hAnsi="Garamond"/>
          <w:sz w:val="24"/>
          <w:szCs w:val="24"/>
          <w:lang w:val="sr-Latn-ME"/>
        </w:rPr>
        <w:t>z</w:t>
      </w:r>
      <w:r w:rsidRPr="00A80B83">
        <w:rPr>
          <w:rFonts w:ascii="Garamond" w:hAnsi="Garamond"/>
          <w:sz w:val="24"/>
          <w:szCs w:val="24"/>
          <w:lang w:val="sr-Latn-ME"/>
        </w:rPr>
        <w:t xml:space="preserve">itivni trendovi naplate prihoda evidentni su </w:t>
      </w:r>
      <w:r w:rsidR="00F3025D" w:rsidRPr="00A80B83">
        <w:rPr>
          <w:rFonts w:ascii="Garamond" w:hAnsi="Garamond"/>
          <w:sz w:val="24"/>
          <w:szCs w:val="24"/>
          <w:lang w:val="sr-Latn-ME"/>
        </w:rPr>
        <w:t>i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tokom avgusta mjeseca. Naime, prema preliminarni podacima, prihodi budžeta u avgustu mjesecu iznosili su 24</w:t>
      </w:r>
      <w:r w:rsidR="00A80B83" w:rsidRPr="00A80B83">
        <w:rPr>
          <w:rFonts w:ascii="Garamond" w:hAnsi="Garamond"/>
          <w:sz w:val="24"/>
          <w:szCs w:val="24"/>
          <w:lang w:val="sr-Latn-ME"/>
        </w:rPr>
        <w:t>2</w:t>
      </w:r>
      <w:r w:rsidRPr="00A80B83">
        <w:rPr>
          <w:rFonts w:ascii="Garamond" w:hAnsi="Garamond"/>
          <w:sz w:val="24"/>
          <w:szCs w:val="24"/>
          <w:lang w:val="sr-Latn-ME"/>
        </w:rPr>
        <w:t xml:space="preserve"> mil. €, što je u odnosu na isti mjesec prethodne godine veće za </w:t>
      </w:r>
      <w:r w:rsidR="00A80B83" w:rsidRPr="00A80B83">
        <w:rPr>
          <w:rFonts w:ascii="Garamond" w:hAnsi="Garamond"/>
          <w:sz w:val="24"/>
          <w:szCs w:val="24"/>
          <w:lang w:val="sr-Latn-ME"/>
        </w:rPr>
        <w:t>49 mil. € ili 25%. U poređenju sa planom za avgust mjesec, prihodi budžeta su iznad plana za 40 mil. € ili 20%.</w:t>
      </w:r>
    </w:p>
    <w:p w:rsidR="00DE4C51" w:rsidRPr="00A80B83" w:rsidRDefault="00DE4C51" w:rsidP="00A80B83">
      <w:pPr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>Sa druge strane, pre</w:t>
      </w:r>
      <w:r w:rsidR="00F3025D" w:rsidRPr="00A80B83">
        <w:rPr>
          <w:rFonts w:ascii="Garamond" w:hAnsi="Garamond"/>
          <w:sz w:val="24"/>
          <w:szCs w:val="24"/>
          <w:lang w:val="sr-Latn-ME"/>
        </w:rPr>
        <w:t>m</w:t>
      </w:r>
      <w:r w:rsidRPr="00A80B83">
        <w:rPr>
          <w:rFonts w:ascii="Garamond" w:hAnsi="Garamond"/>
          <w:sz w:val="24"/>
          <w:szCs w:val="24"/>
          <w:lang w:val="sr-Latn-ME"/>
        </w:rPr>
        <w:t>a preliminarnim podacima o p</w:t>
      </w:r>
      <w:r w:rsidR="00F3025D" w:rsidRPr="00A80B83">
        <w:rPr>
          <w:rFonts w:ascii="Garamond" w:hAnsi="Garamond"/>
          <w:sz w:val="24"/>
          <w:szCs w:val="24"/>
          <w:lang w:val="sr-Latn-ME"/>
        </w:rPr>
        <w:t>o</w:t>
      </w:r>
      <w:r w:rsidRPr="00A80B83">
        <w:rPr>
          <w:rFonts w:ascii="Garamond" w:hAnsi="Garamond"/>
          <w:sz w:val="24"/>
          <w:szCs w:val="24"/>
          <w:lang w:val="sr-Latn-ME"/>
        </w:rPr>
        <w:t>trošnji</w:t>
      </w:r>
      <w:r w:rsidR="00F3025D" w:rsidRPr="00A80B83">
        <w:rPr>
          <w:rFonts w:ascii="Garamond" w:hAnsi="Garamond"/>
          <w:sz w:val="24"/>
          <w:szCs w:val="24"/>
          <w:lang w:val="sr-Latn-ME"/>
        </w:rPr>
        <w:t xml:space="preserve">, u avgustu je izvršenje budžeta realizovano na nivou od </w:t>
      </w:r>
      <w:r w:rsidRPr="00A80B83">
        <w:rPr>
          <w:rFonts w:ascii="Garamond" w:hAnsi="Garamond"/>
          <w:sz w:val="24"/>
          <w:szCs w:val="24"/>
          <w:lang w:val="sr-Latn-ME"/>
        </w:rPr>
        <w:t>198 mil €</w:t>
      </w:r>
      <w:r w:rsidR="00F3025D" w:rsidRPr="00A80B83">
        <w:rPr>
          <w:rFonts w:ascii="Garamond" w:hAnsi="Garamond"/>
          <w:sz w:val="24"/>
          <w:szCs w:val="24"/>
          <w:lang w:val="sr-Latn-ME"/>
        </w:rPr>
        <w:t>, što predstavlja 95% plana. Evidentirana je bolja realizacija Kapita</w:t>
      </w:r>
      <w:r w:rsidR="00224D73">
        <w:rPr>
          <w:rFonts w:ascii="Garamond" w:hAnsi="Garamond"/>
          <w:sz w:val="24"/>
          <w:szCs w:val="24"/>
          <w:lang w:val="sr-Latn-ME"/>
        </w:rPr>
        <w:t>l</w:t>
      </w:r>
      <w:r w:rsidR="00F3025D" w:rsidRPr="00A80B83">
        <w:rPr>
          <w:rFonts w:ascii="Garamond" w:hAnsi="Garamond"/>
          <w:sz w:val="24"/>
          <w:szCs w:val="24"/>
          <w:lang w:val="sr-Latn-ME"/>
        </w:rPr>
        <w:t>nog budžeta koja je realizovana na nivou od 22.3 miliona € što predstavlja 115% plana, dok je tekuća porošnja na novou od 175 mil €, odnosno, 94% plana</w:t>
      </w:r>
    </w:p>
    <w:p w:rsidR="00F3025D" w:rsidRDefault="00F3025D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u w:val="single"/>
          <w:lang w:val="sr-Latn-ME"/>
        </w:rPr>
      </w:pP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Shodno navedenom, preliminarni podaci ukazuju da je, na </w:t>
      </w:r>
      <w:r w:rsidR="004E42E0"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osnovu 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realizovanih ostvarenih prihoda i rashoda, </w:t>
      </w:r>
      <w:r w:rsidR="004E42E0"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ostvaren </w:t>
      </w:r>
      <w:r w:rsidRPr="00A80B83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suficit budžeta</w:t>
      </w:r>
      <w:r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u iznosu od </w:t>
      </w:r>
      <w:r w:rsidR="004E42E0" w:rsidRPr="00A80B83">
        <w:rPr>
          <w:rFonts w:ascii="Garamond" w:eastAsia="Calibri" w:hAnsi="Garamond" w:cs="Calibri"/>
          <w:sz w:val="24"/>
          <w:szCs w:val="24"/>
          <w:lang w:val="sr-Latn-ME"/>
        </w:rPr>
        <w:t>4</w:t>
      </w:r>
      <w:r w:rsidR="00A80B83" w:rsidRPr="00A80B83">
        <w:rPr>
          <w:rFonts w:ascii="Garamond" w:eastAsia="Calibri" w:hAnsi="Garamond" w:cs="Calibri"/>
          <w:sz w:val="24"/>
          <w:szCs w:val="24"/>
          <w:lang w:val="sr-Latn-ME"/>
        </w:rPr>
        <w:t>5</w:t>
      </w:r>
      <w:r w:rsidR="004E42E0" w:rsidRPr="00A80B83">
        <w:rPr>
          <w:rFonts w:ascii="Garamond" w:eastAsia="Calibri" w:hAnsi="Garamond" w:cs="Calibri"/>
          <w:sz w:val="24"/>
          <w:szCs w:val="24"/>
          <w:lang w:val="sr-Latn-ME"/>
        </w:rPr>
        <w:t xml:space="preserve"> mil €</w:t>
      </w:r>
      <w:r w:rsidR="00A80B83">
        <w:rPr>
          <w:rFonts w:ascii="Garamond" w:eastAsia="Calibri" w:hAnsi="Garamond" w:cs="Calibri"/>
          <w:sz w:val="24"/>
          <w:szCs w:val="24"/>
          <w:lang w:val="sr-Latn-ME"/>
        </w:rPr>
        <w:t xml:space="preserve">. Uzimajući navedeno u obzir, 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suficit budžeta </w:t>
      </w:r>
      <w:r w:rsidR="00B37921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države 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za period januar – avgust na nivou je od 19</w:t>
      </w:r>
      <w:r w:rsidR="00B37921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6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 mil €</w:t>
      </w:r>
      <w:r w:rsidR="00B37921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 ili 3.2 % BDP-a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, </w:t>
      </w:r>
      <w:r w:rsidR="00B37921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dok je 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na depozitima države </w:t>
      </w:r>
      <w:r w:rsidR="00B37921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na kraju avgusta raspoloživo 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preko 1</w:t>
      </w:r>
      <w:r w:rsidR="00F035A8">
        <w:rPr>
          <w:rFonts w:ascii="Garamond" w:eastAsia="Calibri" w:hAnsi="Garamond" w:cs="Calibri"/>
          <w:sz w:val="24"/>
          <w:szCs w:val="24"/>
          <w:u w:val="single"/>
          <w:lang w:val="sr-Latn-ME"/>
        </w:rPr>
        <w:t>9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0 mil €</w:t>
      </w:r>
      <w:r w:rsidR="004D241A">
        <w:rPr>
          <w:rFonts w:ascii="Garamond" w:eastAsia="Calibri" w:hAnsi="Garamond" w:cs="Calibri"/>
          <w:sz w:val="24"/>
          <w:szCs w:val="24"/>
          <w:u w:val="single"/>
          <w:lang w:val="sr-Latn-ME"/>
        </w:rPr>
        <w:t>, odnosno preko 260</w:t>
      </w:r>
      <w:r w:rsidR="004D241A" w:rsidRPr="004D241A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 </w:t>
      </w:r>
      <w:r w:rsidR="004D241A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mil €</w:t>
      </w:r>
      <w:r w:rsidR="004D241A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, </w:t>
      </w:r>
      <w:r w:rsidR="004D241A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 </w:t>
      </w:r>
      <w:bookmarkStart w:id="0" w:name="_GoBack"/>
      <w:bookmarkEnd w:id="0"/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uključujući </w:t>
      </w:r>
      <w:r w:rsidR="00F035A8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rezerve </w:t>
      </w:r>
      <w:r w:rsidR="00A80B83" w:rsidRPr="00B37921">
        <w:rPr>
          <w:rFonts w:ascii="Garamond" w:eastAsia="Calibri" w:hAnsi="Garamond" w:cs="Calibri"/>
          <w:sz w:val="24"/>
          <w:szCs w:val="24"/>
          <w:u w:val="single"/>
          <w:lang w:val="sr-Latn-ME"/>
        </w:rPr>
        <w:t>zlat</w:t>
      </w:r>
      <w:r w:rsidR="00F035A8">
        <w:rPr>
          <w:rFonts w:ascii="Garamond" w:eastAsia="Calibri" w:hAnsi="Garamond" w:cs="Calibri"/>
          <w:sz w:val="24"/>
          <w:szCs w:val="24"/>
          <w:u w:val="single"/>
          <w:lang w:val="sr-Latn-ME"/>
        </w:rPr>
        <w:t>a</w:t>
      </w:r>
      <w:r w:rsidR="004D241A">
        <w:rPr>
          <w:rFonts w:ascii="Garamond" w:eastAsia="Calibri" w:hAnsi="Garamond" w:cs="Calibri"/>
          <w:sz w:val="24"/>
          <w:szCs w:val="24"/>
          <w:u w:val="single"/>
          <w:lang w:val="sr-Latn-ME"/>
        </w:rPr>
        <w:t xml:space="preserve">. </w:t>
      </w:r>
    </w:p>
    <w:p w:rsidR="004D241A" w:rsidRDefault="004D241A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u w:val="single"/>
          <w:lang w:val="sr-Latn-ME"/>
        </w:rPr>
      </w:pPr>
    </w:p>
    <w:p w:rsidR="004D241A" w:rsidRPr="00B37921" w:rsidRDefault="004D241A" w:rsidP="00A80B83">
      <w:pPr>
        <w:spacing w:line="252" w:lineRule="auto"/>
        <w:jc w:val="both"/>
        <w:rPr>
          <w:rFonts w:ascii="Garamond" w:eastAsia="Calibri" w:hAnsi="Garamond" w:cs="Calibri"/>
          <w:sz w:val="24"/>
          <w:szCs w:val="24"/>
          <w:u w:val="single"/>
          <w:lang w:val="sr-Latn-ME"/>
        </w:rPr>
      </w:pPr>
    </w:p>
    <w:p w:rsidR="0085499C" w:rsidRPr="00A80B83" w:rsidRDefault="004E42E0" w:rsidP="00A80B83">
      <w:pPr>
        <w:jc w:val="both"/>
        <w:rPr>
          <w:rFonts w:ascii="Garamond" w:hAnsi="Garamond"/>
          <w:sz w:val="24"/>
          <w:szCs w:val="24"/>
          <w:lang w:val="sr-Latn-ME"/>
        </w:rPr>
      </w:pPr>
      <w:r w:rsidRPr="00A80B83">
        <w:rPr>
          <w:rFonts w:ascii="Garamond" w:hAnsi="Garamond"/>
          <w:sz w:val="24"/>
          <w:szCs w:val="24"/>
          <w:lang w:val="sr-Latn-ME"/>
        </w:rPr>
        <w:t xml:space="preserve"> </w:t>
      </w:r>
    </w:p>
    <w:sectPr w:rsidR="0085499C" w:rsidRPr="00A8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3C"/>
    <w:rsid w:val="00006891"/>
    <w:rsid w:val="000403A4"/>
    <w:rsid w:val="00042F63"/>
    <w:rsid w:val="0007174D"/>
    <w:rsid w:val="00092C43"/>
    <w:rsid w:val="000A3587"/>
    <w:rsid w:val="000A4EB1"/>
    <w:rsid w:val="000C6FBB"/>
    <w:rsid w:val="000E614B"/>
    <w:rsid w:val="001005B1"/>
    <w:rsid w:val="00132316"/>
    <w:rsid w:val="00144FD8"/>
    <w:rsid w:val="00165E1B"/>
    <w:rsid w:val="00174606"/>
    <w:rsid w:val="001B3593"/>
    <w:rsid w:val="001C057F"/>
    <w:rsid w:val="001D6455"/>
    <w:rsid w:val="001E3471"/>
    <w:rsid w:val="00224D73"/>
    <w:rsid w:val="00226FF2"/>
    <w:rsid w:val="002855EB"/>
    <w:rsid w:val="002A23A9"/>
    <w:rsid w:val="002B77E1"/>
    <w:rsid w:val="002F14D5"/>
    <w:rsid w:val="003226DB"/>
    <w:rsid w:val="003272E3"/>
    <w:rsid w:val="00331FD5"/>
    <w:rsid w:val="003436F6"/>
    <w:rsid w:val="003507EA"/>
    <w:rsid w:val="0036453A"/>
    <w:rsid w:val="00366059"/>
    <w:rsid w:val="0039297B"/>
    <w:rsid w:val="00394B96"/>
    <w:rsid w:val="0039783C"/>
    <w:rsid w:val="003A3F6B"/>
    <w:rsid w:val="003B5482"/>
    <w:rsid w:val="003D639D"/>
    <w:rsid w:val="00416373"/>
    <w:rsid w:val="00424F86"/>
    <w:rsid w:val="004374A0"/>
    <w:rsid w:val="00447F89"/>
    <w:rsid w:val="004720A7"/>
    <w:rsid w:val="00480118"/>
    <w:rsid w:val="00486233"/>
    <w:rsid w:val="0048715D"/>
    <w:rsid w:val="004D241A"/>
    <w:rsid w:val="004E42E0"/>
    <w:rsid w:val="004F6DE1"/>
    <w:rsid w:val="005077BE"/>
    <w:rsid w:val="0051299F"/>
    <w:rsid w:val="005856E0"/>
    <w:rsid w:val="005D327D"/>
    <w:rsid w:val="00603D5E"/>
    <w:rsid w:val="006151A3"/>
    <w:rsid w:val="00621427"/>
    <w:rsid w:val="00626437"/>
    <w:rsid w:val="00626B1A"/>
    <w:rsid w:val="00633B3B"/>
    <w:rsid w:val="006377AE"/>
    <w:rsid w:val="00647348"/>
    <w:rsid w:val="00653089"/>
    <w:rsid w:val="006604AE"/>
    <w:rsid w:val="00663925"/>
    <w:rsid w:val="00674DC0"/>
    <w:rsid w:val="00676F47"/>
    <w:rsid w:val="006917D4"/>
    <w:rsid w:val="006C1BDC"/>
    <w:rsid w:val="00721C63"/>
    <w:rsid w:val="0075513D"/>
    <w:rsid w:val="00792989"/>
    <w:rsid w:val="007943B6"/>
    <w:rsid w:val="007B4E02"/>
    <w:rsid w:val="007D0DC6"/>
    <w:rsid w:val="007D20B5"/>
    <w:rsid w:val="007D3FF9"/>
    <w:rsid w:val="007D5BD3"/>
    <w:rsid w:val="007D6CA4"/>
    <w:rsid w:val="007D70C7"/>
    <w:rsid w:val="007E1491"/>
    <w:rsid w:val="007E29DB"/>
    <w:rsid w:val="00810575"/>
    <w:rsid w:val="00814E79"/>
    <w:rsid w:val="008230D4"/>
    <w:rsid w:val="0085499C"/>
    <w:rsid w:val="00862D86"/>
    <w:rsid w:val="00877E5B"/>
    <w:rsid w:val="00880119"/>
    <w:rsid w:val="0089378A"/>
    <w:rsid w:val="00893E16"/>
    <w:rsid w:val="008A630F"/>
    <w:rsid w:val="008B3D9A"/>
    <w:rsid w:val="008B6E60"/>
    <w:rsid w:val="008D517D"/>
    <w:rsid w:val="00907FB8"/>
    <w:rsid w:val="009106DC"/>
    <w:rsid w:val="00910773"/>
    <w:rsid w:val="00921B77"/>
    <w:rsid w:val="00922C70"/>
    <w:rsid w:val="00927299"/>
    <w:rsid w:val="0096075C"/>
    <w:rsid w:val="0096289D"/>
    <w:rsid w:val="00966546"/>
    <w:rsid w:val="00973BA9"/>
    <w:rsid w:val="00991D7D"/>
    <w:rsid w:val="00992B25"/>
    <w:rsid w:val="009B2628"/>
    <w:rsid w:val="009C5EBB"/>
    <w:rsid w:val="009F4FDE"/>
    <w:rsid w:val="009F5E8A"/>
    <w:rsid w:val="00A0675A"/>
    <w:rsid w:val="00A11660"/>
    <w:rsid w:val="00A130FC"/>
    <w:rsid w:val="00A17E80"/>
    <w:rsid w:val="00A2585C"/>
    <w:rsid w:val="00A33BC2"/>
    <w:rsid w:val="00A50414"/>
    <w:rsid w:val="00A80B83"/>
    <w:rsid w:val="00A9094A"/>
    <w:rsid w:val="00AA29C1"/>
    <w:rsid w:val="00AA5EE3"/>
    <w:rsid w:val="00AD3476"/>
    <w:rsid w:val="00B01D52"/>
    <w:rsid w:val="00B06CAC"/>
    <w:rsid w:val="00B14496"/>
    <w:rsid w:val="00B272E0"/>
    <w:rsid w:val="00B36CE2"/>
    <w:rsid w:val="00B37921"/>
    <w:rsid w:val="00B4769C"/>
    <w:rsid w:val="00B5641D"/>
    <w:rsid w:val="00B92C88"/>
    <w:rsid w:val="00B9689B"/>
    <w:rsid w:val="00BD6C09"/>
    <w:rsid w:val="00C11E29"/>
    <w:rsid w:val="00C23461"/>
    <w:rsid w:val="00C45F48"/>
    <w:rsid w:val="00C55AD3"/>
    <w:rsid w:val="00C62BB7"/>
    <w:rsid w:val="00C72429"/>
    <w:rsid w:val="00C90A3C"/>
    <w:rsid w:val="00CB790D"/>
    <w:rsid w:val="00CC0403"/>
    <w:rsid w:val="00CD0E2A"/>
    <w:rsid w:val="00D162B1"/>
    <w:rsid w:val="00D20CE2"/>
    <w:rsid w:val="00D22C9D"/>
    <w:rsid w:val="00D231E0"/>
    <w:rsid w:val="00D342B4"/>
    <w:rsid w:val="00D73830"/>
    <w:rsid w:val="00D87511"/>
    <w:rsid w:val="00DA03F0"/>
    <w:rsid w:val="00DA2682"/>
    <w:rsid w:val="00DB2FC6"/>
    <w:rsid w:val="00DC6B64"/>
    <w:rsid w:val="00DE4C51"/>
    <w:rsid w:val="00DF593B"/>
    <w:rsid w:val="00EB0903"/>
    <w:rsid w:val="00EC12FB"/>
    <w:rsid w:val="00EC50E6"/>
    <w:rsid w:val="00EC5319"/>
    <w:rsid w:val="00F035A8"/>
    <w:rsid w:val="00F25080"/>
    <w:rsid w:val="00F3025D"/>
    <w:rsid w:val="00F32C5E"/>
    <w:rsid w:val="00F56441"/>
    <w:rsid w:val="00F67E09"/>
    <w:rsid w:val="00F71456"/>
    <w:rsid w:val="00FA4615"/>
    <w:rsid w:val="00FB0C92"/>
    <w:rsid w:val="00FC06F9"/>
    <w:rsid w:val="00FC1AD0"/>
    <w:rsid w:val="00FC2467"/>
    <w:rsid w:val="00FD1584"/>
    <w:rsid w:val="00FF1436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9316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Nikolina Lakic</cp:lastModifiedBy>
  <cp:revision>2</cp:revision>
  <cp:lastPrinted>2023-08-28T11:17:00Z</cp:lastPrinted>
  <dcterms:created xsi:type="dcterms:W3CDTF">2023-08-31T12:44:00Z</dcterms:created>
  <dcterms:modified xsi:type="dcterms:W3CDTF">2023-08-31T12:44:00Z</dcterms:modified>
</cp:coreProperties>
</file>