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52764"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Uredba o viznom režimu</w:t>
      </w:r>
    </w:p>
    <w:p w14:paraId="7BA8AEC6" w14:textId="1444E13A" w:rsidR="00B50C7F" w:rsidRPr="00BA7828" w:rsidRDefault="00B50C7F" w:rsidP="00637554">
      <w:pPr>
        <w:widowControl w:val="0"/>
        <w:spacing w:before="188" w:after="0" w:line="276" w:lineRule="auto"/>
        <w:ind w:right="138"/>
        <w:jc w:val="center"/>
        <w:rPr>
          <w:rFonts w:ascii="Arial" w:eastAsia="Tahoma" w:hAnsi="Arial" w:cs="Arial"/>
        </w:rPr>
      </w:pPr>
      <w:r w:rsidRPr="00BA7828">
        <w:rPr>
          <w:rFonts w:ascii="Arial" w:eastAsia="Tahoma" w:hAnsi="Arial" w:cs="Arial"/>
        </w:rPr>
        <w:t xml:space="preserve">Uredba je objavljena u "Službenom listu CG", </w:t>
      </w:r>
      <w:bookmarkStart w:id="0" w:name="_GoBack"/>
      <w:r w:rsidRPr="00637554">
        <w:rPr>
          <w:rFonts w:ascii="Arial" w:eastAsia="Tahoma" w:hAnsi="Arial" w:cs="Arial"/>
          <w:u w:val="single"/>
        </w:rPr>
        <w:t>br. 33/19, 67/20, 8/23, 56/23, 127/24, 13/25, 119/25, 126/25, 154/25</w:t>
      </w:r>
      <w:r w:rsidR="00BE137E" w:rsidRPr="00637554">
        <w:rPr>
          <w:rFonts w:ascii="Arial" w:eastAsia="Tahoma" w:hAnsi="Arial" w:cs="Arial"/>
          <w:u w:val="single"/>
        </w:rPr>
        <w:t xml:space="preserve">, </w:t>
      </w:r>
      <w:r w:rsidRPr="00637554">
        <w:rPr>
          <w:rFonts w:ascii="Arial" w:eastAsia="Tahoma" w:hAnsi="Arial" w:cs="Arial"/>
          <w:u w:val="single"/>
        </w:rPr>
        <w:t>53/26</w:t>
      </w:r>
      <w:r w:rsidR="006C6B6A" w:rsidRPr="00637554">
        <w:rPr>
          <w:rFonts w:ascii="Arial" w:eastAsia="Tahoma" w:hAnsi="Arial" w:cs="Arial"/>
          <w:u w:val="single"/>
        </w:rPr>
        <w:t xml:space="preserve">, </w:t>
      </w:r>
      <w:r w:rsidR="00BE137E" w:rsidRPr="00637554">
        <w:rPr>
          <w:rFonts w:ascii="Arial" w:eastAsia="Tahoma" w:hAnsi="Arial" w:cs="Arial"/>
          <w:u w:val="single"/>
        </w:rPr>
        <w:t>61/26</w:t>
      </w:r>
      <w:r w:rsidR="006C6B6A" w:rsidRPr="00637554">
        <w:rPr>
          <w:rFonts w:ascii="Arial" w:eastAsia="Tahoma" w:hAnsi="Arial" w:cs="Arial"/>
          <w:u w:val="single"/>
        </w:rPr>
        <w:t xml:space="preserve"> i 108/26</w:t>
      </w:r>
      <w:bookmarkEnd w:id="0"/>
    </w:p>
    <w:p w14:paraId="411DC2CE"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1</w:t>
      </w:r>
    </w:p>
    <w:p w14:paraId="2DC73659" w14:textId="77777777"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Državljani Republike Albanije, Kneževine Andore, Antigve i Barbuda, Argentinske Republike, Arube, Državne zajednice Australije, Republike Austrije, Bahama, Barbadosa, Kraljevine Belgije, Bosne i Hercegovine, Savezne Republike Brazila, Brunej Darusalama, Republike Bugarske, Češke Republike, Republike Čilea, Kraljevine Danske, Domenike, Republike Estonije, Republike Finske, Francuske Republike, Grenade, Gruzije, Republike Gvatemale, Grčke Republike, Kraljevine Nizozemske, Holandskih Antila, Republike Hondurasa, Republike Hrvatske, Republike Irske, Republike Islanda, Republike Italije, Države Izraela, Japana, Kanade, Republike Kipra, Kiribatija, Kolumbije, Republike Koreje, Republike Kosova, Republike Kostarike, Republike Letonije, Kneževine Lihtenštajna, Republike Litvanije, Velikog Vojvodstva Luksemburga, Mađarske, Republike Sjeverne Makedonije, Malezije, Republike Malte, Mauricijusa, Republike Maršalskih Ostrva, Mikronezije, Sjedinjenih Meksičkih Država, Republike Moldavije, Kneževine Monaka, Republike Naurua, Republike Nikaragve, Kraljevine Norveške, Novog Zelanda, Savezne Republike Njemačke, Republike Palau, Republike Paname, Republike Paragvaja, Republike Poljske, Portugalske Republike, Rumunije, Republike El Salvadora, Samoe, Republike San Marina, Sejšelskih ostrva, Republike Singapura, Sjedinjenih Američkih Država, Slovačke Republike, Republike Slovenije, Solomonskih Ostrva, Republike Srbije, Svete Lucije, Svetog Kristofera i Nevisa, Svetog Vincenta i Grenadina, Svete Stolice, Kraljevine Španije, Kraljevine Švedske, Švajcarske Konfederacije, Tajvana, Timor-Lestea, Kraljevine Tonga, Trinidada i Tobaga, Tuvalua, Ujedinjenih Arapskih Emirata, Ujedinjenog Kraljevstva Velike Britanije i Sjeverne Irske, Ukrajine, Istočne Republike Urugvaj i Bolivarske Republike Venecuele, kao i imaoci važećih putnih isprava izdatih u britanskim prekomorskim teritorijama: Angvila, Bermuda, Britanska antartička teritorija, Britanska teritorija Indijskog okeana, Britanska djevičanska ostrva, Kajmanska ostrva, Foklandska ostrva, Gibraltar, Monserat, Pitkarn ostrvo, Sveta Helena, ostrvo Asension i Tristan de Kunjom, Južna Džordžija i Sendvička ostrva i ostrva Turks i Kaikos, i posebnom upravnom području Hong Kong Narodne Republike Kine i Makao Narodne Republike Kine mogu ulaziti, prelaziti preko teritorije i boraviti u Crnoj Gori do 90 dana, sa važećom putnom ispravom izdatom od nadležnih organa tih država, bez vize.</w:t>
      </w:r>
    </w:p>
    <w:p w14:paraId="4E7CC22F"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1a</w:t>
      </w:r>
    </w:p>
    <w:p w14:paraId="2332545A" w14:textId="6B26ABD9"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Državljani Kraljevine Saudijske Arabije i Republike Turske mogu</w:t>
      </w:r>
      <w:r w:rsidR="006C6B6A" w:rsidRPr="00BA7828">
        <w:rPr>
          <w:rFonts w:ascii="Arial" w:eastAsia="Tahoma" w:hAnsi="Arial" w:cs="Arial"/>
        </w:rPr>
        <w:t>, do 31. oktobra 2026. godine,</w:t>
      </w:r>
      <w:r w:rsidRPr="00BA7828">
        <w:rPr>
          <w:rFonts w:ascii="Arial" w:eastAsia="Tahoma" w:hAnsi="Arial" w:cs="Arial"/>
        </w:rPr>
        <w:t xml:space="preserve"> ulaziti, prelaziti preko teritorije i boraviti u Crnoj Gori do 30 dana, sa važećom putnom ispravom izdatom od nadležnih organa tih država, bez vize.</w:t>
      </w:r>
    </w:p>
    <w:p w14:paraId="4E418204" w14:textId="33836C8F"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2</w:t>
      </w:r>
    </w:p>
    <w:p w14:paraId="4225B995" w14:textId="77777777"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 xml:space="preserve">Državljani država članica Evropske unije, Republike Albanije, Kneževine Andore, Bosne i Hercegovine, Republike Islanda, Republike Kosova, Kraljevine Lihtenštajna, Republike </w:t>
      </w:r>
      <w:r w:rsidRPr="00BA7828">
        <w:rPr>
          <w:rFonts w:ascii="Arial" w:eastAsia="Tahoma" w:hAnsi="Arial" w:cs="Arial"/>
        </w:rPr>
        <w:lastRenderedPageBreak/>
        <w:t>Sjeverne Makedonije, Kneževine Monaka, Kraljevine Norveške, Republike San Marina, Republike Srbije, Svete Stolice i Švajcarske Konfederacije mogu ulaziti, prelaziti preko teritorije i boraviti u Crnoj Gori do 30 dana, bez vize, sa važećom ličnom kartom koju je izdao nadležni organ tih država.</w:t>
      </w:r>
    </w:p>
    <w:p w14:paraId="7D6AD1D3"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3</w:t>
      </w:r>
    </w:p>
    <w:p w14:paraId="06009753" w14:textId="0C44838A" w:rsidR="00B50C7F" w:rsidRPr="00BA7828" w:rsidRDefault="00B50C7F" w:rsidP="00B50C7F">
      <w:pPr>
        <w:widowControl w:val="0"/>
        <w:spacing w:before="188" w:after="0" w:line="276" w:lineRule="auto"/>
        <w:ind w:right="138"/>
        <w:jc w:val="both"/>
        <w:rPr>
          <w:rFonts w:ascii="Arial" w:eastAsia="Tahoma" w:hAnsi="Arial" w:cs="Arial"/>
        </w:rPr>
      </w:pPr>
      <w:r w:rsidRPr="00BA7828">
        <w:rPr>
          <w:rFonts w:ascii="Arial" w:eastAsia="Tahoma" w:hAnsi="Arial" w:cs="Arial"/>
        </w:rPr>
        <w:t>Državljani</w:t>
      </w:r>
      <w:r w:rsidR="006C6B6A" w:rsidRPr="00BA7828">
        <w:rPr>
          <w:rFonts w:ascii="Arial" w:eastAsia="Tahoma" w:hAnsi="Arial" w:cs="Arial"/>
        </w:rPr>
        <w:t xml:space="preserve"> </w:t>
      </w:r>
      <w:r w:rsidRPr="00BA7828">
        <w:rPr>
          <w:rFonts w:ascii="Arial" w:eastAsia="Tahoma" w:hAnsi="Arial" w:cs="Arial"/>
        </w:rPr>
        <w:t>Republike Perua mogu, saglasno zaključen</w:t>
      </w:r>
      <w:r w:rsidR="006C6B6A" w:rsidRPr="00BA7828">
        <w:rPr>
          <w:rFonts w:ascii="Arial" w:eastAsia="Tahoma" w:hAnsi="Arial" w:cs="Arial"/>
        </w:rPr>
        <w:t>o</w:t>
      </w:r>
      <w:r w:rsidRPr="00BA7828">
        <w:rPr>
          <w:rFonts w:ascii="Arial" w:eastAsia="Tahoma" w:hAnsi="Arial" w:cs="Arial"/>
        </w:rPr>
        <w:t>m međunarodnim ugovorima o uzajamnim putovanjima državljana, ulaziti, prelaziti preko teritorije i boraviti u Crnoj Gori do 30 dana, sa važećom putnom ispravom izdatom od nadležn</w:t>
      </w:r>
      <w:r w:rsidR="006C6B6A" w:rsidRPr="00BA7828">
        <w:rPr>
          <w:rFonts w:ascii="Arial" w:eastAsia="Tahoma" w:hAnsi="Arial" w:cs="Arial"/>
        </w:rPr>
        <w:t xml:space="preserve">og </w:t>
      </w:r>
      <w:r w:rsidRPr="00BA7828">
        <w:rPr>
          <w:rFonts w:ascii="Arial" w:eastAsia="Tahoma" w:hAnsi="Arial" w:cs="Arial"/>
        </w:rPr>
        <w:t>organa t</w:t>
      </w:r>
      <w:r w:rsidR="006C6B6A" w:rsidRPr="00BA7828">
        <w:rPr>
          <w:rFonts w:ascii="Arial" w:eastAsia="Tahoma" w:hAnsi="Arial" w:cs="Arial"/>
        </w:rPr>
        <w:t>e</w:t>
      </w:r>
      <w:r w:rsidRPr="00BA7828">
        <w:rPr>
          <w:rFonts w:ascii="Arial" w:eastAsia="Tahoma" w:hAnsi="Arial" w:cs="Arial"/>
        </w:rPr>
        <w:t xml:space="preserve"> držav</w:t>
      </w:r>
      <w:r w:rsidR="006C6B6A" w:rsidRPr="00BA7828">
        <w:rPr>
          <w:rFonts w:ascii="Arial" w:eastAsia="Tahoma" w:hAnsi="Arial" w:cs="Arial"/>
        </w:rPr>
        <w:t>e</w:t>
      </w:r>
      <w:r w:rsidRPr="00BA7828">
        <w:rPr>
          <w:rFonts w:ascii="Arial" w:eastAsia="Tahoma" w:hAnsi="Arial" w:cs="Arial"/>
        </w:rPr>
        <w:t>.</w:t>
      </w:r>
    </w:p>
    <w:p w14:paraId="3B770BDE" w14:textId="7D1F7092" w:rsidR="006C6B6A" w:rsidRPr="00BA7828" w:rsidRDefault="006C6B6A"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3a</w:t>
      </w:r>
    </w:p>
    <w:p w14:paraId="3A2E9F07" w14:textId="56207BFD" w:rsidR="006C6B6A" w:rsidRPr="00BA7828" w:rsidRDefault="006C6B6A" w:rsidP="006C6B6A">
      <w:pPr>
        <w:widowControl w:val="0"/>
        <w:spacing w:before="188" w:after="0" w:line="276" w:lineRule="auto"/>
        <w:ind w:right="138"/>
        <w:jc w:val="both"/>
        <w:rPr>
          <w:rFonts w:ascii="Arial" w:eastAsia="Tahoma" w:hAnsi="Arial" w:cs="Arial"/>
        </w:rPr>
      </w:pPr>
      <w:r w:rsidRPr="00BA7828">
        <w:rPr>
          <w:rFonts w:ascii="Arial" w:eastAsia="Tahoma" w:hAnsi="Arial" w:cs="Arial"/>
        </w:rPr>
        <w:t>Državljani Republike Bjelorusije i Ruske Federacije mogu, do 31. oktobra 2026. godine, saglasno zaključenim međunarodnim ugovorima o uzajamnim putovanjima državljana, ulaziti, prelaziti preko teritorije i boraviti u Crnoj Gori do 30 dana, sa važečom putnom ispravom izdatom od nadležnih organa tih država.</w:t>
      </w:r>
    </w:p>
    <w:p w14:paraId="5FB9EE71"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4</w:t>
      </w:r>
    </w:p>
    <w:p w14:paraId="7AFD5417" w14:textId="1D556DBE"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Državljani država koje nijesu navedene u čl. 1</w:t>
      </w:r>
      <w:r w:rsidR="00BE137E" w:rsidRPr="00BA7828">
        <w:rPr>
          <w:rFonts w:ascii="Arial" w:eastAsia="Tahoma" w:hAnsi="Arial" w:cs="Arial"/>
        </w:rPr>
        <w:t xml:space="preserve">, 1a, </w:t>
      </w:r>
      <w:r w:rsidRPr="00BA7828">
        <w:rPr>
          <w:rFonts w:ascii="Arial" w:eastAsia="Tahoma" w:hAnsi="Arial" w:cs="Arial"/>
        </w:rPr>
        <w:t>2 i 3 ove uredbe ili sa kojima nije zaključen međunarodni ugovor o ulasku, prelasku preko teritorije ili boravku na teritoriji Crne Gore mogu ulaziti, prelaziti preko teritorije i boraviti u Crnoj Gori na osnovu važeće strane putne isprave u koju je unesena viza.</w:t>
      </w:r>
    </w:p>
    <w:p w14:paraId="638FFDE6"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5</w:t>
      </w:r>
    </w:p>
    <w:p w14:paraId="418D1F4F" w14:textId="23DD7208" w:rsidR="00B50C7F" w:rsidRPr="00BA7828" w:rsidRDefault="005F5A19" w:rsidP="005F5A19">
      <w:pPr>
        <w:widowControl w:val="0"/>
        <w:spacing w:before="188" w:after="0" w:line="276" w:lineRule="auto"/>
        <w:ind w:left="3600" w:right="138"/>
        <w:jc w:val="both"/>
        <w:rPr>
          <w:rFonts w:ascii="Arial" w:eastAsia="Tahoma" w:hAnsi="Arial" w:cs="Arial"/>
        </w:rPr>
      </w:pPr>
      <w:r w:rsidRPr="00BA7828">
        <w:rPr>
          <w:rFonts w:ascii="Arial" w:eastAsia="Tahoma" w:hAnsi="Arial" w:cs="Arial"/>
        </w:rPr>
        <w:t xml:space="preserve">         </w:t>
      </w:r>
      <w:r w:rsidR="00B50C7F" w:rsidRPr="00BA7828">
        <w:rPr>
          <w:rFonts w:ascii="Arial" w:eastAsia="Tahoma" w:hAnsi="Arial" w:cs="Arial"/>
        </w:rPr>
        <w:t>- brisan -</w:t>
      </w:r>
    </w:p>
    <w:p w14:paraId="5DF6E227"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6</w:t>
      </w:r>
    </w:p>
    <w:p w14:paraId="634EE4CE" w14:textId="547BEDEA"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Državljani Narodne Republike Kine koji posjeduju važeću putnu ispravu, izdatu u skladu sa propisima te države, mogu</w:t>
      </w:r>
      <w:r w:rsidR="00516B56" w:rsidRPr="00BA7828">
        <w:rPr>
          <w:rFonts w:ascii="Arial" w:eastAsia="Tahoma" w:hAnsi="Arial" w:cs="Arial"/>
        </w:rPr>
        <w:t>, do 31. oktobra 2026. godine,</w:t>
      </w:r>
      <w:r w:rsidRPr="00BA7828">
        <w:rPr>
          <w:rFonts w:ascii="Arial" w:eastAsia="Tahoma" w:hAnsi="Arial" w:cs="Arial"/>
        </w:rPr>
        <w:t xml:space="preserve"> ulaziti, prelaziti preko teritorije i boraviti u Crnoj Gori do 30 dana, kao organizovana turistička grupa koja zajedno ulazi, boravi i napušta Crnu Goru, ako posjeduju potvrdu o uplaćenom turističkom aranžmanu i dokaz o obezbijeđenom povratku u državu porijekla ili tranzita.</w:t>
      </w:r>
    </w:p>
    <w:p w14:paraId="4FD91E41" w14:textId="016C53E8"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Državljani Narodne Republike Kine koji posjeduju važeći poslovni pasoš, izdat u skladu sa propisima te države, mogu</w:t>
      </w:r>
      <w:r w:rsidR="00516B56" w:rsidRPr="00BA7828">
        <w:rPr>
          <w:rFonts w:ascii="Arial" w:eastAsia="Tahoma" w:hAnsi="Arial" w:cs="Arial"/>
        </w:rPr>
        <w:t>, do 31. oktobra 2026. godine,</w:t>
      </w:r>
      <w:r w:rsidRPr="00BA7828">
        <w:rPr>
          <w:rFonts w:ascii="Arial" w:eastAsia="Tahoma" w:hAnsi="Arial" w:cs="Arial"/>
        </w:rPr>
        <w:t xml:space="preserve"> ulaziti, prelaziti preko teritorije i boraviti u Crnoj Gori do 30 dana, ako posjeduju pozivno pismo u smislu propisa kojima se uređuju bliži uslovi za izdavanje vize za kratki boravak (viza C).</w:t>
      </w:r>
    </w:p>
    <w:p w14:paraId="576A7AC1"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7</w:t>
      </w:r>
    </w:p>
    <w:p w14:paraId="2AF42178" w14:textId="77777777"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Imaoci važećih stranih putnih isprava sa važećom Šengen vizom, važećom vizom Državne zajednice Australije, Japana, Kanade, Novog Zelanda, Republike Irske, Sjedinjenih Američkih Država i Ujedinjenog Kraljevstva Velike Britanije i Sjeverne Irske mogu ulaziti, prelaziti preko teritorije i boraviti u Crnoj Gori do 30 dana, a najduže do isteka vize, ako je vrijeme važenja te vize kraće od 30 dana.</w:t>
      </w:r>
    </w:p>
    <w:p w14:paraId="72B4CCE3" w14:textId="77777777"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lastRenderedPageBreak/>
        <w:t>Imaoci važećih stranih putnih isprava koji posjeduju dozvolu boravka u državama Šengen zone, Državnoj zajednici Australiji, Japanu, Kanadi, Novom Zelandu, Republici Irskoj, Sjedinjenim Američkim Državama i Ujedinjenom Kraljevstvu Velike Britanije i Sjeverne Irske ili su imaoci poslovnih putnih kartica koje izdaju države članice Azijsko-pacifičke ekonomske saradnje (APEC) mogu ulaziti, prelaziti preko teritorije i boraviti u Crnoj Gori do 30 dana, a najduže do isteka važenja dozvole boravka ili te poslovne putne kartice, ako je vrijeme njihovog važenja kraće od 30 dana.</w:t>
      </w:r>
    </w:p>
    <w:p w14:paraId="1D250792"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8</w:t>
      </w:r>
    </w:p>
    <w:p w14:paraId="0989E0C4" w14:textId="2510D223" w:rsidR="00B50C7F" w:rsidRPr="00BA7828" w:rsidRDefault="005F5A19" w:rsidP="005F5A19">
      <w:pPr>
        <w:widowControl w:val="0"/>
        <w:spacing w:before="188" w:after="0" w:line="276" w:lineRule="auto"/>
        <w:ind w:left="2880" w:right="138" w:firstLine="720"/>
        <w:jc w:val="both"/>
        <w:rPr>
          <w:rFonts w:ascii="Arial" w:eastAsia="Tahoma" w:hAnsi="Arial" w:cs="Arial"/>
        </w:rPr>
      </w:pPr>
      <w:r w:rsidRPr="00BA7828">
        <w:rPr>
          <w:rFonts w:ascii="Arial" w:eastAsia="Tahoma" w:hAnsi="Arial" w:cs="Arial"/>
        </w:rPr>
        <w:t xml:space="preserve">        </w:t>
      </w:r>
      <w:r w:rsidR="00B50C7F" w:rsidRPr="00BA7828">
        <w:rPr>
          <w:rFonts w:ascii="Arial" w:eastAsia="Tahoma" w:hAnsi="Arial" w:cs="Arial"/>
        </w:rPr>
        <w:t>- brisan -</w:t>
      </w:r>
    </w:p>
    <w:p w14:paraId="09808304"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9</w:t>
      </w:r>
    </w:p>
    <w:p w14:paraId="222EF2B1" w14:textId="77777777"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Imaoci važećih putnih isprava izdatih od Organizacije Ujedinjenih Nacija ili njenih specijalizovanih agencija (Laissez-Passer) mogu ulaziti, prelaziti preko teritorije i boraviti u Crnoj Gori do 90 dana, bez vize.</w:t>
      </w:r>
    </w:p>
    <w:p w14:paraId="7E2139A7"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10</w:t>
      </w:r>
    </w:p>
    <w:p w14:paraId="320D5758" w14:textId="115A5B5D"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Imaoci važećih putnih isprava izdatih od država članica Evropske unije, Državne zajednice Australije, Republike Islanda, Japana, Kanade, Novog Zelanda, Kraljevine Norveške, Sjedinjenih Američkih Država, Švajcarske Konfederacije i Ujedinjenog Kraljevstva Velike Britanije i Sjeverne Irske, na osnovu Konvencije o pravnom položaju izbjeglica iz 1951. godine ili Konvencije o pravnom položaju lica bez državljanstva iz 1954. godine, kao i posebnih putnih isprava za strance mogu ulaziti, prelaziti preko teritorije i boraviti u Crnoj Gori do 30 dana, bez vize.</w:t>
      </w:r>
    </w:p>
    <w:p w14:paraId="44DCA170"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11</w:t>
      </w:r>
    </w:p>
    <w:p w14:paraId="5F2A10B0" w14:textId="77777777"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Državljani država sa kojima su zaključeni bilateralni ugovori o ukidanju viza za imaoce diplomatskih i službenih pasoša, odnosno o uslovima putovanja, mogu ulaziti, prelaziti preko teritorije i boraviti u Crnoj Gori u skladu sa tim ugovorima.</w:t>
      </w:r>
    </w:p>
    <w:p w14:paraId="24190EDD" w14:textId="77777777" w:rsidR="005F5A19" w:rsidRPr="00BA7828" w:rsidRDefault="005F5A19" w:rsidP="005F5A19">
      <w:pPr>
        <w:widowControl w:val="0"/>
        <w:spacing w:before="188" w:after="0" w:line="276" w:lineRule="auto"/>
        <w:ind w:right="138"/>
        <w:jc w:val="both"/>
        <w:rPr>
          <w:rFonts w:ascii="Arial" w:eastAsia="Tahoma" w:hAnsi="Arial" w:cs="Arial"/>
        </w:rPr>
      </w:pPr>
    </w:p>
    <w:p w14:paraId="6BCF2952" w14:textId="526FBFAC"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12</w:t>
      </w:r>
    </w:p>
    <w:p w14:paraId="05711286" w14:textId="77777777"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Imaoci važećeg pasoša, diplomatskog ili službenog pasoša, akreditovani pri diplomatskom protokolu organa državne uprave nadležnog za vanjske poslove ili lica kojima je, u skladu sa zakonom kojim se uređuju vanjski poslovi, izdata posebna lična karta mogu ulaziti, prelaziti preko teritorije i boraviti u Crnoj Gori bez vize.</w:t>
      </w:r>
    </w:p>
    <w:p w14:paraId="5DE0492A"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12a</w:t>
      </w:r>
    </w:p>
    <w:p w14:paraId="0063A9BA" w14:textId="77777777" w:rsidR="00B50C7F" w:rsidRPr="00BA7828" w:rsidRDefault="00B50C7F" w:rsidP="00B50C7F">
      <w:pPr>
        <w:widowControl w:val="0"/>
        <w:spacing w:before="188" w:after="0" w:line="276" w:lineRule="auto"/>
        <w:ind w:right="138"/>
        <w:jc w:val="both"/>
        <w:rPr>
          <w:rFonts w:ascii="Arial" w:eastAsia="Tahoma" w:hAnsi="Arial" w:cs="Arial"/>
        </w:rPr>
      </w:pPr>
      <w:r w:rsidRPr="00BA7828">
        <w:rPr>
          <w:rFonts w:ascii="Arial" w:eastAsia="Tahoma" w:hAnsi="Arial" w:cs="Arial"/>
        </w:rPr>
        <w:t>Imaoci važećeg diplomatskog pasoša, akreditovani kod ministarstava vanjskih poslova država članica Evropske Unije, Republike Albanije, Republike Srbije i Bosne i Hercegovine, kojima je u skladu sa propisima tih zemalja izdata posebna lična karta, a koji nerezidentno pokrivaju Crnu Goru, mogu ulaziti, prelaziti preko teritorije i boraviti u Crnoj Gori bez vize do 90 dana.</w:t>
      </w:r>
    </w:p>
    <w:p w14:paraId="76F07E0C" w14:textId="705C04E8"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lastRenderedPageBreak/>
        <w:t>Imaoci važećeg diplomatskog pasoša, akreditovani kod ministarstava vanjskih poslova u državama Šengen zone, Državnoj zajednici Australiji, Japanu, Kanadi, Novom Zelandu, Republici Irskoj, Sjedinjenim Američkim Državama i Ujedinjenom Kraljevstvu Velike Britanije i Sjeverne Irske, kojima je u skladu sa propisima tih zemalja izdata posebna lična karta, mogu ulaziti, prelaziti preko teritorije i boraviti u Crnoj Gori bez vize do 30 dana.</w:t>
      </w:r>
    </w:p>
    <w:p w14:paraId="03209375"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12b</w:t>
      </w:r>
    </w:p>
    <w:p w14:paraId="13C59280" w14:textId="6503DA63"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Državljani Azerbejdžana mogu do 15. januara 2026. godine, ulaziti, prelaziti preko teritorije i boraviti u Crnoj Gori do 30 dana, sa važećom putnom ispravom, bez vize.</w:t>
      </w:r>
    </w:p>
    <w:p w14:paraId="5FDE0791" w14:textId="5DA3F807" w:rsidR="00FF742B" w:rsidRPr="00BA7828" w:rsidRDefault="00FF742B"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12c</w:t>
      </w:r>
    </w:p>
    <w:p w14:paraId="766EFEAE" w14:textId="34A9E699" w:rsidR="00FF742B" w:rsidRPr="00BA7828" w:rsidRDefault="00FF742B"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Oslobađanje od obaveze pribavljanja vize ne može se uređivati posebnim aktima Vlade Crne Gore od 31. oktobra 2026. godine, kao i od 1. oktobra 2026. godine za sezonska oslobađanja.</w:t>
      </w:r>
    </w:p>
    <w:p w14:paraId="0116EA02"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13</w:t>
      </w:r>
    </w:p>
    <w:p w14:paraId="671C0E30" w14:textId="77777777"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Danom stupanja na snagu ove uredbe prestaje da važi  Uredba o viznom režimu ("Službeni   list CG", br. 35/16, 23/17 i 37/18).</w:t>
      </w:r>
    </w:p>
    <w:p w14:paraId="3A5941DF" w14:textId="77777777" w:rsidR="00B50C7F" w:rsidRPr="00BA7828" w:rsidRDefault="00B50C7F" w:rsidP="005F5A19">
      <w:pPr>
        <w:widowControl w:val="0"/>
        <w:spacing w:before="188" w:after="0" w:line="276" w:lineRule="auto"/>
        <w:ind w:right="138"/>
        <w:jc w:val="center"/>
        <w:rPr>
          <w:rFonts w:ascii="Arial" w:eastAsia="Tahoma" w:hAnsi="Arial" w:cs="Arial"/>
          <w:b/>
        </w:rPr>
      </w:pPr>
      <w:r w:rsidRPr="00BA7828">
        <w:rPr>
          <w:rFonts w:ascii="Arial" w:eastAsia="Tahoma" w:hAnsi="Arial" w:cs="Arial"/>
          <w:b/>
        </w:rPr>
        <w:t>Član 14</w:t>
      </w:r>
    </w:p>
    <w:p w14:paraId="0D40E5AD" w14:textId="77F67503"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 xml:space="preserve">Ova uredba stupa </w:t>
      </w:r>
      <w:r w:rsidR="000459A5" w:rsidRPr="00BA7828">
        <w:rPr>
          <w:rFonts w:ascii="Arial" w:eastAsia="Tahoma" w:hAnsi="Arial" w:cs="Arial"/>
        </w:rPr>
        <w:t xml:space="preserve">na snagu </w:t>
      </w:r>
      <w:r w:rsidR="005F5A19" w:rsidRPr="00BA7828">
        <w:rPr>
          <w:rFonts w:ascii="Arial" w:eastAsia="Tahoma" w:hAnsi="Arial" w:cs="Arial"/>
        </w:rPr>
        <w:t xml:space="preserve">narednog dana od </w:t>
      </w:r>
      <w:r w:rsidRPr="00BA7828">
        <w:rPr>
          <w:rFonts w:ascii="Arial" w:eastAsia="Tahoma" w:hAnsi="Arial" w:cs="Arial"/>
        </w:rPr>
        <w:t>dan</w:t>
      </w:r>
      <w:r w:rsidR="005F5A19" w:rsidRPr="00BA7828">
        <w:rPr>
          <w:rFonts w:ascii="Arial" w:eastAsia="Tahoma" w:hAnsi="Arial" w:cs="Arial"/>
        </w:rPr>
        <w:t>a</w:t>
      </w:r>
      <w:r w:rsidRPr="00BA7828">
        <w:rPr>
          <w:rFonts w:ascii="Arial" w:eastAsia="Tahoma" w:hAnsi="Arial" w:cs="Arial"/>
        </w:rPr>
        <w:t xml:space="preserve"> objavljivanja u "Službenom listu Crne Gore".</w:t>
      </w:r>
    </w:p>
    <w:p w14:paraId="0DB7D346" w14:textId="74B454F2" w:rsidR="00B50C7F" w:rsidRPr="00BA7828" w:rsidRDefault="00BA7828"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Broj: 11-011/26-3016</w:t>
      </w:r>
    </w:p>
    <w:p w14:paraId="77764F7D" w14:textId="131CD6C2" w:rsidR="00B50C7F" w:rsidRPr="00BA7828" w:rsidRDefault="00BA7828"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Podgorica, 23. jula 2026. godine</w:t>
      </w:r>
    </w:p>
    <w:p w14:paraId="3A530027" w14:textId="77777777" w:rsid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 xml:space="preserve">                                                                  </w:t>
      </w:r>
    </w:p>
    <w:p w14:paraId="41174D3D" w14:textId="465E0BB4" w:rsidR="00B50C7F" w:rsidRPr="00BA7828" w:rsidRDefault="00BA7828" w:rsidP="00BA7828">
      <w:pPr>
        <w:widowControl w:val="0"/>
        <w:spacing w:before="188" w:after="0" w:line="276" w:lineRule="auto"/>
        <w:ind w:left="2880" w:right="138" w:firstLine="720"/>
        <w:jc w:val="both"/>
        <w:rPr>
          <w:rFonts w:ascii="Arial" w:eastAsia="Tahoma" w:hAnsi="Arial" w:cs="Arial"/>
          <w:b/>
        </w:rPr>
      </w:pPr>
      <w:r>
        <w:rPr>
          <w:rFonts w:ascii="Arial" w:eastAsia="Tahoma" w:hAnsi="Arial" w:cs="Arial"/>
        </w:rPr>
        <w:t xml:space="preserve">  </w:t>
      </w:r>
      <w:r w:rsidR="00B50C7F" w:rsidRPr="00BA7828">
        <w:rPr>
          <w:rFonts w:ascii="Arial" w:eastAsia="Tahoma" w:hAnsi="Arial" w:cs="Arial"/>
          <w:b/>
        </w:rPr>
        <w:t>Vlada Crne Gore</w:t>
      </w:r>
    </w:p>
    <w:p w14:paraId="76DA1891" w14:textId="62AB9761" w:rsidR="00B50C7F"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ab/>
      </w:r>
      <w:r w:rsidRPr="00BA7828">
        <w:rPr>
          <w:rFonts w:ascii="Arial" w:eastAsia="Tahoma" w:hAnsi="Arial" w:cs="Arial"/>
        </w:rPr>
        <w:tab/>
      </w:r>
      <w:r w:rsidRPr="00BA7828">
        <w:rPr>
          <w:rFonts w:ascii="Arial" w:eastAsia="Tahoma" w:hAnsi="Arial" w:cs="Arial"/>
        </w:rPr>
        <w:tab/>
      </w:r>
      <w:r w:rsidRPr="00BA7828">
        <w:rPr>
          <w:rFonts w:ascii="Arial" w:eastAsia="Tahoma" w:hAnsi="Arial" w:cs="Arial"/>
        </w:rPr>
        <w:tab/>
      </w:r>
      <w:r w:rsidRPr="00BA7828">
        <w:rPr>
          <w:rFonts w:ascii="Arial" w:eastAsia="Tahoma" w:hAnsi="Arial" w:cs="Arial"/>
        </w:rPr>
        <w:tab/>
      </w:r>
      <w:r w:rsidRPr="00BA7828">
        <w:rPr>
          <w:rFonts w:ascii="Arial" w:eastAsia="Tahoma" w:hAnsi="Arial" w:cs="Arial"/>
        </w:rPr>
        <w:tab/>
      </w:r>
      <w:r w:rsidRPr="00BA7828">
        <w:rPr>
          <w:rFonts w:ascii="Arial" w:eastAsia="Tahoma" w:hAnsi="Arial" w:cs="Arial"/>
        </w:rPr>
        <w:tab/>
      </w:r>
      <w:r w:rsidRPr="00BA7828">
        <w:rPr>
          <w:rFonts w:ascii="Arial" w:eastAsia="Tahoma" w:hAnsi="Arial" w:cs="Arial"/>
        </w:rPr>
        <w:tab/>
      </w:r>
      <w:r w:rsidRPr="00BA7828">
        <w:rPr>
          <w:rFonts w:ascii="Arial" w:eastAsia="Tahoma" w:hAnsi="Arial" w:cs="Arial"/>
        </w:rPr>
        <w:tab/>
        <w:t xml:space="preserve">        </w:t>
      </w:r>
      <w:r w:rsidRPr="00BA7828">
        <w:rPr>
          <w:rFonts w:ascii="Arial" w:eastAsia="Tahoma" w:hAnsi="Arial" w:cs="Arial"/>
          <w:b/>
        </w:rPr>
        <w:t>predsjednik Vlade</w:t>
      </w:r>
      <w:r w:rsidRPr="00BA7828">
        <w:rPr>
          <w:rFonts w:ascii="Arial" w:eastAsia="Tahoma" w:hAnsi="Arial" w:cs="Arial"/>
        </w:rPr>
        <w:t>,</w:t>
      </w:r>
    </w:p>
    <w:p w14:paraId="19EE1CE1" w14:textId="2FAF52D1" w:rsidR="005F5A19" w:rsidRPr="00BA7828" w:rsidRDefault="00B50C7F" w:rsidP="005F5A19">
      <w:pPr>
        <w:widowControl w:val="0"/>
        <w:spacing w:before="188" w:after="0" w:line="276" w:lineRule="auto"/>
        <w:ind w:right="138"/>
        <w:jc w:val="both"/>
        <w:rPr>
          <w:rFonts w:ascii="Arial" w:eastAsia="Tahoma" w:hAnsi="Arial" w:cs="Arial"/>
        </w:rPr>
      </w:pPr>
      <w:r w:rsidRPr="00BA7828">
        <w:rPr>
          <w:rFonts w:ascii="Arial" w:eastAsia="Tahoma" w:hAnsi="Arial" w:cs="Arial"/>
        </w:rPr>
        <w:t xml:space="preserve">                                                                                                           </w:t>
      </w:r>
      <w:r w:rsidR="00BA7828">
        <w:rPr>
          <w:rFonts w:ascii="Arial" w:eastAsia="Tahoma" w:hAnsi="Arial" w:cs="Arial"/>
        </w:rPr>
        <w:t xml:space="preserve">        </w:t>
      </w:r>
      <w:r w:rsidRPr="00BA7828">
        <w:rPr>
          <w:rFonts w:ascii="Arial" w:eastAsia="Tahoma" w:hAnsi="Arial" w:cs="Arial"/>
        </w:rPr>
        <w:t>mr Milojko Spajić</w:t>
      </w:r>
    </w:p>
    <w:sectPr w:rsidR="005F5A19" w:rsidRPr="00BA7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E"/>
    <w:rsid w:val="000459A5"/>
    <w:rsid w:val="00516B56"/>
    <w:rsid w:val="00556789"/>
    <w:rsid w:val="005F5A19"/>
    <w:rsid w:val="00637554"/>
    <w:rsid w:val="006C6B6A"/>
    <w:rsid w:val="00B50C7F"/>
    <w:rsid w:val="00BA7828"/>
    <w:rsid w:val="00BE137E"/>
    <w:rsid w:val="00BE6C54"/>
    <w:rsid w:val="00D56DCE"/>
    <w:rsid w:val="00F57C59"/>
    <w:rsid w:val="00FF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F3C05"/>
  <w15:chartTrackingRefBased/>
  <w15:docId w15:val="{1534E1E3-E768-45AB-8B23-FD9199DA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50C7F"/>
    <w:pPr>
      <w:widowControl w:val="0"/>
      <w:spacing w:before="183" w:after="0" w:line="240" w:lineRule="auto"/>
      <w:ind w:left="130" w:right="160"/>
      <w:jc w:val="center"/>
      <w:outlineLvl w:val="0"/>
    </w:pPr>
    <w:rPr>
      <w:rFonts w:ascii="Tahoma" w:eastAsia="Tahoma" w:hAnsi="Tahom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C7F"/>
    <w:rPr>
      <w:rFonts w:ascii="Tahoma" w:eastAsia="Tahoma" w:hAnsi="Tahoma" w:cs="Tahoma"/>
      <w:b/>
      <w:bCs/>
      <w:sz w:val="23"/>
      <w:szCs w:val="23"/>
    </w:rPr>
  </w:style>
  <w:style w:type="numbering" w:customStyle="1" w:styleId="NoList1">
    <w:name w:val="No List1"/>
    <w:next w:val="NoList"/>
    <w:uiPriority w:val="99"/>
    <w:semiHidden/>
    <w:unhideWhenUsed/>
    <w:rsid w:val="00B50C7F"/>
  </w:style>
  <w:style w:type="paragraph" w:styleId="BodyText">
    <w:name w:val="Body Text"/>
    <w:basedOn w:val="Normal"/>
    <w:link w:val="BodyTextChar"/>
    <w:uiPriority w:val="1"/>
    <w:qFormat/>
    <w:rsid w:val="00B50C7F"/>
    <w:pPr>
      <w:widowControl w:val="0"/>
      <w:spacing w:before="188" w:after="0" w:line="240" w:lineRule="auto"/>
      <w:ind w:left="102"/>
      <w:jc w:val="both"/>
    </w:pPr>
    <w:rPr>
      <w:rFonts w:ascii="Tahoma" w:eastAsia="Tahoma" w:hAnsi="Tahoma" w:cs="Tahoma"/>
      <w:sz w:val="21"/>
      <w:szCs w:val="21"/>
    </w:rPr>
  </w:style>
  <w:style w:type="character" w:customStyle="1" w:styleId="BodyTextChar">
    <w:name w:val="Body Text Char"/>
    <w:basedOn w:val="DefaultParagraphFont"/>
    <w:link w:val="BodyText"/>
    <w:uiPriority w:val="1"/>
    <w:rsid w:val="00B50C7F"/>
    <w:rPr>
      <w:rFonts w:ascii="Tahoma" w:eastAsia="Tahoma" w:hAnsi="Tahoma" w:cs="Tahoma"/>
      <w:sz w:val="21"/>
      <w:szCs w:val="21"/>
    </w:rPr>
  </w:style>
  <w:style w:type="paragraph" w:styleId="ListParagraph">
    <w:name w:val="List Paragraph"/>
    <w:basedOn w:val="Normal"/>
    <w:uiPriority w:val="1"/>
    <w:qFormat/>
    <w:rsid w:val="00B50C7F"/>
    <w:pPr>
      <w:widowControl w:val="0"/>
      <w:spacing w:after="0" w:line="240" w:lineRule="auto"/>
    </w:pPr>
    <w:rPr>
      <w:rFonts w:ascii="Tahoma" w:eastAsia="Tahoma" w:hAnsi="Tahoma" w:cs="Tahoma"/>
    </w:rPr>
  </w:style>
  <w:style w:type="paragraph" w:customStyle="1" w:styleId="TableParagraph">
    <w:name w:val="Table Paragraph"/>
    <w:basedOn w:val="Normal"/>
    <w:uiPriority w:val="1"/>
    <w:qFormat/>
    <w:rsid w:val="00B50C7F"/>
    <w:pPr>
      <w:widowControl w:val="0"/>
      <w:spacing w:after="0" w:line="240" w:lineRule="auto"/>
    </w:pPr>
    <w:rPr>
      <w:rFonts w:ascii="Tahoma" w:eastAsia="Tahoma" w:hAnsi="Tahoma" w:cs="Tahoma"/>
    </w:rPr>
  </w:style>
  <w:style w:type="paragraph" w:styleId="Header">
    <w:name w:val="header"/>
    <w:basedOn w:val="Normal"/>
    <w:link w:val="HeaderChar"/>
    <w:uiPriority w:val="99"/>
    <w:unhideWhenUsed/>
    <w:rsid w:val="00B50C7F"/>
    <w:pPr>
      <w:widowControl w:val="0"/>
      <w:tabs>
        <w:tab w:val="center" w:pos="4680"/>
        <w:tab w:val="right" w:pos="9360"/>
      </w:tabs>
      <w:spacing w:after="0" w:line="240" w:lineRule="auto"/>
    </w:pPr>
    <w:rPr>
      <w:rFonts w:ascii="Tahoma" w:eastAsia="Tahoma" w:hAnsi="Tahoma" w:cs="Tahoma"/>
    </w:rPr>
  </w:style>
  <w:style w:type="character" w:customStyle="1" w:styleId="HeaderChar">
    <w:name w:val="Header Char"/>
    <w:basedOn w:val="DefaultParagraphFont"/>
    <w:link w:val="Header"/>
    <w:uiPriority w:val="99"/>
    <w:rsid w:val="00B50C7F"/>
    <w:rPr>
      <w:rFonts w:ascii="Tahoma" w:eastAsia="Tahoma" w:hAnsi="Tahoma" w:cs="Tahoma"/>
    </w:rPr>
  </w:style>
  <w:style w:type="paragraph" w:styleId="Footer">
    <w:name w:val="footer"/>
    <w:basedOn w:val="Normal"/>
    <w:link w:val="FooterChar"/>
    <w:uiPriority w:val="99"/>
    <w:unhideWhenUsed/>
    <w:rsid w:val="00B50C7F"/>
    <w:pPr>
      <w:widowControl w:val="0"/>
      <w:tabs>
        <w:tab w:val="center" w:pos="4680"/>
        <w:tab w:val="right" w:pos="9360"/>
      </w:tabs>
      <w:spacing w:after="0" w:line="240" w:lineRule="auto"/>
    </w:pPr>
    <w:rPr>
      <w:rFonts w:ascii="Tahoma" w:eastAsia="Tahoma" w:hAnsi="Tahoma" w:cs="Tahoma"/>
    </w:rPr>
  </w:style>
  <w:style w:type="character" w:customStyle="1" w:styleId="FooterChar">
    <w:name w:val="Footer Char"/>
    <w:basedOn w:val="DefaultParagraphFont"/>
    <w:link w:val="Footer"/>
    <w:uiPriority w:val="99"/>
    <w:rsid w:val="00B50C7F"/>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1362</Words>
  <Characters>7767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Pavle Vojinovic</dc:creator>
  <cp:keywords/>
  <dc:description/>
  <cp:lastModifiedBy>Pavle Vojinovic</cp:lastModifiedBy>
  <cp:revision>10</cp:revision>
  <dcterms:created xsi:type="dcterms:W3CDTF">2026-04-23T06:36:00Z</dcterms:created>
  <dcterms:modified xsi:type="dcterms:W3CDTF">2026-07-28T07:34:00Z</dcterms:modified>
</cp:coreProperties>
</file>