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AF1" w:rsidRPr="00C61C69" w:rsidRDefault="006E7AF1" w:rsidP="002F7CD5">
      <w:pPr>
        <w:pStyle w:val="N02Y"/>
        <w:ind w:firstLine="0"/>
        <w:rPr>
          <w:rFonts w:ascii="Arial" w:hAnsi="Arial" w:cs="Arial"/>
          <w:b/>
          <w:sz w:val="24"/>
          <w:szCs w:val="24"/>
          <w:lang w:val="en-GB"/>
        </w:rPr>
      </w:pPr>
      <w:bookmarkStart w:id="0" w:name="_GoBack"/>
      <w:bookmarkEnd w:id="0"/>
    </w:p>
    <w:p w:rsidR="007B0539" w:rsidRPr="00C61C69" w:rsidRDefault="009E77A6" w:rsidP="00FC210D">
      <w:pPr>
        <w:pStyle w:val="N02Y"/>
        <w:ind w:firstLine="720"/>
        <w:rPr>
          <w:rFonts w:ascii="Arial" w:hAnsi="Arial" w:cs="Arial"/>
          <w:sz w:val="24"/>
          <w:szCs w:val="24"/>
          <w:lang w:val="en-GB"/>
        </w:rPr>
      </w:pPr>
      <w:r w:rsidRPr="00C61C69">
        <w:rPr>
          <w:rFonts w:ascii="Arial" w:hAnsi="Arial" w:cs="Arial"/>
          <w:sz w:val="24"/>
          <w:szCs w:val="24"/>
          <w:lang w:val="en-GB"/>
        </w:rPr>
        <w:t xml:space="preserve">Pursuant to Article </w:t>
      </w:r>
      <w:r w:rsidR="00D62255" w:rsidRPr="00C61C69">
        <w:rPr>
          <w:rFonts w:ascii="Arial" w:hAnsi="Arial" w:cs="Arial"/>
          <w:sz w:val="24"/>
          <w:szCs w:val="24"/>
          <w:lang w:val="en-GB"/>
        </w:rPr>
        <w:t xml:space="preserve">14f </w:t>
      </w:r>
      <w:r w:rsidRPr="00C61C69">
        <w:rPr>
          <w:rFonts w:ascii="Arial" w:hAnsi="Arial" w:cs="Arial"/>
          <w:sz w:val="24"/>
          <w:szCs w:val="24"/>
          <w:lang w:val="en-GB"/>
        </w:rPr>
        <w:t xml:space="preserve">paragraph </w:t>
      </w:r>
      <w:r w:rsidR="00D62255" w:rsidRPr="00C61C69">
        <w:rPr>
          <w:rFonts w:ascii="Arial" w:hAnsi="Arial" w:cs="Arial"/>
          <w:sz w:val="24"/>
          <w:szCs w:val="24"/>
          <w:lang w:val="en-GB"/>
        </w:rPr>
        <w:t>4</w:t>
      </w:r>
      <w:r w:rsidR="007B0539" w:rsidRPr="00C61C69">
        <w:rPr>
          <w:rFonts w:ascii="Arial" w:hAnsi="Arial" w:cs="Arial"/>
          <w:sz w:val="24"/>
          <w:szCs w:val="24"/>
          <w:lang w:val="en-GB"/>
        </w:rPr>
        <w:t xml:space="preserve"> </w:t>
      </w:r>
      <w:r w:rsidRPr="00C61C69">
        <w:rPr>
          <w:rFonts w:ascii="Arial" w:hAnsi="Arial" w:cs="Arial"/>
          <w:sz w:val="24"/>
          <w:szCs w:val="24"/>
          <w:lang w:val="en-GB"/>
        </w:rPr>
        <w:t xml:space="preserve">of the Law on Tax Administration </w:t>
      </w:r>
      <w:r w:rsidR="007B0539" w:rsidRPr="00C61C69">
        <w:rPr>
          <w:rFonts w:ascii="Arial" w:hAnsi="Arial" w:cs="Arial"/>
          <w:sz w:val="24"/>
          <w:szCs w:val="24"/>
          <w:lang w:val="en-GB"/>
        </w:rPr>
        <w:t>(</w:t>
      </w:r>
      <w:r w:rsidRPr="00C61C69">
        <w:rPr>
          <w:rFonts w:ascii="Arial" w:hAnsi="Arial" w:cs="Arial"/>
          <w:sz w:val="24"/>
          <w:szCs w:val="24"/>
          <w:lang w:val="en-GB"/>
        </w:rPr>
        <w:t>Official Gazette of Republic of Montenegro No.</w:t>
      </w:r>
      <w:r w:rsidR="007B0539" w:rsidRPr="00C61C69">
        <w:rPr>
          <w:rFonts w:ascii="Arial" w:hAnsi="Arial" w:cs="Arial"/>
          <w:sz w:val="24"/>
          <w:szCs w:val="24"/>
          <w:lang w:val="en-GB"/>
        </w:rPr>
        <w:t xml:space="preserve"> 65/01 </w:t>
      </w:r>
      <w:r w:rsidRPr="00C61C69">
        <w:rPr>
          <w:rFonts w:ascii="Arial" w:hAnsi="Arial" w:cs="Arial"/>
          <w:sz w:val="24"/>
          <w:szCs w:val="24"/>
          <w:lang w:val="en-GB"/>
        </w:rPr>
        <w:t>and</w:t>
      </w:r>
      <w:r w:rsidR="007B0539" w:rsidRPr="00C61C69">
        <w:rPr>
          <w:rFonts w:ascii="Arial" w:hAnsi="Arial" w:cs="Arial"/>
          <w:sz w:val="24"/>
          <w:szCs w:val="24"/>
          <w:lang w:val="en-GB"/>
        </w:rPr>
        <w:t xml:space="preserve"> 80/04 </w:t>
      </w:r>
      <w:r w:rsidRPr="00C61C69">
        <w:rPr>
          <w:rFonts w:ascii="Arial" w:hAnsi="Arial" w:cs="Arial"/>
          <w:sz w:val="24"/>
          <w:szCs w:val="24"/>
          <w:lang w:val="en-GB"/>
        </w:rPr>
        <w:t>and</w:t>
      </w:r>
      <w:r w:rsidR="007B0539" w:rsidRPr="00C61C69">
        <w:rPr>
          <w:rFonts w:ascii="Arial" w:hAnsi="Arial" w:cs="Arial"/>
          <w:sz w:val="24"/>
          <w:szCs w:val="24"/>
          <w:lang w:val="en-GB"/>
        </w:rPr>
        <w:t xml:space="preserve"> </w:t>
      </w:r>
      <w:r w:rsidRPr="00C61C69">
        <w:rPr>
          <w:rFonts w:ascii="Arial" w:hAnsi="Arial" w:cs="Arial"/>
          <w:sz w:val="24"/>
          <w:szCs w:val="24"/>
          <w:lang w:val="en-GB"/>
        </w:rPr>
        <w:t xml:space="preserve">Official Gazette </w:t>
      </w:r>
      <w:r w:rsidR="00C61C69" w:rsidRPr="00C61C69">
        <w:rPr>
          <w:rFonts w:ascii="Arial" w:hAnsi="Arial" w:cs="Arial"/>
          <w:sz w:val="24"/>
          <w:szCs w:val="24"/>
          <w:lang w:val="en-GB"/>
        </w:rPr>
        <w:t>of Montenegro</w:t>
      </w:r>
      <w:r w:rsidRPr="00C61C69">
        <w:rPr>
          <w:rFonts w:ascii="Arial" w:hAnsi="Arial" w:cs="Arial"/>
          <w:sz w:val="24"/>
          <w:szCs w:val="24"/>
          <w:lang w:val="en-GB"/>
        </w:rPr>
        <w:t xml:space="preserve"> No. </w:t>
      </w:r>
      <w:r w:rsidR="007B0539" w:rsidRPr="00C61C69">
        <w:rPr>
          <w:rFonts w:ascii="Arial" w:hAnsi="Arial" w:cs="Arial"/>
          <w:sz w:val="24"/>
          <w:szCs w:val="24"/>
          <w:lang w:val="en-GB"/>
        </w:rPr>
        <w:t>20/11</w:t>
      </w:r>
      <w:r w:rsidR="006B03C3" w:rsidRPr="00C61C69">
        <w:rPr>
          <w:rFonts w:ascii="Arial" w:hAnsi="Arial" w:cs="Arial"/>
          <w:sz w:val="24"/>
          <w:szCs w:val="24"/>
          <w:lang w:val="en-GB"/>
        </w:rPr>
        <w:t xml:space="preserve">, 28/12, 8/15, 47/17, 52/19 </w:t>
      </w:r>
      <w:r w:rsidRPr="00C61C69">
        <w:rPr>
          <w:rFonts w:ascii="Arial" w:hAnsi="Arial" w:cs="Arial"/>
          <w:sz w:val="24"/>
          <w:szCs w:val="24"/>
          <w:lang w:val="en-GB"/>
        </w:rPr>
        <w:t xml:space="preserve">and </w:t>
      </w:r>
      <w:r w:rsidR="006B03C3" w:rsidRPr="00C61C69">
        <w:rPr>
          <w:rFonts w:ascii="Arial" w:hAnsi="Arial" w:cs="Arial"/>
          <w:sz w:val="24"/>
          <w:szCs w:val="24"/>
          <w:lang w:val="en-GB"/>
        </w:rPr>
        <w:t>145/21</w:t>
      </w:r>
      <w:r w:rsidR="007B0539" w:rsidRPr="00C61C69">
        <w:rPr>
          <w:rFonts w:ascii="Arial" w:hAnsi="Arial" w:cs="Arial"/>
          <w:sz w:val="24"/>
          <w:szCs w:val="24"/>
          <w:lang w:val="en-GB"/>
        </w:rPr>
        <w:t xml:space="preserve">), </w:t>
      </w:r>
      <w:r w:rsidRPr="00C61C69">
        <w:rPr>
          <w:rFonts w:ascii="Arial" w:hAnsi="Arial" w:cs="Arial"/>
          <w:sz w:val="24"/>
          <w:szCs w:val="24"/>
          <w:lang w:val="en-GB"/>
        </w:rPr>
        <w:t>the Ministry of Finance passed</w:t>
      </w:r>
    </w:p>
    <w:p w:rsidR="006E7AF1" w:rsidRPr="00C61C69" w:rsidRDefault="006E7AF1" w:rsidP="00FC210D">
      <w:pPr>
        <w:pStyle w:val="N02Y"/>
        <w:ind w:firstLine="720"/>
        <w:rPr>
          <w:rFonts w:ascii="Arial" w:hAnsi="Arial" w:cs="Arial"/>
          <w:sz w:val="24"/>
          <w:szCs w:val="24"/>
          <w:lang w:val="en-GB"/>
        </w:rPr>
      </w:pPr>
    </w:p>
    <w:p w:rsidR="00E351DA" w:rsidRPr="00C61C69" w:rsidRDefault="009E77A6" w:rsidP="00E351DA">
      <w:pPr>
        <w:pStyle w:val="N03Y"/>
        <w:spacing w:after="0"/>
        <w:rPr>
          <w:rFonts w:ascii="Arial" w:hAnsi="Arial" w:cs="Arial"/>
          <w:sz w:val="24"/>
          <w:szCs w:val="24"/>
          <w:lang w:val="en-GB"/>
        </w:rPr>
      </w:pPr>
      <w:r w:rsidRPr="00C61C69">
        <w:rPr>
          <w:rFonts w:ascii="Arial" w:hAnsi="Arial" w:cs="Arial"/>
          <w:sz w:val="24"/>
          <w:szCs w:val="24"/>
          <w:lang w:val="en-GB"/>
        </w:rPr>
        <w:t>INSTRUCTIONS</w:t>
      </w:r>
    </w:p>
    <w:p w:rsidR="007E6B0D" w:rsidRPr="00C61C69" w:rsidRDefault="00A711FE" w:rsidP="00E351DA">
      <w:pPr>
        <w:pStyle w:val="N03Y"/>
        <w:spacing w:before="0" w:after="0"/>
        <w:rPr>
          <w:rFonts w:ascii="Arial" w:hAnsi="Arial" w:cs="Arial"/>
          <w:sz w:val="24"/>
          <w:szCs w:val="24"/>
          <w:lang w:val="en-GB"/>
        </w:rPr>
      </w:pPr>
      <w:r w:rsidRPr="00C61C69">
        <w:rPr>
          <w:rFonts w:ascii="Arial" w:hAnsi="Arial" w:cs="Arial"/>
          <w:sz w:val="24"/>
          <w:szCs w:val="24"/>
          <w:lang w:val="en-GB"/>
        </w:rPr>
        <w:t xml:space="preserve">ON DETAILED MANNER OF </w:t>
      </w:r>
      <w:r w:rsidR="00B36CD8" w:rsidRPr="00C61C69">
        <w:rPr>
          <w:rFonts w:ascii="Arial" w:hAnsi="Arial" w:cs="Arial"/>
          <w:sz w:val="24"/>
          <w:szCs w:val="24"/>
          <w:lang w:val="en-GB"/>
        </w:rPr>
        <w:t xml:space="preserve">FILING </w:t>
      </w:r>
      <w:r w:rsidRPr="00C61C69">
        <w:rPr>
          <w:rFonts w:ascii="Arial" w:hAnsi="Arial" w:cs="Arial"/>
          <w:sz w:val="24"/>
          <w:szCs w:val="24"/>
          <w:lang w:val="en-GB"/>
        </w:rPr>
        <w:t>BUSINESS RELATED DATA THAT MULTINATIONAL ENTERPRISE GROUP CONSTITUENT ENTITY SUBMITTS TO ADMINISTRATION AUTHORITY COMPETENT FOR TAX AFFAIRS</w:t>
      </w:r>
    </w:p>
    <w:p w:rsidR="00E351DA" w:rsidRPr="00C61C69" w:rsidRDefault="00E351DA" w:rsidP="00E351DA">
      <w:pPr>
        <w:pStyle w:val="N03Y"/>
        <w:spacing w:before="0" w:after="0"/>
        <w:rPr>
          <w:rFonts w:ascii="Arial" w:hAnsi="Arial" w:cs="Arial"/>
          <w:sz w:val="24"/>
          <w:szCs w:val="24"/>
          <w:lang w:val="en-GB"/>
        </w:rPr>
      </w:pPr>
    </w:p>
    <w:p w:rsidR="006E7AF1" w:rsidRPr="00C61C69" w:rsidRDefault="006E7AF1" w:rsidP="00E351DA">
      <w:pPr>
        <w:pStyle w:val="N03Y"/>
        <w:spacing w:before="0" w:after="0"/>
        <w:rPr>
          <w:rFonts w:ascii="Tahoma" w:hAnsi="Tahoma" w:cs="Tahoma"/>
          <w:sz w:val="24"/>
          <w:szCs w:val="24"/>
          <w:lang w:val="en-GB"/>
        </w:rPr>
      </w:pPr>
    </w:p>
    <w:p w:rsidR="006E6E12" w:rsidRPr="00C61C69" w:rsidRDefault="00094F58" w:rsidP="00F63966">
      <w:pPr>
        <w:pStyle w:val="C30X"/>
        <w:spacing w:before="0" w:after="0"/>
        <w:jc w:val="both"/>
        <w:rPr>
          <w:rFonts w:ascii="Tahoma" w:hAnsi="Tahoma" w:cs="Tahoma"/>
          <w:b w:val="0"/>
          <w:lang w:val="en-GB"/>
        </w:rPr>
      </w:pPr>
      <w:r w:rsidRPr="00C61C69">
        <w:rPr>
          <w:rFonts w:ascii="Tahoma" w:hAnsi="Tahoma" w:cs="Tahoma"/>
          <w:b w:val="0"/>
          <w:bCs w:val="0"/>
          <w:lang w:val="en-GB"/>
        </w:rPr>
        <w:tab/>
      </w:r>
      <w:r w:rsidRPr="00C61C69">
        <w:rPr>
          <w:rFonts w:ascii="Tahoma" w:hAnsi="Tahoma" w:cs="Tahoma"/>
          <w:b w:val="0"/>
          <w:lang w:val="en-GB"/>
        </w:rPr>
        <w:t>1</w:t>
      </w:r>
      <w:r w:rsidR="00617FCE" w:rsidRPr="00C61C69">
        <w:rPr>
          <w:rFonts w:ascii="Tahoma" w:hAnsi="Tahoma" w:cs="Tahoma"/>
          <w:b w:val="0"/>
          <w:lang w:val="en-GB"/>
        </w:rPr>
        <w:t xml:space="preserve">. </w:t>
      </w:r>
      <w:r w:rsidR="009510CB" w:rsidRPr="00C61C69">
        <w:rPr>
          <w:rFonts w:ascii="Tahoma" w:hAnsi="Tahoma" w:cs="Tahoma"/>
          <w:b w:val="0"/>
          <w:lang w:val="en-GB"/>
        </w:rPr>
        <w:t xml:space="preserve">These Instructions prescribe a detailed manner of </w:t>
      </w:r>
      <w:r w:rsidR="00B36CD8" w:rsidRPr="00C61C69">
        <w:rPr>
          <w:rFonts w:ascii="Tahoma" w:hAnsi="Tahoma" w:cs="Tahoma"/>
          <w:b w:val="0"/>
          <w:lang w:val="en-GB"/>
        </w:rPr>
        <w:t xml:space="preserve">filing </w:t>
      </w:r>
      <w:r w:rsidR="009510CB" w:rsidRPr="00C61C69">
        <w:rPr>
          <w:rFonts w:ascii="Tahoma" w:hAnsi="Tahoma" w:cs="Tahoma"/>
          <w:b w:val="0"/>
          <w:lang w:val="en-GB"/>
        </w:rPr>
        <w:t>business related data that Multinational Enterprise Group Constituent Entity</w:t>
      </w:r>
      <w:r w:rsidR="00617FCE" w:rsidRPr="00C61C69">
        <w:rPr>
          <w:rFonts w:ascii="Tahoma" w:hAnsi="Tahoma" w:cs="Tahoma"/>
          <w:b w:val="0"/>
          <w:lang w:val="en-GB"/>
        </w:rPr>
        <w:t xml:space="preserve"> </w:t>
      </w:r>
      <w:r w:rsidR="00F63966" w:rsidRPr="00C61C69">
        <w:rPr>
          <w:rFonts w:ascii="Tahoma" w:hAnsi="Tahoma" w:cs="Tahoma"/>
          <w:b w:val="0"/>
          <w:lang w:val="en-GB"/>
        </w:rPr>
        <w:t>(</w:t>
      </w:r>
      <w:r w:rsidR="009510CB" w:rsidRPr="00C61C69">
        <w:rPr>
          <w:rFonts w:ascii="Tahoma" w:hAnsi="Tahoma" w:cs="Tahoma"/>
          <w:b w:val="0"/>
          <w:lang w:val="en-GB"/>
        </w:rPr>
        <w:t>hereinafter: MNE Group Constituent Entity</w:t>
      </w:r>
      <w:r w:rsidR="00F63966" w:rsidRPr="00C61C69">
        <w:rPr>
          <w:rFonts w:ascii="Tahoma" w:hAnsi="Tahoma" w:cs="Tahoma"/>
          <w:b w:val="0"/>
          <w:lang w:val="en-GB"/>
        </w:rPr>
        <w:t>)</w:t>
      </w:r>
      <w:r w:rsidR="004E46C0" w:rsidRPr="00C61C69">
        <w:rPr>
          <w:rFonts w:ascii="Tahoma" w:hAnsi="Tahoma" w:cs="Tahoma"/>
          <w:b w:val="0"/>
          <w:lang w:val="en-GB"/>
        </w:rPr>
        <w:t xml:space="preserve"> </w:t>
      </w:r>
      <w:r w:rsidR="00C61C69" w:rsidRPr="00C61C69">
        <w:rPr>
          <w:rFonts w:ascii="Tahoma" w:hAnsi="Tahoma" w:cs="Tahoma"/>
          <w:b w:val="0"/>
          <w:lang w:val="en-GB"/>
        </w:rPr>
        <w:t>submits</w:t>
      </w:r>
      <w:r w:rsidR="009510CB" w:rsidRPr="00C61C69">
        <w:rPr>
          <w:rFonts w:ascii="Tahoma" w:hAnsi="Tahoma" w:cs="Tahoma"/>
          <w:b w:val="0"/>
          <w:lang w:val="en-GB"/>
        </w:rPr>
        <w:t xml:space="preserve"> to administration authority competent for tax affairs </w:t>
      </w:r>
      <w:r w:rsidR="004E46C0" w:rsidRPr="00C61C69">
        <w:rPr>
          <w:rFonts w:ascii="Tahoma" w:hAnsi="Tahoma" w:cs="Tahoma"/>
          <w:b w:val="0"/>
          <w:lang w:val="en-GB"/>
        </w:rPr>
        <w:t>(</w:t>
      </w:r>
      <w:r w:rsidR="009510CB" w:rsidRPr="00C61C69">
        <w:rPr>
          <w:rFonts w:ascii="Tahoma" w:hAnsi="Tahoma" w:cs="Tahoma"/>
          <w:b w:val="0"/>
          <w:lang w:val="en-GB"/>
        </w:rPr>
        <w:t>hereinafter</w:t>
      </w:r>
      <w:r w:rsidR="004E46C0" w:rsidRPr="00C61C69">
        <w:rPr>
          <w:rFonts w:ascii="Tahoma" w:hAnsi="Tahoma" w:cs="Tahoma"/>
          <w:b w:val="0"/>
          <w:lang w:val="en-GB"/>
        </w:rPr>
        <w:t xml:space="preserve">: </w:t>
      </w:r>
      <w:r w:rsidR="00B1358C" w:rsidRPr="00C61C69">
        <w:rPr>
          <w:rFonts w:ascii="Tahoma" w:hAnsi="Tahoma" w:cs="Tahoma"/>
          <w:b w:val="0"/>
          <w:lang w:val="en-GB"/>
        </w:rPr>
        <w:t>T</w:t>
      </w:r>
      <w:r w:rsidR="00E355C1" w:rsidRPr="00C61C69">
        <w:rPr>
          <w:rFonts w:ascii="Tahoma" w:hAnsi="Tahoma" w:cs="Tahoma"/>
          <w:b w:val="0"/>
          <w:lang w:val="en-GB"/>
        </w:rPr>
        <w:t xml:space="preserve">ax </w:t>
      </w:r>
      <w:r w:rsidR="00B1358C" w:rsidRPr="00C61C69">
        <w:rPr>
          <w:rFonts w:ascii="Tahoma" w:hAnsi="Tahoma" w:cs="Tahoma"/>
          <w:b w:val="0"/>
          <w:lang w:val="en-GB"/>
        </w:rPr>
        <w:t>A</w:t>
      </w:r>
      <w:r w:rsidR="00E355C1" w:rsidRPr="00C61C69">
        <w:rPr>
          <w:rFonts w:ascii="Tahoma" w:hAnsi="Tahoma" w:cs="Tahoma"/>
          <w:b w:val="0"/>
          <w:lang w:val="en-GB"/>
        </w:rPr>
        <w:t>uthority</w:t>
      </w:r>
      <w:r w:rsidR="004E46C0" w:rsidRPr="00C61C69">
        <w:rPr>
          <w:rFonts w:ascii="Tahoma" w:hAnsi="Tahoma" w:cs="Tahoma"/>
          <w:b w:val="0"/>
          <w:lang w:val="en-GB"/>
        </w:rPr>
        <w:t>)</w:t>
      </w:r>
      <w:r w:rsidR="00464535" w:rsidRPr="00C61C69">
        <w:rPr>
          <w:rFonts w:ascii="Tahoma" w:hAnsi="Tahoma" w:cs="Tahoma"/>
          <w:b w:val="0"/>
          <w:lang w:val="en-GB"/>
        </w:rPr>
        <w:t>.</w:t>
      </w:r>
    </w:p>
    <w:p w:rsidR="00601D94" w:rsidRPr="00C61C69" w:rsidRDefault="00601D94" w:rsidP="00601D94">
      <w:pPr>
        <w:pStyle w:val="C30X"/>
        <w:spacing w:before="0" w:after="0"/>
        <w:ind w:firstLine="709"/>
        <w:jc w:val="both"/>
        <w:rPr>
          <w:rFonts w:ascii="Tahoma" w:hAnsi="Tahoma" w:cs="Tahoma"/>
          <w:b w:val="0"/>
          <w:lang w:val="en-GB"/>
        </w:rPr>
      </w:pPr>
      <w:r w:rsidRPr="00C61C69">
        <w:rPr>
          <w:rFonts w:ascii="Tahoma" w:hAnsi="Tahoma" w:cs="Tahoma"/>
          <w:b w:val="0"/>
          <w:lang w:val="en-GB"/>
        </w:rPr>
        <w:t xml:space="preserve">2. </w:t>
      </w:r>
      <w:r w:rsidR="009510CB" w:rsidRPr="00C61C69">
        <w:rPr>
          <w:rFonts w:ascii="Tahoma" w:hAnsi="Tahoma" w:cs="Tahoma"/>
          <w:b w:val="0"/>
          <w:lang w:val="en-GB"/>
        </w:rPr>
        <w:t>MNE Group Constituent Entity shall be deemed to be</w:t>
      </w:r>
      <w:r w:rsidRPr="00C61C69">
        <w:rPr>
          <w:rFonts w:ascii="Tahoma" w:hAnsi="Tahoma" w:cs="Tahoma"/>
          <w:b w:val="0"/>
          <w:lang w:val="en-GB"/>
        </w:rPr>
        <w:t xml:space="preserve">: </w:t>
      </w:r>
    </w:p>
    <w:p w:rsidR="00601D94" w:rsidRPr="00C61C69" w:rsidRDefault="00601D94" w:rsidP="00601D94">
      <w:pPr>
        <w:pStyle w:val="C30X"/>
        <w:spacing w:before="0" w:after="0"/>
        <w:ind w:firstLine="709"/>
        <w:jc w:val="both"/>
        <w:rPr>
          <w:rFonts w:ascii="Tahoma" w:hAnsi="Tahoma" w:cs="Tahoma"/>
          <w:b w:val="0"/>
          <w:lang w:val="en-GB"/>
        </w:rPr>
      </w:pPr>
      <w:r w:rsidRPr="00C61C69">
        <w:rPr>
          <w:rFonts w:ascii="Tahoma" w:hAnsi="Tahoma" w:cs="Tahoma"/>
          <w:b w:val="0"/>
          <w:lang w:val="en-GB"/>
        </w:rPr>
        <w:t xml:space="preserve">- </w:t>
      </w:r>
      <w:r w:rsidR="009510CB" w:rsidRPr="00C61C69">
        <w:rPr>
          <w:rFonts w:ascii="Tahoma" w:hAnsi="Tahoma" w:cs="Tahoma"/>
          <w:b w:val="0"/>
          <w:lang w:val="en-GB"/>
        </w:rPr>
        <w:t xml:space="preserve">a MNE Group Constituent Entity that is included in reports including financial statements of an MNE Group in which the assets, liabilities, income, expenses and cash flows of the Ultimate Parent Entity and the Constituent Entity are presented as those of a single economic entity </w:t>
      </w:r>
      <w:r w:rsidR="00480C3A" w:rsidRPr="00C61C69">
        <w:rPr>
          <w:rFonts w:ascii="Tahoma" w:hAnsi="Tahoma" w:cs="Tahoma"/>
          <w:b w:val="0"/>
          <w:lang w:val="en-GB"/>
        </w:rPr>
        <w:t>(</w:t>
      </w:r>
      <w:r w:rsidR="009510CB" w:rsidRPr="00C61C69">
        <w:rPr>
          <w:rFonts w:ascii="Tahoma" w:hAnsi="Tahoma" w:cs="Tahoma"/>
          <w:b w:val="0"/>
          <w:lang w:val="en-GB"/>
        </w:rPr>
        <w:t>hereinafter</w:t>
      </w:r>
      <w:r w:rsidR="00480C3A" w:rsidRPr="00C61C69">
        <w:rPr>
          <w:rFonts w:ascii="Tahoma" w:hAnsi="Tahoma" w:cs="Tahoma"/>
          <w:b w:val="0"/>
          <w:lang w:val="en-GB"/>
        </w:rPr>
        <w:t xml:space="preserve">: </w:t>
      </w:r>
      <w:r w:rsidR="009510CB" w:rsidRPr="00C61C69">
        <w:rPr>
          <w:rFonts w:ascii="Tahoma" w:hAnsi="Tahoma" w:cs="Tahoma"/>
          <w:b w:val="0"/>
          <w:lang w:val="en-GB"/>
        </w:rPr>
        <w:t xml:space="preserve">Consolidated Financial Statement) of the MNE Group </w:t>
      </w:r>
      <w:r w:rsidR="00B36CD8" w:rsidRPr="00C61C69">
        <w:rPr>
          <w:rFonts w:ascii="Tahoma" w:hAnsi="Tahoma" w:cs="Tahoma"/>
          <w:b w:val="0"/>
          <w:lang w:val="en-GB"/>
        </w:rPr>
        <w:t xml:space="preserve">or it </w:t>
      </w:r>
      <w:r w:rsidR="009510CB" w:rsidRPr="00C61C69">
        <w:rPr>
          <w:rFonts w:ascii="Tahoma" w:hAnsi="Tahoma" w:cs="Tahoma"/>
          <w:b w:val="0"/>
          <w:lang w:val="en-GB"/>
        </w:rPr>
        <w:t>would be so included if equity interests in</w:t>
      </w:r>
      <w:r w:rsidR="00B36CD8" w:rsidRPr="00C61C69">
        <w:rPr>
          <w:rFonts w:ascii="Tahoma" w:hAnsi="Tahoma" w:cs="Tahoma"/>
          <w:b w:val="0"/>
          <w:lang w:val="en-GB"/>
        </w:rPr>
        <w:t xml:space="preserve"> such a</w:t>
      </w:r>
      <w:r w:rsidR="00F65489" w:rsidRPr="00C61C69">
        <w:rPr>
          <w:rFonts w:ascii="Tahoma" w:hAnsi="Tahoma" w:cs="Tahoma"/>
          <w:b w:val="0"/>
          <w:lang w:val="en-GB"/>
        </w:rPr>
        <w:t>n entity</w:t>
      </w:r>
      <w:r w:rsidR="00B36CD8" w:rsidRPr="00C61C69">
        <w:rPr>
          <w:rFonts w:ascii="Tahoma" w:hAnsi="Tahoma" w:cs="Tahoma"/>
          <w:b w:val="0"/>
          <w:lang w:val="en-GB"/>
        </w:rPr>
        <w:t xml:space="preserve"> </w:t>
      </w:r>
      <w:r w:rsidR="009510CB" w:rsidRPr="00C61C69">
        <w:rPr>
          <w:rFonts w:ascii="Tahoma" w:hAnsi="Tahoma" w:cs="Tahoma"/>
          <w:b w:val="0"/>
          <w:lang w:val="en-GB"/>
        </w:rPr>
        <w:t>were traded on a public securities exchange</w:t>
      </w:r>
      <w:r w:rsidR="00B36CD8" w:rsidRPr="00C61C69">
        <w:rPr>
          <w:rFonts w:ascii="Tahoma" w:hAnsi="Tahoma" w:cs="Tahoma"/>
          <w:lang w:val="en-GB"/>
        </w:rPr>
        <w:t>.</w:t>
      </w:r>
    </w:p>
    <w:p w:rsidR="00601D94" w:rsidRPr="00C61C69" w:rsidRDefault="00601D94" w:rsidP="00601D94">
      <w:pPr>
        <w:pStyle w:val="C30X"/>
        <w:spacing w:before="0" w:after="0"/>
        <w:ind w:firstLine="708"/>
        <w:jc w:val="both"/>
        <w:rPr>
          <w:rFonts w:ascii="Tahoma" w:hAnsi="Tahoma" w:cs="Tahoma"/>
          <w:b w:val="0"/>
          <w:lang w:val="en-GB"/>
        </w:rPr>
      </w:pPr>
      <w:r w:rsidRPr="00C61C69">
        <w:rPr>
          <w:rFonts w:ascii="Tahoma" w:hAnsi="Tahoma" w:cs="Tahoma"/>
          <w:b w:val="0"/>
          <w:lang w:val="en-GB"/>
        </w:rPr>
        <w:t xml:space="preserve">- </w:t>
      </w:r>
      <w:r w:rsidR="00B36CD8" w:rsidRPr="00C61C69">
        <w:rPr>
          <w:rFonts w:ascii="Tahoma" w:hAnsi="Tahoma" w:cs="Tahoma"/>
          <w:b w:val="0"/>
          <w:lang w:val="en-GB"/>
        </w:rPr>
        <w:t>a MNE Group Constituent Entity that is excluded from the MNE Group's Consolidated Financial Statements solely on size or materiality grounds</w:t>
      </w:r>
      <w:r w:rsidRPr="00C61C69">
        <w:rPr>
          <w:rFonts w:ascii="Tahoma" w:hAnsi="Tahoma" w:cs="Tahoma"/>
          <w:b w:val="0"/>
          <w:lang w:val="en-GB"/>
        </w:rPr>
        <w:t xml:space="preserve">, </w:t>
      </w:r>
      <w:r w:rsidR="00B36CD8" w:rsidRPr="00C61C69">
        <w:rPr>
          <w:rFonts w:ascii="Tahoma" w:hAnsi="Tahoma" w:cs="Tahoma"/>
          <w:b w:val="0"/>
          <w:lang w:val="en-GB"/>
        </w:rPr>
        <w:t>or</w:t>
      </w:r>
    </w:p>
    <w:p w:rsidR="00601D94" w:rsidRPr="00C61C69" w:rsidRDefault="00601D94" w:rsidP="00601D94">
      <w:pPr>
        <w:pStyle w:val="C30X"/>
        <w:spacing w:before="0" w:after="0"/>
        <w:ind w:firstLine="708"/>
        <w:jc w:val="both"/>
        <w:rPr>
          <w:rFonts w:ascii="Tahoma" w:hAnsi="Tahoma" w:cs="Tahoma"/>
          <w:b w:val="0"/>
          <w:lang w:val="en-GB"/>
        </w:rPr>
      </w:pPr>
      <w:r w:rsidRPr="00C61C69">
        <w:rPr>
          <w:rFonts w:ascii="Tahoma" w:hAnsi="Tahoma" w:cs="Tahoma"/>
          <w:b w:val="0"/>
          <w:lang w:val="en-GB"/>
        </w:rPr>
        <w:t xml:space="preserve">- </w:t>
      </w:r>
      <w:r w:rsidR="00B36CD8" w:rsidRPr="00C61C69">
        <w:rPr>
          <w:rFonts w:ascii="Tahoma" w:hAnsi="Tahoma" w:cs="Tahoma"/>
          <w:b w:val="0"/>
          <w:lang w:val="en-GB"/>
        </w:rPr>
        <w:t xml:space="preserve">any permanent establishment of any MNE Group </w:t>
      </w:r>
      <w:r w:rsidR="00F65489" w:rsidRPr="00C61C69">
        <w:rPr>
          <w:rFonts w:ascii="Tahoma" w:hAnsi="Tahoma" w:cs="Tahoma"/>
          <w:b w:val="0"/>
          <w:lang w:val="en-GB"/>
        </w:rPr>
        <w:t xml:space="preserve">Constituent Entity </w:t>
      </w:r>
      <w:r w:rsidR="00B36CD8" w:rsidRPr="00C61C69">
        <w:rPr>
          <w:rFonts w:ascii="Tahoma" w:hAnsi="Tahoma" w:cs="Tahoma"/>
          <w:b w:val="0"/>
          <w:lang w:val="en-GB"/>
        </w:rPr>
        <w:t>referred to in indents 1 and 2 of this item</w:t>
      </w:r>
      <w:r w:rsidR="00F65489" w:rsidRPr="00C61C69">
        <w:rPr>
          <w:rFonts w:ascii="Tahoma" w:hAnsi="Tahoma" w:cs="Tahoma"/>
          <w:b w:val="0"/>
          <w:lang w:val="en-GB"/>
        </w:rPr>
        <w:t>,</w:t>
      </w:r>
      <w:r w:rsidR="00B36CD8" w:rsidRPr="00C61C69">
        <w:rPr>
          <w:rFonts w:ascii="Tahoma" w:hAnsi="Tahoma" w:cs="Tahoma"/>
          <w:b w:val="0"/>
          <w:lang w:val="en-GB"/>
        </w:rPr>
        <w:t xml:space="preserve"> provided the </w:t>
      </w:r>
      <w:r w:rsidR="005D58B6" w:rsidRPr="00C61C69">
        <w:rPr>
          <w:rFonts w:ascii="Tahoma" w:hAnsi="Tahoma" w:cs="Tahoma"/>
          <w:b w:val="0"/>
          <w:lang w:val="en-GB"/>
        </w:rPr>
        <w:t xml:space="preserve">permanent establishment </w:t>
      </w:r>
      <w:r w:rsidR="00B36CD8" w:rsidRPr="00C61C69">
        <w:rPr>
          <w:rFonts w:ascii="Tahoma" w:hAnsi="Tahoma" w:cs="Tahoma"/>
          <w:b w:val="0"/>
          <w:lang w:val="en-GB"/>
        </w:rPr>
        <w:t>has obligation to prepare separate financial statements</w:t>
      </w:r>
      <w:r w:rsidR="005D58B6" w:rsidRPr="00C61C69">
        <w:rPr>
          <w:rFonts w:ascii="Tahoma" w:hAnsi="Tahoma" w:cs="Tahoma"/>
          <w:b w:val="0"/>
          <w:lang w:val="en-GB"/>
        </w:rPr>
        <w:t xml:space="preserve"> in accordance to regulations of European Union Member States or other states, or states’ </w:t>
      </w:r>
      <w:r w:rsidR="00C61C69" w:rsidRPr="00C61C69">
        <w:rPr>
          <w:rFonts w:ascii="Tahoma" w:hAnsi="Tahoma" w:cs="Tahoma"/>
          <w:b w:val="0"/>
          <w:lang w:val="en-GB"/>
        </w:rPr>
        <w:t>territories</w:t>
      </w:r>
      <w:r w:rsidR="005D58B6" w:rsidRPr="00C61C69">
        <w:rPr>
          <w:rFonts w:ascii="Tahoma" w:hAnsi="Tahoma" w:cs="Tahoma"/>
          <w:b w:val="0"/>
          <w:lang w:val="en-GB"/>
        </w:rPr>
        <w:t xml:space="preserve"> (hereinafter: Tax Jurisdictions</w:t>
      </w:r>
      <w:r w:rsidR="00483561" w:rsidRPr="00C61C69">
        <w:rPr>
          <w:rFonts w:ascii="Tahoma" w:hAnsi="Tahoma" w:cs="Tahoma"/>
          <w:b w:val="0"/>
          <w:lang w:val="en-GB"/>
        </w:rPr>
        <w:t>)</w:t>
      </w:r>
      <w:r w:rsidR="005D58B6" w:rsidRPr="00C61C69">
        <w:rPr>
          <w:lang w:val="en-GB"/>
        </w:rPr>
        <w:t xml:space="preserve"> </w:t>
      </w:r>
    </w:p>
    <w:p w:rsidR="00E9131D" w:rsidRPr="00C61C69" w:rsidRDefault="00601D94" w:rsidP="00F63966">
      <w:pPr>
        <w:pStyle w:val="C30X"/>
        <w:spacing w:before="0" w:after="0"/>
        <w:ind w:firstLine="708"/>
        <w:jc w:val="both"/>
        <w:rPr>
          <w:rFonts w:ascii="Tahoma" w:hAnsi="Tahoma" w:cs="Tahoma"/>
          <w:b w:val="0"/>
          <w:lang w:val="en-GB"/>
        </w:rPr>
      </w:pPr>
      <w:r w:rsidRPr="00C61C69">
        <w:rPr>
          <w:rFonts w:ascii="Tahoma" w:hAnsi="Tahoma" w:cs="Tahoma"/>
          <w:b w:val="0"/>
          <w:lang w:val="en-GB"/>
        </w:rPr>
        <w:t>3</w:t>
      </w:r>
      <w:r w:rsidR="00F63966" w:rsidRPr="00C61C69">
        <w:rPr>
          <w:rFonts w:ascii="Tahoma" w:hAnsi="Tahoma" w:cs="Tahoma"/>
          <w:b w:val="0"/>
          <w:lang w:val="en-GB"/>
        </w:rPr>
        <w:t xml:space="preserve">. </w:t>
      </w:r>
      <w:r w:rsidR="00E355C1" w:rsidRPr="00C61C69">
        <w:rPr>
          <w:rFonts w:ascii="Tahoma" w:hAnsi="Tahoma" w:cs="Tahoma"/>
          <w:b w:val="0"/>
          <w:lang w:val="en-GB"/>
        </w:rPr>
        <w:t xml:space="preserve">A </w:t>
      </w:r>
      <w:r w:rsidR="00483561" w:rsidRPr="00C61C69">
        <w:rPr>
          <w:rFonts w:ascii="Tahoma" w:hAnsi="Tahoma" w:cs="Tahoma"/>
          <w:b w:val="0"/>
          <w:lang w:val="en-GB"/>
        </w:rPr>
        <w:t>MNE Group Constituent Entity, resident in Montenegro for tax purposes</w:t>
      </w:r>
      <w:r w:rsidR="005247E4" w:rsidRPr="00C61C69">
        <w:rPr>
          <w:rFonts w:ascii="Tahoma" w:hAnsi="Tahoma" w:cs="Tahoma"/>
          <w:b w:val="0"/>
          <w:lang w:val="en-GB"/>
        </w:rPr>
        <w:t>,</w:t>
      </w:r>
      <w:r w:rsidR="00F63966" w:rsidRPr="00C61C69">
        <w:rPr>
          <w:rFonts w:ascii="Tahoma" w:hAnsi="Tahoma" w:cs="Tahoma"/>
          <w:b w:val="0"/>
          <w:lang w:val="en-GB"/>
        </w:rPr>
        <w:t xml:space="preserve"> </w:t>
      </w:r>
      <w:r w:rsidR="00483561" w:rsidRPr="00C61C69">
        <w:rPr>
          <w:rFonts w:ascii="Tahoma" w:hAnsi="Tahoma" w:cs="Tahoma"/>
          <w:b w:val="0"/>
          <w:lang w:val="en-GB"/>
        </w:rPr>
        <w:t xml:space="preserve">shall file a report </w:t>
      </w:r>
      <w:r w:rsidR="00060B40" w:rsidRPr="00C61C69">
        <w:rPr>
          <w:rFonts w:ascii="Tahoma" w:hAnsi="Tahoma" w:cs="Tahoma"/>
          <w:b w:val="0"/>
          <w:lang w:val="en-GB"/>
        </w:rPr>
        <w:t xml:space="preserve">for MNE Group of which it is a Constituent Entity to </w:t>
      </w:r>
      <w:r w:rsidR="00E355C1" w:rsidRPr="00C61C69">
        <w:rPr>
          <w:rFonts w:ascii="Tahoma" w:hAnsi="Tahoma" w:cs="Tahoma"/>
          <w:b w:val="0"/>
          <w:lang w:val="en-GB"/>
        </w:rPr>
        <w:t xml:space="preserve">the </w:t>
      </w:r>
      <w:r w:rsidR="00B1358C" w:rsidRPr="00C61C69">
        <w:rPr>
          <w:rFonts w:ascii="Tahoma" w:hAnsi="Tahoma" w:cs="Tahoma"/>
          <w:b w:val="0"/>
          <w:lang w:val="en-GB"/>
        </w:rPr>
        <w:t>Tax Authority</w:t>
      </w:r>
      <w:r w:rsidR="00060B40" w:rsidRPr="00C61C69">
        <w:rPr>
          <w:rFonts w:ascii="Tahoma" w:hAnsi="Tahoma" w:cs="Tahoma"/>
          <w:b w:val="0"/>
          <w:lang w:val="en-GB"/>
        </w:rPr>
        <w:t xml:space="preserve"> on business activities of all MNE Group Constituent Entities with respect to the annual accounting period for which Ultimate Parent Entity has obligation to prepare its financial statements </w:t>
      </w:r>
      <w:r w:rsidR="00480C3A" w:rsidRPr="00C61C69">
        <w:rPr>
          <w:rFonts w:ascii="Tahoma" w:hAnsi="Tahoma" w:cs="Tahoma"/>
          <w:b w:val="0"/>
          <w:lang w:val="en-GB"/>
        </w:rPr>
        <w:t>(</w:t>
      </w:r>
      <w:r w:rsidR="00060B40" w:rsidRPr="00C61C69">
        <w:rPr>
          <w:rFonts w:ascii="Tahoma" w:hAnsi="Tahoma" w:cs="Tahoma"/>
          <w:b w:val="0"/>
          <w:lang w:val="en-GB"/>
        </w:rPr>
        <w:t>hereinafter: Fiscal Year</w:t>
      </w:r>
      <w:r w:rsidR="00480C3A" w:rsidRPr="00C61C69">
        <w:rPr>
          <w:rFonts w:ascii="Tahoma" w:hAnsi="Tahoma" w:cs="Tahoma"/>
          <w:b w:val="0"/>
          <w:lang w:val="en-GB"/>
        </w:rPr>
        <w:t>)</w:t>
      </w:r>
      <w:r w:rsidR="002D64DA" w:rsidRPr="00C61C69">
        <w:rPr>
          <w:rFonts w:ascii="Tahoma" w:hAnsi="Tahoma" w:cs="Tahoma"/>
          <w:b w:val="0"/>
          <w:lang w:val="en-GB"/>
        </w:rPr>
        <w:t>,</w:t>
      </w:r>
      <w:r w:rsidR="002C7070" w:rsidRPr="00C61C69">
        <w:rPr>
          <w:rFonts w:ascii="Tahoma" w:hAnsi="Tahoma" w:cs="Tahoma"/>
          <w:b w:val="0"/>
          <w:lang w:val="en-GB"/>
        </w:rPr>
        <w:t xml:space="preserve"> </w:t>
      </w:r>
      <w:r w:rsidR="00060B40" w:rsidRPr="00C61C69">
        <w:rPr>
          <w:rFonts w:ascii="Tahoma" w:hAnsi="Tahoma" w:cs="Tahoma"/>
          <w:b w:val="0"/>
          <w:lang w:val="en-GB"/>
        </w:rPr>
        <w:t xml:space="preserve">given </w:t>
      </w:r>
      <w:r w:rsidR="00B1358C" w:rsidRPr="00C61C69">
        <w:rPr>
          <w:rFonts w:ascii="Tahoma" w:hAnsi="Tahoma" w:cs="Tahoma"/>
          <w:b w:val="0"/>
          <w:lang w:val="en-GB"/>
        </w:rPr>
        <w:t>in Template</w:t>
      </w:r>
      <w:r w:rsidR="00060B40" w:rsidRPr="00C61C69">
        <w:rPr>
          <w:rFonts w:ascii="Tahoma" w:hAnsi="Tahoma" w:cs="Tahoma"/>
          <w:b w:val="0"/>
          <w:lang w:val="en-GB"/>
        </w:rPr>
        <w:t xml:space="preserve"> 1</w:t>
      </w:r>
      <w:r w:rsidR="002C7070" w:rsidRPr="00C61C69">
        <w:rPr>
          <w:rFonts w:ascii="Tahoma" w:hAnsi="Tahoma" w:cs="Tahoma"/>
          <w:b w:val="0"/>
          <w:lang w:val="en-GB"/>
        </w:rPr>
        <w:t xml:space="preserve"> </w:t>
      </w:r>
      <w:r w:rsidR="00060B40" w:rsidRPr="00C61C69">
        <w:rPr>
          <w:rFonts w:ascii="Tahoma" w:hAnsi="Tahoma" w:cs="Tahoma"/>
          <w:b w:val="0"/>
          <w:lang w:val="en-GB"/>
        </w:rPr>
        <w:t xml:space="preserve">which </w:t>
      </w:r>
      <w:r w:rsidR="00B1358C" w:rsidRPr="00C61C69">
        <w:rPr>
          <w:rFonts w:ascii="Tahoma" w:hAnsi="Tahoma" w:cs="Tahoma"/>
          <w:b w:val="0"/>
          <w:lang w:val="en-GB"/>
        </w:rPr>
        <w:t>is the integral part of these Instructions</w:t>
      </w:r>
      <w:r w:rsidR="002C7070" w:rsidRPr="00C61C69">
        <w:rPr>
          <w:rFonts w:ascii="Tahoma" w:hAnsi="Tahoma" w:cs="Tahoma"/>
          <w:b w:val="0"/>
          <w:lang w:val="en-GB"/>
        </w:rPr>
        <w:t>.</w:t>
      </w:r>
    </w:p>
    <w:p w:rsidR="00F63966" w:rsidRPr="00C61C69" w:rsidRDefault="00601D94" w:rsidP="00F63966">
      <w:pPr>
        <w:pStyle w:val="C30X"/>
        <w:spacing w:before="0" w:after="0"/>
        <w:ind w:firstLine="708"/>
        <w:jc w:val="both"/>
        <w:rPr>
          <w:rFonts w:ascii="Tahoma" w:hAnsi="Tahoma" w:cs="Tahoma"/>
          <w:b w:val="0"/>
          <w:lang w:val="en-GB"/>
        </w:rPr>
      </w:pPr>
      <w:r w:rsidRPr="00C61C69">
        <w:rPr>
          <w:rFonts w:ascii="Tahoma" w:hAnsi="Tahoma" w:cs="Tahoma"/>
          <w:b w:val="0"/>
          <w:lang w:val="en-GB"/>
        </w:rPr>
        <w:t>4</w:t>
      </w:r>
      <w:r w:rsidR="00E9131D" w:rsidRPr="00C61C69">
        <w:rPr>
          <w:rFonts w:ascii="Tahoma" w:hAnsi="Tahoma" w:cs="Tahoma"/>
          <w:b w:val="0"/>
          <w:lang w:val="en-GB"/>
        </w:rPr>
        <w:t>.</w:t>
      </w:r>
      <w:r w:rsidR="00F63966" w:rsidRPr="00C61C69">
        <w:rPr>
          <w:rFonts w:ascii="Tahoma" w:hAnsi="Tahoma" w:cs="Tahoma"/>
          <w:b w:val="0"/>
          <w:lang w:val="en-GB"/>
        </w:rPr>
        <w:t xml:space="preserve"> </w:t>
      </w:r>
      <w:r w:rsidR="00E355C1" w:rsidRPr="00C61C69">
        <w:rPr>
          <w:rFonts w:ascii="Tahoma" w:hAnsi="Tahoma" w:cs="Tahoma"/>
          <w:b w:val="0"/>
          <w:lang w:val="en-GB"/>
        </w:rPr>
        <w:t xml:space="preserve">A </w:t>
      </w:r>
      <w:r w:rsidR="00060B40" w:rsidRPr="00C61C69">
        <w:rPr>
          <w:rFonts w:ascii="Tahoma" w:hAnsi="Tahoma" w:cs="Tahoma"/>
          <w:b w:val="0"/>
          <w:lang w:val="en-GB"/>
        </w:rPr>
        <w:t>MNE Group Constituent Entity, resident in Montenegro for tax purposes</w:t>
      </w:r>
      <w:r w:rsidR="00E07290" w:rsidRPr="00C61C69">
        <w:rPr>
          <w:rFonts w:ascii="Tahoma" w:hAnsi="Tahoma" w:cs="Tahoma"/>
          <w:b w:val="0"/>
          <w:lang w:val="en-GB"/>
        </w:rPr>
        <w:t>, which is not the Ultimate Parent Entity</w:t>
      </w:r>
      <w:r w:rsidR="00DF1648" w:rsidRPr="00C61C69">
        <w:rPr>
          <w:rFonts w:ascii="Tahoma" w:hAnsi="Tahoma" w:cs="Tahoma"/>
          <w:b w:val="0"/>
          <w:lang w:val="en-GB"/>
        </w:rPr>
        <w:t>,</w:t>
      </w:r>
      <w:r w:rsidR="00E9131D" w:rsidRPr="00C61C69">
        <w:rPr>
          <w:rFonts w:ascii="Tahoma" w:hAnsi="Tahoma" w:cs="Tahoma"/>
          <w:b w:val="0"/>
          <w:lang w:val="en-GB"/>
        </w:rPr>
        <w:t xml:space="preserve"> </w:t>
      </w:r>
      <w:r w:rsidR="00E07290" w:rsidRPr="00C61C69">
        <w:rPr>
          <w:rFonts w:ascii="Tahoma" w:hAnsi="Tahoma" w:cs="Tahoma"/>
          <w:b w:val="0"/>
          <w:lang w:val="en-GB"/>
        </w:rPr>
        <w:t xml:space="preserve">shall file a report to the </w:t>
      </w:r>
      <w:r w:rsidR="00B1358C" w:rsidRPr="00C61C69">
        <w:rPr>
          <w:rFonts w:ascii="Tahoma" w:hAnsi="Tahoma" w:cs="Tahoma"/>
          <w:b w:val="0"/>
          <w:lang w:val="en-GB"/>
        </w:rPr>
        <w:t>Tax Authority</w:t>
      </w:r>
      <w:r w:rsidR="00E07290" w:rsidRPr="00C61C69">
        <w:rPr>
          <w:rFonts w:ascii="Tahoma" w:hAnsi="Tahoma" w:cs="Tahoma"/>
          <w:b w:val="0"/>
          <w:lang w:val="en-GB"/>
        </w:rPr>
        <w:t xml:space="preserve"> with respect for the Fiscal Year, if</w:t>
      </w:r>
      <w:r w:rsidR="00DF1648" w:rsidRPr="00C61C69">
        <w:rPr>
          <w:rFonts w:ascii="Tahoma" w:hAnsi="Tahoma" w:cs="Tahoma"/>
          <w:b w:val="0"/>
          <w:lang w:val="en-GB"/>
        </w:rPr>
        <w:t>:</w:t>
      </w:r>
    </w:p>
    <w:p w:rsidR="00F63966" w:rsidRPr="00C61C69" w:rsidRDefault="008D2EBB" w:rsidP="00797C9F">
      <w:pPr>
        <w:spacing w:after="0"/>
        <w:ind w:firstLine="708"/>
        <w:jc w:val="both"/>
        <w:rPr>
          <w:rFonts w:ascii="Tahoma" w:hAnsi="Tahoma" w:cs="Tahoma"/>
          <w:bCs/>
          <w:color w:val="000000"/>
          <w:sz w:val="24"/>
          <w:szCs w:val="24"/>
          <w:lang w:val="en-GB"/>
        </w:rPr>
      </w:pPr>
      <w:r w:rsidRPr="00C61C69">
        <w:rPr>
          <w:rFonts w:ascii="Tahoma" w:hAnsi="Tahoma" w:cs="Tahoma"/>
          <w:sz w:val="24"/>
          <w:szCs w:val="24"/>
          <w:lang w:val="en-GB"/>
        </w:rPr>
        <w:t>-</w:t>
      </w:r>
      <w:r w:rsidR="00F63966" w:rsidRPr="00C61C69">
        <w:rPr>
          <w:rFonts w:ascii="Tahoma" w:hAnsi="Tahoma" w:cs="Tahoma"/>
          <w:sz w:val="24"/>
          <w:szCs w:val="24"/>
          <w:lang w:val="en-GB"/>
        </w:rPr>
        <w:t xml:space="preserve"> </w:t>
      </w:r>
      <w:r w:rsidR="00E07290" w:rsidRPr="00C61C69">
        <w:rPr>
          <w:rFonts w:ascii="Tahoma" w:hAnsi="Tahoma" w:cs="Tahoma"/>
          <w:sz w:val="24"/>
          <w:szCs w:val="24"/>
          <w:lang w:val="en-GB"/>
        </w:rPr>
        <w:t>the Ultimate Parent Entity of the MNE Group is not obligated to file that report to the competent authority of its jurisdiction of tax residence,</w:t>
      </w:r>
    </w:p>
    <w:p w:rsidR="00F63966" w:rsidRPr="00C61C69" w:rsidRDefault="008D2EBB" w:rsidP="00DF1648">
      <w:pPr>
        <w:pStyle w:val="C30X"/>
        <w:spacing w:before="0" w:after="0"/>
        <w:ind w:firstLine="708"/>
        <w:jc w:val="both"/>
        <w:rPr>
          <w:rFonts w:ascii="Tahoma" w:hAnsi="Tahoma" w:cs="Tahoma"/>
          <w:b w:val="0"/>
          <w:lang w:val="en-GB"/>
        </w:rPr>
      </w:pPr>
      <w:r w:rsidRPr="00C61C69">
        <w:rPr>
          <w:rFonts w:ascii="Tahoma" w:hAnsi="Tahoma" w:cs="Tahoma"/>
          <w:b w:val="0"/>
          <w:lang w:val="en-GB"/>
        </w:rPr>
        <w:t>-</w:t>
      </w:r>
      <w:r w:rsidR="00F63966" w:rsidRPr="00C61C69">
        <w:rPr>
          <w:rFonts w:ascii="Tahoma" w:hAnsi="Tahoma" w:cs="Tahoma"/>
          <w:b w:val="0"/>
          <w:lang w:val="en-GB"/>
        </w:rPr>
        <w:t xml:space="preserve"> </w:t>
      </w:r>
      <w:r w:rsidR="00E07290" w:rsidRPr="00C61C69">
        <w:rPr>
          <w:rFonts w:ascii="Tahoma" w:hAnsi="Tahoma" w:cs="Tahoma"/>
          <w:b w:val="0"/>
          <w:lang w:val="en-GB"/>
        </w:rPr>
        <w:t xml:space="preserve">the jurisdiction in which the Ultimate Parent Entity is resident has a current International Agreement to which </w:t>
      </w:r>
      <w:r w:rsidR="00A955D5" w:rsidRPr="00C61C69">
        <w:rPr>
          <w:rFonts w:ascii="Tahoma" w:hAnsi="Tahoma" w:cs="Tahoma"/>
          <w:b w:val="0"/>
          <w:lang w:val="en-GB"/>
        </w:rPr>
        <w:t xml:space="preserve">Montenegro </w:t>
      </w:r>
      <w:r w:rsidR="00E07290" w:rsidRPr="00C61C69">
        <w:rPr>
          <w:rFonts w:ascii="Tahoma" w:hAnsi="Tahoma" w:cs="Tahoma"/>
          <w:b w:val="0"/>
          <w:lang w:val="en-GB"/>
        </w:rPr>
        <w:t>is a party</w:t>
      </w:r>
      <w:r w:rsidR="00A955D5" w:rsidRPr="00C61C69">
        <w:rPr>
          <w:rFonts w:ascii="Tahoma" w:hAnsi="Tahoma" w:cs="Tahoma"/>
          <w:b w:val="0"/>
          <w:lang w:val="en-GB"/>
        </w:rPr>
        <w:t>,</w:t>
      </w:r>
      <w:r w:rsidR="00E07290" w:rsidRPr="00C61C69">
        <w:rPr>
          <w:rFonts w:ascii="Tahoma" w:hAnsi="Tahoma" w:cs="Tahoma"/>
          <w:b w:val="0"/>
          <w:lang w:val="en-GB"/>
        </w:rPr>
        <w:t xml:space="preserve"> but </w:t>
      </w:r>
      <w:r w:rsidR="00A955D5" w:rsidRPr="00C61C69">
        <w:rPr>
          <w:rFonts w:ascii="Tahoma" w:hAnsi="Tahoma" w:cs="Tahoma"/>
          <w:b w:val="0"/>
          <w:lang w:val="en-GB"/>
        </w:rPr>
        <w:t xml:space="preserve">provided that it </w:t>
      </w:r>
      <w:r w:rsidR="00E07290" w:rsidRPr="00C61C69">
        <w:rPr>
          <w:rFonts w:ascii="Tahoma" w:hAnsi="Tahoma" w:cs="Tahoma"/>
          <w:b w:val="0"/>
          <w:lang w:val="en-GB"/>
        </w:rPr>
        <w:t xml:space="preserve">does not have </w:t>
      </w:r>
      <w:r w:rsidR="00A955D5" w:rsidRPr="00C61C69">
        <w:rPr>
          <w:rFonts w:ascii="Tahoma" w:hAnsi="Tahoma" w:cs="Tahoma"/>
          <w:b w:val="0"/>
          <w:lang w:val="en-GB"/>
        </w:rPr>
        <w:t xml:space="preserve">in effect </w:t>
      </w:r>
      <w:r w:rsidR="00E07290" w:rsidRPr="00C61C69">
        <w:rPr>
          <w:rFonts w:ascii="Tahoma" w:hAnsi="Tahoma" w:cs="Tahoma"/>
          <w:b w:val="0"/>
          <w:lang w:val="en-GB"/>
        </w:rPr>
        <w:t xml:space="preserve">a Qualifying Competent Authority Agreement to which </w:t>
      </w:r>
      <w:r w:rsidR="00A955D5" w:rsidRPr="00C61C69">
        <w:rPr>
          <w:rFonts w:ascii="Tahoma" w:hAnsi="Tahoma" w:cs="Tahoma"/>
          <w:b w:val="0"/>
          <w:lang w:val="en-GB"/>
        </w:rPr>
        <w:t xml:space="preserve">Montenegro is a </w:t>
      </w:r>
      <w:r w:rsidR="00A955D5" w:rsidRPr="00C61C69">
        <w:rPr>
          <w:rFonts w:ascii="Tahoma" w:hAnsi="Tahoma" w:cs="Tahoma"/>
          <w:b w:val="0"/>
          <w:lang w:val="en-GB"/>
        </w:rPr>
        <w:lastRenderedPageBreak/>
        <w:t xml:space="preserve">party </w:t>
      </w:r>
      <w:r w:rsidR="00E07290" w:rsidRPr="00C61C69">
        <w:rPr>
          <w:rFonts w:ascii="Tahoma" w:hAnsi="Tahoma" w:cs="Tahoma"/>
          <w:b w:val="0"/>
          <w:lang w:val="en-GB"/>
        </w:rPr>
        <w:t xml:space="preserve">by the </w:t>
      </w:r>
      <w:r w:rsidR="00A955D5" w:rsidRPr="00C61C69">
        <w:rPr>
          <w:rFonts w:ascii="Tahoma" w:hAnsi="Tahoma" w:cs="Tahoma"/>
          <w:b w:val="0"/>
          <w:lang w:val="en-GB"/>
        </w:rPr>
        <w:t>expiration of the 12 months since the last day of a year in which the financial and operational results are generated (</w:t>
      </w:r>
      <w:r w:rsidR="00C61C69" w:rsidRPr="00C61C69">
        <w:rPr>
          <w:rFonts w:ascii="Tahoma" w:hAnsi="Tahoma" w:cs="Tahoma"/>
          <w:b w:val="0"/>
          <w:lang w:val="en-GB"/>
        </w:rPr>
        <w:t>hereinafter</w:t>
      </w:r>
      <w:r w:rsidR="00A955D5" w:rsidRPr="00C61C69">
        <w:rPr>
          <w:rFonts w:ascii="Tahoma" w:hAnsi="Tahoma" w:cs="Tahoma"/>
          <w:b w:val="0"/>
          <w:lang w:val="en-GB"/>
        </w:rPr>
        <w:t>: Reporting Fiscal Year) for which such report is being filed</w:t>
      </w:r>
      <w:r w:rsidR="00E07290" w:rsidRPr="00C61C69">
        <w:rPr>
          <w:rFonts w:ascii="Tahoma" w:hAnsi="Tahoma" w:cs="Tahoma"/>
          <w:b w:val="0"/>
          <w:lang w:val="en-GB"/>
        </w:rPr>
        <w:t xml:space="preserve"> </w:t>
      </w:r>
    </w:p>
    <w:p w:rsidR="00CA5E22" w:rsidRPr="00C61C69" w:rsidRDefault="008D2EBB" w:rsidP="00BB7575">
      <w:pPr>
        <w:pStyle w:val="C30X"/>
        <w:spacing w:before="0" w:after="0"/>
        <w:ind w:firstLine="708"/>
        <w:jc w:val="both"/>
        <w:rPr>
          <w:rFonts w:ascii="Tahoma" w:hAnsi="Tahoma" w:cs="Tahoma"/>
          <w:b w:val="0"/>
          <w:lang w:val="en-GB"/>
        </w:rPr>
      </w:pPr>
      <w:r w:rsidRPr="00C61C69">
        <w:rPr>
          <w:rFonts w:ascii="Tahoma" w:hAnsi="Tahoma" w:cs="Tahoma"/>
          <w:b w:val="0"/>
          <w:lang w:val="en-GB"/>
        </w:rPr>
        <w:t>-</w:t>
      </w:r>
      <w:r w:rsidR="00DF1648" w:rsidRPr="00C61C69">
        <w:rPr>
          <w:rFonts w:ascii="Tahoma" w:hAnsi="Tahoma" w:cs="Tahoma"/>
          <w:b w:val="0"/>
          <w:lang w:val="en-GB"/>
        </w:rPr>
        <w:t xml:space="preserve"> </w:t>
      </w:r>
      <w:r w:rsidR="00027E77" w:rsidRPr="00C61C69">
        <w:rPr>
          <w:rFonts w:ascii="Tahoma" w:hAnsi="Tahoma" w:cs="Tahoma"/>
          <w:b w:val="0"/>
          <w:lang w:val="en-GB"/>
        </w:rPr>
        <w:t xml:space="preserve">there has been a Systemic Failure of the jurisdiction of tax residence of the Ultimate Parent Entity that has been notified by the </w:t>
      </w:r>
      <w:r w:rsidR="00B1358C" w:rsidRPr="00C61C69">
        <w:rPr>
          <w:rFonts w:ascii="Tahoma" w:hAnsi="Tahoma" w:cs="Tahoma"/>
          <w:b w:val="0"/>
          <w:lang w:val="en-GB"/>
        </w:rPr>
        <w:t>Tax Authority</w:t>
      </w:r>
      <w:r w:rsidR="00027E77" w:rsidRPr="00C61C69">
        <w:rPr>
          <w:rFonts w:ascii="Tahoma" w:hAnsi="Tahoma" w:cs="Tahoma"/>
          <w:b w:val="0"/>
          <w:lang w:val="en-GB"/>
        </w:rPr>
        <w:t xml:space="preserve"> to the MNE Group Constituent Entity resident for tax purposes in Montenegro</w:t>
      </w:r>
      <w:r w:rsidR="00027E77" w:rsidRPr="00C61C69">
        <w:rPr>
          <w:lang w:val="en-GB"/>
        </w:rPr>
        <w:t>.</w:t>
      </w:r>
    </w:p>
    <w:p w:rsidR="00CA5E22" w:rsidRPr="00C61C69" w:rsidRDefault="00CA5E22" w:rsidP="00CA5E22">
      <w:pPr>
        <w:pStyle w:val="C30X"/>
        <w:spacing w:before="0" w:after="0"/>
        <w:ind w:firstLine="709"/>
        <w:jc w:val="both"/>
        <w:rPr>
          <w:rFonts w:ascii="Tahoma" w:hAnsi="Tahoma" w:cs="Tahoma"/>
          <w:b w:val="0"/>
          <w:lang w:val="en-GB"/>
        </w:rPr>
      </w:pPr>
      <w:r w:rsidRPr="00C61C69">
        <w:rPr>
          <w:rFonts w:ascii="Tahoma" w:hAnsi="Tahoma" w:cs="Tahoma"/>
          <w:b w:val="0"/>
          <w:lang w:val="en-GB"/>
        </w:rPr>
        <w:t xml:space="preserve">5. </w:t>
      </w:r>
      <w:r w:rsidR="00F65489" w:rsidRPr="00C61C69">
        <w:rPr>
          <w:rFonts w:ascii="Tahoma" w:hAnsi="Tahoma" w:cs="Tahoma"/>
          <w:b w:val="0"/>
          <w:lang w:val="en-GB"/>
        </w:rPr>
        <w:t>The Ultimate Parent Entity means a Constituent Entity of an MNE Group if</w:t>
      </w:r>
      <w:r w:rsidRPr="00C61C69">
        <w:rPr>
          <w:rFonts w:ascii="Tahoma" w:hAnsi="Tahoma" w:cs="Tahoma"/>
          <w:b w:val="0"/>
          <w:lang w:val="en-GB"/>
        </w:rPr>
        <w:t>:</w:t>
      </w:r>
    </w:p>
    <w:p w:rsidR="00CA5E22" w:rsidRPr="00C61C69" w:rsidRDefault="00CA5E22" w:rsidP="00CA5E22">
      <w:pPr>
        <w:pStyle w:val="C30X"/>
        <w:spacing w:before="0" w:after="0"/>
        <w:ind w:firstLine="709"/>
        <w:jc w:val="both"/>
        <w:rPr>
          <w:rFonts w:ascii="Tahoma" w:hAnsi="Tahoma" w:cs="Tahoma"/>
          <w:b w:val="0"/>
          <w:lang w:val="en-GB"/>
        </w:rPr>
      </w:pPr>
      <w:r w:rsidRPr="00C61C69">
        <w:rPr>
          <w:rFonts w:ascii="Tahoma" w:hAnsi="Tahoma" w:cs="Tahoma"/>
          <w:b w:val="0"/>
          <w:lang w:val="en-GB"/>
        </w:rPr>
        <w:t xml:space="preserve">- </w:t>
      </w:r>
      <w:r w:rsidR="00F65489" w:rsidRPr="00C61C69">
        <w:rPr>
          <w:rFonts w:ascii="Tahoma" w:hAnsi="Tahoma" w:cs="Tahoma"/>
          <w:b w:val="0"/>
          <w:lang w:val="en-GB"/>
        </w:rPr>
        <w:t xml:space="preserve">it owns or controls directly or indirectly a sufficient interest in one or more other Constituent Entities of such MNE Group such that it is required to prepare, file and publish Consolidated Financial Statements under </w:t>
      </w:r>
      <w:r w:rsidR="00F65489" w:rsidRPr="00C61C69">
        <w:rPr>
          <w:rStyle w:val="hgkelc"/>
          <w:rFonts w:ascii="Tahoma" w:hAnsi="Tahoma" w:cs="Tahoma"/>
          <w:b w:val="0"/>
          <w:lang w:val="en-GB"/>
        </w:rPr>
        <w:t>the International Accounting Standards</w:t>
      </w:r>
      <w:r w:rsidR="00F65489" w:rsidRPr="00C61C69">
        <w:rPr>
          <w:rFonts w:ascii="Tahoma" w:hAnsi="Tahoma" w:cs="Tahoma"/>
          <w:b w:val="0"/>
          <w:lang w:val="en-GB"/>
        </w:rPr>
        <w:t xml:space="preserve"> (hereinafter: IAS) or </w:t>
      </w:r>
      <w:r w:rsidR="00F65489" w:rsidRPr="00C61C69">
        <w:rPr>
          <w:rStyle w:val="hgkelc"/>
          <w:rFonts w:ascii="Tahoma" w:hAnsi="Tahoma" w:cs="Tahoma"/>
          <w:b w:val="0"/>
          <w:lang w:val="en-GB"/>
        </w:rPr>
        <w:t xml:space="preserve">International Financial Reporting Standards </w:t>
      </w:r>
      <w:r w:rsidR="00F65489" w:rsidRPr="00C61C69">
        <w:rPr>
          <w:rFonts w:ascii="Tahoma" w:hAnsi="Tahoma" w:cs="Tahoma"/>
          <w:b w:val="0"/>
          <w:lang w:val="en-GB"/>
        </w:rPr>
        <w:t>(hereinafter:</w:t>
      </w:r>
      <w:r w:rsidR="00F65489" w:rsidRPr="00C61C69">
        <w:rPr>
          <w:rStyle w:val="hgkelc"/>
          <w:rFonts w:ascii="Tahoma" w:hAnsi="Tahoma" w:cs="Tahoma"/>
          <w:b w:val="0"/>
          <w:lang w:val="en-GB"/>
        </w:rPr>
        <w:t xml:space="preserve"> IFRS)</w:t>
      </w:r>
      <w:r w:rsidR="00F65489" w:rsidRPr="00C61C69">
        <w:rPr>
          <w:rFonts w:ascii="Tahoma" w:hAnsi="Tahoma" w:cs="Tahoma"/>
          <w:b w:val="0"/>
          <w:lang w:val="en-GB"/>
        </w:rPr>
        <w:t>, or would be so required if its equity interests were traded on a public securities exchange in its jurisdiction of tax residence</w:t>
      </w:r>
      <w:r w:rsidRPr="00C61C69">
        <w:rPr>
          <w:rFonts w:ascii="Tahoma" w:hAnsi="Tahoma" w:cs="Tahoma"/>
          <w:b w:val="0"/>
          <w:lang w:val="en-GB"/>
        </w:rPr>
        <w:t xml:space="preserve">, </w:t>
      </w:r>
      <w:r w:rsidR="00F65489" w:rsidRPr="00C61C69">
        <w:rPr>
          <w:rFonts w:ascii="Tahoma" w:hAnsi="Tahoma" w:cs="Tahoma"/>
          <w:b w:val="0"/>
          <w:lang w:val="en-GB"/>
        </w:rPr>
        <w:t>and</w:t>
      </w:r>
      <w:r w:rsidRPr="00C61C69">
        <w:rPr>
          <w:rFonts w:ascii="Tahoma" w:hAnsi="Tahoma" w:cs="Tahoma"/>
          <w:b w:val="0"/>
          <w:lang w:val="en-GB"/>
        </w:rPr>
        <w:t xml:space="preserve"> </w:t>
      </w:r>
    </w:p>
    <w:p w:rsidR="00CA5E22" w:rsidRPr="00C61C69" w:rsidRDefault="00CA5E22" w:rsidP="00CA5E22">
      <w:pPr>
        <w:pStyle w:val="C30X"/>
        <w:spacing w:before="0" w:after="0"/>
        <w:ind w:firstLine="709"/>
        <w:jc w:val="both"/>
        <w:rPr>
          <w:rFonts w:ascii="Tahoma" w:hAnsi="Tahoma" w:cs="Tahoma"/>
          <w:b w:val="0"/>
          <w:lang w:val="en-GB"/>
        </w:rPr>
      </w:pPr>
      <w:r w:rsidRPr="00C61C69">
        <w:rPr>
          <w:rFonts w:ascii="Tahoma" w:hAnsi="Tahoma" w:cs="Tahoma"/>
          <w:b w:val="0"/>
          <w:lang w:val="en-GB"/>
        </w:rPr>
        <w:t xml:space="preserve">- </w:t>
      </w:r>
      <w:r w:rsidR="00E355C1" w:rsidRPr="00C61C69">
        <w:rPr>
          <w:rFonts w:ascii="Tahoma" w:hAnsi="Tahoma" w:cs="Tahoma"/>
          <w:b w:val="0"/>
          <w:lang w:val="en-GB"/>
        </w:rPr>
        <w:t>there is no other Constituent Entity of such MNE Group that owns or controls directly or indirectly that entity and has obligation in accordance with indent 1 of this item</w:t>
      </w:r>
      <w:r w:rsidRPr="00C61C69">
        <w:rPr>
          <w:rFonts w:ascii="Tahoma" w:hAnsi="Tahoma" w:cs="Tahoma"/>
          <w:b w:val="0"/>
          <w:lang w:val="en-GB"/>
        </w:rPr>
        <w:t xml:space="preserve">. </w:t>
      </w:r>
    </w:p>
    <w:p w:rsidR="00F63966" w:rsidRPr="00C61C69" w:rsidRDefault="00CA5E22" w:rsidP="00CA5E22">
      <w:pPr>
        <w:pStyle w:val="C30X"/>
        <w:spacing w:before="0" w:after="0"/>
        <w:ind w:firstLine="708"/>
        <w:jc w:val="both"/>
        <w:rPr>
          <w:rFonts w:ascii="Tahoma" w:hAnsi="Tahoma" w:cs="Tahoma"/>
          <w:b w:val="0"/>
          <w:lang w:val="en-GB"/>
        </w:rPr>
      </w:pPr>
      <w:r w:rsidRPr="00C61C69">
        <w:rPr>
          <w:rFonts w:ascii="Tahoma" w:hAnsi="Tahoma" w:cs="Tahoma"/>
          <w:b w:val="0"/>
          <w:lang w:val="en-GB"/>
        </w:rPr>
        <w:t>6</w:t>
      </w:r>
      <w:r w:rsidR="00F63966" w:rsidRPr="00C61C69">
        <w:rPr>
          <w:rFonts w:ascii="Tahoma" w:hAnsi="Tahoma" w:cs="Tahoma"/>
          <w:b w:val="0"/>
          <w:lang w:val="en-GB"/>
        </w:rPr>
        <w:t xml:space="preserve">. </w:t>
      </w:r>
      <w:r w:rsidR="00E355C1" w:rsidRPr="00C61C69">
        <w:rPr>
          <w:rFonts w:ascii="Tahoma" w:hAnsi="Tahoma" w:cs="Tahoma"/>
          <w:b w:val="0"/>
          <w:lang w:val="en-GB"/>
        </w:rPr>
        <w:t>A MNE Group Constituent Entity, resident in Montenegro for tax purposes shall request its Ultimate Parent Entity to provide it with all information required for it to file a report referred to in item 3 of these Instructions</w:t>
      </w:r>
      <w:r w:rsidR="00F63966" w:rsidRPr="00C61C69">
        <w:rPr>
          <w:rFonts w:ascii="Tahoma" w:hAnsi="Tahoma" w:cs="Tahoma"/>
          <w:b w:val="0"/>
          <w:lang w:val="en-GB"/>
        </w:rPr>
        <w:t xml:space="preserve">. </w:t>
      </w:r>
    </w:p>
    <w:p w:rsidR="00F63966" w:rsidRPr="00C61C69" w:rsidRDefault="00CA5E22" w:rsidP="00E9131D">
      <w:pPr>
        <w:pStyle w:val="C30X"/>
        <w:spacing w:before="0" w:after="0"/>
        <w:ind w:firstLine="708"/>
        <w:jc w:val="both"/>
        <w:rPr>
          <w:rFonts w:ascii="Tahoma" w:hAnsi="Tahoma" w:cs="Tahoma"/>
          <w:b w:val="0"/>
          <w:lang w:val="en-GB"/>
        </w:rPr>
      </w:pPr>
      <w:r w:rsidRPr="00C61C69">
        <w:rPr>
          <w:rFonts w:ascii="Tahoma" w:hAnsi="Tahoma" w:cs="Tahoma"/>
          <w:b w:val="0"/>
          <w:lang w:val="en-GB"/>
        </w:rPr>
        <w:t>7</w:t>
      </w:r>
      <w:r w:rsidR="00336FDF" w:rsidRPr="00C61C69">
        <w:rPr>
          <w:rFonts w:ascii="Tahoma" w:hAnsi="Tahoma" w:cs="Tahoma"/>
          <w:b w:val="0"/>
          <w:lang w:val="en-GB"/>
        </w:rPr>
        <w:t xml:space="preserve">. </w:t>
      </w:r>
      <w:r w:rsidR="00E355C1" w:rsidRPr="00C61C69">
        <w:rPr>
          <w:rFonts w:ascii="Tahoma" w:hAnsi="Tahoma" w:cs="Tahoma"/>
          <w:b w:val="0"/>
          <w:lang w:val="en-GB"/>
        </w:rPr>
        <w:t xml:space="preserve">A MNE Group Constituent Entity, resident in Montenegro for tax purposes shall notify the </w:t>
      </w:r>
      <w:r w:rsidR="00B1358C" w:rsidRPr="00C61C69">
        <w:rPr>
          <w:rFonts w:ascii="Tahoma" w:hAnsi="Tahoma" w:cs="Tahoma"/>
          <w:b w:val="0"/>
          <w:lang w:val="en-GB"/>
        </w:rPr>
        <w:t>Tax Authority</w:t>
      </w:r>
      <w:r w:rsidR="00E355C1" w:rsidRPr="00C61C69">
        <w:rPr>
          <w:rFonts w:ascii="Tahoma" w:hAnsi="Tahoma" w:cs="Tahoma"/>
          <w:b w:val="0"/>
          <w:lang w:val="en-GB"/>
        </w:rPr>
        <w:t xml:space="preserve"> that the Ultimate Parent Entity has </w:t>
      </w:r>
      <w:r w:rsidR="00C61C69" w:rsidRPr="00C61C69">
        <w:rPr>
          <w:rFonts w:ascii="Tahoma" w:hAnsi="Tahoma" w:cs="Tahoma"/>
          <w:b w:val="0"/>
          <w:lang w:val="en-GB"/>
        </w:rPr>
        <w:t>failed</w:t>
      </w:r>
      <w:r w:rsidR="00E355C1" w:rsidRPr="00C61C69">
        <w:rPr>
          <w:rFonts w:ascii="Tahoma" w:hAnsi="Tahoma" w:cs="Tahoma"/>
          <w:b w:val="0"/>
          <w:lang w:val="en-GB"/>
        </w:rPr>
        <w:t xml:space="preserve"> to provide it with </w:t>
      </w:r>
      <w:r w:rsidR="00C61C69" w:rsidRPr="00C61C69">
        <w:rPr>
          <w:rFonts w:ascii="Tahoma" w:hAnsi="Tahoma" w:cs="Tahoma"/>
          <w:b w:val="0"/>
          <w:lang w:val="en-GB"/>
        </w:rPr>
        <w:t>necessary</w:t>
      </w:r>
      <w:r w:rsidR="00E355C1" w:rsidRPr="00C61C69">
        <w:rPr>
          <w:rFonts w:ascii="Tahoma" w:hAnsi="Tahoma" w:cs="Tahoma"/>
          <w:b w:val="0"/>
          <w:lang w:val="en-GB"/>
        </w:rPr>
        <w:t xml:space="preserve"> information referred to in Item 6 herein</w:t>
      </w:r>
      <w:r w:rsidR="002D64DA" w:rsidRPr="00C61C69">
        <w:rPr>
          <w:rFonts w:ascii="Tahoma" w:hAnsi="Tahoma" w:cs="Tahoma"/>
          <w:b w:val="0"/>
          <w:lang w:val="en-GB"/>
        </w:rPr>
        <w:t xml:space="preserve">, </w:t>
      </w:r>
      <w:r w:rsidR="00E355C1" w:rsidRPr="00C61C69">
        <w:rPr>
          <w:rFonts w:ascii="Tahoma" w:hAnsi="Tahoma" w:cs="Tahoma"/>
          <w:b w:val="0"/>
          <w:lang w:val="en-GB"/>
        </w:rPr>
        <w:t xml:space="preserve">within </w:t>
      </w:r>
      <w:r w:rsidR="00C46E56" w:rsidRPr="00C61C69">
        <w:rPr>
          <w:rFonts w:ascii="Tahoma" w:hAnsi="Tahoma" w:cs="Tahoma"/>
          <w:b w:val="0"/>
          <w:lang w:val="en-GB"/>
        </w:rPr>
        <w:t>12 m</w:t>
      </w:r>
      <w:r w:rsidR="00E355C1" w:rsidRPr="00C61C69">
        <w:rPr>
          <w:rFonts w:ascii="Tahoma" w:hAnsi="Tahoma" w:cs="Tahoma"/>
          <w:b w:val="0"/>
          <w:lang w:val="en-GB"/>
        </w:rPr>
        <w:t xml:space="preserve">onths from the last </w:t>
      </w:r>
      <w:r w:rsidR="00C61C69" w:rsidRPr="00C61C69">
        <w:rPr>
          <w:rFonts w:ascii="Tahoma" w:hAnsi="Tahoma" w:cs="Tahoma"/>
          <w:b w:val="0"/>
          <w:lang w:val="en-GB"/>
        </w:rPr>
        <w:t>day</w:t>
      </w:r>
      <w:r w:rsidR="00E355C1" w:rsidRPr="00C61C69">
        <w:rPr>
          <w:rFonts w:ascii="Tahoma" w:hAnsi="Tahoma" w:cs="Tahoma"/>
          <w:b w:val="0"/>
          <w:lang w:val="en-GB"/>
        </w:rPr>
        <w:t xml:space="preserve"> of the Reporting Fiscal Year.</w:t>
      </w:r>
      <w:r w:rsidR="00ED1C26" w:rsidRPr="00C61C69">
        <w:rPr>
          <w:rFonts w:ascii="Tahoma" w:hAnsi="Tahoma" w:cs="Tahoma"/>
          <w:b w:val="0"/>
          <w:lang w:val="en-GB"/>
        </w:rPr>
        <w:t xml:space="preserve"> </w:t>
      </w:r>
    </w:p>
    <w:p w:rsidR="00F63966" w:rsidRPr="00C61C69" w:rsidRDefault="00CA5E22" w:rsidP="00336FDF">
      <w:pPr>
        <w:pStyle w:val="C30X"/>
        <w:spacing w:before="0" w:after="0"/>
        <w:ind w:firstLine="709"/>
        <w:jc w:val="both"/>
        <w:rPr>
          <w:rFonts w:ascii="Tahoma" w:hAnsi="Tahoma" w:cs="Tahoma"/>
          <w:b w:val="0"/>
          <w:lang w:val="en-GB"/>
        </w:rPr>
      </w:pPr>
      <w:r w:rsidRPr="00C61C69">
        <w:rPr>
          <w:rFonts w:ascii="Tahoma" w:hAnsi="Tahoma" w:cs="Tahoma"/>
          <w:b w:val="0"/>
          <w:lang w:val="en-GB"/>
        </w:rPr>
        <w:t>8</w:t>
      </w:r>
      <w:r w:rsidR="00F63966" w:rsidRPr="00C61C69">
        <w:rPr>
          <w:rFonts w:ascii="Tahoma" w:hAnsi="Tahoma" w:cs="Tahoma"/>
          <w:b w:val="0"/>
          <w:lang w:val="en-GB"/>
        </w:rPr>
        <w:t xml:space="preserve">. </w:t>
      </w:r>
      <w:r w:rsidR="00E355C1" w:rsidRPr="00C61C69">
        <w:rPr>
          <w:rFonts w:ascii="Tahoma" w:hAnsi="Tahoma" w:cs="Tahoma"/>
          <w:b w:val="0"/>
          <w:lang w:val="en-GB"/>
        </w:rPr>
        <w:t xml:space="preserve">The </w:t>
      </w:r>
      <w:r w:rsidR="00B1358C" w:rsidRPr="00C61C69">
        <w:rPr>
          <w:rFonts w:ascii="Tahoma" w:hAnsi="Tahoma" w:cs="Tahoma"/>
          <w:b w:val="0"/>
          <w:lang w:val="en-GB"/>
        </w:rPr>
        <w:t>Tax Authority</w:t>
      </w:r>
      <w:r w:rsidR="00E355C1" w:rsidRPr="00C61C69">
        <w:rPr>
          <w:rFonts w:ascii="Tahoma" w:hAnsi="Tahoma" w:cs="Tahoma"/>
          <w:b w:val="0"/>
          <w:lang w:val="en-GB"/>
        </w:rPr>
        <w:t xml:space="preserve"> shall notify the tax jurisdiction competent authority on failure to provide information referred to in item 7 of these Instructions</w:t>
      </w:r>
      <w:r w:rsidR="00ED1C26" w:rsidRPr="00C61C69">
        <w:rPr>
          <w:rFonts w:ascii="Tahoma" w:hAnsi="Tahoma" w:cs="Tahoma"/>
          <w:b w:val="0"/>
          <w:lang w:val="en-GB"/>
        </w:rPr>
        <w:t xml:space="preserve">. </w:t>
      </w:r>
    </w:p>
    <w:p w:rsidR="00F63966" w:rsidRPr="00C61C69" w:rsidRDefault="00CA5E22" w:rsidP="00336FDF">
      <w:pPr>
        <w:pStyle w:val="C30X"/>
        <w:spacing w:before="0" w:after="0"/>
        <w:ind w:firstLine="708"/>
        <w:jc w:val="both"/>
        <w:rPr>
          <w:rFonts w:ascii="Tahoma" w:hAnsi="Tahoma" w:cs="Tahoma"/>
          <w:b w:val="0"/>
          <w:lang w:val="en-GB"/>
        </w:rPr>
      </w:pPr>
      <w:r w:rsidRPr="00C61C69">
        <w:rPr>
          <w:rFonts w:ascii="Tahoma" w:hAnsi="Tahoma" w:cs="Tahoma"/>
          <w:b w:val="0"/>
          <w:lang w:val="en-GB"/>
        </w:rPr>
        <w:t>9</w:t>
      </w:r>
      <w:r w:rsidR="00F63966" w:rsidRPr="00C61C69">
        <w:rPr>
          <w:rFonts w:ascii="Tahoma" w:hAnsi="Tahoma" w:cs="Tahoma"/>
          <w:b w:val="0"/>
          <w:lang w:val="en-GB"/>
        </w:rPr>
        <w:t xml:space="preserve">. </w:t>
      </w:r>
      <w:r w:rsidR="003A3D1D" w:rsidRPr="00C61C69">
        <w:rPr>
          <w:rFonts w:ascii="Tahoma" w:hAnsi="Tahoma" w:cs="Tahoma"/>
          <w:b w:val="0"/>
          <w:lang w:val="en-GB"/>
        </w:rPr>
        <w:t xml:space="preserve">The multinational enterprise group means a collection of enterprises related through ownership or control under IAS or IFRS, and whose total consolidated group revenue of at least EUR 750 000 000 during the Fiscal Year immediately preceding the Reporting Fiscal Year as reflected in its Consolidated Financial Statements and whose one or more Constituent Entities is either required to prepare, file and publish Consolidated Financial Statements under IAS or IFRS or would be so required if equity interests in that entity were traded on a public securities exchange, and that includes at least one Constituent Entity whose tax residence is </w:t>
      </w:r>
      <w:r w:rsidR="00C61C69" w:rsidRPr="00C61C69">
        <w:rPr>
          <w:rFonts w:ascii="Tahoma" w:hAnsi="Tahoma" w:cs="Tahoma"/>
          <w:b w:val="0"/>
          <w:lang w:val="en-GB"/>
        </w:rPr>
        <w:t>different</w:t>
      </w:r>
      <w:r w:rsidR="003A3D1D" w:rsidRPr="00C61C69">
        <w:rPr>
          <w:rFonts w:ascii="Tahoma" w:hAnsi="Tahoma" w:cs="Tahoma"/>
          <w:b w:val="0"/>
          <w:lang w:val="en-GB"/>
        </w:rPr>
        <w:t xml:space="preserve"> than that of other MNE Group Constituent Entities, or includes an enterprise that is resident for tax purposes in one jurisdiction and is subject to tax with respect to the business carried out through a permanent establishment in another tax jurisdiction</w:t>
      </w:r>
      <w:r w:rsidR="00F63966" w:rsidRPr="00C61C69">
        <w:rPr>
          <w:rFonts w:ascii="Tahoma" w:hAnsi="Tahoma" w:cs="Tahoma"/>
          <w:b w:val="0"/>
          <w:lang w:val="en-GB"/>
        </w:rPr>
        <w:t>.</w:t>
      </w:r>
    </w:p>
    <w:p w:rsidR="00F63966" w:rsidRPr="00C61C69" w:rsidRDefault="00CA5E22" w:rsidP="00F63966">
      <w:pPr>
        <w:pStyle w:val="C30X"/>
        <w:spacing w:before="0" w:after="0"/>
        <w:jc w:val="both"/>
        <w:rPr>
          <w:rFonts w:ascii="Tahoma" w:hAnsi="Tahoma" w:cs="Tahoma"/>
          <w:b w:val="0"/>
          <w:lang w:val="en-GB"/>
        </w:rPr>
      </w:pPr>
      <w:r w:rsidRPr="00C61C69">
        <w:rPr>
          <w:rFonts w:ascii="Tahoma" w:hAnsi="Tahoma" w:cs="Tahoma"/>
          <w:b w:val="0"/>
          <w:lang w:val="en-GB"/>
        </w:rPr>
        <w:tab/>
        <w:t>10</w:t>
      </w:r>
      <w:r w:rsidR="00F63966" w:rsidRPr="00C61C69">
        <w:rPr>
          <w:rFonts w:ascii="Tahoma" w:hAnsi="Tahoma" w:cs="Tahoma"/>
          <w:b w:val="0"/>
          <w:lang w:val="en-GB"/>
        </w:rPr>
        <w:t xml:space="preserve">. </w:t>
      </w:r>
      <w:r w:rsidR="00B0596A" w:rsidRPr="00C61C69">
        <w:rPr>
          <w:rFonts w:ascii="Tahoma" w:hAnsi="Tahoma" w:cs="Tahoma"/>
          <w:b w:val="0"/>
          <w:lang w:val="en-GB"/>
        </w:rPr>
        <w:t>If more than one Constituent Entities of the same MNE Group are resident in the European Union for tax purposes, when at least one condition set out in point 4 of these Instructions applies, the MNE Group may designate a MNE Group Constituent Entity, which is resident in Montenegro for tax purposes, to file the report referred to in point 3 of these Instructions on behalf of all Constituent Entities of such MNE Group</w:t>
      </w:r>
      <w:r w:rsidR="00F63966" w:rsidRPr="00C61C69">
        <w:rPr>
          <w:rFonts w:ascii="Tahoma" w:hAnsi="Tahoma" w:cs="Tahoma"/>
          <w:b w:val="0"/>
          <w:lang w:val="en-GB"/>
        </w:rPr>
        <w:t>.</w:t>
      </w:r>
    </w:p>
    <w:p w:rsidR="00D301B7" w:rsidRPr="00C61C69" w:rsidRDefault="00CA5E22" w:rsidP="00601D94">
      <w:pPr>
        <w:pStyle w:val="C30X"/>
        <w:spacing w:before="0" w:after="0"/>
        <w:ind w:firstLine="708"/>
        <w:jc w:val="both"/>
        <w:rPr>
          <w:rFonts w:ascii="Tahoma" w:hAnsi="Tahoma" w:cs="Tahoma"/>
          <w:b w:val="0"/>
          <w:lang w:val="en-GB"/>
        </w:rPr>
      </w:pPr>
      <w:r w:rsidRPr="00C61C69">
        <w:rPr>
          <w:rFonts w:ascii="Tahoma" w:hAnsi="Tahoma" w:cs="Tahoma"/>
          <w:b w:val="0"/>
          <w:lang w:val="en-GB"/>
        </w:rPr>
        <w:t>11</w:t>
      </w:r>
      <w:r w:rsidR="00D301B7" w:rsidRPr="00C61C69">
        <w:rPr>
          <w:rFonts w:ascii="Tahoma" w:hAnsi="Tahoma" w:cs="Tahoma"/>
          <w:b w:val="0"/>
          <w:lang w:val="en-GB"/>
        </w:rPr>
        <w:t xml:space="preserve">. </w:t>
      </w:r>
      <w:r w:rsidR="00B0596A" w:rsidRPr="00C61C69">
        <w:rPr>
          <w:rFonts w:ascii="Tahoma" w:hAnsi="Tahoma" w:cs="Tahoma"/>
          <w:b w:val="0"/>
          <w:lang w:val="en-GB"/>
        </w:rPr>
        <w:t>A MNE Group Constituent Entity</w:t>
      </w:r>
      <w:r w:rsidR="00F63966" w:rsidRPr="00C61C69">
        <w:rPr>
          <w:rFonts w:ascii="Tahoma" w:hAnsi="Tahoma" w:cs="Tahoma"/>
          <w:b w:val="0"/>
          <w:lang w:val="en-GB"/>
        </w:rPr>
        <w:t xml:space="preserve">, </w:t>
      </w:r>
      <w:r w:rsidR="00B0596A" w:rsidRPr="00C61C69">
        <w:rPr>
          <w:rFonts w:ascii="Tahoma" w:hAnsi="Tahoma" w:cs="Tahoma"/>
          <w:b w:val="0"/>
          <w:lang w:val="en-GB"/>
        </w:rPr>
        <w:t>referred in point 10 herein</w:t>
      </w:r>
      <w:r w:rsidR="00D301B7" w:rsidRPr="00C61C69">
        <w:rPr>
          <w:rFonts w:ascii="Tahoma" w:hAnsi="Tahoma" w:cs="Tahoma"/>
          <w:b w:val="0"/>
          <w:lang w:val="en-GB"/>
        </w:rPr>
        <w:t xml:space="preserve">, </w:t>
      </w:r>
      <w:r w:rsidR="00B0596A" w:rsidRPr="00C61C69">
        <w:rPr>
          <w:rFonts w:ascii="Tahoma" w:hAnsi="Tahoma" w:cs="Tahoma"/>
          <w:b w:val="0"/>
          <w:lang w:val="en-GB"/>
        </w:rPr>
        <w:t>shall file the report referred to in point 3 herein with the Tax authority</w:t>
      </w:r>
      <w:r w:rsidR="0043793B" w:rsidRPr="00C61C69">
        <w:rPr>
          <w:rFonts w:ascii="Tahoma" w:hAnsi="Tahoma" w:cs="Tahoma"/>
          <w:b w:val="0"/>
          <w:lang w:val="en-GB"/>
        </w:rPr>
        <w:t>.</w:t>
      </w:r>
    </w:p>
    <w:p w:rsidR="00F63966" w:rsidRPr="00C61C69" w:rsidRDefault="00CA5E22" w:rsidP="00601D94">
      <w:pPr>
        <w:pStyle w:val="C30X"/>
        <w:spacing w:before="0" w:after="0"/>
        <w:ind w:firstLine="708"/>
        <w:jc w:val="both"/>
        <w:rPr>
          <w:rFonts w:ascii="Tahoma" w:hAnsi="Tahoma" w:cs="Tahoma"/>
          <w:b w:val="0"/>
          <w:lang w:val="en-GB"/>
        </w:rPr>
      </w:pPr>
      <w:r w:rsidRPr="00C61C69">
        <w:rPr>
          <w:rFonts w:ascii="Tahoma" w:hAnsi="Tahoma" w:cs="Tahoma"/>
          <w:b w:val="0"/>
          <w:lang w:val="en-GB"/>
        </w:rPr>
        <w:lastRenderedPageBreak/>
        <w:t>12</w:t>
      </w:r>
      <w:r w:rsidR="00F63966" w:rsidRPr="00C61C69">
        <w:rPr>
          <w:rFonts w:ascii="Tahoma" w:hAnsi="Tahoma" w:cs="Tahoma"/>
          <w:b w:val="0"/>
          <w:lang w:val="en-GB"/>
        </w:rPr>
        <w:t xml:space="preserve">. </w:t>
      </w:r>
      <w:r w:rsidR="00114BB4" w:rsidRPr="00C61C69">
        <w:rPr>
          <w:rFonts w:ascii="Tahoma" w:hAnsi="Tahoma" w:cs="Tahoma"/>
          <w:b w:val="0"/>
          <w:lang w:val="en-GB"/>
        </w:rPr>
        <w:t xml:space="preserve">The Tax authority shall communicate the report referred to in item 10 herein to </w:t>
      </w:r>
      <w:r w:rsidR="00B1358C" w:rsidRPr="00C61C69">
        <w:rPr>
          <w:rFonts w:ascii="Tahoma" w:hAnsi="Tahoma" w:cs="Tahoma"/>
          <w:b w:val="0"/>
          <w:lang w:val="en-GB"/>
        </w:rPr>
        <w:t xml:space="preserve">the </w:t>
      </w:r>
      <w:r w:rsidR="00114BB4" w:rsidRPr="00C61C69">
        <w:rPr>
          <w:rFonts w:ascii="Tahoma" w:hAnsi="Tahoma" w:cs="Tahoma"/>
          <w:b w:val="0"/>
          <w:lang w:val="en-GB"/>
        </w:rPr>
        <w:t>competent tax authority of jurisdiction in which, on the basis of the information in that report, at least one Constituent Entities of the MNE Group of the Reporting Entity is either resident for tax purposes or is subject to tax with respect to the business carried out through a permanent establishment</w:t>
      </w:r>
      <w:r w:rsidR="00F63966" w:rsidRPr="00C61C69">
        <w:rPr>
          <w:rFonts w:ascii="Tahoma" w:hAnsi="Tahoma" w:cs="Tahoma"/>
          <w:b w:val="0"/>
          <w:lang w:val="en-GB"/>
        </w:rPr>
        <w:t>.</w:t>
      </w:r>
    </w:p>
    <w:p w:rsidR="00F63966" w:rsidRPr="00C61C69" w:rsidRDefault="00CA5E22" w:rsidP="00480C3A">
      <w:pPr>
        <w:pStyle w:val="C30X"/>
        <w:spacing w:before="0" w:after="0"/>
        <w:ind w:firstLine="708"/>
        <w:jc w:val="both"/>
        <w:rPr>
          <w:rFonts w:ascii="Tahoma" w:hAnsi="Tahoma" w:cs="Tahoma"/>
          <w:b w:val="0"/>
          <w:lang w:val="en-GB"/>
        </w:rPr>
      </w:pPr>
      <w:r w:rsidRPr="00C61C69">
        <w:rPr>
          <w:rFonts w:ascii="Tahoma" w:hAnsi="Tahoma" w:cs="Tahoma"/>
          <w:b w:val="0"/>
          <w:lang w:val="en-GB"/>
        </w:rPr>
        <w:t>13</w:t>
      </w:r>
      <w:r w:rsidR="00F63966" w:rsidRPr="00C61C69">
        <w:rPr>
          <w:rFonts w:ascii="Tahoma" w:hAnsi="Tahoma" w:cs="Tahoma"/>
          <w:b w:val="0"/>
          <w:lang w:val="en-GB"/>
        </w:rPr>
        <w:t xml:space="preserve">. </w:t>
      </w:r>
      <w:r w:rsidR="00114BB4" w:rsidRPr="00C61C69">
        <w:rPr>
          <w:rFonts w:ascii="Tahoma" w:hAnsi="Tahoma" w:cs="Tahoma"/>
          <w:b w:val="0"/>
          <w:lang w:val="en-GB"/>
        </w:rPr>
        <w:t>Where the MNE Group Constituent Entity referred to in items 10 and 11 herein has not obtained or acquired the information required to file the report referred to in item 3 herein, then such Constituent Entity shall not be eligible to be designated to be the Reporting Entity for the MNE Group</w:t>
      </w:r>
      <w:r w:rsidR="00F63966" w:rsidRPr="00C61C69">
        <w:rPr>
          <w:rFonts w:ascii="Tahoma" w:hAnsi="Tahoma" w:cs="Tahoma"/>
          <w:b w:val="0"/>
          <w:lang w:val="en-GB"/>
        </w:rPr>
        <w:t>.</w:t>
      </w:r>
    </w:p>
    <w:p w:rsidR="004813FF" w:rsidRPr="00C61C69" w:rsidRDefault="00CA5E22" w:rsidP="00CA5E22">
      <w:pPr>
        <w:pStyle w:val="C30X"/>
        <w:spacing w:before="0" w:after="0"/>
        <w:ind w:firstLine="708"/>
        <w:jc w:val="both"/>
        <w:rPr>
          <w:rFonts w:ascii="Tahoma" w:hAnsi="Tahoma" w:cs="Tahoma"/>
          <w:b w:val="0"/>
          <w:lang w:val="en-GB"/>
        </w:rPr>
      </w:pPr>
      <w:r w:rsidRPr="00C61C69">
        <w:rPr>
          <w:rFonts w:ascii="Tahoma" w:hAnsi="Tahoma" w:cs="Tahoma"/>
          <w:b w:val="0"/>
          <w:lang w:val="en-GB"/>
        </w:rPr>
        <w:t>14</w:t>
      </w:r>
      <w:r w:rsidR="00F63966" w:rsidRPr="00C61C69">
        <w:rPr>
          <w:rFonts w:ascii="Tahoma" w:hAnsi="Tahoma" w:cs="Tahoma"/>
          <w:b w:val="0"/>
          <w:lang w:val="en-GB"/>
        </w:rPr>
        <w:t xml:space="preserve">. </w:t>
      </w:r>
      <w:r w:rsidR="00114BB4" w:rsidRPr="00C61C69">
        <w:rPr>
          <w:rFonts w:ascii="Tahoma" w:hAnsi="Tahoma" w:cs="Tahoma"/>
          <w:b w:val="0"/>
          <w:lang w:val="en-GB"/>
        </w:rPr>
        <w:t>The MNE Group Constituent Entity referred to in items 10 and 11 herein</w:t>
      </w:r>
      <w:r w:rsidR="00480C3A" w:rsidRPr="00C61C69">
        <w:rPr>
          <w:rFonts w:ascii="Tahoma" w:hAnsi="Tahoma" w:cs="Tahoma"/>
          <w:b w:val="0"/>
          <w:lang w:val="en-GB"/>
        </w:rPr>
        <w:t xml:space="preserve"> </w:t>
      </w:r>
      <w:r w:rsidR="00114BB4" w:rsidRPr="00C61C69">
        <w:rPr>
          <w:rFonts w:ascii="Tahoma" w:hAnsi="Tahoma" w:cs="Tahoma"/>
          <w:b w:val="0"/>
          <w:lang w:val="en-GB"/>
        </w:rPr>
        <w:t>notify the Tax Authority that the Ultimate Parent Entity has refused to make the necessary information available</w:t>
      </w:r>
      <w:r w:rsidR="00F63966" w:rsidRPr="00C61C69">
        <w:rPr>
          <w:rFonts w:ascii="Tahoma" w:hAnsi="Tahoma" w:cs="Tahoma"/>
          <w:b w:val="0"/>
          <w:lang w:val="en-GB"/>
        </w:rPr>
        <w:t xml:space="preserve">.  </w:t>
      </w:r>
    </w:p>
    <w:p w:rsidR="00C01763" w:rsidRPr="00C61C69" w:rsidRDefault="004813FF" w:rsidP="00B64471">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w:t>
      </w:r>
      <w:r w:rsidR="00CC0D04" w:rsidRPr="00C61C69">
        <w:rPr>
          <w:rFonts w:ascii="Tahoma" w:eastAsia="Times New Roman" w:hAnsi="Tahoma" w:cs="Tahoma"/>
          <w:sz w:val="24"/>
          <w:szCs w:val="24"/>
          <w:lang w:val="en-GB"/>
        </w:rPr>
        <w:tab/>
      </w:r>
      <w:r w:rsidR="00CA5E22" w:rsidRPr="00C61C69">
        <w:rPr>
          <w:rFonts w:ascii="Tahoma" w:eastAsia="Times New Roman" w:hAnsi="Tahoma" w:cs="Tahoma"/>
          <w:sz w:val="24"/>
          <w:szCs w:val="24"/>
          <w:lang w:val="en-GB"/>
        </w:rPr>
        <w:t>15</w:t>
      </w:r>
      <w:r w:rsidR="00C01763" w:rsidRPr="00C61C69">
        <w:rPr>
          <w:rFonts w:ascii="Tahoma" w:eastAsia="Times New Roman" w:hAnsi="Tahoma" w:cs="Tahoma"/>
          <w:sz w:val="24"/>
          <w:szCs w:val="24"/>
          <w:lang w:val="en-GB"/>
        </w:rPr>
        <w:t xml:space="preserve">. </w:t>
      </w:r>
      <w:r w:rsidR="00AC1320" w:rsidRPr="00C61C69">
        <w:rPr>
          <w:rFonts w:ascii="Tahoma" w:hAnsi="Tahoma" w:cs="Tahoma"/>
          <w:sz w:val="24"/>
          <w:szCs w:val="24"/>
          <w:lang w:val="en-GB"/>
        </w:rPr>
        <w:t>The Systemic Failure with respect to the tax jurisdiction means either that the jurisdiction has a Qualifying Competent Authority Agreement in effect with a Member State but has suspended automatic exchange, or that a jurisdiction otherwise is not required to automatically provide to a Member State reports in its possession of MNE Groups that have Constituent Entities in that state</w:t>
      </w:r>
      <w:r w:rsidR="00FE138B" w:rsidRPr="00C61C69">
        <w:rPr>
          <w:rFonts w:ascii="Tahoma" w:eastAsia="Times New Roman" w:hAnsi="Tahoma" w:cs="Tahoma"/>
          <w:sz w:val="24"/>
          <w:szCs w:val="24"/>
          <w:lang w:val="en-GB"/>
        </w:rPr>
        <w:t>.</w:t>
      </w:r>
      <w:r w:rsidR="0043793B" w:rsidRPr="00C61C69">
        <w:rPr>
          <w:rFonts w:ascii="Tahoma" w:eastAsia="Times New Roman" w:hAnsi="Tahoma" w:cs="Tahoma"/>
          <w:sz w:val="24"/>
          <w:szCs w:val="24"/>
          <w:lang w:val="en-GB"/>
        </w:rPr>
        <w:t xml:space="preserve"> </w:t>
      </w:r>
    </w:p>
    <w:p w:rsidR="007325D8" w:rsidRPr="00C61C69" w:rsidRDefault="00DF1648" w:rsidP="00B64471">
      <w:pPr>
        <w:shd w:val="clear" w:color="auto" w:fill="FFFFFF"/>
        <w:spacing w:after="0" w:line="240" w:lineRule="auto"/>
        <w:ind w:firstLine="360"/>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CA5E22" w:rsidRPr="00C61C69">
        <w:rPr>
          <w:rFonts w:ascii="Tahoma" w:eastAsia="Times New Roman" w:hAnsi="Tahoma" w:cs="Tahoma"/>
          <w:sz w:val="24"/>
          <w:szCs w:val="24"/>
          <w:lang w:val="en-GB"/>
        </w:rPr>
        <w:t>16</w:t>
      </w:r>
      <w:r w:rsidR="00143264" w:rsidRPr="00C61C69">
        <w:rPr>
          <w:rFonts w:ascii="Tahoma" w:eastAsia="Times New Roman" w:hAnsi="Tahoma" w:cs="Tahoma"/>
          <w:sz w:val="24"/>
          <w:szCs w:val="24"/>
          <w:lang w:val="en-GB"/>
        </w:rPr>
        <w:t>.</w:t>
      </w:r>
      <w:r w:rsidR="004813FF" w:rsidRPr="00C61C69">
        <w:rPr>
          <w:rFonts w:ascii="Tahoma" w:eastAsia="Times New Roman" w:hAnsi="Tahoma" w:cs="Tahoma"/>
          <w:sz w:val="24"/>
          <w:szCs w:val="24"/>
          <w:lang w:val="en-GB"/>
        </w:rPr>
        <w:t xml:space="preserve"> </w:t>
      </w:r>
      <w:r w:rsidR="00B84BE0" w:rsidRPr="00C61C69">
        <w:rPr>
          <w:rFonts w:ascii="Tahoma" w:hAnsi="Tahoma" w:cs="Tahoma"/>
          <w:sz w:val="24"/>
          <w:szCs w:val="24"/>
          <w:lang w:val="en-GB"/>
        </w:rPr>
        <w:t>The MNE Group Constituent Entity, resident in Montenegro for tax purposes, which is not the MNE Group Ultimate Parent Entity, shall not be required to file the report referred to in item 3 herein if the MNE Group of which it is a Constituent Entity has designated Surrogate Parent Entity that files that report with the Tax Authority and that, in case the Surrogate Parent Entity is tax resident in a jurisdiction outside the European Union, satisfies the following conditions</w:t>
      </w:r>
      <w:r w:rsidR="004813FF" w:rsidRPr="00C61C69">
        <w:rPr>
          <w:rFonts w:ascii="Tahoma" w:eastAsia="Times New Roman" w:hAnsi="Tahoma" w:cs="Tahoma"/>
          <w:sz w:val="24"/>
          <w:szCs w:val="24"/>
          <w:lang w:val="en-GB"/>
        </w:rPr>
        <w:t>:</w:t>
      </w:r>
    </w:p>
    <w:p w:rsidR="00A9205C" w:rsidRPr="00C61C69" w:rsidRDefault="00B64471" w:rsidP="00B64471">
      <w:pPr>
        <w:shd w:val="clear" w:color="auto" w:fill="FFFFFF"/>
        <w:spacing w:after="0" w:line="240" w:lineRule="auto"/>
        <w:ind w:left="360"/>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B84BE0" w:rsidRPr="00C61C69">
        <w:rPr>
          <w:rFonts w:ascii="Tahoma" w:hAnsi="Tahoma" w:cs="Tahoma"/>
          <w:sz w:val="24"/>
          <w:szCs w:val="24"/>
          <w:lang w:val="en-GB"/>
        </w:rPr>
        <w:t>the jurisdiction of tax residence of the Surrogate Parent Entity requires filing of reports referred to in item 3 of these Instructions</w:t>
      </w:r>
      <w:r w:rsidR="00FE138B" w:rsidRPr="00C61C69">
        <w:rPr>
          <w:rFonts w:ascii="Tahoma" w:eastAsia="Times New Roman" w:hAnsi="Tahoma" w:cs="Tahoma"/>
          <w:sz w:val="24"/>
          <w:szCs w:val="24"/>
          <w:lang w:val="en-GB"/>
        </w:rPr>
        <w:t>,</w:t>
      </w:r>
    </w:p>
    <w:p w:rsidR="00A9205C" w:rsidRPr="00C61C69" w:rsidRDefault="00FE138B" w:rsidP="00B64471">
      <w:pPr>
        <w:shd w:val="clear" w:color="auto" w:fill="FFFFFF"/>
        <w:spacing w:after="0" w:line="240" w:lineRule="auto"/>
        <w:ind w:left="360"/>
        <w:jc w:val="both"/>
        <w:rPr>
          <w:rFonts w:ascii="Tahoma" w:eastAsia="Times New Roman" w:hAnsi="Tahoma" w:cs="Tahoma"/>
          <w:sz w:val="24"/>
          <w:szCs w:val="24"/>
          <w:lang w:val="en-GB"/>
        </w:rPr>
      </w:pPr>
      <w:r w:rsidRPr="00C61C69">
        <w:rPr>
          <w:rFonts w:ascii="Tahoma" w:eastAsia="Times New Roman" w:hAnsi="Tahoma" w:cs="Tahoma"/>
          <w:sz w:val="24"/>
          <w:szCs w:val="24"/>
          <w:lang w:val="en-GB"/>
        </w:rPr>
        <w:t>-</w:t>
      </w:r>
      <w:r w:rsidR="00B64471" w:rsidRPr="00C61C69">
        <w:rPr>
          <w:rFonts w:ascii="Tahoma" w:eastAsia="Times New Roman" w:hAnsi="Tahoma" w:cs="Tahoma"/>
          <w:sz w:val="24"/>
          <w:szCs w:val="24"/>
          <w:lang w:val="en-GB"/>
        </w:rPr>
        <w:t xml:space="preserve"> </w:t>
      </w:r>
      <w:r w:rsidR="00B84BE0" w:rsidRPr="00C61C69">
        <w:rPr>
          <w:rFonts w:ascii="Tahoma" w:hAnsi="Tahoma" w:cs="Tahoma"/>
          <w:sz w:val="24"/>
          <w:szCs w:val="24"/>
          <w:lang w:val="en-GB"/>
        </w:rPr>
        <w:t>the jurisdiction of tax residence of the Surrogate Parent Entity has a Qualifying Competent Authority Agreement in effect to which Montenegro is a party within the 12 months from the last day of the Reporting Fiscal Year for which the report referred to in item 3 herein is filed</w:t>
      </w:r>
      <w:r w:rsidRPr="00C61C69">
        <w:rPr>
          <w:rFonts w:ascii="Tahoma" w:eastAsia="Times New Roman" w:hAnsi="Tahoma" w:cs="Tahoma"/>
          <w:sz w:val="24"/>
          <w:szCs w:val="24"/>
          <w:lang w:val="en-GB"/>
        </w:rPr>
        <w:t>,</w:t>
      </w:r>
    </w:p>
    <w:p w:rsidR="00A9205C" w:rsidRPr="00C61C69" w:rsidRDefault="00797C9F" w:rsidP="00B64471">
      <w:pPr>
        <w:shd w:val="clear" w:color="auto" w:fill="FFFFFF"/>
        <w:spacing w:after="0" w:line="240" w:lineRule="auto"/>
        <w:ind w:left="360"/>
        <w:jc w:val="both"/>
        <w:rPr>
          <w:rFonts w:ascii="Tahoma" w:eastAsia="Times New Roman" w:hAnsi="Tahoma" w:cs="Tahoma"/>
          <w:sz w:val="24"/>
          <w:szCs w:val="24"/>
          <w:lang w:val="en-GB"/>
        </w:rPr>
      </w:pPr>
      <w:r w:rsidRPr="00C61C69">
        <w:rPr>
          <w:rFonts w:ascii="Tahoma" w:eastAsia="Times New Roman" w:hAnsi="Tahoma" w:cs="Tahoma"/>
          <w:sz w:val="24"/>
          <w:szCs w:val="24"/>
          <w:lang w:val="en-GB"/>
        </w:rPr>
        <w:t>-</w:t>
      </w:r>
      <w:r w:rsidR="00B64471" w:rsidRPr="00C61C69">
        <w:rPr>
          <w:rFonts w:ascii="Tahoma" w:eastAsia="Times New Roman" w:hAnsi="Tahoma" w:cs="Tahoma"/>
          <w:sz w:val="24"/>
          <w:szCs w:val="24"/>
          <w:lang w:val="en-GB"/>
        </w:rPr>
        <w:t xml:space="preserve"> </w:t>
      </w:r>
      <w:r w:rsidR="00B84BE0" w:rsidRPr="00C61C69">
        <w:rPr>
          <w:rFonts w:ascii="Tahoma" w:hAnsi="Tahoma" w:cs="Tahoma"/>
          <w:sz w:val="24"/>
          <w:szCs w:val="24"/>
          <w:lang w:val="en-GB"/>
        </w:rPr>
        <w:t>the jurisdiction of tax residence of the Surrogate Parent Entity has not notified Montenegro of a Systemic Failure</w:t>
      </w:r>
      <w:r w:rsidR="00FE138B" w:rsidRPr="00C61C69">
        <w:rPr>
          <w:rFonts w:ascii="Tahoma" w:eastAsia="Times New Roman" w:hAnsi="Tahoma" w:cs="Tahoma"/>
          <w:sz w:val="24"/>
          <w:szCs w:val="24"/>
          <w:lang w:val="en-GB"/>
        </w:rPr>
        <w:t>,</w:t>
      </w:r>
    </w:p>
    <w:p w:rsidR="00A9205C" w:rsidRPr="00C61C69" w:rsidRDefault="00FE138B" w:rsidP="00B64471">
      <w:pPr>
        <w:shd w:val="clear" w:color="auto" w:fill="FFFFFF"/>
        <w:spacing w:after="0" w:line="240" w:lineRule="auto"/>
        <w:ind w:left="360"/>
        <w:jc w:val="both"/>
        <w:rPr>
          <w:rFonts w:ascii="Tahoma" w:eastAsia="Times New Roman" w:hAnsi="Tahoma" w:cs="Tahoma"/>
          <w:sz w:val="24"/>
          <w:szCs w:val="24"/>
          <w:lang w:val="en-GB"/>
        </w:rPr>
      </w:pPr>
      <w:r w:rsidRPr="00C61C69">
        <w:rPr>
          <w:rFonts w:ascii="Tahoma" w:eastAsia="Times New Roman" w:hAnsi="Tahoma" w:cs="Tahoma"/>
          <w:sz w:val="24"/>
          <w:szCs w:val="24"/>
          <w:lang w:val="en-GB"/>
        </w:rPr>
        <w:t>-</w:t>
      </w:r>
      <w:r w:rsidR="00B64471" w:rsidRPr="00C61C69">
        <w:rPr>
          <w:rFonts w:ascii="Tahoma" w:eastAsia="Times New Roman" w:hAnsi="Tahoma" w:cs="Tahoma"/>
          <w:sz w:val="24"/>
          <w:szCs w:val="24"/>
          <w:lang w:val="en-GB"/>
        </w:rPr>
        <w:t xml:space="preserve"> </w:t>
      </w:r>
      <w:r w:rsidR="00B84BE0" w:rsidRPr="00C61C69">
        <w:rPr>
          <w:rFonts w:ascii="Tahoma" w:hAnsi="Tahoma" w:cs="Tahoma"/>
          <w:sz w:val="24"/>
          <w:szCs w:val="24"/>
          <w:lang w:val="en-GB"/>
        </w:rPr>
        <w:t>the jurisdiction of tax residence of the Surrogate Parent Entity has been notified no later than the last day of the Reporting Fiscal Year of such MNE Group by the Constituent Entity resident for tax purposes in its jurisdiction that it is the Surrogate Parent Entity</w:t>
      </w:r>
      <w:r w:rsidRPr="00C61C69">
        <w:rPr>
          <w:rFonts w:ascii="Tahoma" w:eastAsia="Times New Roman" w:hAnsi="Tahoma" w:cs="Tahoma"/>
          <w:sz w:val="24"/>
          <w:szCs w:val="24"/>
          <w:lang w:val="en-GB"/>
        </w:rPr>
        <w:t>,</w:t>
      </w:r>
    </w:p>
    <w:p w:rsidR="00CA5E22" w:rsidRPr="00C61C69" w:rsidRDefault="00797C9F" w:rsidP="00B64471">
      <w:pPr>
        <w:shd w:val="clear" w:color="auto" w:fill="FFFFFF"/>
        <w:spacing w:after="0" w:line="240" w:lineRule="auto"/>
        <w:ind w:firstLine="360"/>
        <w:jc w:val="both"/>
        <w:rPr>
          <w:rFonts w:ascii="Tahoma" w:eastAsia="Times New Roman" w:hAnsi="Tahoma" w:cs="Tahoma"/>
          <w:sz w:val="24"/>
          <w:szCs w:val="24"/>
          <w:lang w:val="en-GB"/>
        </w:rPr>
      </w:pPr>
      <w:r w:rsidRPr="00C61C69">
        <w:rPr>
          <w:rFonts w:ascii="Tahoma" w:eastAsia="Times New Roman" w:hAnsi="Tahoma" w:cs="Tahoma"/>
          <w:sz w:val="24"/>
          <w:szCs w:val="24"/>
          <w:lang w:val="en-GB"/>
        </w:rPr>
        <w:t>-</w:t>
      </w:r>
      <w:r w:rsidR="00B64471" w:rsidRPr="00C61C69">
        <w:rPr>
          <w:rFonts w:ascii="Tahoma" w:eastAsia="Times New Roman" w:hAnsi="Tahoma" w:cs="Tahoma"/>
          <w:sz w:val="24"/>
          <w:szCs w:val="24"/>
          <w:lang w:val="en-GB"/>
        </w:rPr>
        <w:t xml:space="preserve"> </w:t>
      </w:r>
      <w:r w:rsidR="00B84BE0" w:rsidRPr="00C61C69">
        <w:rPr>
          <w:rFonts w:ascii="Tahoma" w:hAnsi="Tahoma" w:cs="Tahoma"/>
          <w:sz w:val="24"/>
          <w:szCs w:val="24"/>
          <w:lang w:val="en-GB"/>
        </w:rPr>
        <w:t>a notification has been provided to the Tax Authority in accordance with point 19 herein</w:t>
      </w:r>
      <w:r w:rsidR="00A9205C" w:rsidRPr="00C61C69">
        <w:rPr>
          <w:rFonts w:ascii="Tahoma" w:eastAsia="Times New Roman" w:hAnsi="Tahoma" w:cs="Tahoma"/>
          <w:sz w:val="24"/>
          <w:szCs w:val="24"/>
          <w:lang w:val="en-GB"/>
        </w:rPr>
        <w:t>.</w:t>
      </w:r>
    </w:p>
    <w:p w:rsidR="00CA5E22" w:rsidRPr="00C61C69" w:rsidRDefault="00B64471" w:rsidP="00B64471">
      <w:pPr>
        <w:shd w:val="clear" w:color="auto" w:fill="FFFFFF"/>
        <w:spacing w:after="0" w:line="240" w:lineRule="auto"/>
        <w:jc w:val="both"/>
        <w:rPr>
          <w:rFonts w:ascii="Tahoma" w:eastAsia="Times New Roman" w:hAnsi="Tahoma" w:cs="Tahoma"/>
          <w:sz w:val="24"/>
          <w:szCs w:val="24"/>
          <w:lang w:val="en-GB"/>
        </w:rPr>
      </w:pPr>
      <w:r w:rsidRPr="00C61C69">
        <w:rPr>
          <w:rFonts w:ascii="Tahoma" w:hAnsi="Tahoma" w:cs="Tahoma"/>
          <w:sz w:val="24"/>
          <w:szCs w:val="24"/>
          <w:lang w:val="en-GB"/>
        </w:rPr>
        <w:t xml:space="preserve">     </w:t>
      </w:r>
      <w:r w:rsidR="00DF1648" w:rsidRPr="00C61C69">
        <w:rPr>
          <w:rFonts w:ascii="Tahoma" w:hAnsi="Tahoma" w:cs="Tahoma"/>
          <w:sz w:val="24"/>
          <w:szCs w:val="24"/>
          <w:lang w:val="en-GB"/>
        </w:rPr>
        <w:t xml:space="preserve">     </w:t>
      </w:r>
      <w:r w:rsidRPr="00C61C69">
        <w:rPr>
          <w:rFonts w:ascii="Tahoma" w:hAnsi="Tahoma" w:cs="Tahoma"/>
          <w:sz w:val="24"/>
          <w:szCs w:val="24"/>
          <w:lang w:val="en-GB"/>
        </w:rPr>
        <w:t xml:space="preserve"> 17</w:t>
      </w:r>
      <w:r w:rsidR="00CA5E22" w:rsidRPr="00C61C69">
        <w:rPr>
          <w:rFonts w:ascii="Tahoma" w:hAnsi="Tahoma" w:cs="Tahoma"/>
          <w:sz w:val="24"/>
          <w:szCs w:val="24"/>
          <w:lang w:val="en-GB"/>
        </w:rPr>
        <w:t xml:space="preserve">. </w:t>
      </w:r>
      <w:r w:rsidR="00F35CE7" w:rsidRPr="00C61C69">
        <w:rPr>
          <w:rFonts w:ascii="Tahoma" w:hAnsi="Tahoma" w:cs="Tahoma"/>
          <w:sz w:val="24"/>
          <w:szCs w:val="24"/>
          <w:lang w:val="en-GB"/>
        </w:rPr>
        <w:t xml:space="preserve">A Surrogate Parent Entity is a MNE Group Constituent Entity designated as the only surrogate for the Ultimate Parent Entity to file reports referred to in item 3 herein, in the jurisdiction of its tax residence on behalf of that MNE Group, if the condition that the Ultimate Parent Entity is not required to file that report in the jurisdiction of its tax residence and the condition that the jurisdiction in which the Ultimate Parent Entity is resident has a current International Agreement to which Montenegro is a party, but provided that it does not have in effect a Qualifying </w:t>
      </w:r>
      <w:r w:rsidR="00F35CE7" w:rsidRPr="00C61C69">
        <w:rPr>
          <w:rFonts w:ascii="Tahoma" w:hAnsi="Tahoma" w:cs="Tahoma"/>
          <w:sz w:val="24"/>
          <w:szCs w:val="24"/>
          <w:lang w:val="en-GB"/>
        </w:rPr>
        <w:lastRenderedPageBreak/>
        <w:t>Competent Authority Agreement to which Montenegro is a party by the expiration of the 12 months since the last day of the Reporting Fiscal Year for which such report is being filed or there has been a Systemic Failure of the jurisdiction of tax residence of the Ultimate Parent Entity that has been notified by the Tax Authority to the MNE Group Constituent Entity resident for tax purposes in Montenegro</w:t>
      </w:r>
      <w:r w:rsidR="00A02179" w:rsidRPr="00C61C69">
        <w:rPr>
          <w:rFonts w:ascii="Tahoma" w:hAnsi="Tahoma" w:cs="Tahoma"/>
          <w:sz w:val="24"/>
          <w:szCs w:val="24"/>
          <w:lang w:val="en-GB"/>
        </w:rPr>
        <w:t>.</w:t>
      </w:r>
    </w:p>
    <w:p w:rsidR="004813FF" w:rsidRPr="00C61C69" w:rsidRDefault="00DF1648" w:rsidP="00B64471">
      <w:pPr>
        <w:shd w:val="clear" w:color="auto" w:fill="FFFFFF"/>
        <w:spacing w:after="0" w:line="240" w:lineRule="auto"/>
        <w:ind w:firstLine="708"/>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B64471" w:rsidRPr="00C61C69">
        <w:rPr>
          <w:rFonts w:ascii="Tahoma" w:eastAsia="Times New Roman" w:hAnsi="Tahoma" w:cs="Tahoma"/>
          <w:sz w:val="24"/>
          <w:szCs w:val="24"/>
          <w:lang w:val="en-GB"/>
        </w:rPr>
        <w:t>18</w:t>
      </w:r>
      <w:r w:rsidR="00143264" w:rsidRPr="00C61C69">
        <w:rPr>
          <w:rFonts w:ascii="Tahoma" w:eastAsia="Times New Roman" w:hAnsi="Tahoma" w:cs="Tahoma"/>
          <w:sz w:val="24"/>
          <w:szCs w:val="24"/>
          <w:lang w:val="en-GB"/>
        </w:rPr>
        <w:t>.</w:t>
      </w:r>
      <w:r w:rsidR="00664B09" w:rsidRPr="00C61C69">
        <w:rPr>
          <w:rFonts w:ascii="Tahoma" w:eastAsia="Times New Roman" w:hAnsi="Tahoma" w:cs="Tahoma"/>
          <w:sz w:val="24"/>
          <w:szCs w:val="24"/>
          <w:lang w:val="en-GB"/>
        </w:rPr>
        <w:t xml:space="preserve"> </w:t>
      </w:r>
      <w:r w:rsidR="00F35CE7" w:rsidRPr="00C61C69">
        <w:rPr>
          <w:rFonts w:ascii="Tahoma" w:eastAsia="Times New Roman" w:hAnsi="Tahoma" w:cs="Tahoma"/>
          <w:sz w:val="24"/>
          <w:szCs w:val="24"/>
          <w:lang w:val="en-GB"/>
        </w:rPr>
        <w:t>A Surrogate Parent Entity</w:t>
      </w:r>
      <w:r w:rsidR="00C4143A" w:rsidRPr="00C61C69">
        <w:rPr>
          <w:rFonts w:ascii="Tahoma" w:eastAsia="Times New Roman" w:hAnsi="Tahoma" w:cs="Tahoma"/>
          <w:sz w:val="24"/>
          <w:szCs w:val="24"/>
          <w:lang w:val="en-GB"/>
        </w:rPr>
        <w:t xml:space="preserve">, </w:t>
      </w:r>
      <w:r w:rsidR="001B25F5" w:rsidRPr="00C61C69">
        <w:rPr>
          <w:rFonts w:ascii="Tahoma" w:eastAsia="Times New Roman" w:hAnsi="Tahoma" w:cs="Tahoma"/>
          <w:sz w:val="24"/>
          <w:szCs w:val="24"/>
          <w:lang w:val="en-GB"/>
        </w:rPr>
        <w:t>re</w:t>
      </w:r>
      <w:r w:rsidR="00F35CE7" w:rsidRPr="00C61C69">
        <w:rPr>
          <w:rFonts w:ascii="Tahoma" w:eastAsia="Times New Roman" w:hAnsi="Tahoma" w:cs="Tahoma"/>
          <w:sz w:val="24"/>
          <w:szCs w:val="24"/>
          <w:lang w:val="en-GB"/>
        </w:rPr>
        <w:t>sident in Montenegro for tax purposes</w:t>
      </w:r>
      <w:r w:rsidR="00A02179" w:rsidRPr="00C61C69">
        <w:rPr>
          <w:rFonts w:ascii="Tahoma" w:eastAsia="Times New Roman" w:hAnsi="Tahoma" w:cs="Tahoma"/>
          <w:sz w:val="24"/>
          <w:szCs w:val="24"/>
          <w:lang w:val="en-GB"/>
        </w:rPr>
        <w:t xml:space="preserve"> </w:t>
      </w:r>
      <w:r w:rsidR="00F35CE7" w:rsidRPr="00C61C69">
        <w:rPr>
          <w:rFonts w:ascii="Tahoma" w:eastAsia="Times New Roman" w:hAnsi="Tahoma" w:cs="Tahoma"/>
          <w:sz w:val="24"/>
          <w:szCs w:val="24"/>
          <w:lang w:val="en-GB"/>
        </w:rPr>
        <w:t xml:space="preserve">shall file the report </w:t>
      </w:r>
      <w:r w:rsidR="00C06B04" w:rsidRPr="00C61C69">
        <w:rPr>
          <w:rFonts w:ascii="Tahoma" w:eastAsia="Times New Roman" w:hAnsi="Tahoma" w:cs="Tahoma"/>
          <w:sz w:val="24"/>
          <w:szCs w:val="24"/>
          <w:lang w:val="en-GB"/>
        </w:rPr>
        <w:t xml:space="preserve">referred to in item </w:t>
      </w:r>
      <w:r w:rsidRPr="00C61C69">
        <w:rPr>
          <w:rFonts w:ascii="Tahoma" w:eastAsia="Times New Roman" w:hAnsi="Tahoma" w:cs="Tahoma"/>
          <w:sz w:val="24"/>
          <w:szCs w:val="24"/>
          <w:lang w:val="en-GB"/>
        </w:rPr>
        <w:t>3</w:t>
      </w:r>
      <w:r w:rsidR="00052AB1" w:rsidRPr="00C61C69">
        <w:rPr>
          <w:rFonts w:ascii="Tahoma" w:eastAsia="Times New Roman" w:hAnsi="Tahoma" w:cs="Tahoma"/>
          <w:sz w:val="24"/>
          <w:szCs w:val="24"/>
          <w:lang w:val="en-GB"/>
        </w:rPr>
        <w:t xml:space="preserve"> </w:t>
      </w:r>
      <w:r w:rsidR="00C06B04" w:rsidRPr="00C61C69">
        <w:rPr>
          <w:rFonts w:ascii="Tahoma" w:eastAsia="Times New Roman" w:hAnsi="Tahoma" w:cs="Tahoma"/>
          <w:sz w:val="24"/>
          <w:szCs w:val="24"/>
          <w:lang w:val="en-GB"/>
        </w:rPr>
        <w:t>herein</w:t>
      </w:r>
      <w:r w:rsidR="00FE138B" w:rsidRPr="00C61C69">
        <w:rPr>
          <w:rFonts w:ascii="Tahoma" w:eastAsia="Times New Roman" w:hAnsi="Tahoma" w:cs="Tahoma"/>
          <w:sz w:val="24"/>
          <w:szCs w:val="24"/>
          <w:lang w:val="en-GB"/>
        </w:rPr>
        <w:t>.</w:t>
      </w:r>
    </w:p>
    <w:p w:rsidR="00683DF1" w:rsidRPr="00C61C69" w:rsidRDefault="00B64471" w:rsidP="00B64471">
      <w:pPr>
        <w:shd w:val="clear" w:color="auto" w:fill="FFFFFF"/>
        <w:spacing w:after="0" w:line="240" w:lineRule="auto"/>
        <w:ind w:firstLine="709"/>
        <w:jc w:val="both"/>
        <w:rPr>
          <w:rFonts w:ascii="Tahoma" w:eastAsia="Times New Roman" w:hAnsi="Tahoma" w:cs="Tahoma"/>
          <w:sz w:val="24"/>
          <w:szCs w:val="24"/>
          <w:lang w:val="en-GB"/>
        </w:rPr>
      </w:pPr>
      <w:r w:rsidRPr="00C61C69">
        <w:rPr>
          <w:rFonts w:ascii="Tahoma" w:eastAsia="Times New Roman" w:hAnsi="Tahoma" w:cs="Tahoma"/>
          <w:sz w:val="24"/>
          <w:szCs w:val="24"/>
          <w:lang w:val="en-GB"/>
        </w:rPr>
        <w:t>19</w:t>
      </w:r>
      <w:r w:rsidR="00143264" w:rsidRPr="00C61C69">
        <w:rPr>
          <w:rFonts w:ascii="Tahoma" w:eastAsia="Times New Roman" w:hAnsi="Tahoma" w:cs="Tahoma"/>
          <w:sz w:val="24"/>
          <w:szCs w:val="24"/>
          <w:lang w:val="en-GB"/>
        </w:rPr>
        <w:t>.</w:t>
      </w:r>
      <w:r w:rsidR="00683DF1" w:rsidRPr="00C61C69">
        <w:rPr>
          <w:rFonts w:ascii="Tahoma" w:eastAsia="Times New Roman" w:hAnsi="Tahoma" w:cs="Tahoma"/>
          <w:sz w:val="24"/>
          <w:szCs w:val="24"/>
          <w:lang w:val="en-GB"/>
        </w:rPr>
        <w:t xml:space="preserve"> </w:t>
      </w:r>
      <w:r w:rsidR="00C06B04" w:rsidRPr="00C61C69">
        <w:rPr>
          <w:rFonts w:ascii="Tahoma" w:hAnsi="Tahoma" w:cs="Tahoma"/>
          <w:sz w:val="24"/>
          <w:szCs w:val="24"/>
          <w:lang w:val="en-GB"/>
        </w:rPr>
        <w:t xml:space="preserve">The Constituent Entity of an MNE Group that is resident for tax purposes in Montenegro shall notify the Tax Authority whether it is the Ultimate Parent </w:t>
      </w:r>
      <w:r w:rsidR="00C61C69" w:rsidRPr="00C61C69">
        <w:rPr>
          <w:rFonts w:ascii="Tahoma" w:hAnsi="Tahoma" w:cs="Tahoma"/>
          <w:sz w:val="24"/>
          <w:szCs w:val="24"/>
          <w:lang w:val="en-GB"/>
        </w:rPr>
        <w:t>Entity, the Surrogate Parent Entity,</w:t>
      </w:r>
      <w:r w:rsidR="00C06B04" w:rsidRPr="00C61C69">
        <w:rPr>
          <w:rFonts w:ascii="Tahoma" w:hAnsi="Tahoma" w:cs="Tahoma"/>
          <w:sz w:val="24"/>
          <w:szCs w:val="24"/>
          <w:lang w:val="en-GB"/>
        </w:rPr>
        <w:t xml:space="preserve"> or the Constituent Entity of the MNE Group no later than on the day of filing of the income tax return for the preceding fiscal year</w:t>
      </w:r>
      <w:r w:rsidR="00EE5360" w:rsidRPr="00C61C69">
        <w:rPr>
          <w:rFonts w:ascii="Tahoma" w:eastAsia="Times New Roman" w:hAnsi="Tahoma" w:cs="Tahoma"/>
          <w:sz w:val="24"/>
          <w:szCs w:val="24"/>
          <w:lang w:val="en-GB"/>
        </w:rPr>
        <w:t>.</w:t>
      </w:r>
    </w:p>
    <w:p w:rsidR="00EE5360" w:rsidRPr="00C61C69" w:rsidRDefault="00B64471" w:rsidP="00B64471">
      <w:pPr>
        <w:shd w:val="clear" w:color="auto" w:fill="FFFFFF"/>
        <w:spacing w:after="0" w:line="240" w:lineRule="auto"/>
        <w:ind w:firstLine="709"/>
        <w:jc w:val="both"/>
        <w:rPr>
          <w:rFonts w:ascii="Tahoma" w:eastAsia="Times New Roman" w:hAnsi="Tahoma" w:cs="Tahoma"/>
          <w:sz w:val="24"/>
          <w:szCs w:val="24"/>
          <w:highlight w:val="yellow"/>
          <w:lang w:val="en-GB"/>
        </w:rPr>
      </w:pPr>
      <w:r w:rsidRPr="00C61C69">
        <w:rPr>
          <w:rFonts w:ascii="Tahoma" w:eastAsia="Times New Roman" w:hAnsi="Tahoma" w:cs="Tahoma"/>
          <w:sz w:val="24"/>
          <w:szCs w:val="24"/>
          <w:lang w:val="en-GB"/>
        </w:rPr>
        <w:t>20</w:t>
      </w:r>
      <w:r w:rsidR="00143264" w:rsidRPr="00C61C69">
        <w:rPr>
          <w:rFonts w:ascii="Tahoma" w:eastAsia="Times New Roman" w:hAnsi="Tahoma" w:cs="Tahoma"/>
          <w:sz w:val="24"/>
          <w:szCs w:val="24"/>
          <w:lang w:val="en-GB"/>
        </w:rPr>
        <w:t>.</w:t>
      </w:r>
      <w:r w:rsidR="00ED6F01" w:rsidRPr="00C61C69">
        <w:rPr>
          <w:rFonts w:ascii="Tahoma" w:eastAsia="Times New Roman" w:hAnsi="Tahoma" w:cs="Tahoma"/>
          <w:sz w:val="24"/>
          <w:szCs w:val="24"/>
          <w:lang w:val="en-GB"/>
        </w:rPr>
        <w:t xml:space="preserve"> </w:t>
      </w:r>
      <w:r w:rsidR="00C06B04" w:rsidRPr="00C61C69">
        <w:rPr>
          <w:rFonts w:ascii="Tahoma" w:hAnsi="Tahoma" w:cs="Tahoma"/>
          <w:sz w:val="24"/>
          <w:szCs w:val="24"/>
          <w:lang w:val="en-GB"/>
        </w:rPr>
        <w:t>The Constituent Entity of an MNE Group that is resident for tax purposes in Montenegro which is not the Ultimate Parent Entity nor the Surrogate Parent Entity nor the Constituent Entity shall notify the Tax Authority of the identity and tax residence of the entity filing the report referred to in item 3, no later than on the day of filing of the income tax return for the preceding fiscal year</w:t>
      </w:r>
      <w:r w:rsidR="00EE5360" w:rsidRPr="00C61C69">
        <w:rPr>
          <w:rFonts w:ascii="Tahoma" w:eastAsia="Times New Roman" w:hAnsi="Tahoma" w:cs="Tahoma"/>
          <w:sz w:val="24"/>
          <w:szCs w:val="24"/>
          <w:lang w:val="en-GB"/>
        </w:rPr>
        <w:t>.</w:t>
      </w:r>
      <w:r w:rsidR="00EE5360" w:rsidRPr="00C61C69">
        <w:rPr>
          <w:rFonts w:ascii="Tahoma" w:eastAsia="Times New Roman" w:hAnsi="Tahoma" w:cs="Tahoma"/>
          <w:sz w:val="24"/>
          <w:szCs w:val="24"/>
          <w:highlight w:val="yellow"/>
          <w:lang w:val="en-GB"/>
        </w:rPr>
        <w:t xml:space="preserve"> </w:t>
      </w:r>
    </w:p>
    <w:p w:rsidR="00685247" w:rsidRPr="00C61C69" w:rsidRDefault="00B64471" w:rsidP="004F4AD4">
      <w:pPr>
        <w:shd w:val="clear" w:color="auto" w:fill="FFFFFF"/>
        <w:spacing w:after="0" w:line="240" w:lineRule="auto"/>
        <w:ind w:firstLine="709"/>
        <w:jc w:val="both"/>
        <w:rPr>
          <w:rFonts w:ascii="Tahoma" w:eastAsia="Times New Roman" w:hAnsi="Tahoma" w:cs="Tahoma"/>
          <w:sz w:val="24"/>
          <w:szCs w:val="24"/>
          <w:lang w:val="en-GB"/>
        </w:rPr>
      </w:pPr>
      <w:r w:rsidRPr="00C61C69">
        <w:rPr>
          <w:rFonts w:ascii="Tahoma" w:eastAsia="Times New Roman" w:hAnsi="Tahoma" w:cs="Tahoma"/>
          <w:sz w:val="24"/>
          <w:szCs w:val="24"/>
          <w:lang w:val="en-GB"/>
        </w:rPr>
        <w:t>21</w:t>
      </w:r>
      <w:r w:rsidR="00E91F61" w:rsidRPr="00C61C69">
        <w:rPr>
          <w:rFonts w:ascii="Tahoma" w:eastAsia="Times New Roman" w:hAnsi="Tahoma" w:cs="Tahoma"/>
          <w:sz w:val="24"/>
          <w:szCs w:val="24"/>
          <w:lang w:val="en-GB"/>
        </w:rPr>
        <w:t>.</w:t>
      </w:r>
      <w:r w:rsidR="004813FF" w:rsidRPr="00C61C69">
        <w:rPr>
          <w:rFonts w:ascii="Tahoma" w:eastAsia="Times New Roman" w:hAnsi="Tahoma" w:cs="Tahoma"/>
          <w:sz w:val="24"/>
          <w:szCs w:val="24"/>
          <w:lang w:val="en-GB"/>
        </w:rPr>
        <w:t xml:space="preserve"> </w:t>
      </w:r>
      <w:r w:rsidR="00C06B04" w:rsidRPr="00C61C69">
        <w:rPr>
          <w:rFonts w:ascii="Tahoma" w:hAnsi="Tahoma" w:cs="Tahoma"/>
          <w:sz w:val="24"/>
          <w:szCs w:val="24"/>
          <w:lang w:val="en-GB"/>
        </w:rPr>
        <w:t>The Constituent Entity of an MNE Group</w:t>
      </w:r>
      <w:r w:rsidR="008D3492" w:rsidRPr="00C61C69">
        <w:rPr>
          <w:rFonts w:ascii="Tahoma" w:eastAsia="Times New Roman" w:hAnsi="Tahoma" w:cs="Tahoma"/>
          <w:sz w:val="24"/>
          <w:szCs w:val="24"/>
          <w:lang w:val="en-GB"/>
        </w:rPr>
        <w:t xml:space="preserve">, </w:t>
      </w:r>
      <w:r w:rsidR="00C06B04" w:rsidRPr="00C61C69">
        <w:rPr>
          <w:rFonts w:ascii="Tahoma" w:eastAsia="Times New Roman" w:hAnsi="Tahoma" w:cs="Tahoma"/>
          <w:sz w:val="24"/>
          <w:szCs w:val="24"/>
          <w:lang w:val="en-GB"/>
        </w:rPr>
        <w:t xml:space="preserve">that provided notification in accordance with items </w:t>
      </w:r>
      <w:r w:rsidR="00224929" w:rsidRPr="00C61C69">
        <w:rPr>
          <w:rFonts w:ascii="Tahoma" w:eastAsia="Times New Roman" w:hAnsi="Tahoma" w:cs="Tahoma"/>
          <w:sz w:val="24"/>
          <w:szCs w:val="24"/>
          <w:lang w:val="en-GB"/>
        </w:rPr>
        <w:t xml:space="preserve">19 </w:t>
      </w:r>
      <w:r w:rsidR="00C06B04" w:rsidRPr="00C61C69">
        <w:rPr>
          <w:rFonts w:ascii="Tahoma" w:eastAsia="Times New Roman" w:hAnsi="Tahoma" w:cs="Tahoma"/>
          <w:sz w:val="24"/>
          <w:szCs w:val="24"/>
          <w:lang w:val="en-GB"/>
        </w:rPr>
        <w:t>and</w:t>
      </w:r>
      <w:r w:rsidR="00224929" w:rsidRPr="00C61C69">
        <w:rPr>
          <w:rFonts w:ascii="Tahoma" w:eastAsia="Times New Roman" w:hAnsi="Tahoma" w:cs="Tahoma"/>
          <w:sz w:val="24"/>
          <w:szCs w:val="24"/>
          <w:lang w:val="en-GB"/>
        </w:rPr>
        <w:t xml:space="preserve"> 20 </w:t>
      </w:r>
      <w:r w:rsidR="00C06B04" w:rsidRPr="00C61C69">
        <w:rPr>
          <w:rFonts w:ascii="Tahoma" w:eastAsia="Times New Roman" w:hAnsi="Tahoma" w:cs="Tahoma"/>
          <w:sz w:val="24"/>
          <w:szCs w:val="24"/>
          <w:lang w:val="en-GB"/>
        </w:rPr>
        <w:t>herein</w:t>
      </w:r>
      <w:r w:rsidR="00A02179" w:rsidRPr="00C61C69">
        <w:rPr>
          <w:rFonts w:ascii="Tahoma" w:eastAsia="Times New Roman" w:hAnsi="Tahoma" w:cs="Tahoma"/>
          <w:sz w:val="24"/>
          <w:szCs w:val="24"/>
          <w:lang w:val="en-GB"/>
        </w:rPr>
        <w:t xml:space="preserve"> </w:t>
      </w:r>
      <w:r w:rsidR="00C06B04" w:rsidRPr="00C61C69">
        <w:rPr>
          <w:rFonts w:ascii="Tahoma" w:eastAsia="Times New Roman" w:hAnsi="Tahoma" w:cs="Tahoma"/>
          <w:sz w:val="24"/>
          <w:szCs w:val="24"/>
          <w:lang w:val="en-GB"/>
        </w:rPr>
        <w:t xml:space="preserve">shall not provide the new notification as long as there is no change of </w:t>
      </w:r>
      <w:r w:rsidR="00C06B04" w:rsidRPr="00C61C69">
        <w:rPr>
          <w:rFonts w:ascii="Tahoma" w:hAnsi="Tahoma" w:cs="Tahoma"/>
          <w:sz w:val="24"/>
          <w:szCs w:val="24"/>
          <w:lang w:val="en-GB"/>
        </w:rPr>
        <w:t xml:space="preserve">the identity and tax residence of the entity filing the report referred to in item 3 </w:t>
      </w:r>
      <w:r w:rsidR="00333FEC" w:rsidRPr="00C61C69">
        <w:rPr>
          <w:rFonts w:ascii="Tahoma" w:hAnsi="Tahoma" w:cs="Tahoma"/>
          <w:sz w:val="24"/>
          <w:szCs w:val="24"/>
          <w:lang w:val="en-GB"/>
        </w:rPr>
        <w:t xml:space="preserve">herein, </w:t>
      </w:r>
      <w:r w:rsidR="00C06B04" w:rsidRPr="00C61C69">
        <w:rPr>
          <w:rFonts w:ascii="Tahoma" w:hAnsi="Tahoma" w:cs="Tahoma"/>
          <w:sz w:val="24"/>
          <w:szCs w:val="24"/>
          <w:lang w:val="en-GB"/>
        </w:rPr>
        <w:t>on behalf of the MNE Group</w:t>
      </w:r>
      <w:r w:rsidR="00B541E9" w:rsidRPr="00C61C69">
        <w:rPr>
          <w:rFonts w:ascii="Tahoma" w:eastAsia="Times New Roman" w:hAnsi="Tahoma" w:cs="Tahoma"/>
          <w:sz w:val="24"/>
          <w:szCs w:val="24"/>
          <w:lang w:val="en-GB"/>
        </w:rPr>
        <w:t>.</w:t>
      </w:r>
    </w:p>
    <w:p w:rsidR="00685247" w:rsidRPr="00C61C69" w:rsidRDefault="002C7070" w:rsidP="004F4AD4">
      <w:pPr>
        <w:shd w:val="clear" w:color="auto" w:fill="FFFFFF"/>
        <w:spacing w:after="0" w:line="240" w:lineRule="auto"/>
        <w:ind w:firstLine="708"/>
        <w:jc w:val="both"/>
        <w:rPr>
          <w:rFonts w:ascii="Tahoma" w:eastAsia="Times New Roman" w:hAnsi="Tahoma" w:cs="Tahoma"/>
          <w:sz w:val="24"/>
          <w:szCs w:val="24"/>
          <w:lang w:val="en-GB"/>
        </w:rPr>
      </w:pPr>
      <w:r w:rsidRPr="00C61C69">
        <w:rPr>
          <w:rFonts w:ascii="Tahoma" w:eastAsia="Times New Roman" w:hAnsi="Tahoma" w:cs="Tahoma"/>
          <w:sz w:val="24"/>
          <w:szCs w:val="24"/>
          <w:lang w:val="en-GB"/>
        </w:rPr>
        <w:t>22</w:t>
      </w:r>
      <w:r w:rsidR="00E91F61" w:rsidRPr="00C61C69">
        <w:rPr>
          <w:rFonts w:ascii="Tahoma" w:eastAsia="Times New Roman" w:hAnsi="Tahoma" w:cs="Tahoma"/>
          <w:sz w:val="24"/>
          <w:szCs w:val="24"/>
          <w:lang w:val="en-GB"/>
        </w:rPr>
        <w:t>.</w:t>
      </w:r>
      <w:r w:rsidR="00685247" w:rsidRPr="00C61C69">
        <w:rPr>
          <w:rFonts w:ascii="Tahoma" w:eastAsia="Times New Roman" w:hAnsi="Tahoma" w:cs="Tahoma"/>
          <w:sz w:val="24"/>
          <w:szCs w:val="24"/>
          <w:lang w:val="en-GB"/>
        </w:rPr>
        <w:t xml:space="preserve"> </w:t>
      </w:r>
      <w:r w:rsidR="00C06B04" w:rsidRPr="00C61C69">
        <w:rPr>
          <w:rFonts w:ascii="Tahoma" w:hAnsi="Tahoma" w:cs="Tahoma"/>
          <w:sz w:val="24"/>
          <w:szCs w:val="24"/>
          <w:lang w:val="en-GB"/>
        </w:rPr>
        <w:t>The Constituent Entity of an MNE Group</w:t>
      </w:r>
      <w:r w:rsidR="00C06B04" w:rsidRPr="00C61C69">
        <w:rPr>
          <w:rFonts w:ascii="Tahoma" w:eastAsia="Times New Roman" w:hAnsi="Tahoma" w:cs="Tahoma"/>
          <w:sz w:val="24"/>
          <w:szCs w:val="24"/>
          <w:lang w:val="en-GB"/>
        </w:rPr>
        <w:t xml:space="preserve"> filing the report </w:t>
      </w:r>
      <w:r w:rsidR="00333FEC" w:rsidRPr="00C61C69">
        <w:rPr>
          <w:rFonts w:ascii="Tahoma" w:hAnsi="Tahoma" w:cs="Tahoma"/>
          <w:sz w:val="24"/>
          <w:szCs w:val="24"/>
          <w:lang w:val="en-GB"/>
        </w:rPr>
        <w:t>referred to in item 3 herein</w:t>
      </w:r>
      <w:r w:rsidR="00685247" w:rsidRPr="00C61C69">
        <w:rPr>
          <w:rFonts w:ascii="Tahoma" w:eastAsia="Times New Roman" w:hAnsi="Tahoma" w:cs="Tahoma"/>
          <w:sz w:val="24"/>
          <w:szCs w:val="24"/>
          <w:lang w:val="en-GB"/>
        </w:rPr>
        <w:t xml:space="preserve">, </w:t>
      </w:r>
      <w:r w:rsidR="00333FEC" w:rsidRPr="00C61C69">
        <w:rPr>
          <w:rFonts w:ascii="Tahoma" w:eastAsia="Times New Roman" w:hAnsi="Tahoma" w:cs="Tahoma"/>
          <w:sz w:val="24"/>
          <w:szCs w:val="24"/>
          <w:lang w:val="en-GB"/>
        </w:rPr>
        <w:t xml:space="preserve">shall specify the tax jurisdictions where the </w:t>
      </w:r>
      <w:r w:rsidR="00333FEC" w:rsidRPr="00C61C69">
        <w:rPr>
          <w:rFonts w:ascii="Tahoma" w:hAnsi="Tahoma" w:cs="Tahoma"/>
          <w:sz w:val="24"/>
          <w:szCs w:val="24"/>
          <w:lang w:val="en-GB"/>
        </w:rPr>
        <w:t>MNE Group</w:t>
      </w:r>
      <w:r w:rsidR="00333FEC" w:rsidRPr="00C61C69">
        <w:rPr>
          <w:rFonts w:ascii="Tahoma" w:eastAsia="Times New Roman" w:hAnsi="Tahoma" w:cs="Tahoma"/>
          <w:sz w:val="24"/>
          <w:szCs w:val="24"/>
          <w:lang w:val="en-GB"/>
        </w:rPr>
        <w:t xml:space="preserve"> </w:t>
      </w:r>
      <w:r w:rsidR="00333FEC" w:rsidRPr="00C61C69">
        <w:rPr>
          <w:rFonts w:ascii="Tahoma" w:hAnsi="Tahoma" w:cs="Tahoma"/>
          <w:sz w:val="24"/>
          <w:szCs w:val="24"/>
          <w:lang w:val="en-GB"/>
        </w:rPr>
        <w:t>Constituent Entities</w:t>
      </w:r>
      <w:r w:rsidR="00333FEC" w:rsidRPr="00C61C69">
        <w:rPr>
          <w:rFonts w:ascii="Tahoma" w:eastAsia="Times New Roman" w:hAnsi="Tahoma" w:cs="Tahoma"/>
          <w:sz w:val="24"/>
          <w:szCs w:val="24"/>
          <w:lang w:val="en-GB"/>
        </w:rPr>
        <w:t xml:space="preserve"> are residents for tax purposes</w:t>
      </w:r>
      <w:r w:rsidR="00685247" w:rsidRPr="00C61C69">
        <w:rPr>
          <w:rFonts w:ascii="Tahoma" w:eastAsia="Times New Roman" w:hAnsi="Tahoma" w:cs="Tahoma"/>
          <w:sz w:val="24"/>
          <w:szCs w:val="24"/>
          <w:lang w:val="en-GB"/>
        </w:rPr>
        <w:t>.</w:t>
      </w:r>
    </w:p>
    <w:p w:rsidR="00477E0F" w:rsidRPr="00C61C69" w:rsidRDefault="00DF1648" w:rsidP="004F4AD4">
      <w:pPr>
        <w:shd w:val="clear" w:color="auto" w:fill="FFFFFF"/>
        <w:spacing w:after="0" w:line="240" w:lineRule="auto"/>
        <w:ind w:firstLine="708"/>
        <w:jc w:val="both"/>
        <w:rPr>
          <w:rFonts w:ascii="Tahoma" w:eastAsia="Times New Roman" w:hAnsi="Tahoma" w:cs="Tahoma"/>
          <w:sz w:val="24"/>
          <w:szCs w:val="24"/>
          <w:lang w:val="en-GB"/>
        </w:rPr>
      </w:pPr>
      <w:r w:rsidRPr="00C61C69">
        <w:rPr>
          <w:rFonts w:ascii="Tahoma" w:eastAsia="Times New Roman" w:hAnsi="Tahoma" w:cs="Tahoma"/>
          <w:sz w:val="24"/>
          <w:szCs w:val="24"/>
          <w:lang w:val="en-GB"/>
        </w:rPr>
        <w:t>23</w:t>
      </w:r>
      <w:r w:rsidR="00E91F61" w:rsidRPr="00C61C69">
        <w:rPr>
          <w:rFonts w:ascii="Tahoma" w:eastAsia="Times New Roman" w:hAnsi="Tahoma" w:cs="Tahoma"/>
          <w:sz w:val="24"/>
          <w:szCs w:val="24"/>
          <w:lang w:val="en-GB"/>
        </w:rPr>
        <w:t>.</w:t>
      </w:r>
      <w:r w:rsidR="004813FF" w:rsidRPr="00C61C69">
        <w:rPr>
          <w:rFonts w:ascii="Tahoma" w:eastAsia="Times New Roman" w:hAnsi="Tahoma" w:cs="Tahoma"/>
          <w:sz w:val="24"/>
          <w:szCs w:val="24"/>
          <w:lang w:val="en-GB"/>
        </w:rPr>
        <w:t xml:space="preserve"> </w:t>
      </w:r>
      <w:r w:rsidR="00333FEC" w:rsidRPr="00C61C69">
        <w:rPr>
          <w:rFonts w:ascii="Tahoma" w:hAnsi="Tahoma" w:cs="Tahoma"/>
          <w:sz w:val="24"/>
          <w:szCs w:val="24"/>
          <w:lang w:val="en-GB"/>
        </w:rPr>
        <w:t>Where a Constituent Entity is resident in more than one tax jurisdiction, the agreement on double taxation avoidance shall be applied to determine the tax jurisdiction of residence</w:t>
      </w:r>
      <w:r w:rsidR="001D4A26" w:rsidRPr="00C61C69">
        <w:rPr>
          <w:rFonts w:ascii="Tahoma" w:eastAsia="Times New Roman" w:hAnsi="Tahoma" w:cs="Tahoma"/>
          <w:sz w:val="24"/>
          <w:szCs w:val="24"/>
          <w:lang w:val="en-GB"/>
        </w:rPr>
        <w:t>.</w:t>
      </w:r>
    </w:p>
    <w:p w:rsidR="004813FF" w:rsidRPr="00C61C69" w:rsidRDefault="00DF1648" w:rsidP="004F4AD4">
      <w:pPr>
        <w:shd w:val="clear" w:color="auto" w:fill="FFFFFF"/>
        <w:spacing w:after="0" w:line="240" w:lineRule="auto"/>
        <w:ind w:firstLine="708"/>
        <w:jc w:val="both"/>
        <w:rPr>
          <w:rFonts w:ascii="Tahoma" w:eastAsia="Times New Roman" w:hAnsi="Tahoma" w:cs="Tahoma"/>
          <w:sz w:val="24"/>
          <w:szCs w:val="24"/>
          <w:lang w:val="en-GB"/>
        </w:rPr>
      </w:pPr>
      <w:r w:rsidRPr="00C61C69">
        <w:rPr>
          <w:rFonts w:ascii="Tahoma" w:eastAsia="Times New Roman" w:hAnsi="Tahoma" w:cs="Tahoma"/>
          <w:sz w:val="24"/>
          <w:szCs w:val="24"/>
          <w:lang w:val="en-GB"/>
        </w:rPr>
        <w:t>24</w:t>
      </w:r>
      <w:r w:rsidR="00E91F61" w:rsidRPr="00C61C69">
        <w:rPr>
          <w:rFonts w:ascii="Tahoma" w:eastAsia="Times New Roman" w:hAnsi="Tahoma" w:cs="Tahoma"/>
          <w:sz w:val="24"/>
          <w:szCs w:val="24"/>
          <w:lang w:val="en-GB"/>
        </w:rPr>
        <w:t>.</w:t>
      </w:r>
      <w:r w:rsidR="005B2247" w:rsidRPr="00C61C69">
        <w:rPr>
          <w:rFonts w:ascii="Tahoma" w:eastAsia="Times New Roman" w:hAnsi="Tahoma" w:cs="Tahoma"/>
          <w:sz w:val="24"/>
          <w:szCs w:val="24"/>
          <w:lang w:val="en-GB"/>
        </w:rPr>
        <w:t xml:space="preserve"> </w:t>
      </w:r>
      <w:r w:rsidR="00333FEC" w:rsidRPr="00C61C69">
        <w:rPr>
          <w:rFonts w:ascii="Tahoma" w:hAnsi="Tahoma" w:cs="Tahoma"/>
          <w:sz w:val="24"/>
          <w:szCs w:val="24"/>
          <w:lang w:val="en-GB"/>
        </w:rPr>
        <w:t>Where there no agreement referred to in item 23 herein is concluded, it shall be deemed the Constituent Entity is the resident in the tax jurisdiction of the Constituent Entity's place of effective management, in accordance with internationally agreed standards</w:t>
      </w:r>
      <w:r w:rsidR="004813FF" w:rsidRPr="00C61C69">
        <w:rPr>
          <w:rFonts w:ascii="Tahoma" w:eastAsia="Times New Roman" w:hAnsi="Tahoma" w:cs="Tahoma"/>
          <w:sz w:val="24"/>
          <w:szCs w:val="24"/>
          <w:lang w:val="en-GB"/>
        </w:rPr>
        <w:t>.</w:t>
      </w:r>
      <w:r w:rsidR="005874CD" w:rsidRPr="00C61C69">
        <w:rPr>
          <w:rFonts w:ascii="Tahoma" w:eastAsia="Times New Roman" w:hAnsi="Tahoma" w:cs="Tahoma"/>
          <w:sz w:val="24"/>
          <w:szCs w:val="24"/>
          <w:lang w:val="en-GB"/>
        </w:rPr>
        <w:t xml:space="preserve"> </w:t>
      </w:r>
    </w:p>
    <w:p w:rsidR="000D7BCF" w:rsidRPr="00C61C69" w:rsidRDefault="006A05C9" w:rsidP="008F2F74">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ab/>
      </w:r>
      <w:r w:rsidR="00DF1648" w:rsidRPr="00C61C69">
        <w:rPr>
          <w:rFonts w:ascii="Tahoma" w:eastAsia="Times New Roman" w:hAnsi="Tahoma" w:cs="Tahoma"/>
          <w:sz w:val="24"/>
          <w:szCs w:val="24"/>
          <w:lang w:val="en-GB"/>
        </w:rPr>
        <w:t>25</w:t>
      </w:r>
      <w:r w:rsidR="005C3730" w:rsidRPr="00C61C69">
        <w:rPr>
          <w:rFonts w:ascii="Tahoma" w:eastAsia="Times New Roman" w:hAnsi="Tahoma" w:cs="Tahoma"/>
          <w:sz w:val="24"/>
          <w:szCs w:val="24"/>
          <w:lang w:val="en-GB"/>
        </w:rPr>
        <w:t>.</w:t>
      </w:r>
      <w:r w:rsidR="000D7BCF" w:rsidRPr="00C61C69">
        <w:rPr>
          <w:rFonts w:ascii="Tahoma" w:eastAsia="Times New Roman" w:hAnsi="Tahoma" w:cs="Tahoma"/>
          <w:sz w:val="24"/>
          <w:szCs w:val="24"/>
          <w:lang w:val="en-GB"/>
        </w:rPr>
        <w:t xml:space="preserve"> </w:t>
      </w:r>
      <w:r w:rsidR="00333FEC" w:rsidRPr="00C61C69">
        <w:rPr>
          <w:rFonts w:ascii="Tahoma" w:hAnsi="Tahoma" w:cs="Tahoma"/>
          <w:sz w:val="24"/>
          <w:szCs w:val="24"/>
          <w:lang w:val="en-GB"/>
        </w:rPr>
        <w:t>The permanent business establishment data shall be reported by reference to the tax jurisdiction in which it is situated and the entity that permanent business establishment belongs to shall be specified</w:t>
      </w:r>
      <w:r w:rsidR="000D7BCF" w:rsidRPr="00C61C69">
        <w:rPr>
          <w:rFonts w:ascii="Tahoma" w:eastAsia="Times New Roman" w:hAnsi="Tahoma" w:cs="Tahoma"/>
          <w:sz w:val="24"/>
          <w:szCs w:val="24"/>
          <w:lang w:val="en-GB"/>
        </w:rPr>
        <w:t xml:space="preserve">. </w:t>
      </w:r>
    </w:p>
    <w:p w:rsidR="002052BD" w:rsidRPr="00C61C69" w:rsidRDefault="00DF1648" w:rsidP="008F2F74">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ab/>
        <w:t>26</w:t>
      </w:r>
      <w:r w:rsidR="005C3730" w:rsidRPr="00C61C69">
        <w:rPr>
          <w:rFonts w:ascii="Tahoma" w:eastAsia="Times New Roman" w:hAnsi="Tahoma" w:cs="Tahoma"/>
          <w:sz w:val="24"/>
          <w:szCs w:val="24"/>
          <w:lang w:val="en-GB"/>
        </w:rPr>
        <w:t>.</w:t>
      </w:r>
      <w:r w:rsidR="00507318" w:rsidRPr="00C61C69">
        <w:rPr>
          <w:rFonts w:ascii="Tahoma" w:eastAsia="Times New Roman" w:hAnsi="Tahoma" w:cs="Tahoma"/>
          <w:sz w:val="24"/>
          <w:szCs w:val="24"/>
          <w:lang w:val="en-GB"/>
        </w:rPr>
        <w:t xml:space="preserve"> </w:t>
      </w:r>
      <w:r w:rsidR="00333FEC" w:rsidRPr="00C61C69">
        <w:rPr>
          <w:rFonts w:ascii="Tahoma" w:hAnsi="Tahoma" w:cs="Tahoma"/>
          <w:sz w:val="24"/>
          <w:szCs w:val="24"/>
          <w:lang w:val="en-GB"/>
        </w:rPr>
        <w:t>Residence tax jurisdiction reporting for the business unit of which the permanent establishment is a part shall exclude financial data related to that permanent business establishment</w:t>
      </w:r>
      <w:r w:rsidR="00507318" w:rsidRPr="00C61C69">
        <w:rPr>
          <w:rFonts w:ascii="Tahoma" w:eastAsia="Times New Roman" w:hAnsi="Tahoma" w:cs="Tahoma"/>
          <w:sz w:val="24"/>
          <w:szCs w:val="24"/>
          <w:lang w:val="en-GB"/>
        </w:rPr>
        <w:t>.</w:t>
      </w:r>
      <w:r w:rsidR="00957F66" w:rsidRPr="00C61C69">
        <w:rPr>
          <w:rFonts w:ascii="Tahoma" w:eastAsia="Times New Roman" w:hAnsi="Tahoma" w:cs="Tahoma"/>
          <w:sz w:val="24"/>
          <w:szCs w:val="24"/>
          <w:lang w:val="en-GB"/>
        </w:rPr>
        <w:t xml:space="preserve"> </w:t>
      </w:r>
    </w:p>
    <w:p w:rsidR="00507318" w:rsidRPr="00C61C69" w:rsidRDefault="00DF1648" w:rsidP="008F2F74">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ab/>
        <w:t>27</w:t>
      </w:r>
      <w:r w:rsidR="007B71EA" w:rsidRPr="00C61C69">
        <w:rPr>
          <w:rFonts w:ascii="Tahoma" w:eastAsia="Times New Roman" w:hAnsi="Tahoma" w:cs="Tahoma"/>
          <w:sz w:val="24"/>
          <w:szCs w:val="24"/>
          <w:lang w:val="en-GB"/>
        </w:rPr>
        <w:t>.</w:t>
      </w:r>
      <w:r w:rsidR="0024610B" w:rsidRPr="00C61C69">
        <w:rPr>
          <w:rFonts w:ascii="Tahoma" w:eastAsia="Times New Roman" w:hAnsi="Tahoma" w:cs="Tahoma"/>
          <w:sz w:val="24"/>
          <w:szCs w:val="24"/>
          <w:lang w:val="en-GB"/>
        </w:rPr>
        <w:t xml:space="preserve"> </w:t>
      </w:r>
      <w:r w:rsidR="00B1358C" w:rsidRPr="00C61C69">
        <w:rPr>
          <w:rFonts w:ascii="Tahoma" w:hAnsi="Tahoma" w:cs="Tahoma"/>
          <w:sz w:val="24"/>
          <w:szCs w:val="24"/>
          <w:lang w:val="en-GB"/>
        </w:rPr>
        <w:t xml:space="preserve">Where the Fiscal Year of one or more MNE Group Constituent Entities is different from the Reporting Constituent Entity’s Fiscal </w:t>
      </w:r>
      <w:r w:rsidR="00C61C69" w:rsidRPr="00C61C69">
        <w:rPr>
          <w:rFonts w:ascii="Tahoma" w:hAnsi="Tahoma" w:cs="Tahoma"/>
          <w:sz w:val="24"/>
          <w:szCs w:val="24"/>
          <w:lang w:val="en-GB"/>
        </w:rPr>
        <w:t>Year that</w:t>
      </w:r>
      <w:r w:rsidR="00B1358C" w:rsidRPr="00C61C69">
        <w:rPr>
          <w:rFonts w:ascii="Tahoma" w:hAnsi="Tahoma" w:cs="Tahoma"/>
          <w:sz w:val="24"/>
          <w:szCs w:val="24"/>
          <w:lang w:val="en-GB"/>
        </w:rPr>
        <w:t xml:space="preserve"> entity shall enter in the report referred to in item 3 herein the </w:t>
      </w:r>
      <w:r w:rsidR="00C61C69" w:rsidRPr="00C61C69">
        <w:rPr>
          <w:rFonts w:ascii="Tahoma" w:hAnsi="Tahoma" w:cs="Tahoma"/>
          <w:sz w:val="24"/>
          <w:szCs w:val="24"/>
          <w:lang w:val="en-GB"/>
        </w:rPr>
        <w:t>data</w:t>
      </w:r>
      <w:r w:rsidR="00B1358C" w:rsidRPr="00C61C69">
        <w:rPr>
          <w:rFonts w:ascii="Tahoma" w:hAnsi="Tahoma" w:cs="Tahoma"/>
          <w:sz w:val="24"/>
          <w:szCs w:val="24"/>
          <w:lang w:val="en-GB"/>
        </w:rPr>
        <w:t xml:space="preserve"> for that entity’s Fiscal Year that ends within the </w:t>
      </w:r>
      <w:r w:rsidR="00C61C69" w:rsidRPr="00C61C69">
        <w:rPr>
          <w:rFonts w:ascii="Tahoma" w:hAnsi="Tahoma" w:cs="Tahoma"/>
          <w:sz w:val="24"/>
          <w:szCs w:val="24"/>
          <w:lang w:val="en-GB"/>
        </w:rPr>
        <w:t>12-month</w:t>
      </w:r>
      <w:r w:rsidR="00B1358C" w:rsidRPr="00C61C69">
        <w:rPr>
          <w:rFonts w:ascii="Tahoma" w:hAnsi="Tahoma" w:cs="Tahoma"/>
          <w:sz w:val="24"/>
          <w:szCs w:val="24"/>
          <w:lang w:val="en-GB"/>
        </w:rPr>
        <w:t xml:space="preserve"> period preceding </w:t>
      </w:r>
      <w:r w:rsidR="00C61C69" w:rsidRPr="00C61C69">
        <w:rPr>
          <w:rFonts w:ascii="Tahoma" w:hAnsi="Tahoma" w:cs="Tahoma"/>
          <w:sz w:val="24"/>
          <w:szCs w:val="24"/>
          <w:lang w:val="en-GB"/>
        </w:rPr>
        <w:t>the</w:t>
      </w:r>
      <w:r w:rsidR="00B1358C" w:rsidRPr="00C61C69">
        <w:rPr>
          <w:rFonts w:ascii="Tahoma" w:hAnsi="Tahoma" w:cs="Tahoma"/>
          <w:sz w:val="24"/>
          <w:szCs w:val="24"/>
          <w:lang w:val="en-GB"/>
        </w:rPr>
        <w:t xml:space="preserve"> last day of the reporting period</w:t>
      </w:r>
      <w:r w:rsidR="00507318" w:rsidRPr="00C61C69">
        <w:rPr>
          <w:rFonts w:ascii="Tahoma" w:eastAsia="Times New Roman" w:hAnsi="Tahoma" w:cs="Tahoma"/>
          <w:sz w:val="24"/>
          <w:szCs w:val="24"/>
          <w:lang w:val="en-GB"/>
        </w:rPr>
        <w:t xml:space="preserve">. </w:t>
      </w:r>
      <w:r w:rsidR="0024610B" w:rsidRPr="00C61C69">
        <w:rPr>
          <w:rFonts w:ascii="Tahoma" w:eastAsia="Times New Roman" w:hAnsi="Tahoma" w:cs="Tahoma"/>
          <w:sz w:val="24"/>
          <w:szCs w:val="24"/>
          <w:lang w:val="en-GB"/>
        </w:rPr>
        <w:t xml:space="preserve"> </w:t>
      </w:r>
    </w:p>
    <w:p w:rsidR="00507318" w:rsidRPr="00C61C69" w:rsidRDefault="005559C4" w:rsidP="008F2F74">
      <w:pPr>
        <w:shd w:val="clear" w:color="auto" w:fill="FFFFFF"/>
        <w:spacing w:after="0" w:line="240" w:lineRule="auto"/>
        <w:jc w:val="both"/>
        <w:rPr>
          <w:rFonts w:ascii="Tahoma" w:eastAsia="Times New Roman" w:hAnsi="Tahoma" w:cs="Tahoma"/>
          <w:sz w:val="24"/>
          <w:szCs w:val="24"/>
          <w:lang w:val="en-GB"/>
        </w:rPr>
      </w:pPr>
      <w:r w:rsidRPr="00C61C69" w:rsidDel="005559C4">
        <w:rPr>
          <w:rFonts w:ascii="Tahoma" w:eastAsia="Times New Roman" w:hAnsi="Tahoma" w:cs="Tahoma"/>
          <w:b/>
          <w:sz w:val="24"/>
          <w:szCs w:val="24"/>
          <w:lang w:val="en-GB"/>
        </w:rPr>
        <w:t xml:space="preserve"> </w:t>
      </w:r>
      <w:r w:rsidR="00114A1F" w:rsidRPr="00C61C69">
        <w:rPr>
          <w:rFonts w:ascii="Tahoma" w:eastAsia="Times New Roman" w:hAnsi="Tahoma" w:cs="Tahoma"/>
          <w:sz w:val="24"/>
          <w:szCs w:val="24"/>
          <w:lang w:val="en-GB"/>
        </w:rPr>
        <w:tab/>
      </w:r>
      <w:r w:rsidR="00DF1648" w:rsidRPr="00C61C69">
        <w:rPr>
          <w:rFonts w:ascii="Tahoma" w:eastAsia="Times New Roman" w:hAnsi="Tahoma" w:cs="Tahoma"/>
          <w:sz w:val="24"/>
          <w:szCs w:val="24"/>
          <w:lang w:val="en-GB"/>
        </w:rPr>
        <w:t>28</w:t>
      </w:r>
      <w:r w:rsidR="007B71EA" w:rsidRPr="00C61C69">
        <w:rPr>
          <w:rFonts w:ascii="Tahoma" w:eastAsia="Times New Roman" w:hAnsi="Tahoma" w:cs="Tahoma"/>
          <w:sz w:val="24"/>
          <w:szCs w:val="24"/>
          <w:lang w:val="en-GB"/>
        </w:rPr>
        <w:t>.</w:t>
      </w:r>
      <w:r w:rsidR="003017CE" w:rsidRPr="00C61C69">
        <w:rPr>
          <w:rFonts w:ascii="Tahoma" w:eastAsia="Times New Roman" w:hAnsi="Tahoma" w:cs="Tahoma"/>
          <w:sz w:val="24"/>
          <w:szCs w:val="24"/>
          <w:lang w:val="en-GB"/>
        </w:rPr>
        <w:t xml:space="preserve"> </w:t>
      </w:r>
      <w:r w:rsidR="003749DC" w:rsidRPr="00C61C69">
        <w:rPr>
          <w:rFonts w:ascii="Tahoma" w:hAnsi="Tahoma" w:cs="Tahoma"/>
          <w:sz w:val="24"/>
          <w:szCs w:val="24"/>
          <w:lang w:val="en-GB"/>
        </w:rPr>
        <w:t>The MNE Group Constituent Entity filling the report referred to in item 3 herein shall use the same sources of data from year to year in completing that report</w:t>
      </w:r>
      <w:r w:rsidR="00560CDB" w:rsidRPr="00C61C69">
        <w:rPr>
          <w:rFonts w:ascii="Tahoma" w:eastAsia="Times New Roman" w:hAnsi="Tahoma" w:cs="Tahoma"/>
          <w:sz w:val="24"/>
          <w:szCs w:val="24"/>
          <w:lang w:val="en-GB"/>
        </w:rPr>
        <w:t>.</w:t>
      </w:r>
    </w:p>
    <w:p w:rsidR="00477E0F" w:rsidRPr="00C61C69" w:rsidRDefault="00DF1648" w:rsidP="002F7CD5">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lastRenderedPageBreak/>
        <w:tab/>
        <w:t>29</w:t>
      </w:r>
      <w:r w:rsidR="007B71EA" w:rsidRPr="00C61C69">
        <w:rPr>
          <w:rFonts w:ascii="Tahoma" w:eastAsia="Times New Roman" w:hAnsi="Tahoma" w:cs="Tahoma"/>
          <w:sz w:val="24"/>
          <w:szCs w:val="24"/>
          <w:lang w:val="en-GB"/>
        </w:rPr>
        <w:t>.</w:t>
      </w:r>
      <w:r w:rsidR="00507318" w:rsidRPr="00C61C69">
        <w:rPr>
          <w:rFonts w:ascii="Tahoma" w:eastAsia="Times New Roman" w:hAnsi="Tahoma" w:cs="Tahoma"/>
          <w:sz w:val="24"/>
          <w:szCs w:val="24"/>
          <w:lang w:val="en-GB"/>
        </w:rPr>
        <w:t xml:space="preserve"> </w:t>
      </w:r>
      <w:r w:rsidR="003749DC" w:rsidRPr="00C61C69">
        <w:rPr>
          <w:rFonts w:ascii="Tahoma" w:hAnsi="Tahoma" w:cs="Tahoma"/>
          <w:sz w:val="24"/>
          <w:szCs w:val="24"/>
          <w:lang w:val="en-GB"/>
        </w:rPr>
        <w:t>The MNE Group Constituent Entity filling the report referred to in item 3 herein</w:t>
      </w:r>
      <w:r w:rsidR="009334F0" w:rsidRPr="00C61C69">
        <w:rPr>
          <w:rFonts w:ascii="Tahoma" w:eastAsia="Times New Roman" w:hAnsi="Tahoma" w:cs="Tahoma"/>
          <w:sz w:val="24"/>
          <w:szCs w:val="24"/>
          <w:lang w:val="en-GB"/>
        </w:rPr>
        <w:t xml:space="preserve"> </w:t>
      </w:r>
      <w:r w:rsidR="003749DC" w:rsidRPr="00C61C69">
        <w:rPr>
          <w:rFonts w:ascii="Tahoma" w:eastAsia="Times New Roman" w:hAnsi="Tahoma" w:cs="Tahoma"/>
          <w:sz w:val="24"/>
          <w:szCs w:val="24"/>
          <w:lang w:val="en-GB"/>
        </w:rPr>
        <w:t>shall provide a short description of data sources it used to prepare that report</w:t>
      </w:r>
      <w:r w:rsidR="008F2F74" w:rsidRPr="00C61C69">
        <w:rPr>
          <w:rFonts w:ascii="Tahoma" w:eastAsia="Times New Roman" w:hAnsi="Tahoma" w:cs="Tahoma"/>
          <w:sz w:val="24"/>
          <w:szCs w:val="24"/>
          <w:lang w:val="en-GB"/>
        </w:rPr>
        <w:t xml:space="preserve">, </w:t>
      </w:r>
      <w:r w:rsidR="003749DC" w:rsidRPr="00C61C69">
        <w:rPr>
          <w:rFonts w:ascii="Tahoma" w:eastAsia="Times New Roman" w:hAnsi="Tahoma" w:cs="Tahoma"/>
          <w:sz w:val="24"/>
          <w:szCs w:val="24"/>
          <w:lang w:val="en-GB"/>
        </w:rPr>
        <w:t>as well as the reasons for change on data</w:t>
      </w:r>
      <w:r w:rsidR="008F2F74" w:rsidRPr="00C61C69">
        <w:rPr>
          <w:rFonts w:ascii="Tahoma" w:eastAsia="Times New Roman" w:hAnsi="Tahoma" w:cs="Tahoma"/>
          <w:sz w:val="24"/>
          <w:szCs w:val="24"/>
          <w:lang w:val="en-GB"/>
        </w:rPr>
        <w:t xml:space="preserve">, </w:t>
      </w:r>
      <w:r w:rsidR="003749DC" w:rsidRPr="00C61C69">
        <w:rPr>
          <w:rFonts w:ascii="Tahoma" w:eastAsia="Times New Roman" w:hAnsi="Tahoma" w:cs="Tahoma"/>
          <w:sz w:val="24"/>
          <w:szCs w:val="24"/>
          <w:lang w:val="en-GB"/>
        </w:rPr>
        <w:t>if it changes a source of data used in the report</w:t>
      </w:r>
      <w:r w:rsidR="008F2F74" w:rsidRPr="00C61C69">
        <w:rPr>
          <w:rFonts w:ascii="Tahoma" w:eastAsia="Times New Roman" w:hAnsi="Tahoma" w:cs="Tahoma"/>
          <w:sz w:val="24"/>
          <w:szCs w:val="24"/>
          <w:lang w:val="en-GB"/>
        </w:rPr>
        <w:t>.</w:t>
      </w:r>
    </w:p>
    <w:p w:rsidR="00464535" w:rsidRPr="00C61C69" w:rsidRDefault="008F2F74" w:rsidP="002F7CD5">
      <w:pPr>
        <w:spacing w:after="0" w:line="259" w:lineRule="auto"/>
        <w:ind w:firstLine="708"/>
        <w:jc w:val="both"/>
        <w:rPr>
          <w:rFonts w:ascii="Tahoma" w:hAnsi="Tahoma" w:cs="Tahoma"/>
          <w:sz w:val="24"/>
          <w:szCs w:val="24"/>
          <w:lang w:val="en-GB"/>
        </w:rPr>
      </w:pPr>
      <w:r w:rsidRPr="00C61C69">
        <w:rPr>
          <w:rFonts w:ascii="Tahoma" w:eastAsia="Times New Roman" w:hAnsi="Tahoma" w:cs="Tahoma"/>
          <w:sz w:val="24"/>
          <w:szCs w:val="24"/>
          <w:lang w:val="en-GB"/>
        </w:rPr>
        <w:t>3</w:t>
      </w:r>
      <w:r w:rsidR="00DF1648" w:rsidRPr="00C61C69">
        <w:rPr>
          <w:rFonts w:ascii="Tahoma" w:eastAsia="Times New Roman" w:hAnsi="Tahoma" w:cs="Tahoma"/>
          <w:sz w:val="24"/>
          <w:szCs w:val="24"/>
          <w:lang w:val="en-GB"/>
        </w:rPr>
        <w:t>0</w:t>
      </w:r>
      <w:r w:rsidR="00464535" w:rsidRPr="00C61C69">
        <w:rPr>
          <w:rFonts w:ascii="Tahoma" w:eastAsia="Times New Roman" w:hAnsi="Tahoma" w:cs="Tahoma"/>
          <w:sz w:val="24"/>
          <w:szCs w:val="24"/>
          <w:lang w:val="en-GB"/>
        </w:rPr>
        <w:t>.</w:t>
      </w:r>
      <w:r w:rsidR="00464535" w:rsidRPr="00C61C69">
        <w:rPr>
          <w:rFonts w:ascii="Tahoma" w:hAnsi="Tahoma" w:cs="Tahoma"/>
          <w:sz w:val="24"/>
          <w:szCs w:val="24"/>
          <w:lang w:val="en-GB"/>
        </w:rPr>
        <w:t xml:space="preserve"> </w:t>
      </w:r>
      <w:r w:rsidR="003749DC" w:rsidRPr="00C61C69">
        <w:rPr>
          <w:rFonts w:ascii="Tahoma" w:hAnsi="Tahoma" w:cs="Tahoma"/>
          <w:sz w:val="24"/>
          <w:szCs w:val="24"/>
          <w:lang w:val="en-GB"/>
        </w:rPr>
        <w:t xml:space="preserve">These Instructions shall come into force on the eight day from the date of its publishing in the Official Gazette of </w:t>
      </w:r>
      <w:r w:rsidR="00C61C69" w:rsidRPr="00C61C69">
        <w:rPr>
          <w:rFonts w:ascii="Tahoma" w:hAnsi="Tahoma" w:cs="Tahoma"/>
          <w:sz w:val="24"/>
          <w:szCs w:val="24"/>
          <w:lang w:val="en-GB"/>
        </w:rPr>
        <w:t>Montenegro</w:t>
      </w:r>
      <w:r w:rsidR="00E351DA" w:rsidRPr="00C61C69">
        <w:rPr>
          <w:rFonts w:ascii="Tahoma" w:hAnsi="Tahoma" w:cs="Tahoma"/>
          <w:sz w:val="24"/>
          <w:szCs w:val="24"/>
          <w:lang w:val="en-GB"/>
        </w:rPr>
        <w:t xml:space="preserve">, </w:t>
      </w:r>
      <w:r w:rsidR="003749DC" w:rsidRPr="00C61C69">
        <w:rPr>
          <w:rFonts w:ascii="Tahoma" w:hAnsi="Tahoma" w:cs="Tahoma"/>
          <w:sz w:val="24"/>
          <w:szCs w:val="24"/>
          <w:lang w:val="en-GB"/>
        </w:rPr>
        <w:t xml:space="preserve">and shall apply from January 1, </w:t>
      </w:r>
      <w:r w:rsidR="00957F66" w:rsidRPr="00C61C69">
        <w:rPr>
          <w:rFonts w:ascii="Tahoma" w:hAnsi="Tahoma" w:cs="Tahoma"/>
          <w:sz w:val="24"/>
          <w:szCs w:val="24"/>
          <w:lang w:val="en-GB"/>
        </w:rPr>
        <w:t>20</w:t>
      </w:r>
      <w:r w:rsidR="001561E2" w:rsidRPr="00C61C69">
        <w:rPr>
          <w:rFonts w:ascii="Tahoma" w:hAnsi="Tahoma" w:cs="Tahoma"/>
          <w:sz w:val="24"/>
          <w:szCs w:val="24"/>
          <w:lang w:val="en-GB"/>
        </w:rPr>
        <w:t>24</w:t>
      </w:r>
      <w:r w:rsidR="00464535" w:rsidRPr="00C61C69">
        <w:rPr>
          <w:rFonts w:ascii="Tahoma" w:hAnsi="Tahoma" w:cs="Tahoma"/>
          <w:sz w:val="24"/>
          <w:szCs w:val="24"/>
          <w:lang w:val="en-GB"/>
        </w:rPr>
        <w:t>.</w:t>
      </w:r>
    </w:p>
    <w:p w:rsidR="00DF1648" w:rsidRPr="00C61C69" w:rsidRDefault="00DF1648" w:rsidP="004022DD">
      <w:pPr>
        <w:spacing w:after="160" w:line="259" w:lineRule="auto"/>
        <w:jc w:val="both"/>
        <w:rPr>
          <w:rFonts w:ascii="Tahoma" w:hAnsi="Tahoma" w:cs="Tahoma"/>
          <w:b/>
          <w:sz w:val="24"/>
          <w:szCs w:val="24"/>
          <w:lang w:val="en-GB"/>
        </w:rPr>
      </w:pPr>
    </w:p>
    <w:p w:rsidR="00464535" w:rsidRPr="00C61C69" w:rsidRDefault="00C61C69" w:rsidP="002F7CD5">
      <w:pPr>
        <w:spacing w:after="0" w:line="259" w:lineRule="auto"/>
        <w:rPr>
          <w:rFonts w:ascii="Tahoma" w:hAnsi="Tahoma" w:cs="Tahoma"/>
          <w:b/>
          <w:sz w:val="24"/>
          <w:szCs w:val="24"/>
          <w:lang w:val="en-GB"/>
        </w:rPr>
      </w:pPr>
      <w:r w:rsidRPr="00C61C69">
        <w:rPr>
          <w:rFonts w:ascii="Tahoma" w:hAnsi="Tahoma" w:cs="Tahoma"/>
          <w:b/>
          <w:sz w:val="24"/>
          <w:szCs w:val="24"/>
          <w:lang w:val="en-GB"/>
        </w:rPr>
        <w:t>Number:</w:t>
      </w:r>
      <w:r>
        <w:rPr>
          <w:rFonts w:ascii="Tahoma" w:hAnsi="Tahoma" w:cs="Tahoma"/>
          <w:b/>
          <w:sz w:val="24"/>
          <w:szCs w:val="24"/>
          <w:lang w:val="en-GB"/>
        </w:rPr>
        <w:t xml:space="preserve"> </w:t>
      </w:r>
      <w:r w:rsidRPr="00C61C69">
        <w:rPr>
          <w:rFonts w:ascii="Tahoma" w:hAnsi="Tahoma" w:cs="Tahoma"/>
          <w:b/>
          <w:sz w:val="24"/>
          <w:szCs w:val="24"/>
          <w:lang w:val="en-GB"/>
        </w:rPr>
        <w:t xml:space="preserve">03-040/22-14385/1                                                                                   MINISTER, Aleksandar Damjanović, MSci                                                                                 </w:t>
      </w:r>
    </w:p>
    <w:p w:rsidR="00464535" w:rsidRPr="00C61C69" w:rsidRDefault="00464535" w:rsidP="002F7CD5">
      <w:pPr>
        <w:spacing w:after="0" w:line="259" w:lineRule="auto"/>
        <w:rPr>
          <w:rFonts w:ascii="Tahoma" w:hAnsi="Tahoma" w:cs="Tahoma"/>
          <w:b/>
          <w:sz w:val="24"/>
          <w:szCs w:val="24"/>
          <w:lang w:val="en-GB"/>
        </w:rPr>
      </w:pPr>
      <w:r w:rsidRPr="00C61C69">
        <w:rPr>
          <w:rFonts w:ascii="Tahoma" w:hAnsi="Tahoma" w:cs="Tahoma"/>
          <w:b/>
          <w:sz w:val="24"/>
          <w:szCs w:val="24"/>
          <w:lang w:val="en-GB"/>
        </w:rPr>
        <w:t>Podgorica,</w:t>
      </w:r>
      <w:r w:rsidR="007E42F0" w:rsidRPr="00C61C69">
        <w:rPr>
          <w:rFonts w:ascii="Tahoma" w:hAnsi="Tahoma" w:cs="Tahoma"/>
          <w:b/>
          <w:sz w:val="24"/>
          <w:szCs w:val="24"/>
          <w:lang w:val="en-GB"/>
        </w:rPr>
        <w:t xml:space="preserve"> </w:t>
      </w:r>
      <w:r w:rsidR="00B1358C" w:rsidRPr="00C61C69">
        <w:rPr>
          <w:rFonts w:ascii="Tahoma" w:hAnsi="Tahoma" w:cs="Tahoma"/>
          <w:b/>
          <w:sz w:val="24"/>
          <w:szCs w:val="24"/>
          <w:lang w:val="en-GB"/>
        </w:rPr>
        <w:t xml:space="preserve">June 30, </w:t>
      </w:r>
      <w:r w:rsidRPr="00C61C69">
        <w:rPr>
          <w:rFonts w:ascii="Tahoma" w:hAnsi="Tahoma" w:cs="Tahoma"/>
          <w:b/>
          <w:sz w:val="24"/>
          <w:szCs w:val="24"/>
          <w:lang w:val="en-GB"/>
        </w:rPr>
        <w:t>2022</w:t>
      </w:r>
      <w:r w:rsidR="002F7CD5" w:rsidRPr="00C61C69">
        <w:rPr>
          <w:rFonts w:ascii="Tahoma" w:hAnsi="Tahoma" w:cs="Tahoma"/>
          <w:b/>
          <w:sz w:val="24"/>
          <w:szCs w:val="24"/>
          <w:lang w:val="en-GB"/>
        </w:rPr>
        <w:t xml:space="preserve">                                         </w:t>
      </w:r>
      <w:r w:rsidR="007E42F0" w:rsidRPr="00C61C69">
        <w:rPr>
          <w:rFonts w:ascii="Tahoma" w:hAnsi="Tahoma" w:cs="Tahoma"/>
          <w:b/>
          <w:sz w:val="24"/>
          <w:szCs w:val="24"/>
          <w:lang w:val="en-GB"/>
        </w:rPr>
        <w:t xml:space="preserve"> </w:t>
      </w:r>
      <w:r w:rsidRPr="00C61C69">
        <w:rPr>
          <w:rFonts w:ascii="Tahoma" w:hAnsi="Tahoma" w:cs="Tahoma"/>
          <w:b/>
          <w:sz w:val="24"/>
          <w:szCs w:val="24"/>
          <w:lang w:val="en-GB"/>
        </w:rPr>
        <w:t xml:space="preserve">                                                                                              </w:t>
      </w:r>
    </w:p>
    <w:p w:rsidR="00A55906" w:rsidRPr="00C61C69" w:rsidRDefault="00A55906" w:rsidP="00244F66">
      <w:pPr>
        <w:shd w:val="clear" w:color="auto" w:fill="FFFFFF"/>
        <w:spacing w:before="240" w:after="120" w:line="240" w:lineRule="auto"/>
        <w:jc w:val="both"/>
        <w:rPr>
          <w:rFonts w:ascii="Tahoma" w:eastAsia="Times New Roman" w:hAnsi="Tahoma" w:cs="Tahoma"/>
          <w:b/>
          <w:bCs/>
          <w:color w:val="000000"/>
          <w:sz w:val="24"/>
          <w:szCs w:val="24"/>
          <w:lang w:val="en-GB"/>
        </w:rPr>
        <w:sectPr w:rsidR="00A55906" w:rsidRPr="00C61C69" w:rsidSect="0056139A">
          <w:pgSz w:w="12240" w:h="15840"/>
          <w:pgMar w:top="1417" w:right="1417" w:bottom="1417" w:left="1417" w:header="720" w:footer="720" w:gutter="0"/>
          <w:cols w:space="708"/>
          <w:titlePg/>
          <w:docGrid w:linePitch="360"/>
        </w:sectPr>
      </w:pPr>
    </w:p>
    <w:p w:rsidR="004F4AD4" w:rsidRPr="000B5099" w:rsidRDefault="00B1358C" w:rsidP="004F4AD4">
      <w:pPr>
        <w:shd w:val="clear" w:color="auto" w:fill="FFFFFF"/>
        <w:spacing w:before="240" w:after="120" w:line="240" w:lineRule="auto"/>
        <w:jc w:val="right"/>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lastRenderedPageBreak/>
        <w:t>TEMPLATE</w:t>
      </w:r>
    </w:p>
    <w:p w:rsidR="00E351DA" w:rsidRPr="000B5099" w:rsidRDefault="00B1358C" w:rsidP="004F4AD4">
      <w:pPr>
        <w:shd w:val="clear" w:color="auto" w:fill="FFFFFF"/>
        <w:spacing w:before="240" w:after="120" w:line="240" w:lineRule="auto"/>
        <w:jc w:val="center"/>
        <w:rPr>
          <w:rFonts w:ascii="Tahoma" w:hAnsi="Tahoma" w:cs="Tahoma"/>
          <w:b/>
          <w:sz w:val="20"/>
          <w:szCs w:val="20"/>
          <w:lang w:val="en-GB"/>
        </w:rPr>
      </w:pPr>
      <w:r w:rsidRPr="000B5099">
        <w:rPr>
          <w:rFonts w:ascii="Tahoma" w:hAnsi="Tahoma" w:cs="Tahoma"/>
          <w:b/>
          <w:sz w:val="20"/>
          <w:szCs w:val="20"/>
          <w:lang w:val="en-GB"/>
        </w:rPr>
        <w:t xml:space="preserve">REPORT </w:t>
      </w:r>
      <w:r w:rsidR="00C61C69" w:rsidRPr="000B5099">
        <w:rPr>
          <w:rFonts w:ascii="Tahoma" w:hAnsi="Tahoma" w:cs="Tahoma"/>
          <w:b/>
          <w:sz w:val="20"/>
          <w:szCs w:val="20"/>
          <w:lang w:val="en-GB"/>
        </w:rPr>
        <w:t>ON BUSINESS</w:t>
      </w:r>
      <w:r w:rsidRPr="000B5099">
        <w:rPr>
          <w:rFonts w:ascii="Tahoma" w:hAnsi="Tahoma" w:cs="Tahoma"/>
          <w:b/>
          <w:sz w:val="20"/>
          <w:szCs w:val="20"/>
          <w:lang w:val="en-GB"/>
        </w:rPr>
        <w:t xml:space="preserve"> RELATED DATA THAT ENTITY UBMITTS TO ADMINISTRATION AUTHORITY COMPETENT FOR TAX AFFAIRS</w:t>
      </w:r>
    </w:p>
    <w:p w:rsidR="001C72D9" w:rsidRPr="000B5099" w:rsidRDefault="00B1358C" w:rsidP="004F4AD4">
      <w:pPr>
        <w:shd w:val="clear" w:color="auto" w:fill="FFFFFF"/>
        <w:spacing w:before="240" w:after="120" w:line="240" w:lineRule="auto"/>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COUNTRY-BY-COUNTRY REPORT</w:t>
      </w:r>
    </w:p>
    <w:p w:rsidR="001C72D9" w:rsidRPr="000B5099" w:rsidRDefault="009334F0" w:rsidP="001C72D9">
      <w:pPr>
        <w:shd w:val="clear" w:color="auto" w:fill="FFFFFF"/>
        <w:spacing w:before="240" w:after="120" w:line="240" w:lineRule="auto"/>
        <w:jc w:val="both"/>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Α.   </w:t>
      </w:r>
      <w:r w:rsidR="00B1358C" w:rsidRPr="000B5099">
        <w:rPr>
          <w:rFonts w:ascii="Tahoma" w:hAnsi="Tahoma" w:cs="Tahoma"/>
          <w:b/>
          <w:sz w:val="20"/>
          <w:szCs w:val="20"/>
          <w:lang w:val="en-GB"/>
        </w:rPr>
        <w:t>Template for the Country-by-Country Report</w:t>
      </w:r>
    </w:p>
    <w:p w:rsidR="00244F66" w:rsidRPr="000B5099" w:rsidRDefault="00B1358C" w:rsidP="00244F66">
      <w:pPr>
        <w:shd w:val="clear" w:color="auto" w:fill="FFFFFF"/>
        <w:spacing w:before="240" w:after="120" w:line="240" w:lineRule="auto"/>
        <w:jc w:val="both"/>
        <w:rPr>
          <w:rFonts w:ascii="Tahoma" w:eastAsia="Times New Roman" w:hAnsi="Tahoma" w:cs="Tahoma"/>
          <w:b/>
          <w:bCs/>
          <w:color w:val="000000"/>
          <w:sz w:val="20"/>
          <w:szCs w:val="20"/>
          <w:lang w:val="en-GB"/>
        </w:rPr>
      </w:pPr>
      <w:r w:rsidRPr="000B5099">
        <w:rPr>
          <w:rFonts w:ascii="Tahoma" w:hAnsi="Tahoma" w:cs="Tahoma"/>
          <w:b/>
          <w:sz w:val="20"/>
          <w:szCs w:val="20"/>
          <w:lang w:val="en-GB"/>
        </w:rPr>
        <w:t xml:space="preserve">Table 1. Overview of allocation of income, taxes and business activities by tax jurisdiction </w:t>
      </w:r>
    </w:p>
    <w:tbl>
      <w:tblPr>
        <w:tblW w:w="5823" w:type="pct"/>
        <w:tblInd w:w="-87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35"/>
        <w:gridCol w:w="1559"/>
        <w:gridCol w:w="1276"/>
        <w:gridCol w:w="1134"/>
        <w:gridCol w:w="1311"/>
        <w:gridCol w:w="1364"/>
        <w:gridCol w:w="1331"/>
        <w:gridCol w:w="1227"/>
        <w:gridCol w:w="1855"/>
        <w:gridCol w:w="1814"/>
        <w:gridCol w:w="1304"/>
      </w:tblGrid>
      <w:tr w:rsidR="009E5248" w:rsidRPr="000B5099" w:rsidTr="000B5099">
        <w:trPr>
          <w:trHeight w:val="440"/>
        </w:trPr>
        <w:tc>
          <w:tcPr>
            <w:tcW w:w="5104" w:type="dxa"/>
            <w:gridSpan w:val="4"/>
            <w:tcBorders>
              <w:top w:val="single" w:sz="6" w:space="0" w:color="DDE7EB"/>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837AA6" w:rsidRPr="000B5099" w:rsidRDefault="00B1358C" w:rsidP="00B1358C">
            <w:pPr>
              <w:pStyle w:val="ListParagraph"/>
              <w:numPr>
                <w:ilvl w:val="1"/>
                <w:numId w:val="30"/>
              </w:numPr>
              <w:spacing w:before="60" w:after="60" w:line="240" w:lineRule="auto"/>
              <w:ind w:right="195"/>
              <w:rPr>
                <w:rFonts w:ascii="Tahoma" w:eastAsia="Times New Roman" w:hAnsi="Tahoma" w:cs="Tahoma"/>
                <w:b/>
                <w:bCs/>
                <w:color w:val="000000"/>
                <w:sz w:val="20"/>
                <w:szCs w:val="20"/>
                <w:lang w:val="en-GB"/>
              </w:rPr>
            </w:pPr>
            <w:r w:rsidRPr="000B5099">
              <w:rPr>
                <w:rFonts w:ascii="Tahoma" w:hAnsi="Tahoma" w:cs="Tahoma"/>
                <w:b/>
                <w:sz w:val="20"/>
                <w:szCs w:val="20"/>
                <w:lang w:val="en-GB"/>
              </w:rPr>
              <w:t>Name of the MNE Group</w:t>
            </w:r>
            <w:r w:rsidR="00837AA6" w:rsidRPr="000B5099">
              <w:rPr>
                <w:rFonts w:ascii="Tahoma" w:eastAsia="Times New Roman" w:hAnsi="Tahoma" w:cs="Tahoma"/>
                <w:b/>
                <w:bCs/>
                <w:color w:val="000000"/>
                <w:sz w:val="20"/>
                <w:szCs w:val="20"/>
                <w:lang w:val="en-GB"/>
              </w:rPr>
              <w:t>:</w:t>
            </w:r>
          </w:p>
        </w:tc>
        <w:tc>
          <w:tcPr>
            <w:tcW w:w="10206" w:type="dxa"/>
            <w:gridSpan w:val="7"/>
            <w:tcBorders>
              <w:top w:val="single" w:sz="6" w:space="0" w:color="DDE7EB"/>
              <w:left w:val="single" w:sz="4" w:space="0" w:color="auto"/>
              <w:bottom w:val="single" w:sz="4" w:space="0" w:color="auto"/>
              <w:right w:val="single" w:sz="6" w:space="0" w:color="000000"/>
            </w:tcBorders>
            <w:shd w:val="clear" w:color="auto" w:fill="FFFFFF"/>
          </w:tcPr>
          <w:p w:rsidR="00837AA6" w:rsidRPr="000B5099" w:rsidRDefault="00837AA6" w:rsidP="00837AA6">
            <w:pPr>
              <w:spacing w:before="60" w:after="60" w:line="240" w:lineRule="auto"/>
              <w:ind w:right="195"/>
              <w:rPr>
                <w:rFonts w:ascii="Tahoma" w:eastAsia="Times New Roman" w:hAnsi="Tahoma" w:cs="Tahoma"/>
                <w:b/>
                <w:bCs/>
                <w:color w:val="000000"/>
                <w:sz w:val="20"/>
                <w:szCs w:val="20"/>
                <w:lang w:val="en-GB"/>
              </w:rPr>
            </w:pPr>
          </w:p>
        </w:tc>
      </w:tr>
      <w:tr w:rsidR="000D2CC4" w:rsidRPr="000B5099" w:rsidTr="000B5099">
        <w:trPr>
          <w:trHeight w:val="411"/>
        </w:trPr>
        <w:tc>
          <w:tcPr>
            <w:tcW w:w="5104" w:type="dxa"/>
            <w:gridSpan w:val="4"/>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837AA6" w:rsidRPr="000B5099" w:rsidRDefault="00B1358C" w:rsidP="00837AA6">
            <w:pPr>
              <w:pStyle w:val="ListParagraph"/>
              <w:numPr>
                <w:ilvl w:val="1"/>
                <w:numId w:val="30"/>
              </w:numPr>
              <w:spacing w:before="60" w:after="60" w:line="240" w:lineRule="auto"/>
              <w:ind w:right="195"/>
              <w:rPr>
                <w:rFonts w:ascii="Tahoma" w:eastAsia="Times New Roman" w:hAnsi="Tahoma" w:cs="Tahoma"/>
                <w:b/>
                <w:bCs/>
                <w:color w:val="000000"/>
                <w:sz w:val="20"/>
                <w:szCs w:val="20"/>
                <w:lang w:val="en-GB"/>
              </w:rPr>
            </w:pPr>
            <w:r w:rsidRPr="000B5099">
              <w:rPr>
                <w:rFonts w:ascii="Tahoma" w:hAnsi="Tahoma" w:cs="Tahoma"/>
                <w:b/>
                <w:sz w:val="20"/>
                <w:szCs w:val="20"/>
                <w:lang w:val="en-GB"/>
              </w:rPr>
              <w:t>Fiscal Year concerned:</w:t>
            </w:r>
            <w:r w:rsidR="00837AA6" w:rsidRPr="000B5099">
              <w:rPr>
                <w:rFonts w:ascii="Tahoma" w:eastAsia="Times New Roman" w:hAnsi="Tahoma" w:cs="Tahoma"/>
                <w:b/>
                <w:bCs/>
                <w:color w:val="000000"/>
                <w:sz w:val="20"/>
                <w:szCs w:val="20"/>
                <w:lang w:val="en-GB"/>
              </w:rPr>
              <w:t>:</w:t>
            </w:r>
          </w:p>
        </w:tc>
        <w:tc>
          <w:tcPr>
            <w:tcW w:w="10206" w:type="dxa"/>
            <w:gridSpan w:val="7"/>
            <w:tcBorders>
              <w:top w:val="single" w:sz="4" w:space="0" w:color="auto"/>
              <w:left w:val="single" w:sz="4" w:space="0" w:color="auto"/>
              <w:bottom w:val="single" w:sz="4" w:space="0" w:color="auto"/>
              <w:right w:val="single" w:sz="6" w:space="0" w:color="000000"/>
            </w:tcBorders>
            <w:shd w:val="clear" w:color="auto" w:fill="FFFFFF"/>
          </w:tcPr>
          <w:p w:rsidR="00837AA6" w:rsidRPr="000B5099" w:rsidRDefault="00837AA6" w:rsidP="00837AA6">
            <w:pPr>
              <w:spacing w:before="60" w:after="60" w:line="240" w:lineRule="auto"/>
              <w:ind w:right="195"/>
              <w:rPr>
                <w:rFonts w:ascii="Tahoma" w:eastAsia="Times New Roman" w:hAnsi="Tahoma" w:cs="Tahoma"/>
                <w:b/>
                <w:bCs/>
                <w:color w:val="000000"/>
                <w:sz w:val="20"/>
                <w:szCs w:val="20"/>
                <w:lang w:val="en-GB"/>
              </w:rPr>
            </w:pPr>
          </w:p>
        </w:tc>
      </w:tr>
      <w:tr w:rsidR="000D2CC4" w:rsidRPr="000B5099" w:rsidTr="000B5099">
        <w:trPr>
          <w:trHeight w:val="469"/>
        </w:trPr>
        <w:tc>
          <w:tcPr>
            <w:tcW w:w="5104" w:type="dxa"/>
            <w:gridSpan w:val="4"/>
            <w:tcBorders>
              <w:top w:val="single" w:sz="4" w:space="0" w:color="auto"/>
              <w:left w:val="single" w:sz="4" w:space="0" w:color="auto"/>
              <w:bottom w:val="single" w:sz="6" w:space="0" w:color="000000"/>
              <w:right w:val="single" w:sz="4" w:space="0" w:color="auto"/>
            </w:tcBorders>
            <w:shd w:val="clear" w:color="auto" w:fill="FFFFFF"/>
            <w:tcMar>
              <w:top w:w="120" w:type="dxa"/>
              <w:left w:w="120" w:type="dxa"/>
              <w:bottom w:w="120" w:type="dxa"/>
              <w:right w:w="120" w:type="dxa"/>
            </w:tcMar>
          </w:tcPr>
          <w:p w:rsidR="00837AA6" w:rsidRPr="000B5099" w:rsidRDefault="00B1358C" w:rsidP="00B1358C">
            <w:pPr>
              <w:pStyle w:val="ListParagraph"/>
              <w:numPr>
                <w:ilvl w:val="1"/>
                <w:numId w:val="30"/>
              </w:numPr>
              <w:spacing w:before="60" w:after="60" w:line="240" w:lineRule="auto"/>
              <w:ind w:right="195"/>
              <w:rPr>
                <w:rFonts w:ascii="Tahoma" w:eastAsia="Times New Roman" w:hAnsi="Tahoma" w:cs="Tahoma"/>
                <w:b/>
                <w:bCs/>
                <w:color w:val="000000"/>
                <w:sz w:val="20"/>
                <w:szCs w:val="20"/>
                <w:lang w:val="en-GB"/>
              </w:rPr>
            </w:pPr>
            <w:r w:rsidRPr="000B5099">
              <w:rPr>
                <w:rFonts w:ascii="Tahoma" w:hAnsi="Tahoma" w:cs="Tahoma"/>
                <w:b/>
                <w:sz w:val="20"/>
                <w:szCs w:val="20"/>
                <w:lang w:val="en-GB"/>
              </w:rPr>
              <w:t>Official currency</w:t>
            </w:r>
            <w:r w:rsidR="00837AA6" w:rsidRPr="000B5099">
              <w:rPr>
                <w:rFonts w:ascii="Tahoma" w:eastAsia="Times New Roman" w:hAnsi="Tahoma" w:cs="Tahoma"/>
                <w:b/>
                <w:bCs/>
                <w:color w:val="000000"/>
                <w:sz w:val="20"/>
                <w:szCs w:val="20"/>
                <w:lang w:val="en-GB"/>
              </w:rPr>
              <w:t>:</w:t>
            </w:r>
          </w:p>
        </w:tc>
        <w:tc>
          <w:tcPr>
            <w:tcW w:w="10206" w:type="dxa"/>
            <w:gridSpan w:val="7"/>
            <w:tcBorders>
              <w:top w:val="single" w:sz="4" w:space="0" w:color="auto"/>
              <w:left w:val="single" w:sz="4" w:space="0" w:color="auto"/>
              <w:bottom w:val="single" w:sz="6" w:space="0" w:color="000000"/>
              <w:right w:val="single" w:sz="6" w:space="0" w:color="000000"/>
            </w:tcBorders>
            <w:shd w:val="clear" w:color="auto" w:fill="FFFFFF"/>
          </w:tcPr>
          <w:p w:rsidR="00837AA6" w:rsidRPr="000B5099" w:rsidRDefault="00837AA6" w:rsidP="00837AA6">
            <w:pPr>
              <w:spacing w:before="60" w:after="60" w:line="240" w:lineRule="auto"/>
              <w:ind w:right="195"/>
              <w:rPr>
                <w:rFonts w:ascii="Tahoma" w:eastAsia="Times New Roman" w:hAnsi="Tahoma" w:cs="Tahoma"/>
                <w:b/>
                <w:bCs/>
                <w:color w:val="000000"/>
                <w:sz w:val="20"/>
                <w:szCs w:val="20"/>
                <w:lang w:val="en-GB"/>
              </w:rPr>
            </w:pPr>
          </w:p>
        </w:tc>
      </w:tr>
      <w:tr w:rsidR="003B02F6" w:rsidRPr="000B5099" w:rsidTr="000B5099">
        <w:trPr>
          <w:trHeight w:val="835"/>
        </w:trPr>
        <w:tc>
          <w:tcPr>
            <w:tcW w:w="1135" w:type="dxa"/>
            <w:vMerge w:val="restart"/>
            <w:tcBorders>
              <w:top w:val="single" w:sz="6" w:space="0" w:color="DDE7EB"/>
              <w:left w:val="single" w:sz="4" w:space="0" w:color="auto"/>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837AA6" w:rsidP="00B52E7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1.4. </w:t>
            </w:r>
          </w:p>
          <w:p w:rsidR="00B52E76" w:rsidRPr="000B5099" w:rsidRDefault="00B1358C" w:rsidP="00B1358C">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 xml:space="preserve">Tax jurisdictions </w:t>
            </w:r>
          </w:p>
        </w:tc>
        <w:tc>
          <w:tcPr>
            <w:tcW w:w="3969"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D2CC4" w:rsidRPr="000B5099" w:rsidRDefault="00837AA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1.5.                                    </w:t>
            </w:r>
          </w:p>
          <w:p w:rsidR="00244F66" w:rsidRPr="000B5099" w:rsidRDefault="00837AA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 </w:t>
            </w:r>
            <w:r w:rsidR="00B1358C" w:rsidRPr="000B5099">
              <w:rPr>
                <w:rFonts w:ascii="Tahoma" w:hAnsi="Tahoma" w:cs="Tahoma"/>
                <w:b/>
                <w:sz w:val="20"/>
                <w:szCs w:val="20"/>
                <w:lang w:val="en-GB"/>
              </w:rPr>
              <w:t>Revenues</w:t>
            </w:r>
          </w:p>
        </w:tc>
        <w:tc>
          <w:tcPr>
            <w:tcW w:w="1311"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02F6" w:rsidRPr="000B5099" w:rsidRDefault="000D2CC4" w:rsidP="003B02F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1.6. </w:t>
            </w:r>
          </w:p>
          <w:p w:rsidR="00244F66" w:rsidRPr="000B5099" w:rsidRDefault="00B1358C" w:rsidP="00B1358C">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Profit (loss) before tax</w:t>
            </w:r>
          </w:p>
        </w:tc>
        <w:tc>
          <w:tcPr>
            <w:tcW w:w="136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02F6" w:rsidRPr="000B5099" w:rsidRDefault="003B02F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1.7.</w:t>
            </w:r>
          </w:p>
          <w:p w:rsidR="00244F66" w:rsidRPr="000B5099" w:rsidRDefault="00B1358C"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Income tax accrued - current year</w:t>
            </w:r>
          </w:p>
        </w:tc>
        <w:tc>
          <w:tcPr>
            <w:tcW w:w="1331"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02F6" w:rsidRPr="000B5099" w:rsidRDefault="003B02F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1.8.</w:t>
            </w:r>
          </w:p>
          <w:p w:rsidR="00921503" w:rsidRPr="000B5099" w:rsidRDefault="00B1358C" w:rsidP="003B02F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Income tax paid</w:t>
            </w:r>
            <w:r w:rsidR="00921503" w:rsidRPr="000B5099">
              <w:rPr>
                <w:rFonts w:ascii="Tahoma" w:eastAsia="Times New Roman" w:hAnsi="Tahoma" w:cs="Tahoma"/>
                <w:b/>
                <w:bCs/>
                <w:color w:val="000000"/>
                <w:sz w:val="20"/>
                <w:szCs w:val="20"/>
                <w:lang w:val="en-GB"/>
              </w:rPr>
              <w:t xml:space="preserve"> </w:t>
            </w:r>
          </w:p>
        </w:tc>
        <w:tc>
          <w:tcPr>
            <w:tcW w:w="1227"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3B02F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1.9. </w:t>
            </w:r>
            <w:r w:rsidR="00B1358C" w:rsidRPr="000B5099">
              <w:rPr>
                <w:rFonts w:ascii="Tahoma" w:hAnsi="Tahoma" w:cs="Tahoma"/>
                <w:b/>
                <w:sz w:val="20"/>
                <w:szCs w:val="20"/>
                <w:lang w:val="en-GB"/>
              </w:rPr>
              <w:t>Stated capital</w:t>
            </w:r>
          </w:p>
        </w:tc>
        <w:tc>
          <w:tcPr>
            <w:tcW w:w="185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02F6" w:rsidRPr="000B5099" w:rsidRDefault="003B02F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1.10.</w:t>
            </w:r>
          </w:p>
          <w:p w:rsidR="00244F66" w:rsidRPr="000B5099" w:rsidRDefault="00B1358C" w:rsidP="00B1358C">
            <w:pPr>
              <w:spacing w:before="60" w:after="60" w:line="240" w:lineRule="auto"/>
              <w:ind w:right="195"/>
              <w:rPr>
                <w:rFonts w:ascii="Tahoma" w:eastAsia="Times New Roman" w:hAnsi="Tahoma" w:cs="Tahoma"/>
                <w:b/>
                <w:bCs/>
                <w:color w:val="000000"/>
                <w:sz w:val="20"/>
                <w:szCs w:val="20"/>
                <w:lang w:val="en-GB"/>
              </w:rPr>
            </w:pPr>
            <w:r w:rsidRPr="000B5099">
              <w:rPr>
                <w:rFonts w:ascii="Tahoma" w:hAnsi="Tahoma" w:cs="Tahoma"/>
                <w:b/>
                <w:sz w:val="20"/>
                <w:szCs w:val="20"/>
                <w:lang w:val="en-GB"/>
              </w:rPr>
              <w:t>Accumulated earnings</w:t>
            </w:r>
          </w:p>
        </w:tc>
        <w:tc>
          <w:tcPr>
            <w:tcW w:w="181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02F6" w:rsidRPr="000B5099" w:rsidRDefault="003B02F6"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1.11.</w:t>
            </w:r>
          </w:p>
          <w:p w:rsidR="00244F66" w:rsidRPr="000B5099" w:rsidRDefault="00B1358C"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Number of employees</w:t>
            </w:r>
          </w:p>
        </w:tc>
        <w:tc>
          <w:tcPr>
            <w:tcW w:w="130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02F6" w:rsidRPr="000B5099" w:rsidRDefault="003B02F6" w:rsidP="009A3091">
            <w:pPr>
              <w:spacing w:before="60" w:after="60" w:line="240" w:lineRule="auto"/>
              <w:ind w:right="-120"/>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1.12.</w:t>
            </w:r>
          </w:p>
          <w:p w:rsidR="00244F66" w:rsidRPr="000B5099" w:rsidRDefault="009A3091" w:rsidP="009A3091">
            <w:pPr>
              <w:spacing w:before="60" w:after="60" w:line="240" w:lineRule="auto"/>
              <w:ind w:right="1129"/>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Tangible assets</w:t>
            </w:r>
          </w:p>
        </w:tc>
      </w:tr>
      <w:tr w:rsidR="009E5248" w:rsidRPr="000B5099" w:rsidTr="000B5099">
        <w:trPr>
          <w:trHeight w:val="141"/>
        </w:trPr>
        <w:tc>
          <w:tcPr>
            <w:tcW w:w="1135" w:type="dxa"/>
            <w:vMerge/>
            <w:tcBorders>
              <w:top w:val="single" w:sz="6" w:space="0" w:color="DDE7EB"/>
              <w:left w:val="single" w:sz="4" w:space="0" w:color="auto"/>
              <w:bottom w:val="single" w:sz="6" w:space="0" w:color="000000"/>
              <w:right w:val="single" w:sz="6" w:space="0" w:color="000000"/>
            </w:tcBorders>
            <w:shd w:val="clear" w:color="auto" w:fill="FFFFFF"/>
            <w:vAlign w:val="center"/>
            <w:hideMark/>
          </w:tcPr>
          <w:p w:rsidR="00244F66" w:rsidRPr="000B5099" w:rsidRDefault="00244F66" w:rsidP="00244F66">
            <w:pPr>
              <w:spacing w:after="300" w:line="240" w:lineRule="auto"/>
              <w:rPr>
                <w:rFonts w:ascii="Tahoma" w:eastAsia="Times New Roman" w:hAnsi="Tahoma" w:cs="Tahoma"/>
                <w:b/>
                <w:bCs/>
                <w:color w:val="000000"/>
                <w:sz w:val="20"/>
                <w:szCs w:val="20"/>
                <w:lang w:val="en-GB"/>
              </w:rPr>
            </w:pPr>
          </w:p>
        </w:tc>
        <w:tc>
          <w:tcPr>
            <w:tcW w:w="1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837AA6" w:rsidP="00B1358C">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1.5.a) </w:t>
            </w:r>
            <w:r w:rsidR="00B1358C" w:rsidRPr="000B5099">
              <w:rPr>
                <w:rFonts w:ascii="Tahoma" w:hAnsi="Tahoma" w:cs="Tahoma"/>
                <w:b/>
                <w:sz w:val="20"/>
                <w:szCs w:val="20"/>
                <w:lang w:val="en-GB"/>
              </w:rPr>
              <w:t>Unrelated party</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837AA6" w:rsidP="00B1358C">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1.5.b) </w:t>
            </w:r>
            <w:r w:rsidR="00B1358C" w:rsidRPr="000B5099">
              <w:rPr>
                <w:rFonts w:ascii="Tahoma" w:hAnsi="Tahoma" w:cs="Tahoma"/>
                <w:b/>
                <w:sz w:val="20"/>
                <w:szCs w:val="20"/>
                <w:lang w:val="en-GB"/>
              </w:rPr>
              <w:t xml:space="preserve">Related party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0D2CC4" w:rsidP="00B1358C">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1.5.c) </w:t>
            </w:r>
            <w:r w:rsidR="00B1358C" w:rsidRPr="000B5099">
              <w:rPr>
                <w:rFonts w:ascii="Tahoma" w:hAnsi="Tahoma" w:cs="Tahoma"/>
                <w:b/>
                <w:sz w:val="20"/>
                <w:szCs w:val="20"/>
                <w:lang w:val="en-GB"/>
              </w:rPr>
              <w:t>Total</w:t>
            </w:r>
          </w:p>
        </w:tc>
        <w:tc>
          <w:tcPr>
            <w:tcW w:w="1311"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c>
          <w:tcPr>
            <w:tcW w:w="1364"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c>
          <w:tcPr>
            <w:tcW w:w="1331"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c>
          <w:tcPr>
            <w:tcW w:w="1227"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c>
          <w:tcPr>
            <w:tcW w:w="1855"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c>
          <w:tcPr>
            <w:tcW w:w="1814"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c>
          <w:tcPr>
            <w:tcW w:w="1304"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0" w:line="240" w:lineRule="auto"/>
              <w:rPr>
                <w:rFonts w:ascii="Tahoma" w:eastAsia="Times New Roman" w:hAnsi="Tahoma" w:cs="Tahoma"/>
                <w:b/>
                <w:bCs/>
                <w:color w:val="000000"/>
                <w:sz w:val="20"/>
                <w:szCs w:val="20"/>
                <w:lang w:val="en-GB"/>
              </w:rPr>
            </w:pPr>
          </w:p>
        </w:tc>
      </w:tr>
      <w:tr w:rsidR="009E5248" w:rsidRPr="000B5099" w:rsidTr="000B5099">
        <w:trPr>
          <w:trHeight w:val="212"/>
        </w:trPr>
        <w:tc>
          <w:tcPr>
            <w:tcW w:w="11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6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22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8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8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r w:rsidR="009E5248" w:rsidRPr="000B5099" w:rsidTr="000B5099">
        <w:trPr>
          <w:trHeight w:val="165"/>
        </w:trPr>
        <w:tc>
          <w:tcPr>
            <w:tcW w:w="11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lastRenderedPageBreak/>
              <w:t> </w:t>
            </w:r>
          </w:p>
        </w:tc>
        <w:tc>
          <w:tcPr>
            <w:tcW w:w="1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6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22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8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8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r w:rsidR="009E5248" w:rsidRPr="000B5099" w:rsidTr="000B5099">
        <w:trPr>
          <w:trHeight w:val="20"/>
        </w:trPr>
        <w:tc>
          <w:tcPr>
            <w:tcW w:w="11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6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22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8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8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3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bl>
    <w:p w:rsidR="00244F66" w:rsidRPr="000B5099" w:rsidRDefault="00244F66" w:rsidP="00244F66">
      <w:pPr>
        <w:shd w:val="clear" w:color="auto" w:fill="FFFFFF"/>
        <w:spacing w:after="150" w:line="240" w:lineRule="auto"/>
        <w:rPr>
          <w:rFonts w:ascii="Tahoma" w:eastAsia="Times New Roman" w:hAnsi="Tahoma" w:cs="Tahoma"/>
          <w:color w:val="000000"/>
          <w:sz w:val="20"/>
          <w:szCs w:val="20"/>
          <w:lang w:val="en-GB"/>
        </w:rPr>
      </w:pPr>
    </w:p>
    <w:p w:rsidR="00244F66" w:rsidRPr="000B5099" w:rsidRDefault="009A3091" w:rsidP="00244F66">
      <w:pPr>
        <w:shd w:val="clear" w:color="auto" w:fill="FFFFFF"/>
        <w:spacing w:before="240" w:after="120" w:line="240" w:lineRule="auto"/>
        <w:jc w:val="both"/>
        <w:rPr>
          <w:rFonts w:ascii="Tahoma" w:eastAsia="Times New Roman" w:hAnsi="Tahoma" w:cs="Tahoma"/>
          <w:b/>
          <w:bCs/>
          <w:color w:val="000000"/>
          <w:sz w:val="20"/>
          <w:szCs w:val="20"/>
          <w:lang w:val="en-GB"/>
        </w:rPr>
      </w:pPr>
      <w:r w:rsidRPr="000B5099">
        <w:rPr>
          <w:rFonts w:ascii="Tahoma" w:hAnsi="Tahoma" w:cs="Tahoma"/>
          <w:b/>
          <w:sz w:val="20"/>
          <w:szCs w:val="20"/>
          <w:lang w:val="en-GB"/>
        </w:rPr>
        <w:t>Table 2 List of all the Constituent Entities of the MNE Group per tax jurisdiction</w:t>
      </w:r>
    </w:p>
    <w:tbl>
      <w:tblPr>
        <w:tblW w:w="5670" w:type="pct"/>
        <w:tblInd w:w="-71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05"/>
        <w:gridCol w:w="1003"/>
        <w:gridCol w:w="1290"/>
        <w:gridCol w:w="717"/>
        <w:gridCol w:w="928"/>
        <w:gridCol w:w="792"/>
        <w:gridCol w:w="859"/>
        <w:gridCol w:w="1003"/>
        <w:gridCol w:w="1004"/>
        <w:gridCol w:w="1003"/>
        <w:gridCol w:w="1003"/>
        <w:gridCol w:w="860"/>
        <w:gridCol w:w="859"/>
        <w:gridCol w:w="1147"/>
        <w:gridCol w:w="717"/>
        <w:gridCol w:w="718"/>
      </w:tblGrid>
      <w:tr w:rsidR="009E5248" w:rsidRPr="000B5099" w:rsidTr="00322605">
        <w:trPr>
          <w:trHeight w:val="420"/>
        </w:trPr>
        <w:tc>
          <w:tcPr>
            <w:tcW w:w="3261" w:type="dxa"/>
            <w:gridSpan w:val="3"/>
            <w:tcBorders>
              <w:top w:val="single" w:sz="6" w:space="0" w:color="DDE7EB"/>
              <w:left w:val="single" w:sz="6" w:space="0" w:color="000000"/>
              <w:bottom w:val="single" w:sz="4" w:space="0" w:color="auto"/>
              <w:right w:val="single" w:sz="4" w:space="0" w:color="auto"/>
            </w:tcBorders>
            <w:shd w:val="clear" w:color="auto" w:fill="FFFFFF"/>
            <w:tcMar>
              <w:top w:w="120" w:type="dxa"/>
              <w:left w:w="120" w:type="dxa"/>
              <w:bottom w:w="120" w:type="dxa"/>
              <w:right w:w="120" w:type="dxa"/>
            </w:tcMar>
            <w:hideMark/>
          </w:tcPr>
          <w:p w:rsidR="005115D7" w:rsidRPr="000B5099" w:rsidRDefault="005115D7" w:rsidP="005115D7">
            <w:pPr>
              <w:spacing w:before="60" w:after="60" w:line="240" w:lineRule="auto"/>
              <w:ind w:right="195"/>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2.1. </w:t>
            </w:r>
            <w:r w:rsidR="009A3091" w:rsidRPr="000B5099">
              <w:rPr>
                <w:rFonts w:ascii="Tahoma" w:hAnsi="Tahoma" w:cs="Tahoma"/>
                <w:b/>
                <w:sz w:val="20"/>
                <w:szCs w:val="20"/>
                <w:lang w:val="en-GB"/>
              </w:rPr>
              <w:t>Name of the MNE Group</w:t>
            </w:r>
            <w:r w:rsidRPr="000B5099">
              <w:rPr>
                <w:rFonts w:ascii="Tahoma" w:eastAsia="Times New Roman" w:hAnsi="Tahoma" w:cs="Tahoma"/>
                <w:b/>
                <w:bCs/>
                <w:color w:val="000000"/>
                <w:sz w:val="20"/>
                <w:szCs w:val="20"/>
                <w:lang w:val="en-GB"/>
              </w:rPr>
              <w:t>:</w:t>
            </w:r>
          </w:p>
        </w:tc>
        <w:tc>
          <w:tcPr>
            <w:tcW w:w="11483" w:type="dxa"/>
            <w:gridSpan w:val="13"/>
            <w:tcBorders>
              <w:top w:val="single" w:sz="6" w:space="0" w:color="DDE7EB"/>
              <w:left w:val="single" w:sz="4" w:space="0" w:color="auto"/>
              <w:bottom w:val="single" w:sz="4" w:space="0" w:color="auto"/>
              <w:right w:val="single" w:sz="6" w:space="0" w:color="000000"/>
            </w:tcBorders>
            <w:shd w:val="clear" w:color="auto" w:fill="FFFFFF"/>
          </w:tcPr>
          <w:p w:rsidR="005115D7" w:rsidRPr="000B5099" w:rsidRDefault="005115D7" w:rsidP="005115D7">
            <w:pPr>
              <w:spacing w:before="60" w:after="60" w:line="240" w:lineRule="auto"/>
              <w:ind w:right="195"/>
              <w:rPr>
                <w:rFonts w:ascii="Tahoma" w:eastAsia="Times New Roman" w:hAnsi="Tahoma" w:cs="Tahoma"/>
                <w:b/>
                <w:bCs/>
                <w:color w:val="000000"/>
                <w:sz w:val="20"/>
                <w:szCs w:val="20"/>
                <w:lang w:val="en-GB"/>
              </w:rPr>
            </w:pPr>
          </w:p>
        </w:tc>
      </w:tr>
      <w:tr w:rsidR="009E5248" w:rsidRPr="000B5099" w:rsidTr="00322605">
        <w:trPr>
          <w:trHeight w:val="255"/>
        </w:trPr>
        <w:tc>
          <w:tcPr>
            <w:tcW w:w="3261" w:type="dxa"/>
            <w:gridSpan w:val="3"/>
            <w:tcBorders>
              <w:top w:val="single" w:sz="4" w:space="0" w:color="auto"/>
              <w:left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rsidR="005115D7" w:rsidRPr="000B5099" w:rsidRDefault="005115D7" w:rsidP="005115D7">
            <w:pPr>
              <w:spacing w:before="60" w:after="60" w:line="240" w:lineRule="auto"/>
              <w:ind w:right="195"/>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 xml:space="preserve">2.2. </w:t>
            </w:r>
            <w:r w:rsidR="009A3091" w:rsidRPr="000B5099">
              <w:rPr>
                <w:rFonts w:ascii="Tahoma" w:hAnsi="Tahoma" w:cs="Tahoma"/>
                <w:b/>
                <w:sz w:val="20"/>
                <w:szCs w:val="20"/>
                <w:lang w:val="en-GB"/>
              </w:rPr>
              <w:t>Fiscal Year concerned</w:t>
            </w:r>
            <w:r w:rsidRPr="000B5099">
              <w:rPr>
                <w:rFonts w:ascii="Tahoma" w:eastAsia="Times New Roman" w:hAnsi="Tahoma" w:cs="Tahoma"/>
                <w:b/>
                <w:bCs/>
                <w:color w:val="000000"/>
                <w:sz w:val="20"/>
                <w:szCs w:val="20"/>
                <w:lang w:val="en-GB"/>
              </w:rPr>
              <w:t>:</w:t>
            </w:r>
          </w:p>
        </w:tc>
        <w:tc>
          <w:tcPr>
            <w:tcW w:w="11483" w:type="dxa"/>
            <w:gridSpan w:val="13"/>
            <w:tcBorders>
              <w:top w:val="single" w:sz="4" w:space="0" w:color="auto"/>
              <w:left w:val="single" w:sz="4" w:space="0" w:color="auto"/>
              <w:bottom w:val="single" w:sz="6" w:space="0" w:color="000000"/>
              <w:right w:val="single" w:sz="6" w:space="0" w:color="000000"/>
            </w:tcBorders>
            <w:shd w:val="clear" w:color="auto" w:fill="FFFFFF"/>
          </w:tcPr>
          <w:p w:rsidR="005115D7" w:rsidRPr="000B5099" w:rsidRDefault="005115D7" w:rsidP="005115D7">
            <w:pPr>
              <w:spacing w:before="60" w:after="60" w:line="240" w:lineRule="auto"/>
              <w:ind w:right="195"/>
              <w:rPr>
                <w:rFonts w:ascii="Tahoma" w:eastAsia="Times New Roman" w:hAnsi="Tahoma" w:cs="Tahoma"/>
                <w:b/>
                <w:bCs/>
                <w:color w:val="000000"/>
                <w:sz w:val="20"/>
                <w:szCs w:val="20"/>
                <w:lang w:val="en-GB"/>
              </w:rPr>
            </w:pPr>
          </w:p>
        </w:tc>
      </w:tr>
      <w:tr w:rsidR="009E5248" w:rsidRPr="000B5099" w:rsidTr="00322605">
        <w:tc>
          <w:tcPr>
            <w:tcW w:w="993"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5115D7" w:rsidP="00D15E08">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2.3.</w:t>
            </w:r>
          </w:p>
          <w:p w:rsidR="00D15E08" w:rsidRPr="000B5099" w:rsidRDefault="009A3091" w:rsidP="009A3091">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Tax Jurisdictions</w:t>
            </w:r>
          </w:p>
        </w:tc>
        <w:tc>
          <w:tcPr>
            <w:tcW w:w="99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115D7" w:rsidRPr="000B5099" w:rsidRDefault="005115D7" w:rsidP="005115D7">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2.4.</w:t>
            </w:r>
          </w:p>
          <w:p w:rsidR="00244F66" w:rsidRPr="000B5099" w:rsidRDefault="009A3091" w:rsidP="002C2B5A">
            <w:pPr>
              <w:spacing w:before="60" w:after="60" w:line="240" w:lineRule="auto"/>
              <w:ind w:left="-146" w:right="58" w:firstLine="146"/>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 xml:space="preserve">Constituent Entities Resident in the Tax </w:t>
            </w:r>
            <w:r w:rsidR="00C61C69" w:rsidRPr="000B5099">
              <w:rPr>
                <w:rFonts w:ascii="Tahoma" w:hAnsi="Tahoma" w:cs="Tahoma"/>
                <w:b/>
                <w:sz w:val="20"/>
                <w:szCs w:val="20"/>
                <w:lang w:val="en-GB"/>
              </w:rPr>
              <w:t>Jurisdiction</w:t>
            </w:r>
          </w:p>
        </w:tc>
        <w:tc>
          <w:tcPr>
            <w:tcW w:w="1276"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E5248" w:rsidRPr="000B5099" w:rsidRDefault="009E5248"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2.5.</w:t>
            </w:r>
          </w:p>
          <w:p w:rsidR="00244F66" w:rsidRPr="000B5099" w:rsidRDefault="009A3091" w:rsidP="002C2B5A">
            <w:pPr>
              <w:spacing w:before="60" w:after="60" w:line="240" w:lineRule="auto"/>
              <w:ind w:right="-69"/>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Tax Jurisdiction of Organisation or Incorporatio</w:t>
            </w:r>
            <w:r w:rsidR="002C2B5A" w:rsidRPr="000B5099">
              <w:rPr>
                <w:rFonts w:ascii="Tahoma" w:hAnsi="Tahoma" w:cs="Tahoma"/>
                <w:b/>
                <w:sz w:val="20"/>
                <w:szCs w:val="20"/>
                <w:lang w:val="en-GB"/>
              </w:rPr>
              <w:t>n</w:t>
            </w:r>
            <w:r w:rsidRPr="000B5099">
              <w:rPr>
                <w:rFonts w:ascii="Tahoma" w:hAnsi="Tahoma" w:cs="Tahoma"/>
                <w:b/>
                <w:sz w:val="20"/>
                <w:szCs w:val="20"/>
                <w:lang w:val="en-GB"/>
              </w:rPr>
              <w:t xml:space="preserve"> if Different from Tax Jurisdiction of Residence</w:t>
            </w:r>
          </w:p>
        </w:tc>
        <w:tc>
          <w:tcPr>
            <w:tcW w:w="11483" w:type="dxa"/>
            <w:gridSpan w:val="1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9E5248" w:rsidP="002C2B5A">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2.6.</w:t>
            </w:r>
            <w:r w:rsidR="002C2B5A" w:rsidRPr="000B5099">
              <w:rPr>
                <w:rFonts w:ascii="Tahoma" w:eastAsia="Times New Roman" w:hAnsi="Tahoma" w:cs="Tahoma"/>
                <w:b/>
                <w:bCs/>
                <w:color w:val="000000"/>
                <w:sz w:val="20"/>
                <w:szCs w:val="20"/>
                <w:lang w:val="en-GB"/>
              </w:rPr>
              <w:t xml:space="preserve"> </w:t>
            </w:r>
            <w:r w:rsidR="002C2B5A" w:rsidRPr="000B5099">
              <w:rPr>
                <w:rFonts w:ascii="Tahoma" w:hAnsi="Tahoma" w:cs="Tahoma"/>
                <w:b/>
                <w:sz w:val="20"/>
                <w:szCs w:val="20"/>
                <w:lang w:val="en-GB"/>
              </w:rPr>
              <w:t>Main Business Activity(ies)</w:t>
            </w:r>
          </w:p>
        </w:tc>
      </w:tr>
      <w:tr w:rsidR="009E5248" w:rsidRPr="000B5099" w:rsidTr="004D3FAB">
        <w:tc>
          <w:tcPr>
            <w:tcW w:w="993"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300" w:line="240" w:lineRule="auto"/>
              <w:rPr>
                <w:rFonts w:ascii="Tahoma" w:eastAsia="Times New Roman" w:hAnsi="Tahoma" w:cs="Tahoma"/>
                <w:b/>
                <w:bCs/>
                <w:color w:val="000000"/>
                <w:sz w:val="20"/>
                <w:szCs w:val="20"/>
                <w:lang w:val="en-GB"/>
              </w:rPr>
            </w:pPr>
          </w:p>
        </w:tc>
        <w:tc>
          <w:tcPr>
            <w:tcW w:w="992"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300" w:line="240" w:lineRule="auto"/>
              <w:rPr>
                <w:rFonts w:ascii="Tahoma" w:eastAsia="Times New Roman" w:hAnsi="Tahoma" w:cs="Tahoma"/>
                <w:b/>
                <w:bCs/>
                <w:color w:val="000000"/>
                <w:sz w:val="20"/>
                <w:szCs w:val="20"/>
                <w:lang w:val="en-GB"/>
              </w:rPr>
            </w:pPr>
          </w:p>
        </w:tc>
        <w:tc>
          <w:tcPr>
            <w:tcW w:w="1276"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300" w:line="240" w:lineRule="auto"/>
              <w:rPr>
                <w:rFonts w:ascii="Tahoma" w:eastAsia="Times New Roman" w:hAnsi="Tahoma" w:cs="Tahoma"/>
                <w:b/>
                <w:bCs/>
                <w:color w:val="000000"/>
                <w:sz w:val="20"/>
                <w:szCs w:val="20"/>
                <w:lang w:val="en-GB"/>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2C2B5A">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Research and Development</w:t>
            </w:r>
            <w:r w:rsidRPr="000B5099">
              <w:rPr>
                <w:rFonts w:ascii="Tahoma" w:eastAsia="Times New Roman" w:hAnsi="Tahoma" w:cs="Tahoma"/>
                <w:b/>
                <w:bCs/>
                <w:color w:val="000000"/>
                <w:sz w:val="20"/>
                <w:szCs w:val="20"/>
                <w:lang w:val="en-GB"/>
              </w:rPr>
              <w:t xml:space="preserve"> </w:t>
            </w:r>
          </w:p>
        </w:tc>
        <w:tc>
          <w:tcPr>
            <w:tcW w:w="9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2C2B5A">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Holding and Managing Intellectual Property</w:t>
            </w:r>
          </w:p>
        </w:tc>
        <w:tc>
          <w:tcPr>
            <w:tcW w:w="7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9E5248">
            <w:pPr>
              <w:spacing w:before="60" w:after="60" w:line="240" w:lineRule="auto"/>
              <w:ind w:right="195"/>
              <w:rPr>
                <w:rFonts w:ascii="Tahoma" w:eastAsia="Times New Roman" w:hAnsi="Tahoma" w:cs="Tahoma"/>
                <w:b/>
                <w:bCs/>
                <w:color w:val="000000"/>
                <w:sz w:val="20"/>
                <w:szCs w:val="20"/>
                <w:lang w:val="en-GB"/>
              </w:rPr>
            </w:pPr>
            <w:r w:rsidRPr="000B5099">
              <w:rPr>
                <w:rFonts w:ascii="Tahoma" w:hAnsi="Tahoma" w:cs="Tahoma"/>
                <w:b/>
                <w:sz w:val="20"/>
                <w:szCs w:val="20"/>
                <w:lang w:val="en-GB"/>
              </w:rPr>
              <w:t>Procurement</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Production</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763F53" w:rsidP="00244F66">
            <w:pPr>
              <w:spacing w:before="60" w:after="60" w:line="240" w:lineRule="auto"/>
              <w:ind w:right="195"/>
              <w:jc w:val="center"/>
              <w:rPr>
                <w:rFonts w:ascii="Tahoma" w:eastAsia="Times New Roman" w:hAnsi="Tahoma" w:cs="Tahoma"/>
                <w:b/>
                <w:bCs/>
                <w:color w:val="000000"/>
                <w:sz w:val="20"/>
                <w:szCs w:val="20"/>
                <w:lang w:val="en-GB"/>
              </w:rPr>
            </w:pPr>
            <w:proofErr w:type="spellStart"/>
            <w:r>
              <w:rPr>
                <w:rFonts w:ascii="Tahoma" w:hAnsi="Tahoma" w:cs="Tahoma"/>
                <w:b/>
                <w:sz w:val="20"/>
                <w:szCs w:val="20"/>
                <w:lang w:val="en-GB"/>
              </w:rPr>
              <w:t>Sales,</w:t>
            </w:r>
            <w:r w:rsidR="002C2B5A" w:rsidRPr="000B5099">
              <w:rPr>
                <w:rFonts w:ascii="Tahoma" w:hAnsi="Tahoma" w:cs="Tahoma"/>
                <w:b/>
                <w:sz w:val="20"/>
                <w:szCs w:val="20"/>
                <w:lang w:val="en-GB"/>
              </w:rPr>
              <w:t>Marketing</w:t>
            </w:r>
            <w:proofErr w:type="spellEnd"/>
            <w:r w:rsidR="002C2B5A" w:rsidRPr="000B5099">
              <w:rPr>
                <w:rFonts w:ascii="Tahoma" w:hAnsi="Tahoma" w:cs="Tahoma"/>
                <w:b/>
                <w:sz w:val="20"/>
                <w:szCs w:val="20"/>
                <w:lang w:val="en-GB"/>
              </w:rPr>
              <w:t xml:space="preserve"> and Distribution</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9E5248">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Administrative, Management or Support Services</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9E5248">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Provision of Services to Unrelated Parties</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Internal Group Finance</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9A3091"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Financial Services</w:t>
            </w:r>
            <w:r w:rsidRPr="000B5099">
              <w:rPr>
                <w:rStyle w:val="FootnoteReference"/>
                <w:rFonts w:ascii="Tahoma" w:eastAsia="Times New Roman" w:hAnsi="Tahoma" w:cs="Tahoma"/>
                <w:b/>
                <w:bCs/>
                <w:color w:val="000000"/>
                <w:sz w:val="20"/>
                <w:szCs w:val="20"/>
                <w:lang w:val="en-GB"/>
              </w:rPr>
              <w:t xml:space="preserve"> </w:t>
            </w:r>
            <w:r w:rsidR="00322605" w:rsidRPr="000B5099">
              <w:rPr>
                <w:rStyle w:val="FootnoteReference"/>
                <w:rFonts w:ascii="Tahoma" w:eastAsia="Times New Roman" w:hAnsi="Tahoma" w:cs="Tahoma"/>
                <w:b/>
                <w:bCs/>
                <w:color w:val="000000"/>
                <w:sz w:val="20"/>
                <w:szCs w:val="20"/>
                <w:lang w:val="en-GB"/>
              </w:rPr>
              <w:footnoteReference w:id="1"/>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244F66">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Insurance</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C2B5A" w:rsidP="00322605">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hAnsi="Tahoma" w:cs="Tahoma"/>
                <w:b/>
                <w:sz w:val="20"/>
                <w:szCs w:val="20"/>
                <w:lang w:val="en-GB"/>
              </w:rPr>
              <w:t>Holding Shares or Other Equity instruments</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C2B5A" w:rsidRPr="000B5099" w:rsidRDefault="002C2B5A" w:rsidP="002C2B5A">
            <w:pPr>
              <w:rPr>
                <w:rFonts w:ascii="Tahoma" w:hAnsi="Tahoma" w:cs="Tahoma"/>
                <w:b/>
                <w:sz w:val="20"/>
                <w:szCs w:val="20"/>
                <w:lang w:val="en-GB"/>
              </w:rPr>
            </w:pPr>
            <w:r w:rsidRPr="000B5099">
              <w:rPr>
                <w:rFonts w:ascii="Tahoma" w:hAnsi="Tahoma" w:cs="Tahoma"/>
                <w:b/>
                <w:sz w:val="20"/>
                <w:szCs w:val="20"/>
                <w:lang w:val="en-GB"/>
              </w:rPr>
              <w:t>Dormant</w:t>
            </w:r>
          </w:p>
          <w:p w:rsidR="00244F66" w:rsidRPr="000B5099" w:rsidRDefault="00244F66" w:rsidP="00244F66">
            <w:pPr>
              <w:spacing w:before="60" w:after="60" w:line="240" w:lineRule="auto"/>
              <w:ind w:right="195"/>
              <w:jc w:val="center"/>
              <w:rPr>
                <w:rFonts w:ascii="Tahoma" w:eastAsia="Times New Roman" w:hAnsi="Tahoma" w:cs="Tahoma"/>
                <w:b/>
                <w:bCs/>
                <w:color w:val="000000"/>
                <w:sz w:val="20"/>
                <w:szCs w:val="20"/>
                <w:lang w:val="en-GB"/>
              </w:rPr>
            </w:pPr>
          </w:p>
        </w:tc>
        <w:tc>
          <w:tcPr>
            <w:tcW w:w="7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322605" w:rsidP="002C2B5A">
            <w:pPr>
              <w:spacing w:before="60" w:after="60" w:line="240" w:lineRule="auto"/>
              <w:ind w:right="195"/>
              <w:jc w:val="center"/>
              <w:rPr>
                <w:rFonts w:ascii="Tahoma" w:eastAsia="Times New Roman" w:hAnsi="Tahoma" w:cs="Tahoma"/>
                <w:b/>
                <w:bCs/>
                <w:color w:val="000000"/>
                <w:sz w:val="20"/>
                <w:szCs w:val="20"/>
                <w:lang w:val="en-GB"/>
              </w:rPr>
            </w:pPr>
            <w:r w:rsidRPr="000B5099">
              <w:rPr>
                <w:rFonts w:ascii="Tahoma" w:eastAsia="Times New Roman" w:hAnsi="Tahoma" w:cs="Tahoma"/>
                <w:b/>
                <w:bCs/>
                <w:color w:val="000000"/>
                <w:sz w:val="20"/>
                <w:szCs w:val="20"/>
                <w:lang w:val="en-GB"/>
              </w:rPr>
              <w:t>Ot</w:t>
            </w:r>
            <w:r w:rsidR="002C2B5A" w:rsidRPr="000B5099">
              <w:rPr>
                <w:rFonts w:ascii="Tahoma" w:eastAsia="Times New Roman" w:hAnsi="Tahoma" w:cs="Tahoma"/>
                <w:b/>
                <w:bCs/>
                <w:color w:val="000000"/>
                <w:sz w:val="20"/>
                <w:szCs w:val="20"/>
                <w:lang w:val="en-GB"/>
              </w:rPr>
              <w:t>her</w:t>
            </w:r>
          </w:p>
        </w:tc>
      </w:tr>
      <w:tr w:rsidR="00322605" w:rsidRPr="000B5099" w:rsidTr="00C4143A">
        <w:tc>
          <w:tcPr>
            <w:tcW w:w="993"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60" w:after="60" w:line="240" w:lineRule="auto"/>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1.</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r w:rsidR="00322605" w:rsidRPr="000B5099" w:rsidTr="00C4143A">
        <w:tc>
          <w:tcPr>
            <w:tcW w:w="993"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300" w:line="240" w:lineRule="auto"/>
              <w:rPr>
                <w:rFonts w:ascii="Tahoma" w:eastAsia="Times New Roman" w:hAnsi="Tahoma" w:cs="Tahoma"/>
                <w:color w:val="000000"/>
                <w:sz w:val="20"/>
                <w:szCs w:val="20"/>
                <w:lang w:val="en-GB"/>
              </w:rPr>
            </w:pP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60" w:after="60" w:line="240" w:lineRule="auto"/>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2.</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r w:rsidR="00322605" w:rsidRPr="000B5099" w:rsidTr="00C4143A">
        <w:tc>
          <w:tcPr>
            <w:tcW w:w="993"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60" w:after="60" w:line="240" w:lineRule="auto"/>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1.</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r w:rsidR="00322605" w:rsidRPr="000B5099" w:rsidTr="00C4143A">
        <w:tc>
          <w:tcPr>
            <w:tcW w:w="993"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44F66" w:rsidRPr="000B5099" w:rsidRDefault="00244F66" w:rsidP="00244F66">
            <w:pPr>
              <w:spacing w:after="300" w:line="240" w:lineRule="auto"/>
              <w:rPr>
                <w:rFonts w:ascii="Tahoma" w:eastAsia="Times New Roman" w:hAnsi="Tahoma" w:cs="Tahoma"/>
                <w:color w:val="000000"/>
                <w:sz w:val="20"/>
                <w:szCs w:val="20"/>
                <w:lang w:val="en-GB"/>
              </w:rPr>
            </w:pP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60" w:after="60" w:line="240" w:lineRule="auto"/>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2.</w:t>
            </w:r>
          </w:p>
        </w:tc>
        <w:tc>
          <w:tcPr>
            <w:tcW w:w="12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c>
          <w:tcPr>
            <w:tcW w:w="7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44F66" w:rsidRPr="000B5099" w:rsidRDefault="00244F66" w:rsidP="00244F66">
            <w:pPr>
              <w:spacing w:before="120" w:after="0" w:line="240" w:lineRule="auto"/>
              <w:jc w:val="both"/>
              <w:rPr>
                <w:rFonts w:ascii="Tahoma" w:eastAsia="Times New Roman" w:hAnsi="Tahoma" w:cs="Tahoma"/>
                <w:color w:val="000000"/>
                <w:sz w:val="20"/>
                <w:szCs w:val="20"/>
                <w:lang w:val="en-GB"/>
              </w:rPr>
            </w:pPr>
            <w:r w:rsidRPr="000B5099">
              <w:rPr>
                <w:rFonts w:ascii="Tahoma" w:eastAsia="Times New Roman" w:hAnsi="Tahoma" w:cs="Tahoma"/>
                <w:color w:val="000000"/>
                <w:sz w:val="20"/>
                <w:szCs w:val="20"/>
                <w:lang w:val="en-GB"/>
              </w:rPr>
              <w:t> </w:t>
            </w:r>
          </w:p>
        </w:tc>
      </w:tr>
    </w:tbl>
    <w:p w:rsidR="00244F66" w:rsidRPr="000B5099" w:rsidRDefault="00244F66" w:rsidP="00244F66">
      <w:pPr>
        <w:spacing w:after="160" w:line="259" w:lineRule="auto"/>
        <w:rPr>
          <w:rFonts w:ascii="Tahoma" w:eastAsiaTheme="minorHAnsi" w:hAnsi="Tahoma" w:cs="Tahoma"/>
          <w:sz w:val="20"/>
          <w:szCs w:val="20"/>
          <w:lang w:val="en-GB"/>
        </w:rPr>
      </w:pPr>
    </w:p>
    <w:p w:rsidR="00685247" w:rsidRPr="000B5099" w:rsidRDefault="002C2B5A" w:rsidP="007B0539">
      <w:pPr>
        <w:rPr>
          <w:rFonts w:ascii="Tahoma" w:hAnsi="Tahoma" w:cs="Tahoma"/>
          <w:b/>
          <w:sz w:val="20"/>
          <w:szCs w:val="20"/>
          <w:lang w:val="en-GB"/>
        </w:rPr>
      </w:pPr>
      <w:r w:rsidRPr="000B5099">
        <w:rPr>
          <w:rFonts w:ascii="Tahoma" w:hAnsi="Tahoma" w:cs="Tahoma"/>
          <w:b/>
          <w:sz w:val="20"/>
          <w:szCs w:val="20"/>
          <w:lang w:val="en-GB"/>
        </w:rPr>
        <w:t>Table 3: Additional information</w:t>
      </w:r>
    </w:p>
    <w:tbl>
      <w:tblPr>
        <w:tblW w:w="14853"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11598"/>
      </w:tblGrid>
      <w:tr w:rsidR="00322605" w:rsidRPr="000B5099" w:rsidTr="000B5099">
        <w:trPr>
          <w:trHeight w:val="640"/>
        </w:trPr>
        <w:tc>
          <w:tcPr>
            <w:tcW w:w="3255" w:type="dxa"/>
          </w:tcPr>
          <w:p w:rsidR="00322605" w:rsidRPr="000B5099" w:rsidRDefault="00322605" w:rsidP="004D3FAB">
            <w:pPr>
              <w:pStyle w:val="NoSpacing"/>
              <w:rPr>
                <w:rFonts w:ascii="Tahoma" w:hAnsi="Tahoma" w:cs="Tahoma"/>
                <w:b/>
                <w:sz w:val="20"/>
                <w:szCs w:val="20"/>
                <w:lang w:val="en-GB"/>
              </w:rPr>
            </w:pPr>
            <w:r w:rsidRPr="000B5099">
              <w:rPr>
                <w:rFonts w:ascii="Tahoma" w:hAnsi="Tahoma" w:cs="Tahoma"/>
                <w:b/>
                <w:sz w:val="20"/>
                <w:szCs w:val="20"/>
                <w:lang w:val="en-GB"/>
              </w:rPr>
              <w:t xml:space="preserve">3.1. </w:t>
            </w:r>
            <w:r w:rsidR="00E2131B" w:rsidRPr="000B5099">
              <w:rPr>
                <w:rFonts w:ascii="Tahoma" w:hAnsi="Tahoma" w:cs="Tahoma"/>
                <w:b/>
                <w:sz w:val="20"/>
                <w:szCs w:val="20"/>
                <w:lang w:val="en-GB"/>
              </w:rPr>
              <w:t>Name of the MNE Group</w:t>
            </w:r>
          </w:p>
        </w:tc>
        <w:tc>
          <w:tcPr>
            <w:tcW w:w="11598" w:type="dxa"/>
          </w:tcPr>
          <w:p w:rsidR="00322605" w:rsidRPr="000B5099" w:rsidRDefault="00322605" w:rsidP="00322605">
            <w:pPr>
              <w:ind w:left="706"/>
              <w:rPr>
                <w:rFonts w:ascii="Tahoma" w:hAnsi="Tahoma" w:cs="Tahoma"/>
                <w:sz w:val="20"/>
                <w:szCs w:val="20"/>
                <w:lang w:val="en-GB"/>
              </w:rPr>
            </w:pPr>
          </w:p>
        </w:tc>
      </w:tr>
      <w:tr w:rsidR="00322605" w:rsidRPr="000B5099" w:rsidTr="000B5099">
        <w:trPr>
          <w:trHeight w:val="420"/>
        </w:trPr>
        <w:tc>
          <w:tcPr>
            <w:tcW w:w="3255" w:type="dxa"/>
          </w:tcPr>
          <w:p w:rsidR="00322605" w:rsidRPr="000B5099" w:rsidRDefault="00322605" w:rsidP="004D3FAB">
            <w:pPr>
              <w:rPr>
                <w:rFonts w:ascii="Tahoma" w:hAnsi="Tahoma" w:cs="Tahoma"/>
                <w:b/>
                <w:sz w:val="20"/>
                <w:szCs w:val="20"/>
                <w:lang w:val="en-GB"/>
              </w:rPr>
            </w:pPr>
            <w:r w:rsidRPr="000B5099">
              <w:rPr>
                <w:rFonts w:ascii="Tahoma" w:hAnsi="Tahoma" w:cs="Tahoma"/>
                <w:b/>
                <w:sz w:val="20"/>
                <w:szCs w:val="20"/>
                <w:lang w:val="en-GB"/>
              </w:rPr>
              <w:t>3.2.</w:t>
            </w:r>
            <w:r w:rsidR="00E2131B" w:rsidRPr="000B5099">
              <w:rPr>
                <w:rFonts w:ascii="Tahoma" w:hAnsi="Tahoma" w:cs="Tahoma"/>
                <w:b/>
                <w:sz w:val="20"/>
                <w:szCs w:val="20"/>
                <w:lang w:val="en-GB"/>
              </w:rPr>
              <w:t xml:space="preserve"> Fiscal Year concerned</w:t>
            </w:r>
          </w:p>
        </w:tc>
        <w:tc>
          <w:tcPr>
            <w:tcW w:w="11598" w:type="dxa"/>
          </w:tcPr>
          <w:p w:rsidR="00322605" w:rsidRPr="000B5099" w:rsidRDefault="00322605" w:rsidP="00322605">
            <w:pPr>
              <w:ind w:left="706"/>
              <w:rPr>
                <w:rFonts w:ascii="Tahoma" w:hAnsi="Tahoma" w:cs="Tahoma"/>
                <w:sz w:val="20"/>
                <w:szCs w:val="20"/>
                <w:lang w:val="en-GB"/>
              </w:rPr>
            </w:pPr>
          </w:p>
        </w:tc>
      </w:tr>
      <w:tr w:rsidR="00322605" w:rsidRPr="000B5099" w:rsidTr="000B5099">
        <w:trPr>
          <w:trHeight w:val="354"/>
        </w:trPr>
        <w:tc>
          <w:tcPr>
            <w:tcW w:w="14853" w:type="dxa"/>
            <w:gridSpan w:val="2"/>
          </w:tcPr>
          <w:p w:rsidR="00322605" w:rsidRPr="000B5099" w:rsidRDefault="00322605" w:rsidP="004D3FAB">
            <w:pPr>
              <w:rPr>
                <w:rFonts w:ascii="Tahoma" w:hAnsi="Tahoma" w:cs="Tahoma"/>
                <w:b/>
                <w:sz w:val="20"/>
                <w:szCs w:val="20"/>
                <w:lang w:val="en-GB"/>
              </w:rPr>
            </w:pPr>
            <w:r w:rsidRPr="000B5099">
              <w:rPr>
                <w:rFonts w:ascii="Tahoma" w:hAnsi="Tahoma" w:cs="Tahoma"/>
                <w:b/>
                <w:sz w:val="20"/>
                <w:szCs w:val="20"/>
                <w:lang w:val="en-GB"/>
              </w:rPr>
              <w:t>3.3.</w:t>
            </w:r>
            <w:r w:rsidR="004D3FAB" w:rsidRPr="000B5099">
              <w:rPr>
                <w:rFonts w:ascii="Tahoma" w:hAnsi="Tahoma" w:cs="Tahoma"/>
                <w:b/>
                <w:sz w:val="20"/>
                <w:szCs w:val="20"/>
                <w:lang w:val="en-GB"/>
              </w:rPr>
              <w:t xml:space="preserve"> </w:t>
            </w:r>
            <w:r w:rsidR="00E2131B" w:rsidRPr="000B5099">
              <w:rPr>
                <w:rFonts w:ascii="Tahoma" w:hAnsi="Tahoma" w:cs="Tahoma"/>
                <w:b/>
                <w:sz w:val="20"/>
                <w:szCs w:val="20"/>
                <w:lang w:val="en-GB"/>
              </w:rPr>
              <w:t>Additional information</w:t>
            </w:r>
          </w:p>
        </w:tc>
      </w:tr>
      <w:tr w:rsidR="00322605" w:rsidRPr="000B5099" w:rsidTr="000B5099">
        <w:trPr>
          <w:trHeight w:val="1065"/>
        </w:trPr>
        <w:tc>
          <w:tcPr>
            <w:tcW w:w="14853" w:type="dxa"/>
            <w:gridSpan w:val="2"/>
          </w:tcPr>
          <w:p w:rsidR="00322605" w:rsidRPr="000B5099" w:rsidRDefault="00322605" w:rsidP="00322605">
            <w:pPr>
              <w:ind w:left="706"/>
              <w:rPr>
                <w:rFonts w:ascii="Tahoma" w:hAnsi="Tahoma" w:cs="Tahoma"/>
                <w:b/>
                <w:sz w:val="20"/>
                <w:szCs w:val="20"/>
                <w:lang w:val="en-GB"/>
              </w:rPr>
            </w:pPr>
          </w:p>
        </w:tc>
      </w:tr>
    </w:tbl>
    <w:p w:rsidR="004D3FAB" w:rsidRPr="000B5099" w:rsidRDefault="004D3FAB" w:rsidP="004D3FAB">
      <w:pPr>
        <w:spacing w:after="160" w:line="259" w:lineRule="auto"/>
        <w:rPr>
          <w:rFonts w:ascii="Tahoma" w:hAnsi="Tahoma" w:cs="Tahoma"/>
          <w:b/>
          <w:sz w:val="20"/>
          <w:szCs w:val="20"/>
          <w:lang w:val="en-GB"/>
        </w:rPr>
      </w:pPr>
    </w:p>
    <w:p w:rsidR="004D3FAB" w:rsidRPr="000B5099" w:rsidRDefault="004D3FAB" w:rsidP="004D3FAB">
      <w:pPr>
        <w:spacing w:after="160" w:line="259" w:lineRule="auto"/>
        <w:rPr>
          <w:rFonts w:ascii="Tahoma" w:hAnsi="Tahoma" w:cs="Tahoma"/>
          <w:b/>
          <w:sz w:val="20"/>
          <w:szCs w:val="20"/>
          <w:lang w:val="en-GB"/>
        </w:rPr>
      </w:pPr>
    </w:p>
    <w:tbl>
      <w:tblPr>
        <w:tblW w:w="148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6"/>
      </w:tblGrid>
      <w:tr w:rsidR="004D3FAB" w:rsidRPr="000B5099" w:rsidTr="000B5099">
        <w:trPr>
          <w:trHeight w:val="885"/>
        </w:trPr>
        <w:tc>
          <w:tcPr>
            <w:tcW w:w="14856" w:type="dxa"/>
          </w:tcPr>
          <w:p w:rsidR="004D3FAB" w:rsidRPr="000B5099" w:rsidRDefault="00E2131B" w:rsidP="004D3FAB">
            <w:pPr>
              <w:tabs>
                <w:tab w:val="left" w:pos="13185"/>
              </w:tabs>
              <w:spacing w:after="160" w:line="259" w:lineRule="auto"/>
              <w:rPr>
                <w:rFonts w:ascii="Tahoma" w:hAnsi="Tahoma" w:cs="Tahoma"/>
                <w:b/>
                <w:sz w:val="20"/>
                <w:szCs w:val="20"/>
                <w:lang w:val="en-GB"/>
              </w:rPr>
            </w:pPr>
            <w:r w:rsidRPr="000B5099">
              <w:rPr>
                <w:rFonts w:ascii="Tahoma" w:hAnsi="Tahoma" w:cs="Tahoma"/>
                <w:b/>
                <w:sz w:val="20"/>
                <w:szCs w:val="20"/>
                <w:lang w:val="en-GB"/>
              </w:rPr>
              <w:t>Place</w:t>
            </w:r>
            <w:r w:rsidR="004D3FAB" w:rsidRPr="000B5099">
              <w:rPr>
                <w:rFonts w:ascii="Tahoma" w:hAnsi="Tahoma" w:cs="Tahoma"/>
                <w:b/>
                <w:sz w:val="20"/>
                <w:szCs w:val="20"/>
                <w:lang w:val="en-GB"/>
              </w:rPr>
              <w:t xml:space="preserve"> _____________________                                                                                                                                         </w:t>
            </w:r>
          </w:p>
          <w:p w:rsidR="004D3FAB" w:rsidRPr="000B5099" w:rsidRDefault="00E2131B" w:rsidP="00E2131B">
            <w:pPr>
              <w:tabs>
                <w:tab w:val="left" w:pos="12255"/>
              </w:tabs>
              <w:spacing w:after="160" w:line="259" w:lineRule="auto"/>
              <w:rPr>
                <w:rFonts w:ascii="Tahoma" w:hAnsi="Tahoma" w:cs="Tahoma"/>
                <w:b/>
                <w:sz w:val="20"/>
                <w:szCs w:val="20"/>
                <w:lang w:val="en-GB"/>
              </w:rPr>
            </w:pPr>
            <w:r w:rsidRPr="000B5099">
              <w:rPr>
                <w:rFonts w:ascii="Tahoma" w:hAnsi="Tahoma" w:cs="Tahoma"/>
                <w:b/>
                <w:sz w:val="20"/>
                <w:szCs w:val="20"/>
                <w:lang w:val="en-GB"/>
              </w:rPr>
              <w:t xml:space="preserve">Date </w:t>
            </w:r>
            <w:r w:rsidR="004D3FAB" w:rsidRPr="000B5099">
              <w:rPr>
                <w:rFonts w:ascii="Tahoma" w:hAnsi="Tahoma" w:cs="Tahoma"/>
                <w:b/>
                <w:sz w:val="20"/>
                <w:szCs w:val="20"/>
                <w:lang w:val="en-GB"/>
              </w:rPr>
              <w:t>____________</w:t>
            </w:r>
            <w:r w:rsidR="004D3FAB" w:rsidRPr="000B5099">
              <w:rPr>
                <w:rFonts w:ascii="Tahoma" w:hAnsi="Tahoma" w:cs="Tahoma"/>
                <w:b/>
                <w:sz w:val="20"/>
                <w:szCs w:val="20"/>
                <w:lang w:val="en-GB"/>
              </w:rPr>
              <w:tab/>
              <w:t xml:space="preserve">                  </w:t>
            </w:r>
            <w:r w:rsidRPr="000B5099">
              <w:rPr>
                <w:rFonts w:ascii="Tahoma" w:hAnsi="Tahoma" w:cs="Tahoma"/>
                <w:b/>
                <w:sz w:val="20"/>
                <w:szCs w:val="20"/>
                <w:lang w:val="en-GB"/>
              </w:rPr>
              <w:t>Responsible person</w:t>
            </w:r>
          </w:p>
        </w:tc>
      </w:tr>
    </w:tbl>
    <w:p w:rsidR="004F4AD4" w:rsidRPr="00C61C69" w:rsidRDefault="004F4AD4" w:rsidP="004022DD">
      <w:pPr>
        <w:spacing w:after="160" w:line="259" w:lineRule="auto"/>
        <w:jc w:val="center"/>
        <w:rPr>
          <w:rFonts w:ascii="Tahoma" w:hAnsi="Tahoma" w:cs="Tahoma"/>
          <w:b/>
          <w:sz w:val="24"/>
          <w:szCs w:val="24"/>
          <w:lang w:val="en-GB"/>
        </w:rPr>
      </w:pPr>
    </w:p>
    <w:p w:rsidR="00246D15" w:rsidRPr="00C61C69" w:rsidRDefault="00281C1F" w:rsidP="00D15E08">
      <w:pPr>
        <w:spacing w:after="160" w:line="259" w:lineRule="auto"/>
        <w:jc w:val="center"/>
        <w:rPr>
          <w:rFonts w:ascii="Tahoma" w:hAnsi="Tahoma" w:cs="Tahoma"/>
          <w:b/>
          <w:sz w:val="24"/>
          <w:szCs w:val="24"/>
          <w:lang w:val="en-GB"/>
        </w:rPr>
      </w:pPr>
      <w:r w:rsidRPr="00C61C69">
        <w:rPr>
          <w:rFonts w:ascii="Tahoma" w:hAnsi="Tahoma" w:cs="Tahoma"/>
          <w:b/>
          <w:sz w:val="24"/>
          <w:szCs w:val="24"/>
          <w:lang w:val="en-GB"/>
        </w:rPr>
        <w:t>Instructions for filling the report</w:t>
      </w:r>
      <w:r w:rsidR="004F4AD4" w:rsidRPr="00C61C69">
        <w:rPr>
          <w:rFonts w:ascii="Tahoma" w:hAnsi="Tahoma" w:cs="Tahoma"/>
          <w:b/>
          <w:sz w:val="24"/>
          <w:szCs w:val="24"/>
          <w:lang w:val="en-GB"/>
        </w:rPr>
        <w:t>:</w:t>
      </w:r>
    </w:p>
    <w:p w:rsidR="004F4AD4" w:rsidRPr="00C61C69" w:rsidRDefault="004F4AD4"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1.</w:t>
      </w:r>
      <w:r w:rsidR="00CA4559" w:rsidRPr="00C61C69">
        <w:rPr>
          <w:rFonts w:ascii="Tahoma" w:eastAsia="Times New Roman" w:hAnsi="Tahoma" w:cs="Tahoma"/>
          <w:sz w:val="24"/>
          <w:szCs w:val="24"/>
          <w:lang w:val="en-GB"/>
        </w:rPr>
        <w:t xml:space="preserve"> </w:t>
      </w:r>
      <w:r w:rsidR="00281C1F" w:rsidRPr="00C61C69">
        <w:rPr>
          <w:rFonts w:ascii="Tahoma" w:hAnsi="Tahoma" w:cs="Tahoma"/>
          <w:sz w:val="24"/>
          <w:szCs w:val="24"/>
          <w:lang w:val="en-GB"/>
        </w:rPr>
        <w:t>The reporting MNE Group Constituent Entity shall report the following information</w:t>
      </w:r>
      <w:r w:rsidRPr="00C61C69">
        <w:rPr>
          <w:rFonts w:ascii="Tahoma" w:eastAsia="Times New Roman" w:hAnsi="Tahoma" w:cs="Tahoma"/>
          <w:sz w:val="24"/>
          <w:szCs w:val="24"/>
          <w:lang w:val="en-GB"/>
        </w:rPr>
        <w:t>:</w:t>
      </w:r>
    </w:p>
    <w:p w:rsidR="004F4AD4" w:rsidRPr="00C61C69" w:rsidRDefault="00CA4559"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281C1F" w:rsidRPr="00C61C69">
        <w:rPr>
          <w:rFonts w:ascii="Tahoma" w:hAnsi="Tahoma" w:cs="Tahoma"/>
          <w:sz w:val="24"/>
          <w:szCs w:val="24"/>
          <w:lang w:val="en-GB"/>
        </w:rPr>
        <w:t>the sum of revenues of all the Constituent Entities of the MNE Group in the tax jurisdiction generated from transactions with associated enterprises</w:t>
      </w:r>
      <w:r w:rsidR="00493BFC" w:rsidRPr="00C61C69">
        <w:rPr>
          <w:rFonts w:ascii="Tahoma" w:eastAsia="Times New Roman" w:hAnsi="Tahoma" w:cs="Tahoma"/>
          <w:sz w:val="24"/>
          <w:szCs w:val="24"/>
          <w:lang w:val="en-GB"/>
        </w:rPr>
        <w:t>,</w:t>
      </w:r>
    </w:p>
    <w:p w:rsidR="004F4AD4" w:rsidRPr="00C61C69" w:rsidRDefault="00CA4559"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lastRenderedPageBreak/>
        <w:t xml:space="preserve">- </w:t>
      </w:r>
      <w:r w:rsidR="00281C1F" w:rsidRPr="00C61C69">
        <w:rPr>
          <w:rFonts w:ascii="Tahoma" w:hAnsi="Tahoma" w:cs="Tahoma"/>
          <w:sz w:val="24"/>
          <w:szCs w:val="24"/>
          <w:lang w:val="en-GB"/>
        </w:rPr>
        <w:t>the sum of revenues of all the Constituent Entities of the MNE Group in the tax jurisdiction generated from transactions with independent parties</w:t>
      </w:r>
      <w:r w:rsidR="00493BFC" w:rsidRPr="00C61C69">
        <w:rPr>
          <w:rFonts w:ascii="Tahoma" w:eastAsia="Times New Roman" w:hAnsi="Tahoma" w:cs="Tahoma"/>
          <w:sz w:val="24"/>
          <w:szCs w:val="24"/>
          <w:lang w:val="en-GB"/>
        </w:rPr>
        <w:t>,</w:t>
      </w:r>
      <w:r w:rsidR="004F4AD4" w:rsidRPr="00C61C69">
        <w:rPr>
          <w:rFonts w:ascii="Tahoma" w:eastAsia="Times New Roman" w:hAnsi="Tahoma" w:cs="Tahoma"/>
          <w:sz w:val="24"/>
          <w:szCs w:val="24"/>
          <w:lang w:val="en-GB"/>
        </w:rPr>
        <w:t xml:space="preserve"> </w:t>
      </w:r>
      <w:r w:rsidR="00281C1F" w:rsidRPr="00C61C69">
        <w:rPr>
          <w:rFonts w:ascii="Tahoma" w:eastAsia="Times New Roman" w:hAnsi="Tahoma" w:cs="Tahoma"/>
          <w:sz w:val="24"/>
          <w:szCs w:val="24"/>
          <w:lang w:val="en-GB"/>
        </w:rPr>
        <w:t>and</w:t>
      </w:r>
      <w:r w:rsidR="004F4AD4" w:rsidRPr="00C61C69">
        <w:rPr>
          <w:rFonts w:ascii="Tahoma" w:eastAsia="Times New Roman" w:hAnsi="Tahoma" w:cs="Tahoma"/>
          <w:sz w:val="24"/>
          <w:szCs w:val="24"/>
          <w:lang w:val="en-GB"/>
        </w:rPr>
        <w:t xml:space="preserve"> </w:t>
      </w:r>
    </w:p>
    <w:p w:rsidR="004F4AD4" w:rsidRPr="00C61C69" w:rsidRDefault="00CA4559"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281C1F" w:rsidRPr="00C61C69">
        <w:rPr>
          <w:rFonts w:ascii="Tahoma" w:hAnsi="Tahoma" w:cs="Tahoma"/>
          <w:sz w:val="24"/>
          <w:szCs w:val="24"/>
          <w:lang w:val="en-GB"/>
        </w:rPr>
        <w:t xml:space="preserve">the total of the sums referred to in </w:t>
      </w:r>
      <w:r w:rsidR="00C61C69" w:rsidRPr="00C61C69">
        <w:rPr>
          <w:rFonts w:ascii="Tahoma" w:hAnsi="Tahoma" w:cs="Tahoma"/>
          <w:sz w:val="24"/>
          <w:szCs w:val="24"/>
          <w:lang w:val="en-GB"/>
        </w:rPr>
        <w:t>sub points</w:t>
      </w:r>
      <w:r w:rsidR="00281C1F" w:rsidRPr="00C61C69">
        <w:rPr>
          <w:rFonts w:ascii="Tahoma" w:hAnsi="Tahoma" w:cs="Tahoma"/>
          <w:sz w:val="24"/>
          <w:szCs w:val="24"/>
          <w:lang w:val="en-GB"/>
        </w:rPr>
        <w:t xml:space="preserve"> (a) and (b)</w:t>
      </w:r>
      <w:r w:rsidR="00281C1F" w:rsidRPr="00C61C69">
        <w:rPr>
          <w:rFonts w:ascii="Tahoma" w:eastAsia="Times New Roman" w:hAnsi="Tahoma" w:cs="Tahoma"/>
          <w:sz w:val="24"/>
          <w:szCs w:val="24"/>
          <w:lang w:val="en-GB"/>
        </w:rPr>
        <w:t xml:space="preserve"> of this item</w:t>
      </w:r>
      <w:r w:rsidR="004F4AD4" w:rsidRPr="00C61C69">
        <w:rPr>
          <w:rFonts w:ascii="Tahoma" w:eastAsia="Times New Roman" w:hAnsi="Tahoma" w:cs="Tahoma"/>
          <w:sz w:val="24"/>
          <w:szCs w:val="24"/>
          <w:lang w:val="en-GB"/>
        </w:rPr>
        <w:t>.</w:t>
      </w:r>
    </w:p>
    <w:p w:rsidR="004F4AD4" w:rsidRPr="00C61C69" w:rsidRDefault="00A96880"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2. </w:t>
      </w:r>
      <w:r w:rsidR="00281C1F" w:rsidRPr="00C61C69">
        <w:rPr>
          <w:rFonts w:ascii="Tahoma" w:hAnsi="Tahoma" w:cs="Tahoma"/>
          <w:sz w:val="24"/>
          <w:szCs w:val="24"/>
          <w:lang w:val="en-GB"/>
        </w:rPr>
        <w:t>Revenues shall include revenues from sales of inventory and properties, services, royalties, interest, premiums and any other amounts. Revenues shall exclude payments received from other Constituent Entities that are treated as dividends in the payer's tax jurisdiction</w:t>
      </w:r>
      <w:r w:rsidR="004F4AD4" w:rsidRPr="00C61C69">
        <w:rPr>
          <w:rFonts w:ascii="Tahoma" w:eastAsia="Times New Roman" w:hAnsi="Tahoma" w:cs="Tahoma"/>
          <w:sz w:val="24"/>
          <w:szCs w:val="24"/>
          <w:lang w:val="en-GB"/>
        </w:rPr>
        <w:t>.</w:t>
      </w:r>
    </w:p>
    <w:p w:rsidR="004F4AD4" w:rsidRPr="00C61C69" w:rsidRDefault="00CA4559"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3.</w:t>
      </w:r>
      <w:r w:rsidR="00281C1F" w:rsidRPr="00C61C69">
        <w:rPr>
          <w:rFonts w:ascii="Tahoma" w:hAnsi="Tahoma" w:cs="Tahoma"/>
          <w:sz w:val="24"/>
          <w:szCs w:val="24"/>
          <w:lang w:val="en-GB"/>
        </w:rPr>
        <w:t xml:space="preserve"> The reporting MNE Group Constituent Entity shall report the sum of the profit (loss) before income tax for all the Constituent Entities resident for tax purposes in the relevant tax jurisdiction</w:t>
      </w:r>
      <w:r w:rsidR="004F4AD4" w:rsidRPr="00C61C69">
        <w:rPr>
          <w:rFonts w:ascii="Tahoma" w:eastAsia="Times New Roman" w:hAnsi="Tahoma" w:cs="Tahoma"/>
          <w:sz w:val="24"/>
          <w:szCs w:val="24"/>
          <w:lang w:val="en-GB"/>
        </w:rPr>
        <w:t>.</w:t>
      </w:r>
    </w:p>
    <w:p w:rsidR="004F4AD4" w:rsidRPr="00C61C69" w:rsidRDefault="004F4AD4" w:rsidP="00D15E08">
      <w:pPr>
        <w:spacing w:after="0"/>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4. </w:t>
      </w:r>
      <w:r w:rsidR="00281C1F" w:rsidRPr="00C61C69">
        <w:rPr>
          <w:rFonts w:ascii="Tahoma" w:hAnsi="Tahoma" w:cs="Tahoma"/>
          <w:sz w:val="24"/>
          <w:szCs w:val="24"/>
          <w:lang w:val="en-GB"/>
        </w:rPr>
        <w:t>The profit (loss) before income tax shall include all extraordinary income and expense items</w:t>
      </w:r>
      <w:r w:rsidRPr="00C61C69">
        <w:rPr>
          <w:rFonts w:ascii="Tahoma" w:eastAsia="Times New Roman" w:hAnsi="Tahoma" w:cs="Tahoma"/>
          <w:sz w:val="24"/>
          <w:szCs w:val="24"/>
          <w:lang w:val="en-GB"/>
        </w:rPr>
        <w:t xml:space="preserve">. </w:t>
      </w:r>
    </w:p>
    <w:p w:rsidR="004F4AD4" w:rsidRPr="00C61C69" w:rsidRDefault="00CA4559"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5. </w:t>
      </w:r>
      <w:r w:rsidR="00281C1F" w:rsidRPr="00C61C69">
        <w:rPr>
          <w:rFonts w:ascii="Tahoma" w:hAnsi="Tahoma" w:cs="Tahoma"/>
          <w:sz w:val="24"/>
          <w:szCs w:val="24"/>
          <w:lang w:val="en-GB"/>
        </w:rPr>
        <w:t>The reporting MNE Group Constituent Entity shall report the sum of the accrued current tax expense recorded on taxable profits or losses of the year of reporting of all the Constituent Entities resident for tax purposes in the relevant tax jurisdiction</w:t>
      </w:r>
      <w:r w:rsidR="004F4AD4" w:rsidRPr="00C61C69">
        <w:rPr>
          <w:rFonts w:ascii="Tahoma" w:eastAsia="Times New Roman" w:hAnsi="Tahoma" w:cs="Tahoma"/>
          <w:sz w:val="24"/>
          <w:szCs w:val="24"/>
          <w:lang w:val="en-GB"/>
        </w:rPr>
        <w:t>.</w:t>
      </w:r>
    </w:p>
    <w:p w:rsidR="004F4AD4" w:rsidRPr="00C61C69" w:rsidRDefault="004F4AD4" w:rsidP="00D15E08">
      <w:pPr>
        <w:spacing w:after="0" w:line="240" w:lineRule="auto"/>
        <w:jc w:val="both"/>
        <w:rPr>
          <w:rFonts w:ascii="Tahoma" w:eastAsia="Times New Roman" w:hAnsi="Tahoma" w:cs="Tahoma"/>
          <w:color w:val="000000" w:themeColor="text1"/>
          <w:sz w:val="24"/>
          <w:szCs w:val="24"/>
          <w:lang w:val="en-GB"/>
        </w:rPr>
      </w:pPr>
      <w:r w:rsidRPr="00C61C69">
        <w:rPr>
          <w:rFonts w:ascii="Tahoma" w:eastAsia="Times New Roman" w:hAnsi="Tahoma" w:cs="Tahoma"/>
          <w:color w:val="000000" w:themeColor="text1"/>
          <w:sz w:val="24"/>
          <w:szCs w:val="24"/>
          <w:lang w:val="en-GB"/>
        </w:rPr>
        <w:t xml:space="preserve">6. </w:t>
      </w:r>
      <w:r w:rsidR="00281C1F" w:rsidRPr="00C61C69">
        <w:rPr>
          <w:rFonts w:ascii="Tahoma" w:hAnsi="Tahoma" w:cs="Tahoma"/>
          <w:sz w:val="24"/>
          <w:szCs w:val="24"/>
          <w:lang w:val="en-GB"/>
        </w:rPr>
        <w:t>The current tax expense shall reflect only operations in the current year and shall not include deferred taxes or provisions for uncertain tax liabilities</w:t>
      </w:r>
      <w:r w:rsidRPr="00C61C69">
        <w:rPr>
          <w:rFonts w:ascii="Tahoma" w:eastAsia="Times New Roman" w:hAnsi="Tahoma" w:cs="Tahoma"/>
          <w:color w:val="000000" w:themeColor="text1"/>
          <w:sz w:val="24"/>
          <w:szCs w:val="24"/>
          <w:lang w:val="en-GB"/>
        </w:rPr>
        <w:t xml:space="preserve">. </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7. </w:t>
      </w:r>
      <w:r w:rsidR="00281C1F" w:rsidRPr="00C61C69">
        <w:rPr>
          <w:rFonts w:ascii="Tahoma" w:hAnsi="Tahoma" w:cs="Tahoma"/>
          <w:sz w:val="24"/>
          <w:szCs w:val="24"/>
          <w:lang w:val="en-GB"/>
        </w:rPr>
        <w:t>The reporting MNE Group Constituent Entity shall report the total amount of income tax actually paid during the relevant Fiscal Year by all the Constituent Entities resident for tax purposes in the relevant tax jurisdiction</w:t>
      </w:r>
      <w:r w:rsidRPr="00C61C69">
        <w:rPr>
          <w:rFonts w:ascii="Tahoma" w:eastAsia="Times New Roman" w:hAnsi="Tahoma" w:cs="Tahoma"/>
          <w:sz w:val="24"/>
          <w:szCs w:val="24"/>
          <w:lang w:val="en-GB"/>
        </w:rPr>
        <w:t>.</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8. </w:t>
      </w:r>
      <w:r w:rsidR="00281C1F" w:rsidRPr="00C61C69">
        <w:rPr>
          <w:rFonts w:ascii="Tahoma" w:hAnsi="Tahoma" w:cs="Tahoma"/>
          <w:sz w:val="24"/>
          <w:szCs w:val="24"/>
          <w:lang w:val="en-GB"/>
        </w:rPr>
        <w:t>Taxes paid shall include cash taxes paid by the Constituent Entity to the residence tax jurisdiction and to all other tax jurisdictions</w:t>
      </w:r>
      <w:r w:rsidRPr="00C61C69">
        <w:rPr>
          <w:rFonts w:ascii="Tahoma" w:eastAsia="Times New Roman" w:hAnsi="Tahoma" w:cs="Tahoma"/>
          <w:sz w:val="24"/>
          <w:szCs w:val="24"/>
          <w:lang w:val="en-GB"/>
        </w:rPr>
        <w:t xml:space="preserve">. </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9. </w:t>
      </w:r>
      <w:r w:rsidR="00281C1F" w:rsidRPr="00C61C69">
        <w:rPr>
          <w:rFonts w:ascii="Tahoma" w:hAnsi="Tahoma" w:cs="Tahoma"/>
          <w:sz w:val="24"/>
          <w:szCs w:val="24"/>
          <w:lang w:val="en-GB"/>
        </w:rPr>
        <w:t>Taxes paid shall include withholding taxes paid by other entities with respect to payments to the Constituent Entity</w:t>
      </w:r>
      <w:r w:rsidRPr="00C61C69">
        <w:rPr>
          <w:rFonts w:ascii="Tahoma" w:eastAsia="Times New Roman" w:hAnsi="Tahoma" w:cs="Tahoma"/>
          <w:sz w:val="24"/>
          <w:szCs w:val="24"/>
          <w:lang w:val="en-GB"/>
        </w:rPr>
        <w:t xml:space="preserve">. </w:t>
      </w:r>
    </w:p>
    <w:p w:rsidR="004F4AD4" w:rsidRPr="00C61C69" w:rsidRDefault="004F4AD4"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10. </w:t>
      </w:r>
      <w:r w:rsidR="00281C1F" w:rsidRPr="00C61C69">
        <w:rPr>
          <w:rFonts w:ascii="Tahoma" w:hAnsi="Tahoma" w:cs="Tahoma"/>
          <w:sz w:val="24"/>
          <w:szCs w:val="24"/>
          <w:lang w:val="en-GB"/>
        </w:rPr>
        <w:t>The reporting MNE Group Constituent Entity shall report the sum of the stated (total) capital of all the Constituent Entities resident for tax purposes in the relevant tax jurisdiction</w:t>
      </w:r>
      <w:r w:rsidRPr="00C61C69">
        <w:rPr>
          <w:rFonts w:ascii="Tahoma" w:eastAsia="Times New Roman" w:hAnsi="Tahoma" w:cs="Tahoma"/>
          <w:sz w:val="24"/>
          <w:szCs w:val="24"/>
          <w:lang w:val="en-GB"/>
        </w:rPr>
        <w:t>.</w:t>
      </w:r>
    </w:p>
    <w:p w:rsidR="004F4AD4" w:rsidRPr="00C61C69" w:rsidRDefault="004F4AD4" w:rsidP="00D15E08">
      <w:pPr>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11. </w:t>
      </w:r>
      <w:r w:rsidR="00281C1F" w:rsidRPr="00C61C69">
        <w:rPr>
          <w:rFonts w:ascii="Tahoma" w:hAnsi="Tahoma" w:cs="Tahoma"/>
          <w:sz w:val="24"/>
          <w:szCs w:val="24"/>
          <w:lang w:val="en-GB"/>
        </w:rPr>
        <w:t>With regard to permanent establishments, the stated capital shall be reported by the legal entity of which it is a permanent establishment unless the capital is defined for the permanent establishment according to regulations of other tax jurisdiction</w:t>
      </w:r>
      <w:r w:rsidRPr="00C61C69">
        <w:rPr>
          <w:rFonts w:ascii="Tahoma" w:eastAsia="Times New Roman" w:hAnsi="Tahoma" w:cs="Tahoma"/>
          <w:sz w:val="24"/>
          <w:szCs w:val="24"/>
          <w:lang w:val="en-GB"/>
        </w:rPr>
        <w:t xml:space="preserve">. </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12. </w:t>
      </w:r>
      <w:r w:rsidR="00281C1F" w:rsidRPr="00C61C69">
        <w:rPr>
          <w:rFonts w:ascii="Tahoma" w:eastAsia="Times New Roman" w:hAnsi="Tahoma" w:cs="Tahoma"/>
          <w:sz w:val="24"/>
          <w:szCs w:val="24"/>
          <w:lang w:val="en-GB"/>
        </w:rPr>
        <w:t>T</w:t>
      </w:r>
      <w:r w:rsidR="00281C1F" w:rsidRPr="00C61C69">
        <w:rPr>
          <w:rFonts w:ascii="Tahoma" w:hAnsi="Tahoma" w:cs="Tahoma"/>
          <w:sz w:val="24"/>
          <w:szCs w:val="24"/>
          <w:lang w:val="en-GB"/>
        </w:rPr>
        <w:t>he reporting MNE Group Constituent Entity shall report the sum of the total accumulated earnings of all the Constituent Entities resident for tax purposes in the relevant tax jurisdiction as of the end of the year</w:t>
      </w:r>
      <w:r w:rsidR="00CA4559" w:rsidRPr="00C61C69">
        <w:rPr>
          <w:rFonts w:ascii="Tahoma" w:eastAsia="Times New Roman" w:hAnsi="Tahoma" w:cs="Tahoma"/>
          <w:sz w:val="24"/>
          <w:szCs w:val="24"/>
          <w:lang w:val="en-GB"/>
        </w:rPr>
        <w:t>.</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13. </w:t>
      </w:r>
      <w:r w:rsidR="007F1326" w:rsidRPr="00C61C69">
        <w:rPr>
          <w:rFonts w:ascii="Tahoma" w:hAnsi="Tahoma" w:cs="Tahoma"/>
          <w:sz w:val="24"/>
          <w:szCs w:val="24"/>
          <w:lang w:val="en-GB"/>
        </w:rPr>
        <w:t>With regard to permanent establishments, accumulated earnings shall be reported by the legal entity of which it is a permanent establishment</w:t>
      </w:r>
      <w:r w:rsidR="00573E20" w:rsidRPr="00C61C69">
        <w:rPr>
          <w:rFonts w:ascii="Tahoma" w:eastAsia="Times New Roman" w:hAnsi="Tahoma" w:cs="Tahoma"/>
          <w:sz w:val="24"/>
          <w:szCs w:val="24"/>
          <w:lang w:val="en-GB"/>
        </w:rPr>
        <w:t>.</w:t>
      </w:r>
      <w:r w:rsidR="00A96880" w:rsidRPr="00C61C69">
        <w:rPr>
          <w:rFonts w:ascii="Tahoma" w:eastAsia="Times New Roman" w:hAnsi="Tahoma" w:cs="Tahoma"/>
          <w:sz w:val="24"/>
          <w:szCs w:val="24"/>
          <w:lang w:val="en-GB"/>
        </w:rPr>
        <w:t xml:space="preserve"> </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14. </w:t>
      </w:r>
      <w:r w:rsidR="007F1326" w:rsidRPr="00C61C69">
        <w:rPr>
          <w:rFonts w:ascii="Tahoma" w:hAnsi="Tahoma" w:cs="Tahoma"/>
          <w:sz w:val="24"/>
          <w:szCs w:val="24"/>
          <w:lang w:val="en-GB"/>
        </w:rPr>
        <w:t>The reporting MNE Group Constituent Entity shall report the total number of employees</w:t>
      </w:r>
      <w:r w:rsidRPr="00C61C69">
        <w:rPr>
          <w:rFonts w:ascii="Tahoma" w:eastAsia="Times New Roman" w:hAnsi="Tahoma" w:cs="Tahoma"/>
          <w:sz w:val="24"/>
          <w:szCs w:val="24"/>
          <w:lang w:val="en-GB"/>
        </w:rPr>
        <w:t xml:space="preserve">. </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15.  </w:t>
      </w:r>
      <w:r w:rsidR="007F1326" w:rsidRPr="00C61C69">
        <w:rPr>
          <w:rFonts w:ascii="Tahoma" w:hAnsi="Tahoma" w:cs="Tahoma"/>
          <w:sz w:val="24"/>
          <w:szCs w:val="24"/>
          <w:lang w:val="en-GB"/>
        </w:rPr>
        <w:t>A foreigner participating in the ordinary operating activities of the Constituent Entity may be reported as employee</w:t>
      </w:r>
      <w:r w:rsidRPr="00C61C69">
        <w:rPr>
          <w:rFonts w:ascii="Tahoma" w:eastAsia="Times New Roman" w:hAnsi="Tahoma" w:cs="Tahoma"/>
          <w:sz w:val="24"/>
          <w:szCs w:val="24"/>
          <w:lang w:val="en-GB"/>
        </w:rPr>
        <w:t xml:space="preserve">. </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lastRenderedPageBreak/>
        <w:t>16.</w:t>
      </w:r>
      <w:r w:rsidR="00D15E08" w:rsidRPr="00C61C69">
        <w:rPr>
          <w:rFonts w:ascii="Tahoma" w:eastAsia="Times New Roman" w:hAnsi="Tahoma" w:cs="Tahoma"/>
          <w:sz w:val="24"/>
          <w:szCs w:val="24"/>
          <w:lang w:val="en-GB"/>
        </w:rPr>
        <w:t xml:space="preserve"> </w:t>
      </w:r>
      <w:r w:rsidR="007F1326" w:rsidRPr="00C61C69">
        <w:rPr>
          <w:rFonts w:ascii="Tahoma" w:hAnsi="Tahoma" w:cs="Tahoma"/>
          <w:sz w:val="24"/>
          <w:szCs w:val="24"/>
          <w:lang w:val="en-GB"/>
        </w:rPr>
        <w:t>The reporting MNE Group Constituent Entity shall report the sum of the net book values of tangible assets of all the Constituent Entities resident for tax purposes in the relevant tax jurisdiction</w:t>
      </w:r>
      <w:r w:rsidR="00573E20" w:rsidRPr="00C61C69">
        <w:rPr>
          <w:rFonts w:ascii="Tahoma" w:hAnsi="Tahoma" w:cs="Tahoma"/>
          <w:sz w:val="24"/>
          <w:szCs w:val="24"/>
          <w:lang w:val="en-GB"/>
        </w:rPr>
        <w:t xml:space="preserve"> (</w:t>
      </w:r>
      <w:r w:rsidR="007F1326" w:rsidRPr="00C61C69">
        <w:rPr>
          <w:rFonts w:ascii="Tahoma" w:hAnsi="Tahoma" w:cs="Tahoma"/>
          <w:sz w:val="24"/>
          <w:szCs w:val="24"/>
          <w:lang w:val="en-GB"/>
        </w:rPr>
        <w:t>the assets do not include cash or cash equivalents</w:t>
      </w:r>
      <w:r w:rsidR="00573E20" w:rsidRPr="00C61C69">
        <w:rPr>
          <w:rFonts w:ascii="Tahoma" w:eastAsia="Times New Roman" w:hAnsi="Tahoma" w:cs="Tahoma"/>
          <w:sz w:val="24"/>
          <w:szCs w:val="24"/>
          <w:lang w:val="en-GB"/>
        </w:rPr>
        <w:t xml:space="preserve">, </w:t>
      </w:r>
      <w:r w:rsidR="00C61C69" w:rsidRPr="00C61C69">
        <w:rPr>
          <w:rFonts w:ascii="Tahoma" w:eastAsia="Times New Roman" w:hAnsi="Tahoma" w:cs="Tahoma"/>
          <w:sz w:val="24"/>
          <w:szCs w:val="24"/>
          <w:lang w:val="en-GB"/>
        </w:rPr>
        <w:t>intangibles</w:t>
      </w:r>
      <w:r w:rsidR="00573E20" w:rsidRPr="00C61C69">
        <w:rPr>
          <w:rFonts w:ascii="Tahoma" w:eastAsia="Times New Roman" w:hAnsi="Tahoma" w:cs="Tahoma"/>
          <w:sz w:val="24"/>
          <w:szCs w:val="24"/>
          <w:lang w:val="en-GB"/>
        </w:rPr>
        <w:t xml:space="preserve">, </w:t>
      </w:r>
      <w:r w:rsidR="007F1326" w:rsidRPr="00C61C69">
        <w:rPr>
          <w:rFonts w:ascii="Tahoma" w:eastAsia="Times New Roman" w:hAnsi="Tahoma" w:cs="Tahoma"/>
          <w:sz w:val="24"/>
          <w:szCs w:val="24"/>
          <w:lang w:val="en-GB"/>
        </w:rPr>
        <w:t>or financial assets</w:t>
      </w:r>
      <w:r w:rsidR="00573E20" w:rsidRPr="00C61C69">
        <w:rPr>
          <w:rFonts w:ascii="Tahoma" w:eastAsia="Times New Roman" w:hAnsi="Tahoma" w:cs="Tahoma"/>
          <w:sz w:val="24"/>
          <w:szCs w:val="24"/>
          <w:lang w:val="en-GB"/>
        </w:rPr>
        <w:t>)</w:t>
      </w:r>
      <w:r w:rsidR="00CA4559" w:rsidRPr="00C61C69">
        <w:rPr>
          <w:rFonts w:ascii="Tahoma" w:eastAsia="Times New Roman" w:hAnsi="Tahoma" w:cs="Tahoma"/>
          <w:sz w:val="24"/>
          <w:szCs w:val="24"/>
          <w:lang w:val="en-GB"/>
        </w:rPr>
        <w:t>.</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17. </w:t>
      </w:r>
      <w:r w:rsidR="007F1326" w:rsidRPr="00C61C69">
        <w:rPr>
          <w:rFonts w:ascii="Tahoma" w:hAnsi="Tahoma" w:cs="Tahoma"/>
          <w:sz w:val="24"/>
          <w:szCs w:val="24"/>
          <w:lang w:val="en-GB"/>
        </w:rPr>
        <w:t>With regard to permanent establishments, assets shall be reported by reference to the tax jurisdiction in which the permanent establishment is situated</w:t>
      </w:r>
      <w:r w:rsidRPr="00C61C69">
        <w:rPr>
          <w:rFonts w:ascii="Tahoma" w:eastAsia="Times New Roman" w:hAnsi="Tahoma" w:cs="Tahoma"/>
          <w:sz w:val="24"/>
          <w:szCs w:val="24"/>
          <w:lang w:val="en-GB"/>
        </w:rPr>
        <w:t xml:space="preserve">. </w:t>
      </w:r>
    </w:p>
    <w:p w:rsidR="004F4AD4" w:rsidRPr="00C61C69" w:rsidRDefault="00A96880"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18</w:t>
      </w:r>
      <w:r w:rsidR="004F4AD4" w:rsidRPr="00C61C69">
        <w:rPr>
          <w:rFonts w:ascii="Tahoma" w:eastAsia="Times New Roman" w:hAnsi="Tahoma" w:cs="Tahoma"/>
          <w:sz w:val="24"/>
          <w:szCs w:val="24"/>
          <w:lang w:val="en-GB"/>
        </w:rPr>
        <w:t xml:space="preserve">. </w:t>
      </w:r>
      <w:r w:rsidR="007F1326" w:rsidRPr="00C61C69">
        <w:rPr>
          <w:rFonts w:ascii="Tahoma" w:hAnsi="Tahoma" w:cs="Tahoma"/>
          <w:sz w:val="24"/>
          <w:szCs w:val="24"/>
          <w:lang w:val="en-GB"/>
        </w:rPr>
        <w:t>The reporting MNE Group Constituent Entity shall list</w:t>
      </w:r>
      <w:r w:rsidR="004F4AD4" w:rsidRPr="00C61C69">
        <w:rPr>
          <w:rFonts w:ascii="Tahoma" w:eastAsia="Times New Roman" w:hAnsi="Tahoma" w:cs="Tahoma"/>
          <w:sz w:val="24"/>
          <w:szCs w:val="24"/>
          <w:lang w:val="en-GB"/>
        </w:rPr>
        <w:t>:</w:t>
      </w:r>
    </w:p>
    <w:p w:rsidR="00D15E08"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7F1326" w:rsidRPr="00C61C69">
        <w:rPr>
          <w:rFonts w:ascii="Tahoma" w:hAnsi="Tahoma" w:cs="Tahoma"/>
          <w:sz w:val="24"/>
          <w:szCs w:val="24"/>
          <w:lang w:val="en-GB"/>
        </w:rPr>
        <w:t>on a tax jurisdiction-by-tax jurisdiction basis</w:t>
      </w:r>
      <w:r w:rsidR="007F1326" w:rsidRPr="00C61C69">
        <w:rPr>
          <w:rFonts w:ascii="Tahoma" w:eastAsia="Times New Roman" w:hAnsi="Tahoma" w:cs="Tahoma"/>
          <w:sz w:val="24"/>
          <w:szCs w:val="24"/>
          <w:lang w:val="en-GB"/>
        </w:rPr>
        <w:t xml:space="preserve"> </w:t>
      </w:r>
      <w:r w:rsidR="007F1326" w:rsidRPr="00C61C69">
        <w:rPr>
          <w:rFonts w:ascii="Tahoma" w:hAnsi="Tahoma" w:cs="Tahoma"/>
          <w:sz w:val="24"/>
          <w:szCs w:val="24"/>
          <w:lang w:val="en-GB"/>
        </w:rPr>
        <w:t>all the Constituent Entities of the MNE Group which are residents in the relevant tax jurisdiction</w:t>
      </w:r>
      <w:r w:rsidRPr="00C61C69">
        <w:rPr>
          <w:rFonts w:ascii="Tahoma" w:eastAsia="Times New Roman" w:hAnsi="Tahoma" w:cs="Tahoma"/>
          <w:sz w:val="24"/>
          <w:szCs w:val="24"/>
          <w:lang w:val="en-GB"/>
        </w:rPr>
        <w:t>,</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w:t>
      </w:r>
      <w:r w:rsidR="003F659C" w:rsidRPr="00C61C69">
        <w:rPr>
          <w:rFonts w:ascii="Tahoma" w:hAnsi="Tahoma" w:cs="Tahoma"/>
          <w:sz w:val="24"/>
          <w:szCs w:val="24"/>
          <w:lang w:val="en-GB"/>
        </w:rPr>
        <w:t>the name of the tax jurisdiction under whose laws the Constituent Entity of the MNE Group is organised or incorporated if it is different from the tax jurisdiction of residence</w:t>
      </w:r>
      <w:r w:rsidRPr="00C61C69">
        <w:rPr>
          <w:rFonts w:ascii="Tahoma" w:eastAsia="Times New Roman" w:hAnsi="Tahoma" w:cs="Tahoma"/>
          <w:sz w:val="24"/>
          <w:szCs w:val="24"/>
          <w:lang w:val="en-GB"/>
        </w:rPr>
        <w:t xml:space="preserve">, </w:t>
      </w:r>
      <w:r w:rsidR="003F659C" w:rsidRPr="00C61C69">
        <w:rPr>
          <w:rFonts w:ascii="Tahoma" w:eastAsia="Times New Roman" w:hAnsi="Tahoma" w:cs="Tahoma"/>
          <w:sz w:val="24"/>
          <w:szCs w:val="24"/>
          <w:lang w:val="en-GB"/>
        </w:rPr>
        <w:t>and</w:t>
      </w:r>
    </w:p>
    <w:p w:rsidR="004F4AD4" w:rsidRPr="00C61C69" w:rsidRDefault="004F4AD4"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 xml:space="preserve"> - </w:t>
      </w:r>
      <w:r w:rsidR="003F659C" w:rsidRPr="00C61C69">
        <w:rPr>
          <w:rFonts w:ascii="Tahoma" w:hAnsi="Tahoma" w:cs="Tahoma"/>
          <w:sz w:val="24"/>
          <w:szCs w:val="24"/>
          <w:lang w:val="en-GB"/>
        </w:rPr>
        <w:t>the nature of the main business activity(ies) carried out by the Constituent Entity in the relevant tax jurisdiction</w:t>
      </w:r>
      <w:r w:rsidRPr="00C61C69">
        <w:rPr>
          <w:rFonts w:ascii="Tahoma" w:eastAsia="Times New Roman" w:hAnsi="Tahoma" w:cs="Tahoma"/>
          <w:sz w:val="24"/>
          <w:szCs w:val="24"/>
          <w:lang w:val="en-GB"/>
        </w:rPr>
        <w:t>.</w:t>
      </w:r>
    </w:p>
    <w:p w:rsidR="008F2F74" w:rsidRPr="00C61C69" w:rsidRDefault="00A96880"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19</w:t>
      </w:r>
      <w:r w:rsidR="008F2F74" w:rsidRPr="00C61C69">
        <w:rPr>
          <w:rFonts w:ascii="Tahoma" w:eastAsia="Times New Roman" w:hAnsi="Tahoma" w:cs="Tahoma"/>
          <w:sz w:val="24"/>
          <w:szCs w:val="24"/>
          <w:lang w:val="en-GB"/>
        </w:rPr>
        <w:t xml:space="preserve">. </w:t>
      </w:r>
      <w:r w:rsidR="003F659C" w:rsidRPr="00C61C69">
        <w:rPr>
          <w:rFonts w:ascii="Tahoma" w:hAnsi="Tahoma" w:cs="Tahoma"/>
          <w:sz w:val="24"/>
          <w:szCs w:val="24"/>
          <w:lang w:val="en-GB"/>
        </w:rPr>
        <w:t>The reporting MNE Group Constituent Entity may use data from its consolidation reporting packages, from separate entity financial statements, regulatory financial statements, or internal management accounts</w:t>
      </w:r>
      <w:r w:rsidR="008F2F74" w:rsidRPr="00C61C69">
        <w:rPr>
          <w:rFonts w:ascii="Tahoma" w:eastAsia="Times New Roman" w:hAnsi="Tahoma" w:cs="Tahoma"/>
          <w:sz w:val="24"/>
          <w:szCs w:val="24"/>
          <w:lang w:val="en-GB"/>
        </w:rPr>
        <w:t xml:space="preserve">. </w:t>
      </w:r>
    </w:p>
    <w:p w:rsidR="008F2F74" w:rsidRPr="00C61C69" w:rsidRDefault="00A96880"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20</w:t>
      </w:r>
      <w:r w:rsidR="008F2F74" w:rsidRPr="00C61C69">
        <w:rPr>
          <w:rFonts w:ascii="Tahoma" w:eastAsia="Times New Roman" w:hAnsi="Tahoma" w:cs="Tahoma"/>
          <w:sz w:val="24"/>
          <w:szCs w:val="24"/>
          <w:lang w:val="en-GB"/>
        </w:rPr>
        <w:t xml:space="preserve">. </w:t>
      </w:r>
      <w:r w:rsidR="003F659C" w:rsidRPr="00C61C69">
        <w:rPr>
          <w:rFonts w:ascii="Tahoma" w:hAnsi="Tahoma" w:cs="Tahoma"/>
          <w:sz w:val="24"/>
          <w:szCs w:val="24"/>
          <w:lang w:val="en-GB"/>
        </w:rPr>
        <w:t>If financial statements are used for reporting, the amounts shall be stated in the currency of the reporting MNE Group Constituent Entity at the average exchange rate on the date of the report</w:t>
      </w:r>
      <w:r w:rsidR="008F2F74" w:rsidRPr="00C61C69">
        <w:rPr>
          <w:rFonts w:ascii="Tahoma" w:eastAsia="Times New Roman" w:hAnsi="Tahoma" w:cs="Tahoma"/>
          <w:sz w:val="24"/>
          <w:szCs w:val="24"/>
          <w:lang w:val="en-GB"/>
        </w:rPr>
        <w:t>.</w:t>
      </w:r>
    </w:p>
    <w:p w:rsidR="004F4AD4" w:rsidRPr="00C61C69" w:rsidRDefault="00A96880" w:rsidP="00D15E08">
      <w:pPr>
        <w:shd w:val="clear" w:color="auto" w:fill="FFFFFF"/>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21</w:t>
      </w:r>
      <w:r w:rsidR="004F4AD4" w:rsidRPr="00C61C69">
        <w:rPr>
          <w:rFonts w:ascii="Tahoma" w:eastAsia="Times New Roman" w:hAnsi="Tahoma" w:cs="Tahoma"/>
          <w:sz w:val="24"/>
          <w:szCs w:val="24"/>
          <w:lang w:val="en-GB"/>
        </w:rPr>
        <w:t xml:space="preserve">. </w:t>
      </w:r>
      <w:r w:rsidR="003F659C" w:rsidRPr="00C61C69">
        <w:rPr>
          <w:rFonts w:ascii="Tahoma" w:eastAsia="Times New Roman" w:hAnsi="Tahoma" w:cs="Tahoma"/>
          <w:sz w:val="24"/>
          <w:szCs w:val="24"/>
          <w:lang w:val="en-GB"/>
        </w:rPr>
        <w:t>The amounts in the report shall be stated in the official currency</w:t>
      </w:r>
      <w:r w:rsidR="004F4AD4" w:rsidRPr="00C61C69">
        <w:rPr>
          <w:rFonts w:ascii="Tahoma" w:eastAsia="Times New Roman" w:hAnsi="Tahoma" w:cs="Tahoma"/>
          <w:sz w:val="24"/>
          <w:szCs w:val="24"/>
          <w:lang w:val="en-GB"/>
        </w:rPr>
        <w:t xml:space="preserve">. </w:t>
      </w:r>
    </w:p>
    <w:p w:rsidR="004D3FAB" w:rsidRPr="00C61C69" w:rsidRDefault="00A96880" w:rsidP="00C4143A">
      <w:pPr>
        <w:shd w:val="clear" w:color="auto" w:fill="FFFFFF"/>
        <w:tabs>
          <w:tab w:val="left" w:pos="1560"/>
        </w:tabs>
        <w:spacing w:after="0" w:line="240" w:lineRule="auto"/>
        <w:jc w:val="both"/>
        <w:rPr>
          <w:rFonts w:ascii="Tahoma" w:eastAsia="Times New Roman" w:hAnsi="Tahoma" w:cs="Tahoma"/>
          <w:sz w:val="24"/>
          <w:szCs w:val="24"/>
          <w:lang w:val="en-GB"/>
        </w:rPr>
      </w:pPr>
      <w:r w:rsidRPr="00C61C69">
        <w:rPr>
          <w:rFonts w:ascii="Tahoma" w:eastAsia="Times New Roman" w:hAnsi="Tahoma" w:cs="Tahoma"/>
          <w:sz w:val="24"/>
          <w:szCs w:val="24"/>
          <w:lang w:val="en-GB"/>
        </w:rPr>
        <w:t>22</w:t>
      </w:r>
      <w:r w:rsidR="008F2F74" w:rsidRPr="00C61C69">
        <w:rPr>
          <w:rFonts w:ascii="Tahoma" w:eastAsia="Times New Roman" w:hAnsi="Tahoma" w:cs="Tahoma"/>
          <w:sz w:val="24"/>
          <w:szCs w:val="24"/>
          <w:lang w:val="en-GB"/>
        </w:rPr>
        <w:t xml:space="preserve">. </w:t>
      </w:r>
      <w:r w:rsidR="003F659C" w:rsidRPr="00C61C69">
        <w:rPr>
          <w:rFonts w:ascii="Tahoma" w:eastAsia="Times New Roman" w:hAnsi="Tahoma" w:cs="Tahoma"/>
          <w:sz w:val="24"/>
          <w:szCs w:val="24"/>
          <w:lang w:val="en-GB"/>
        </w:rPr>
        <w:t xml:space="preserve">For the purpose of filling the template, </w:t>
      </w:r>
      <w:r w:rsidR="008B6474" w:rsidRPr="00C61C69">
        <w:rPr>
          <w:rFonts w:ascii="Tahoma" w:eastAsia="Times New Roman" w:hAnsi="Tahoma" w:cs="Tahoma"/>
          <w:sz w:val="24"/>
          <w:szCs w:val="24"/>
          <w:lang w:val="en-GB"/>
        </w:rPr>
        <w:t>a</w:t>
      </w:r>
      <w:r w:rsidR="003F659C" w:rsidRPr="00C61C69">
        <w:rPr>
          <w:rFonts w:ascii="Tahoma" w:hAnsi="Tahoma" w:cs="Tahoma"/>
          <w:sz w:val="24"/>
          <w:szCs w:val="24"/>
          <w:lang w:val="en-GB"/>
        </w:rPr>
        <w:t xml:space="preserve"> separate line shall be included for all Constituent Entities in the MNE Group deemed by the reporting MNE </w:t>
      </w:r>
      <w:r w:rsidR="008B6474" w:rsidRPr="00C61C69">
        <w:rPr>
          <w:rFonts w:ascii="Tahoma" w:hAnsi="Tahoma" w:cs="Tahoma"/>
          <w:sz w:val="24"/>
          <w:szCs w:val="24"/>
          <w:lang w:val="en-GB"/>
        </w:rPr>
        <w:t xml:space="preserve">Group Constituent Entity </w:t>
      </w:r>
      <w:r w:rsidR="003F659C" w:rsidRPr="00C61C69">
        <w:rPr>
          <w:rFonts w:ascii="Tahoma" w:hAnsi="Tahoma" w:cs="Tahoma"/>
          <w:sz w:val="24"/>
          <w:szCs w:val="24"/>
          <w:lang w:val="en-GB"/>
        </w:rPr>
        <w:t>not to be resident in any tax jurisdiction for tax purposes</w:t>
      </w:r>
    </w:p>
    <w:sectPr w:rsidR="004D3FAB" w:rsidRPr="00C61C69" w:rsidSect="00A55906">
      <w:pgSz w:w="15840" w:h="12240" w:orient="landscape"/>
      <w:pgMar w:top="1411" w:right="1411" w:bottom="1411"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A8" w:rsidRDefault="008A1BA8" w:rsidP="00322605">
      <w:pPr>
        <w:spacing w:after="0" w:line="240" w:lineRule="auto"/>
      </w:pPr>
      <w:r>
        <w:separator/>
      </w:r>
    </w:p>
  </w:endnote>
  <w:endnote w:type="continuationSeparator" w:id="0">
    <w:p w:rsidR="008A1BA8" w:rsidRDefault="008A1BA8" w:rsidP="0032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A8" w:rsidRDefault="008A1BA8" w:rsidP="00322605">
      <w:pPr>
        <w:spacing w:after="0" w:line="240" w:lineRule="auto"/>
      </w:pPr>
      <w:r>
        <w:separator/>
      </w:r>
    </w:p>
  </w:footnote>
  <w:footnote w:type="continuationSeparator" w:id="0">
    <w:p w:rsidR="008A1BA8" w:rsidRDefault="008A1BA8" w:rsidP="00322605">
      <w:pPr>
        <w:spacing w:after="0" w:line="240" w:lineRule="auto"/>
      </w:pPr>
      <w:r>
        <w:continuationSeparator/>
      </w:r>
    </w:p>
  </w:footnote>
  <w:footnote w:id="1">
    <w:p w:rsidR="00114BB4" w:rsidRPr="00322605" w:rsidRDefault="00114BB4">
      <w:pPr>
        <w:pStyle w:val="FootnoteText"/>
        <w:rPr>
          <w:lang w:val="en-GB"/>
        </w:rPr>
      </w:pPr>
      <w:r>
        <w:rPr>
          <w:rStyle w:val="FootnoteReference"/>
        </w:rPr>
        <w:footnoteRef/>
      </w:r>
      <w:r>
        <w:t xml:space="preserve"> </w:t>
      </w:r>
      <w:r w:rsidR="002C2B5A">
        <w:t>Financial services whose provision is regulated by tax jurisdictions’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0EC"/>
    <w:multiLevelType w:val="hybridMultilevel"/>
    <w:tmpl w:val="1BC604D8"/>
    <w:lvl w:ilvl="0" w:tplc="9EDCE15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E2047"/>
    <w:multiLevelType w:val="hybridMultilevel"/>
    <w:tmpl w:val="00589ACA"/>
    <w:lvl w:ilvl="0" w:tplc="D6CE368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E0813"/>
    <w:multiLevelType w:val="hybridMultilevel"/>
    <w:tmpl w:val="0A9C67AE"/>
    <w:lvl w:ilvl="0" w:tplc="569E3D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E4E18"/>
    <w:multiLevelType w:val="hybridMultilevel"/>
    <w:tmpl w:val="FAFAEADE"/>
    <w:lvl w:ilvl="0" w:tplc="49FE092A">
      <w:start w:val="1"/>
      <w:numFmt w:val="decimal"/>
      <w:lvlText w:val="(%1)"/>
      <w:lvlJc w:val="left"/>
      <w:pPr>
        <w:ind w:left="750" w:hanging="39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BE87429"/>
    <w:multiLevelType w:val="hybridMultilevel"/>
    <w:tmpl w:val="4ED23790"/>
    <w:lvl w:ilvl="0" w:tplc="F59C231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710FD"/>
    <w:multiLevelType w:val="hybridMultilevel"/>
    <w:tmpl w:val="33A8296A"/>
    <w:lvl w:ilvl="0" w:tplc="BE30D0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B4717"/>
    <w:multiLevelType w:val="hybridMultilevel"/>
    <w:tmpl w:val="46F6B4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221C521A"/>
    <w:multiLevelType w:val="hybridMultilevel"/>
    <w:tmpl w:val="303AAD20"/>
    <w:lvl w:ilvl="0" w:tplc="AF6C48E0">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8" w15:restartNumberingAfterBreak="0">
    <w:nsid w:val="227C369C"/>
    <w:multiLevelType w:val="hybridMultilevel"/>
    <w:tmpl w:val="824283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604F9"/>
    <w:multiLevelType w:val="hybridMultilevel"/>
    <w:tmpl w:val="AD9A6F1E"/>
    <w:lvl w:ilvl="0" w:tplc="05ACFC90">
      <w:start w:val="1"/>
      <w:numFmt w:val="decimal"/>
      <w:lvlText w:val="(%1)"/>
      <w:lvlJc w:val="left"/>
      <w:pPr>
        <w:ind w:left="750" w:hanging="39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4C3789B"/>
    <w:multiLevelType w:val="hybridMultilevel"/>
    <w:tmpl w:val="485095BE"/>
    <w:lvl w:ilvl="0" w:tplc="83A4964C">
      <w:start w:val="9"/>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5880A19"/>
    <w:multiLevelType w:val="hybridMultilevel"/>
    <w:tmpl w:val="A376699A"/>
    <w:lvl w:ilvl="0" w:tplc="01D2410A">
      <w:start w:val="1"/>
      <w:numFmt w:val="decimal"/>
      <w:lvlText w:val="(%1)"/>
      <w:lvlJc w:val="left"/>
      <w:pPr>
        <w:ind w:left="750" w:hanging="39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D000789"/>
    <w:multiLevelType w:val="hybridMultilevel"/>
    <w:tmpl w:val="F984C1E2"/>
    <w:lvl w:ilvl="0" w:tplc="50B0DB06">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C00CA0"/>
    <w:multiLevelType w:val="hybridMultilevel"/>
    <w:tmpl w:val="846A491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39CA4A21"/>
    <w:multiLevelType w:val="hybridMultilevel"/>
    <w:tmpl w:val="4CC826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F250C2"/>
    <w:multiLevelType w:val="hybridMultilevel"/>
    <w:tmpl w:val="DE3C5F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782A2A"/>
    <w:multiLevelType w:val="hybridMultilevel"/>
    <w:tmpl w:val="845C2DDA"/>
    <w:lvl w:ilvl="0" w:tplc="F3B02D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ED7095"/>
    <w:multiLevelType w:val="hybridMultilevel"/>
    <w:tmpl w:val="9F0AAF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A2F69"/>
    <w:multiLevelType w:val="hybridMultilevel"/>
    <w:tmpl w:val="33AA6896"/>
    <w:lvl w:ilvl="0" w:tplc="265CE14E">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970B7"/>
    <w:multiLevelType w:val="hybridMultilevel"/>
    <w:tmpl w:val="E72E69A2"/>
    <w:lvl w:ilvl="0" w:tplc="AAB68E42">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55BA7AF0"/>
    <w:multiLevelType w:val="hybridMultilevel"/>
    <w:tmpl w:val="2F2E7A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416F0"/>
    <w:multiLevelType w:val="hybridMultilevel"/>
    <w:tmpl w:val="42426B0C"/>
    <w:lvl w:ilvl="0" w:tplc="817E2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91052"/>
    <w:multiLevelType w:val="hybridMultilevel"/>
    <w:tmpl w:val="ACBE7178"/>
    <w:lvl w:ilvl="0" w:tplc="D548AF3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B13551"/>
    <w:multiLevelType w:val="hybridMultilevel"/>
    <w:tmpl w:val="36301C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E9287F"/>
    <w:multiLevelType w:val="hybridMultilevel"/>
    <w:tmpl w:val="B622DD52"/>
    <w:lvl w:ilvl="0" w:tplc="46F800DE">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41063"/>
    <w:multiLevelType w:val="hybridMultilevel"/>
    <w:tmpl w:val="542A5052"/>
    <w:lvl w:ilvl="0" w:tplc="7062F16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B37A81"/>
    <w:multiLevelType w:val="hybridMultilevel"/>
    <w:tmpl w:val="8D6E30EE"/>
    <w:lvl w:ilvl="0" w:tplc="668EDB6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C8231F"/>
    <w:multiLevelType w:val="hybridMultilevel"/>
    <w:tmpl w:val="4DCCEEFC"/>
    <w:lvl w:ilvl="0" w:tplc="9EA22ED6">
      <w:start w:val="1"/>
      <w:numFmt w:val="decimal"/>
      <w:lvlText w:val="(%1)"/>
      <w:lvlJc w:val="left"/>
      <w:pPr>
        <w:ind w:left="750" w:hanging="39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79A045A4"/>
    <w:multiLevelType w:val="hybridMultilevel"/>
    <w:tmpl w:val="D71628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622D22"/>
    <w:multiLevelType w:val="multilevel"/>
    <w:tmpl w:val="7E38C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11"/>
  </w:num>
  <w:num w:numId="4">
    <w:abstractNumId w:val="3"/>
  </w:num>
  <w:num w:numId="5">
    <w:abstractNumId w:val="27"/>
  </w:num>
  <w:num w:numId="6">
    <w:abstractNumId w:val="19"/>
  </w:num>
  <w:num w:numId="7">
    <w:abstractNumId w:val="9"/>
  </w:num>
  <w:num w:numId="8">
    <w:abstractNumId w:val="10"/>
  </w:num>
  <w:num w:numId="9">
    <w:abstractNumId w:val="5"/>
  </w:num>
  <w:num w:numId="10">
    <w:abstractNumId w:val="21"/>
  </w:num>
  <w:num w:numId="11">
    <w:abstractNumId w:val="7"/>
  </w:num>
  <w:num w:numId="12">
    <w:abstractNumId w:val="17"/>
  </w:num>
  <w:num w:numId="13">
    <w:abstractNumId w:val="23"/>
  </w:num>
  <w:num w:numId="14">
    <w:abstractNumId w:val="2"/>
  </w:num>
  <w:num w:numId="15">
    <w:abstractNumId w:val="16"/>
  </w:num>
  <w:num w:numId="16">
    <w:abstractNumId w:val="12"/>
  </w:num>
  <w:num w:numId="17">
    <w:abstractNumId w:val="28"/>
  </w:num>
  <w:num w:numId="18">
    <w:abstractNumId w:val="18"/>
  </w:num>
  <w:num w:numId="19">
    <w:abstractNumId w:val="24"/>
  </w:num>
  <w:num w:numId="20">
    <w:abstractNumId w:val="25"/>
  </w:num>
  <w:num w:numId="21">
    <w:abstractNumId w:val="14"/>
  </w:num>
  <w:num w:numId="22">
    <w:abstractNumId w:val="0"/>
  </w:num>
  <w:num w:numId="23">
    <w:abstractNumId w:val="1"/>
  </w:num>
  <w:num w:numId="24">
    <w:abstractNumId w:val="26"/>
  </w:num>
  <w:num w:numId="25">
    <w:abstractNumId w:val="22"/>
  </w:num>
  <w:num w:numId="26">
    <w:abstractNumId w:val="15"/>
  </w:num>
  <w:num w:numId="27">
    <w:abstractNumId w:val="8"/>
  </w:num>
  <w:num w:numId="28">
    <w:abstractNumId w:val="4"/>
  </w:num>
  <w:num w:numId="29">
    <w:abstractNumId w:val="2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539"/>
    <w:rsid w:val="000115B4"/>
    <w:rsid w:val="00016E35"/>
    <w:rsid w:val="00027E77"/>
    <w:rsid w:val="00030465"/>
    <w:rsid w:val="000372D4"/>
    <w:rsid w:val="000410B5"/>
    <w:rsid w:val="000426D5"/>
    <w:rsid w:val="00044AB7"/>
    <w:rsid w:val="00044CFE"/>
    <w:rsid w:val="00045712"/>
    <w:rsid w:val="00050228"/>
    <w:rsid w:val="000517F1"/>
    <w:rsid w:val="000529BE"/>
    <w:rsid w:val="00052AB1"/>
    <w:rsid w:val="00052B39"/>
    <w:rsid w:val="00052C4C"/>
    <w:rsid w:val="00053A67"/>
    <w:rsid w:val="000552B7"/>
    <w:rsid w:val="00056022"/>
    <w:rsid w:val="00056C28"/>
    <w:rsid w:val="00060B40"/>
    <w:rsid w:val="000800EE"/>
    <w:rsid w:val="00080743"/>
    <w:rsid w:val="00080B64"/>
    <w:rsid w:val="00083499"/>
    <w:rsid w:val="000853AF"/>
    <w:rsid w:val="00094F58"/>
    <w:rsid w:val="000A3C98"/>
    <w:rsid w:val="000A46F9"/>
    <w:rsid w:val="000A6881"/>
    <w:rsid w:val="000B5099"/>
    <w:rsid w:val="000C5861"/>
    <w:rsid w:val="000C5A54"/>
    <w:rsid w:val="000D2CAC"/>
    <w:rsid w:val="000D2CC4"/>
    <w:rsid w:val="000D7B3E"/>
    <w:rsid w:val="000D7BCF"/>
    <w:rsid w:val="000E1A56"/>
    <w:rsid w:val="000E5195"/>
    <w:rsid w:val="000F4751"/>
    <w:rsid w:val="000F5E25"/>
    <w:rsid w:val="00104147"/>
    <w:rsid w:val="001116BD"/>
    <w:rsid w:val="00114A1F"/>
    <w:rsid w:val="00114BB4"/>
    <w:rsid w:val="00131121"/>
    <w:rsid w:val="00143264"/>
    <w:rsid w:val="001447FB"/>
    <w:rsid w:val="00145467"/>
    <w:rsid w:val="00152EEF"/>
    <w:rsid w:val="001561E2"/>
    <w:rsid w:val="00160BF7"/>
    <w:rsid w:val="001671D5"/>
    <w:rsid w:val="00173F2B"/>
    <w:rsid w:val="00176606"/>
    <w:rsid w:val="00190125"/>
    <w:rsid w:val="00193EB8"/>
    <w:rsid w:val="00195EC3"/>
    <w:rsid w:val="001972D2"/>
    <w:rsid w:val="001A5B3C"/>
    <w:rsid w:val="001A7B51"/>
    <w:rsid w:val="001B0294"/>
    <w:rsid w:val="001B25F5"/>
    <w:rsid w:val="001B452A"/>
    <w:rsid w:val="001B6A35"/>
    <w:rsid w:val="001B77E3"/>
    <w:rsid w:val="001C2488"/>
    <w:rsid w:val="001C72D9"/>
    <w:rsid w:val="001D0CB3"/>
    <w:rsid w:val="001D4A26"/>
    <w:rsid w:val="001E3489"/>
    <w:rsid w:val="001F2DBA"/>
    <w:rsid w:val="002052BD"/>
    <w:rsid w:val="002074C0"/>
    <w:rsid w:val="002131B1"/>
    <w:rsid w:val="00213A90"/>
    <w:rsid w:val="00213DC2"/>
    <w:rsid w:val="002156D2"/>
    <w:rsid w:val="00215B6B"/>
    <w:rsid w:val="00217446"/>
    <w:rsid w:val="00220006"/>
    <w:rsid w:val="00222ABD"/>
    <w:rsid w:val="00224481"/>
    <w:rsid w:val="00224678"/>
    <w:rsid w:val="00224929"/>
    <w:rsid w:val="00230C56"/>
    <w:rsid w:val="00233467"/>
    <w:rsid w:val="00235E0F"/>
    <w:rsid w:val="00241D21"/>
    <w:rsid w:val="00242ED2"/>
    <w:rsid w:val="00244F66"/>
    <w:rsid w:val="0024610B"/>
    <w:rsid w:val="00246679"/>
    <w:rsid w:val="00246D15"/>
    <w:rsid w:val="00256B21"/>
    <w:rsid w:val="00260B80"/>
    <w:rsid w:val="002631F3"/>
    <w:rsid w:val="00266CCE"/>
    <w:rsid w:val="002769AB"/>
    <w:rsid w:val="00281C1F"/>
    <w:rsid w:val="00286084"/>
    <w:rsid w:val="002966A7"/>
    <w:rsid w:val="002C2B5A"/>
    <w:rsid w:val="002C41CA"/>
    <w:rsid w:val="002C7070"/>
    <w:rsid w:val="002D64DA"/>
    <w:rsid w:val="002E02D4"/>
    <w:rsid w:val="002E0567"/>
    <w:rsid w:val="002E53ED"/>
    <w:rsid w:val="002F08C3"/>
    <w:rsid w:val="002F1636"/>
    <w:rsid w:val="002F4966"/>
    <w:rsid w:val="002F6A30"/>
    <w:rsid w:val="002F6B22"/>
    <w:rsid w:val="002F7CD5"/>
    <w:rsid w:val="003017CE"/>
    <w:rsid w:val="00312037"/>
    <w:rsid w:val="00312222"/>
    <w:rsid w:val="00322605"/>
    <w:rsid w:val="003325C6"/>
    <w:rsid w:val="00333FEC"/>
    <w:rsid w:val="00335611"/>
    <w:rsid w:val="00336FDF"/>
    <w:rsid w:val="00355E21"/>
    <w:rsid w:val="00360535"/>
    <w:rsid w:val="00372FBA"/>
    <w:rsid w:val="003749DC"/>
    <w:rsid w:val="00377AAB"/>
    <w:rsid w:val="00380712"/>
    <w:rsid w:val="00386AEF"/>
    <w:rsid w:val="003900E6"/>
    <w:rsid w:val="00392A6E"/>
    <w:rsid w:val="003955FD"/>
    <w:rsid w:val="003A3222"/>
    <w:rsid w:val="003A3D1D"/>
    <w:rsid w:val="003A467C"/>
    <w:rsid w:val="003A631E"/>
    <w:rsid w:val="003B02F6"/>
    <w:rsid w:val="003B5F28"/>
    <w:rsid w:val="003B664B"/>
    <w:rsid w:val="003B6DE3"/>
    <w:rsid w:val="003C0EA7"/>
    <w:rsid w:val="003D3451"/>
    <w:rsid w:val="003E5741"/>
    <w:rsid w:val="003E5766"/>
    <w:rsid w:val="003F3AFF"/>
    <w:rsid w:val="003F632B"/>
    <w:rsid w:val="003F659C"/>
    <w:rsid w:val="004007AC"/>
    <w:rsid w:val="004022DD"/>
    <w:rsid w:val="00410266"/>
    <w:rsid w:val="00412681"/>
    <w:rsid w:val="00413EFF"/>
    <w:rsid w:val="00421076"/>
    <w:rsid w:val="00421F92"/>
    <w:rsid w:val="004239BB"/>
    <w:rsid w:val="0043793B"/>
    <w:rsid w:val="004423AA"/>
    <w:rsid w:val="00451316"/>
    <w:rsid w:val="00454A77"/>
    <w:rsid w:val="004635A4"/>
    <w:rsid w:val="00464535"/>
    <w:rsid w:val="00466C30"/>
    <w:rsid w:val="0047069E"/>
    <w:rsid w:val="00477E0F"/>
    <w:rsid w:val="00480C3A"/>
    <w:rsid w:val="004813FF"/>
    <w:rsid w:val="00483561"/>
    <w:rsid w:val="00483880"/>
    <w:rsid w:val="00490A9D"/>
    <w:rsid w:val="00493BFC"/>
    <w:rsid w:val="00494D99"/>
    <w:rsid w:val="004A2B42"/>
    <w:rsid w:val="004A52BA"/>
    <w:rsid w:val="004C1C71"/>
    <w:rsid w:val="004C6244"/>
    <w:rsid w:val="004D0AA3"/>
    <w:rsid w:val="004D3FAB"/>
    <w:rsid w:val="004D4B72"/>
    <w:rsid w:val="004E46C0"/>
    <w:rsid w:val="004E6919"/>
    <w:rsid w:val="004F4AD4"/>
    <w:rsid w:val="004F66D7"/>
    <w:rsid w:val="004F78CF"/>
    <w:rsid w:val="00503B9B"/>
    <w:rsid w:val="00505E3F"/>
    <w:rsid w:val="00507318"/>
    <w:rsid w:val="005115D7"/>
    <w:rsid w:val="00520139"/>
    <w:rsid w:val="0052152E"/>
    <w:rsid w:val="005247E4"/>
    <w:rsid w:val="005308FB"/>
    <w:rsid w:val="00531860"/>
    <w:rsid w:val="00534FE1"/>
    <w:rsid w:val="005414BD"/>
    <w:rsid w:val="005503A6"/>
    <w:rsid w:val="005515A5"/>
    <w:rsid w:val="005559C4"/>
    <w:rsid w:val="00560CDB"/>
    <w:rsid w:val="0056139A"/>
    <w:rsid w:val="00564664"/>
    <w:rsid w:val="00573E20"/>
    <w:rsid w:val="0058333C"/>
    <w:rsid w:val="005874CD"/>
    <w:rsid w:val="005A0217"/>
    <w:rsid w:val="005A0C70"/>
    <w:rsid w:val="005B1A61"/>
    <w:rsid w:val="005B2247"/>
    <w:rsid w:val="005C1D73"/>
    <w:rsid w:val="005C2D51"/>
    <w:rsid w:val="005C2EA8"/>
    <w:rsid w:val="005C3730"/>
    <w:rsid w:val="005C3934"/>
    <w:rsid w:val="005D0293"/>
    <w:rsid w:val="005D2F9A"/>
    <w:rsid w:val="005D58B6"/>
    <w:rsid w:val="005E1B68"/>
    <w:rsid w:val="005E5796"/>
    <w:rsid w:val="005E648D"/>
    <w:rsid w:val="005F28B5"/>
    <w:rsid w:val="005F614E"/>
    <w:rsid w:val="00601D94"/>
    <w:rsid w:val="00606FC0"/>
    <w:rsid w:val="00617FCE"/>
    <w:rsid w:val="006216BB"/>
    <w:rsid w:val="00622456"/>
    <w:rsid w:val="0063689E"/>
    <w:rsid w:val="0064077F"/>
    <w:rsid w:val="00652726"/>
    <w:rsid w:val="00656979"/>
    <w:rsid w:val="0066040B"/>
    <w:rsid w:val="00664B09"/>
    <w:rsid w:val="00665261"/>
    <w:rsid w:val="00676A43"/>
    <w:rsid w:val="00680E12"/>
    <w:rsid w:val="00683DF1"/>
    <w:rsid w:val="00685247"/>
    <w:rsid w:val="006856F5"/>
    <w:rsid w:val="006A05C9"/>
    <w:rsid w:val="006A7A2E"/>
    <w:rsid w:val="006B03C3"/>
    <w:rsid w:val="006B7BE2"/>
    <w:rsid w:val="006C02E8"/>
    <w:rsid w:val="006C0D49"/>
    <w:rsid w:val="006C5321"/>
    <w:rsid w:val="006D1B25"/>
    <w:rsid w:val="006D5AEA"/>
    <w:rsid w:val="006E1D05"/>
    <w:rsid w:val="006E6E12"/>
    <w:rsid w:val="006E7AF1"/>
    <w:rsid w:val="00702678"/>
    <w:rsid w:val="00705527"/>
    <w:rsid w:val="007122DE"/>
    <w:rsid w:val="00721170"/>
    <w:rsid w:val="00723457"/>
    <w:rsid w:val="00727F34"/>
    <w:rsid w:val="007325D8"/>
    <w:rsid w:val="0073683A"/>
    <w:rsid w:val="007407FB"/>
    <w:rsid w:val="00744EAA"/>
    <w:rsid w:val="0074757B"/>
    <w:rsid w:val="00756B05"/>
    <w:rsid w:val="007639B8"/>
    <w:rsid w:val="00763EC0"/>
    <w:rsid w:val="00763F53"/>
    <w:rsid w:val="00764DCA"/>
    <w:rsid w:val="00767582"/>
    <w:rsid w:val="00771081"/>
    <w:rsid w:val="00771F87"/>
    <w:rsid w:val="0078145E"/>
    <w:rsid w:val="00783E9E"/>
    <w:rsid w:val="00784B17"/>
    <w:rsid w:val="00787C63"/>
    <w:rsid w:val="00793C4D"/>
    <w:rsid w:val="00797C9F"/>
    <w:rsid w:val="007B0539"/>
    <w:rsid w:val="007B13D5"/>
    <w:rsid w:val="007B71EA"/>
    <w:rsid w:val="007C4ED9"/>
    <w:rsid w:val="007C760B"/>
    <w:rsid w:val="007D39F6"/>
    <w:rsid w:val="007D5B9B"/>
    <w:rsid w:val="007E42F0"/>
    <w:rsid w:val="007E5751"/>
    <w:rsid w:val="007E6B0D"/>
    <w:rsid w:val="007F0CFB"/>
    <w:rsid w:val="007F1326"/>
    <w:rsid w:val="007F169A"/>
    <w:rsid w:val="00804435"/>
    <w:rsid w:val="008076A7"/>
    <w:rsid w:val="0080787B"/>
    <w:rsid w:val="008107B0"/>
    <w:rsid w:val="00826F63"/>
    <w:rsid w:val="00830DD6"/>
    <w:rsid w:val="00833F75"/>
    <w:rsid w:val="008343FE"/>
    <w:rsid w:val="00834FDE"/>
    <w:rsid w:val="00837AA6"/>
    <w:rsid w:val="008437D9"/>
    <w:rsid w:val="0084700C"/>
    <w:rsid w:val="008501C8"/>
    <w:rsid w:val="00853E20"/>
    <w:rsid w:val="00860689"/>
    <w:rsid w:val="00862E67"/>
    <w:rsid w:val="008705CB"/>
    <w:rsid w:val="00871AEA"/>
    <w:rsid w:val="00874FB0"/>
    <w:rsid w:val="00880C20"/>
    <w:rsid w:val="00895786"/>
    <w:rsid w:val="00897E6A"/>
    <w:rsid w:val="008A1BA8"/>
    <w:rsid w:val="008A2C50"/>
    <w:rsid w:val="008B2B93"/>
    <w:rsid w:val="008B6474"/>
    <w:rsid w:val="008C05FC"/>
    <w:rsid w:val="008C13A9"/>
    <w:rsid w:val="008D2EBB"/>
    <w:rsid w:val="008D3492"/>
    <w:rsid w:val="008D532F"/>
    <w:rsid w:val="008D71B0"/>
    <w:rsid w:val="008E4690"/>
    <w:rsid w:val="008E74D3"/>
    <w:rsid w:val="008F2F74"/>
    <w:rsid w:val="00900075"/>
    <w:rsid w:val="0090497F"/>
    <w:rsid w:val="00911610"/>
    <w:rsid w:val="00921503"/>
    <w:rsid w:val="00921708"/>
    <w:rsid w:val="0092458E"/>
    <w:rsid w:val="00925727"/>
    <w:rsid w:val="009310E8"/>
    <w:rsid w:val="009334F0"/>
    <w:rsid w:val="00936DCC"/>
    <w:rsid w:val="009459CA"/>
    <w:rsid w:val="00947959"/>
    <w:rsid w:val="00947AB7"/>
    <w:rsid w:val="00950B0B"/>
    <w:rsid w:val="009510CB"/>
    <w:rsid w:val="00957F66"/>
    <w:rsid w:val="009621F2"/>
    <w:rsid w:val="00962EEC"/>
    <w:rsid w:val="00963192"/>
    <w:rsid w:val="00963E96"/>
    <w:rsid w:val="00973C92"/>
    <w:rsid w:val="00977537"/>
    <w:rsid w:val="0098355D"/>
    <w:rsid w:val="0098377E"/>
    <w:rsid w:val="00986EF4"/>
    <w:rsid w:val="00992835"/>
    <w:rsid w:val="00993B35"/>
    <w:rsid w:val="00994999"/>
    <w:rsid w:val="009972FE"/>
    <w:rsid w:val="009A3091"/>
    <w:rsid w:val="009A693D"/>
    <w:rsid w:val="009A7196"/>
    <w:rsid w:val="009B14DD"/>
    <w:rsid w:val="009B5E2A"/>
    <w:rsid w:val="009B67FA"/>
    <w:rsid w:val="009B7929"/>
    <w:rsid w:val="009C3DA6"/>
    <w:rsid w:val="009C77D8"/>
    <w:rsid w:val="009D14C9"/>
    <w:rsid w:val="009D2771"/>
    <w:rsid w:val="009E5248"/>
    <w:rsid w:val="009E77A6"/>
    <w:rsid w:val="009F1BFB"/>
    <w:rsid w:val="009F5B35"/>
    <w:rsid w:val="00A02179"/>
    <w:rsid w:val="00A07D87"/>
    <w:rsid w:val="00A36845"/>
    <w:rsid w:val="00A55906"/>
    <w:rsid w:val="00A711FE"/>
    <w:rsid w:val="00A7239B"/>
    <w:rsid w:val="00A814EF"/>
    <w:rsid w:val="00A85050"/>
    <w:rsid w:val="00A8507D"/>
    <w:rsid w:val="00A9205C"/>
    <w:rsid w:val="00A93811"/>
    <w:rsid w:val="00A955D5"/>
    <w:rsid w:val="00A95EC2"/>
    <w:rsid w:val="00A96880"/>
    <w:rsid w:val="00AA4A9C"/>
    <w:rsid w:val="00AB1B4B"/>
    <w:rsid w:val="00AB68F6"/>
    <w:rsid w:val="00AC0485"/>
    <w:rsid w:val="00AC1320"/>
    <w:rsid w:val="00AC2176"/>
    <w:rsid w:val="00AC5636"/>
    <w:rsid w:val="00AE20B7"/>
    <w:rsid w:val="00AE24B8"/>
    <w:rsid w:val="00AE3847"/>
    <w:rsid w:val="00AF0C2B"/>
    <w:rsid w:val="00AF395F"/>
    <w:rsid w:val="00AF4067"/>
    <w:rsid w:val="00B0163A"/>
    <w:rsid w:val="00B02BFF"/>
    <w:rsid w:val="00B0596A"/>
    <w:rsid w:val="00B1358C"/>
    <w:rsid w:val="00B15DA3"/>
    <w:rsid w:val="00B16BD5"/>
    <w:rsid w:val="00B22C9B"/>
    <w:rsid w:val="00B24B4F"/>
    <w:rsid w:val="00B3081A"/>
    <w:rsid w:val="00B36CD8"/>
    <w:rsid w:val="00B40D23"/>
    <w:rsid w:val="00B41529"/>
    <w:rsid w:val="00B4289C"/>
    <w:rsid w:val="00B45236"/>
    <w:rsid w:val="00B456F5"/>
    <w:rsid w:val="00B5097D"/>
    <w:rsid w:val="00B52E76"/>
    <w:rsid w:val="00B541E9"/>
    <w:rsid w:val="00B64471"/>
    <w:rsid w:val="00B84689"/>
    <w:rsid w:val="00B84BE0"/>
    <w:rsid w:val="00B873E7"/>
    <w:rsid w:val="00B910B1"/>
    <w:rsid w:val="00B979F5"/>
    <w:rsid w:val="00B97C93"/>
    <w:rsid w:val="00BA68EC"/>
    <w:rsid w:val="00BB4CE5"/>
    <w:rsid w:val="00BB61B2"/>
    <w:rsid w:val="00BB7575"/>
    <w:rsid w:val="00BC4B15"/>
    <w:rsid w:val="00BD4EB3"/>
    <w:rsid w:val="00BE1CDD"/>
    <w:rsid w:val="00BE39DA"/>
    <w:rsid w:val="00BF640B"/>
    <w:rsid w:val="00C01763"/>
    <w:rsid w:val="00C0575F"/>
    <w:rsid w:val="00C06B04"/>
    <w:rsid w:val="00C15D60"/>
    <w:rsid w:val="00C22F85"/>
    <w:rsid w:val="00C2385A"/>
    <w:rsid w:val="00C4143A"/>
    <w:rsid w:val="00C44895"/>
    <w:rsid w:val="00C46E56"/>
    <w:rsid w:val="00C50E49"/>
    <w:rsid w:val="00C56F29"/>
    <w:rsid w:val="00C61C69"/>
    <w:rsid w:val="00C773FD"/>
    <w:rsid w:val="00C80D4D"/>
    <w:rsid w:val="00C820E9"/>
    <w:rsid w:val="00C82481"/>
    <w:rsid w:val="00C862DF"/>
    <w:rsid w:val="00C94069"/>
    <w:rsid w:val="00C95CC4"/>
    <w:rsid w:val="00CA34DC"/>
    <w:rsid w:val="00CA4559"/>
    <w:rsid w:val="00CA5E22"/>
    <w:rsid w:val="00CB4111"/>
    <w:rsid w:val="00CC0D04"/>
    <w:rsid w:val="00CC27CA"/>
    <w:rsid w:val="00CE1B03"/>
    <w:rsid w:val="00CE4ED3"/>
    <w:rsid w:val="00CF4115"/>
    <w:rsid w:val="00CF68E5"/>
    <w:rsid w:val="00D10CE2"/>
    <w:rsid w:val="00D12B89"/>
    <w:rsid w:val="00D15E08"/>
    <w:rsid w:val="00D2575E"/>
    <w:rsid w:val="00D301B7"/>
    <w:rsid w:val="00D31CDF"/>
    <w:rsid w:val="00D3410E"/>
    <w:rsid w:val="00D3715C"/>
    <w:rsid w:val="00D40B19"/>
    <w:rsid w:val="00D42064"/>
    <w:rsid w:val="00D524E1"/>
    <w:rsid w:val="00D6002F"/>
    <w:rsid w:val="00D62255"/>
    <w:rsid w:val="00D75A27"/>
    <w:rsid w:val="00D76D77"/>
    <w:rsid w:val="00D77E16"/>
    <w:rsid w:val="00D82261"/>
    <w:rsid w:val="00D85FBE"/>
    <w:rsid w:val="00DA2719"/>
    <w:rsid w:val="00DA3202"/>
    <w:rsid w:val="00DA441D"/>
    <w:rsid w:val="00DC1F0A"/>
    <w:rsid w:val="00DD0BF1"/>
    <w:rsid w:val="00DD5C7E"/>
    <w:rsid w:val="00DD5E89"/>
    <w:rsid w:val="00DE04DA"/>
    <w:rsid w:val="00DF1648"/>
    <w:rsid w:val="00DF7A31"/>
    <w:rsid w:val="00E0193B"/>
    <w:rsid w:val="00E07290"/>
    <w:rsid w:val="00E07BD7"/>
    <w:rsid w:val="00E119ED"/>
    <w:rsid w:val="00E11A02"/>
    <w:rsid w:val="00E13F45"/>
    <w:rsid w:val="00E2131B"/>
    <w:rsid w:val="00E226E7"/>
    <w:rsid w:val="00E2444D"/>
    <w:rsid w:val="00E251DD"/>
    <w:rsid w:val="00E34763"/>
    <w:rsid w:val="00E351DA"/>
    <w:rsid w:val="00E355C1"/>
    <w:rsid w:val="00E45728"/>
    <w:rsid w:val="00E633A0"/>
    <w:rsid w:val="00E6353C"/>
    <w:rsid w:val="00E63D15"/>
    <w:rsid w:val="00E6527A"/>
    <w:rsid w:val="00E6733F"/>
    <w:rsid w:val="00E768F9"/>
    <w:rsid w:val="00E80744"/>
    <w:rsid w:val="00E82029"/>
    <w:rsid w:val="00E910C3"/>
    <w:rsid w:val="00E9131D"/>
    <w:rsid w:val="00E91F61"/>
    <w:rsid w:val="00E93D48"/>
    <w:rsid w:val="00EA11FB"/>
    <w:rsid w:val="00EA19D4"/>
    <w:rsid w:val="00EA543D"/>
    <w:rsid w:val="00EA7B8E"/>
    <w:rsid w:val="00EB11EF"/>
    <w:rsid w:val="00EB1E41"/>
    <w:rsid w:val="00EB4533"/>
    <w:rsid w:val="00EC4093"/>
    <w:rsid w:val="00ED1C26"/>
    <w:rsid w:val="00ED5559"/>
    <w:rsid w:val="00ED5E59"/>
    <w:rsid w:val="00ED6ABC"/>
    <w:rsid w:val="00ED6F01"/>
    <w:rsid w:val="00EE5360"/>
    <w:rsid w:val="00EF3D7E"/>
    <w:rsid w:val="00F01A9F"/>
    <w:rsid w:val="00F04D83"/>
    <w:rsid w:val="00F07265"/>
    <w:rsid w:val="00F156DD"/>
    <w:rsid w:val="00F16FC3"/>
    <w:rsid w:val="00F2379A"/>
    <w:rsid w:val="00F35CE7"/>
    <w:rsid w:val="00F37003"/>
    <w:rsid w:val="00F37A03"/>
    <w:rsid w:val="00F47E91"/>
    <w:rsid w:val="00F60B0B"/>
    <w:rsid w:val="00F61B94"/>
    <w:rsid w:val="00F61C84"/>
    <w:rsid w:val="00F636AD"/>
    <w:rsid w:val="00F63966"/>
    <w:rsid w:val="00F65489"/>
    <w:rsid w:val="00F661B5"/>
    <w:rsid w:val="00F802D6"/>
    <w:rsid w:val="00F80558"/>
    <w:rsid w:val="00F834D3"/>
    <w:rsid w:val="00F85AF7"/>
    <w:rsid w:val="00F973A1"/>
    <w:rsid w:val="00FB65C6"/>
    <w:rsid w:val="00FC210D"/>
    <w:rsid w:val="00FC3501"/>
    <w:rsid w:val="00FC39D6"/>
    <w:rsid w:val="00FC3D52"/>
    <w:rsid w:val="00FC7F05"/>
    <w:rsid w:val="00FE138B"/>
    <w:rsid w:val="00FE4BC2"/>
    <w:rsid w:val="00FE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A484"/>
  <w15:docId w15:val="{58741CD8-D392-4842-A799-564E2F27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3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qFormat/>
    <w:rsid w:val="007B0539"/>
    <w:pPr>
      <w:autoSpaceDE w:val="0"/>
      <w:autoSpaceDN w:val="0"/>
      <w:adjustRightInd w:val="0"/>
      <w:spacing w:before="200" w:line="240" w:lineRule="auto"/>
      <w:jc w:val="center"/>
    </w:pPr>
    <w:rPr>
      <w:rFonts w:ascii="Times New Roman" w:hAnsi="Times New Roman" w:cs="Times New Roman"/>
      <w:b/>
      <w:bCs/>
      <w:color w:val="000000"/>
      <w:sz w:val="28"/>
      <w:szCs w:val="28"/>
    </w:rPr>
  </w:style>
  <w:style w:type="paragraph" w:customStyle="1" w:styleId="C30X">
    <w:name w:val="C30X"/>
    <w:basedOn w:val="Normal"/>
    <w:uiPriority w:val="99"/>
    <w:qFormat/>
    <w:rsid w:val="007B0539"/>
    <w:pPr>
      <w:autoSpaceDE w:val="0"/>
      <w:autoSpaceDN w:val="0"/>
      <w:adjustRightInd w:val="0"/>
      <w:spacing w:before="200" w:after="60" w:line="240" w:lineRule="auto"/>
      <w:jc w:val="center"/>
    </w:pPr>
    <w:rPr>
      <w:rFonts w:ascii="Times New Roman" w:hAnsi="Times New Roman" w:cs="Times New Roman"/>
      <w:b/>
      <w:bCs/>
      <w:color w:val="000000"/>
      <w:sz w:val="24"/>
      <w:szCs w:val="24"/>
    </w:rPr>
  </w:style>
  <w:style w:type="paragraph" w:customStyle="1" w:styleId="N02Y">
    <w:name w:val="N02Y"/>
    <w:basedOn w:val="Normal"/>
    <w:uiPriority w:val="99"/>
    <w:qFormat/>
    <w:rsid w:val="007B0539"/>
    <w:pPr>
      <w:autoSpaceDE w:val="0"/>
      <w:autoSpaceDN w:val="0"/>
      <w:adjustRightInd w:val="0"/>
      <w:spacing w:before="120" w:after="60" w:line="240" w:lineRule="auto"/>
      <w:ind w:firstLine="283"/>
      <w:jc w:val="both"/>
    </w:pPr>
    <w:rPr>
      <w:rFonts w:ascii="Times New Roman" w:hAnsi="Times New Roman" w:cs="Times New Roman"/>
      <w:color w:val="000000"/>
    </w:rPr>
  </w:style>
  <w:style w:type="paragraph" w:customStyle="1" w:styleId="T30X">
    <w:name w:val="T30X"/>
    <w:basedOn w:val="Normal"/>
    <w:uiPriority w:val="99"/>
    <w:rsid w:val="007B0539"/>
    <w:pPr>
      <w:autoSpaceDE w:val="0"/>
      <w:autoSpaceDN w:val="0"/>
      <w:adjustRightInd w:val="0"/>
      <w:spacing w:before="60" w:after="60" w:line="240" w:lineRule="auto"/>
      <w:ind w:firstLine="283"/>
      <w:jc w:val="both"/>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B45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36"/>
    <w:rPr>
      <w:rFonts w:ascii="Segoe UI" w:eastAsiaTheme="minorEastAsia" w:hAnsi="Segoe UI" w:cs="Segoe UI"/>
      <w:sz w:val="18"/>
      <w:szCs w:val="18"/>
      <w:lang w:val="en-US"/>
    </w:rPr>
  </w:style>
  <w:style w:type="character" w:styleId="Strong">
    <w:name w:val="Strong"/>
    <w:basedOn w:val="DefaultParagraphFont"/>
    <w:uiPriority w:val="22"/>
    <w:qFormat/>
    <w:rsid w:val="004813FF"/>
    <w:rPr>
      <w:b/>
      <w:bCs/>
    </w:rPr>
  </w:style>
  <w:style w:type="paragraph" w:styleId="NormalWeb">
    <w:name w:val="Normal (Web)"/>
    <w:basedOn w:val="Normal"/>
    <w:uiPriority w:val="99"/>
    <w:semiHidden/>
    <w:unhideWhenUsed/>
    <w:rsid w:val="004813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97D"/>
    <w:pPr>
      <w:ind w:left="720"/>
      <w:contextualSpacing/>
    </w:pPr>
  </w:style>
  <w:style w:type="paragraph" w:styleId="FootnoteText">
    <w:name w:val="footnote text"/>
    <w:basedOn w:val="Normal"/>
    <w:link w:val="FootnoteTextChar"/>
    <w:uiPriority w:val="99"/>
    <w:semiHidden/>
    <w:unhideWhenUsed/>
    <w:rsid w:val="00322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605"/>
    <w:rPr>
      <w:rFonts w:eastAsiaTheme="minorEastAsia"/>
      <w:sz w:val="20"/>
      <w:szCs w:val="20"/>
      <w:lang w:val="en-US"/>
    </w:rPr>
  </w:style>
  <w:style w:type="character" w:styleId="FootnoteReference">
    <w:name w:val="footnote reference"/>
    <w:basedOn w:val="DefaultParagraphFont"/>
    <w:uiPriority w:val="99"/>
    <w:semiHidden/>
    <w:unhideWhenUsed/>
    <w:rsid w:val="00322605"/>
    <w:rPr>
      <w:vertAlign w:val="superscript"/>
    </w:rPr>
  </w:style>
  <w:style w:type="paragraph" w:styleId="Header">
    <w:name w:val="header"/>
    <w:basedOn w:val="Normal"/>
    <w:link w:val="HeaderChar"/>
    <w:uiPriority w:val="99"/>
    <w:unhideWhenUsed/>
    <w:rsid w:val="001B7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7E3"/>
    <w:rPr>
      <w:rFonts w:eastAsiaTheme="minorEastAsia"/>
      <w:lang w:val="en-US"/>
    </w:rPr>
  </w:style>
  <w:style w:type="paragraph" w:styleId="Footer">
    <w:name w:val="footer"/>
    <w:basedOn w:val="Normal"/>
    <w:link w:val="FooterChar"/>
    <w:uiPriority w:val="99"/>
    <w:unhideWhenUsed/>
    <w:rsid w:val="001B7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7E3"/>
    <w:rPr>
      <w:rFonts w:eastAsiaTheme="minorEastAsia"/>
      <w:lang w:val="en-US"/>
    </w:rPr>
  </w:style>
  <w:style w:type="paragraph" w:styleId="NoSpacing">
    <w:name w:val="No Spacing"/>
    <w:uiPriority w:val="1"/>
    <w:qFormat/>
    <w:rsid w:val="004D3FAB"/>
    <w:pPr>
      <w:spacing w:after="0" w:line="240" w:lineRule="auto"/>
    </w:pPr>
    <w:rPr>
      <w:rFonts w:eastAsiaTheme="minorEastAsia"/>
      <w:lang w:val="en-US"/>
    </w:rPr>
  </w:style>
  <w:style w:type="character" w:styleId="CommentReference">
    <w:name w:val="annotation reference"/>
    <w:basedOn w:val="DefaultParagraphFont"/>
    <w:uiPriority w:val="99"/>
    <w:semiHidden/>
    <w:unhideWhenUsed/>
    <w:rsid w:val="00787C63"/>
    <w:rPr>
      <w:sz w:val="16"/>
      <w:szCs w:val="16"/>
    </w:rPr>
  </w:style>
  <w:style w:type="paragraph" w:styleId="CommentText">
    <w:name w:val="annotation text"/>
    <w:basedOn w:val="Normal"/>
    <w:link w:val="CommentTextChar"/>
    <w:uiPriority w:val="99"/>
    <w:semiHidden/>
    <w:unhideWhenUsed/>
    <w:rsid w:val="00787C63"/>
    <w:pPr>
      <w:spacing w:line="240" w:lineRule="auto"/>
    </w:pPr>
    <w:rPr>
      <w:sz w:val="20"/>
      <w:szCs w:val="20"/>
    </w:rPr>
  </w:style>
  <w:style w:type="character" w:customStyle="1" w:styleId="CommentTextChar">
    <w:name w:val="Comment Text Char"/>
    <w:basedOn w:val="DefaultParagraphFont"/>
    <w:link w:val="CommentText"/>
    <w:uiPriority w:val="99"/>
    <w:semiHidden/>
    <w:rsid w:val="00787C63"/>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87C63"/>
    <w:rPr>
      <w:b/>
      <w:bCs/>
    </w:rPr>
  </w:style>
  <w:style w:type="character" w:customStyle="1" w:styleId="CommentSubjectChar">
    <w:name w:val="Comment Subject Char"/>
    <w:basedOn w:val="CommentTextChar"/>
    <w:link w:val="CommentSubject"/>
    <w:uiPriority w:val="99"/>
    <w:semiHidden/>
    <w:rsid w:val="00787C63"/>
    <w:rPr>
      <w:rFonts w:eastAsiaTheme="minorEastAsia"/>
      <w:b/>
      <w:bCs/>
      <w:sz w:val="20"/>
      <w:szCs w:val="20"/>
      <w:lang w:val="en-US"/>
    </w:rPr>
  </w:style>
  <w:style w:type="character" w:customStyle="1" w:styleId="hgkelc">
    <w:name w:val="hgkelc"/>
    <w:basedOn w:val="DefaultParagraphFont"/>
    <w:rsid w:val="00F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6555">
      <w:bodyDiv w:val="1"/>
      <w:marLeft w:val="0"/>
      <w:marRight w:val="0"/>
      <w:marTop w:val="0"/>
      <w:marBottom w:val="0"/>
      <w:divBdr>
        <w:top w:val="none" w:sz="0" w:space="0" w:color="auto"/>
        <w:left w:val="none" w:sz="0" w:space="0" w:color="auto"/>
        <w:bottom w:val="none" w:sz="0" w:space="0" w:color="auto"/>
        <w:right w:val="none" w:sz="0" w:space="0" w:color="auto"/>
      </w:divBdr>
    </w:div>
    <w:div w:id="1310666855">
      <w:bodyDiv w:val="1"/>
      <w:marLeft w:val="0"/>
      <w:marRight w:val="0"/>
      <w:marTop w:val="0"/>
      <w:marBottom w:val="0"/>
      <w:divBdr>
        <w:top w:val="none" w:sz="0" w:space="0" w:color="auto"/>
        <w:left w:val="none" w:sz="0" w:space="0" w:color="auto"/>
        <w:bottom w:val="none" w:sz="0" w:space="0" w:color="auto"/>
        <w:right w:val="none" w:sz="0" w:space="0" w:color="auto"/>
      </w:divBdr>
    </w:div>
    <w:div w:id="131722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2EA3-BD20-4B7F-A422-D3890444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Dragoljub Nikolic</dc:creator>
  <cp:lastModifiedBy>Aida Muratovic</cp:lastModifiedBy>
  <cp:revision>3</cp:revision>
  <cp:lastPrinted>2022-06-27T06:36:00Z</cp:lastPrinted>
  <dcterms:created xsi:type="dcterms:W3CDTF">2022-06-30T22:47:00Z</dcterms:created>
  <dcterms:modified xsi:type="dcterms:W3CDTF">2022-07-04T06:52:00Z</dcterms:modified>
</cp:coreProperties>
</file>