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92" w:rsidRPr="00AD1B16" w:rsidRDefault="00D61692" w:rsidP="00D61692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AD1B16">
        <w:rPr>
          <w:rFonts w:ascii="Cambria" w:hAnsi="Cambria" w:cs="Cambria"/>
          <w:noProof/>
          <w:lang w:val="sr-Latn-CS" w:eastAsia="sr-Latn-CS"/>
        </w:rPr>
        <w:drawing>
          <wp:inline distT="0" distB="0" distL="0" distR="0">
            <wp:extent cx="672998" cy="82658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9" cy="82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CRNA GORA</w:t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MINISTARSTVO FINANSIJA</w:t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Sektor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za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ekonomsku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politiku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razvoj</w:t>
      </w:r>
    </w:p>
    <w:p w:rsidR="00D61692" w:rsidRPr="00AD1B16" w:rsidRDefault="00D61692" w:rsidP="00D61692">
      <w:pPr>
        <w:rPr>
          <w:rFonts w:cstheme="minorHAnsi"/>
        </w:rPr>
      </w:pPr>
    </w:p>
    <w:p w:rsidR="00D61692" w:rsidRPr="00AD1B16" w:rsidRDefault="00D61692" w:rsidP="00D61692">
      <w:pPr>
        <w:jc w:val="center"/>
        <w:rPr>
          <w:rFonts w:cstheme="minorHAnsi"/>
          <w:b/>
          <w:bCs/>
          <w:i/>
          <w:iCs/>
          <w:sz w:val="36"/>
          <w:szCs w:val="36"/>
        </w:rPr>
      </w:pPr>
    </w:p>
    <w:p w:rsidR="00D61692" w:rsidRPr="00AD1B16" w:rsidRDefault="00D61692" w:rsidP="000F756E">
      <w:pPr>
        <w:rPr>
          <w:rFonts w:cstheme="minorHAnsi"/>
          <w:b/>
          <w:bCs/>
          <w:i/>
          <w:iCs/>
          <w:sz w:val="36"/>
          <w:szCs w:val="36"/>
        </w:rPr>
      </w:pPr>
    </w:p>
    <w:p w:rsidR="004F7F71" w:rsidRPr="00AD1B16" w:rsidRDefault="004F7F71" w:rsidP="000F756E">
      <w:pPr>
        <w:rPr>
          <w:rFonts w:cstheme="minorHAnsi"/>
          <w:b/>
          <w:bCs/>
          <w:i/>
          <w:iCs/>
          <w:sz w:val="36"/>
          <w:szCs w:val="36"/>
        </w:rPr>
      </w:pPr>
    </w:p>
    <w:p w:rsidR="00D61692" w:rsidRPr="00AD1B16" w:rsidRDefault="00D61692" w:rsidP="00D61692">
      <w:pPr>
        <w:spacing w:line="240" w:lineRule="auto"/>
        <w:jc w:val="center"/>
        <w:rPr>
          <w:rFonts w:cstheme="minorHAnsi"/>
          <w:b/>
          <w:bCs/>
          <w:iCs/>
          <w:sz w:val="52"/>
          <w:szCs w:val="52"/>
        </w:rPr>
      </w:pPr>
      <w:r w:rsidRPr="00AD1B16">
        <w:rPr>
          <w:rFonts w:cstheme="minorHAnsi"/>
          <w:b/>
          <w:bCs/>
          <w:iCs/>
          <w:sz w:val="52"/>
          <w:szCs w:val="52"/>
        </w:rPr>
        <w:t>MJESEČNI MAKROEKONOMSKI INDIKATORI</w:t>
      </w:r>
    </w:p>
    <w:p w:rsidR="00D61692" w:rsidRPr="00AD1B16" w:rsidRDefault="009A68CA" w:rsidP="00D61692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Mart</w:t>
      </w:r>
      <w:r w:rsidR="00DC3690" w:rsidRPr="00AD1B16">
        <w:rPr>
          <w:rFonts w:cstheme="minorHAnsi"/>
          <w:b/>
          <w:bCs/>
          <w:sz w:val="32"/>
          <w:szCs w:val="32"/>
        </w:rPr>
        <w:t xml:space="preserve"> 201</w:t>
      </w:r>
      <w:r w:rsidR="00F13EE1">
        <w:rPr>
          <w:rFonts w:cstheme="minorHAnsi"/>
          <w:b/>
          <w:bCs/>
          <w:sz w:val="32"/>
          <w:szCs w:val="32"/>
        </w:rPr>
        <w:t>3</w:t>
      </w:r>
      <w:r w:rsidR="00D61692" w:rsidRPr="00AD1B16">
        <w:rPr>
          <w:rFonts w:cstheme="minorHAnsi"/>
          <w:b/>
          <w:bCs/>
          <w:sz w:val="32"/>
          <w:szCs w:val="32"/>
        </w:rPr>
        <w:t>.</w:t>
      </w:r>
    </w:p>
    <w:p w:rsidR="00D61692" w:rsidRPr="00AD1B16" w:rsidRDefault="00D61692" w:rsidP="00D6169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D20CDA" w:rsidRPr="00AD1B16" w:rsidRDefault="00D20CDA" w:rsidP="00D6169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D20CDA" w:rsidRPr="00AD1B16" w:rsidRDefault="008E1A73" w:rsidP="00D20CDA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sr-Latn-CS" w:eastAsia="sr-Latn-C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-552809</wp:posOffset>
            </wp:positionH>
            <wp:positionV relativeFrom="paragraph">
              <wp:posOffset>-161892</wp:posOffset>
            </wp:positionV>
            <wp:extent cx="5527734" cy="4934310"/>
            <wp:effectExtent l="19050" t="0" r="0" b="0"/>
            <wp:wrapNone/>
            <wp:docPr id="11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734" cy="493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31F" w:rsidRPr="0087731F">
        <w:rPr>
          <w:rFonts w:cstheme="minorHAnsi"/>
          <w:b/>
          <w:bCs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6.5pt;margin-top:367.6pt;width:234.35pt;height:304.1pt;rotation:-360;z-index:-251657216;mso-position-horizontal-relative:margin;mso-position-vertical-relative:margin;mso-width-relative:margin;mso-height-relative:margin" wrapcoords="1181 -93 506 93 -169 466 -169 21088 591 21507 1012 21647 1181 21647 20334 21647 21178 21507 21769 20902 21769 466 20841 0 20334 -93 1181 -93" o:allowincell="f" adj="1739" fillcolor="#943634 [2405]" strokecolor="#c00000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AD2362" w:rsidRPr="00BE47BD" w:rsidRDefault="00AD2362" w:rsidP="00BE47B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BE47B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B21CD5" w:rsidRDefault="00B21CD5" w:rsidP="00B21CD5">
                  <w:pPr>
                    <w:pStyle w:val="NoSpacing"/>
                    <w:ind w:left="72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  <w:p w:rsidR="00AD2362" w:rsidRDefault="00AD2362" w:rsidP="008E1A73">
                  <w:pPr>
                    <w:pStyle w:val="NoSpacing"/>
                    <w:numPr>
                      <w:ilvl w:val="0"/>
                      <w:numId w:val="9"/>
                    </w:num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Indikatori povjerenja Eurozone ukazuju na blagi pad BDP-a u prvom kvartalu</w:t>
                  </w:r>
                </w:p>
                <w:p w:rsidR="006E5AF1" w:rsidRDefault="00AD2362" w:rsidP="006E5AF1">
                  <w:pPr>
                    <w:pStyle w:val="NoSpacing"/>
                    <w:numPr>
                      <w:ilvl w:val="0"/>
                      <w:numId w:val="9"/>
                    </w:num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 w:rsidRPr="006E5AF1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Rast izvornih prihoda budžeta u odnosu na plan i prethodnu godinu</w:t>
                  </w:r>
                </w:p>
                <w:p w:rsidR="006E5AF1" w:rsidRPr="006E5AF1" w:rsidRDefault="006E5AF1" w:rsidP="006E5AF1">
                  <w:pPr>
                    <w:pStyle w:val="NoSpacing"/>
                    <w:ind w:left="72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  <w:p w:rsidR="00AD2362" w:rsidRPr="00AD2362" w:rsidRDefault="00AD2362" w:rsidP="008E1A73">
                  <w:pPr>
                    <w:pStyle w:val="NoSpacing"/>
                    <w:numPr>
                      <w:ilvl w:val="0"/>
                      <w:numId w:val="9"/>
                    </w:num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 w:rsidRPr="00AD236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Rast kreditne aktivnosti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 xml:space="preserve"> –nova metodologija</w:t>
                  </w:r>
                </w:p>
                <w:p w:rsidR="00AD2362" w:rsidRDefault="00AD2362" w:rsidP="00FD0AB9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</w:txbxContent>
            </v:textbox>
            <w10:wrap type="tight" anchorx="margin" anchory="margin"/>
          </v:shape>
        </w:pict>
      </w:r>
    </w:p>
    <w:p w:rsidR="00D61692" w:rsidRPr="00AD1B16" w:rsidRDefault="00D61692" w:rsidP="00D20CDA">
      <w:pPr>
        <w:spacing w:after="0" w:line="240" w:lineRule="auto"/>
        <w:rPr>
          <w:rFonts w:cstheme="minorHAnsi"/>
          <w:bCs/>
          <w:iCs/>
          <w:sz w:val="26"/>
          <w:szCs w:val="26"/>
        </w:rPr>
      </w:pPr>
    </w:p>
    <w:p w:rsidR="00D61692" w:rsidRPr="00AD1B16" w:rsidRDefault="00D61692" w:rsidP="00D61692">
      <w:pPr>
        <w:pStyle w:val="NoSpacing"/>
        <w:rPr>
          <w:rFonts w:asciiTheme="minorHAnsi" w:hAnsiTheme="minorHAnsi" w:cstheme="minorHAnsi"/>
          <w:bCs/>
          <w:iCs/>
          <w:sz w:val="26"/>
          <w:szCs w:val="26"/>
        </w:rPr>
      </w:pPr>
    </w:p>
    <w:p w:rsidR="00694445" w:rsidRPr="00AD1B16" w:rsidRDefault="00694445" w:rsidP="00694445">
      <w:pPr>
        <w:pStyle w:val="NoSpacing"/>
        <w:rPr>
          <w:rFonts w:asciiTheme="minorHAnsi" w:hAnsiTheme="minorHAnsi" w:cstheme="minorHAnsi"/>
          <w:bCs/>
          <w:sz w:val="28"/>
          <w:szCs w:val="20"/>
        </w:rPr>
      </w:pPr>
    </w:p>
    <w:p w:rsidR="00694445" w:rsidRPr="00AD1B16" w:rsidRDefault="00694445" w:rsidP="003324D9">
      <w:pPr>
        <w:pStyle w:val="NoSpacing"/>
        <w:rPr>
          <w:rFonts w:asciiTheme="minorHAnsi" w:hAnsiTheme="minorHAnsi" w:cstheme="minorHAnsi"/>
          <w:sz w:val="32"/>
        </w:rPr>
      </w:pPr>
    </w:p>
    <w:p w:rsidR="003324D9" w:rsidRPr="00AD1B16" w:rsidRDefault="003324D9" w:rsidP="003324D9">
      <w:pPr>
        <w:pStyle w:val="NoSpacing"/>
        <w:rPr>
          <w:rFonts w:asciiTheme="minorHAnsi" w:hAnsiTheme="minorHAnsi" w:cstheme="minorHAnsi"/>
          <w:sz w:val="32"/>
        </w:rPr>
      </w:pPr>
    </w:p>
    <w:p w:rsidR="003324D9" w:rsidRPr="00AD1B16" w:rsidRDefault="003324D9" w:rsidP="003324D9">
      <w:pPr>
        <w:pStyle w:val="NoSpacing"/>
      </w:pPr>
    </w:p>
    <w:p w:rsidR="003324D9" w:rsidRPr="00AD1B16" w:rsidRDefault="003324D9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777134" w:rsidRPr="00AD1B16" w:rsidRDefault="00777134" w:rsidP="003324D9">
      <w:pPr>
        <w:pStyle w:val="NoSpacing"/>
        <w:rPr>
          <w:b/>
          <w:bCs/>
          <w:color w:val="000000"/>
          <w:sz w:val="16"/>
          <w:szCs w:val="16"/>
        </w:rPr>
      </w:pPr>
    </w:p>
    <w:p w:rsidR="004F7F71" w:rsidRPr="00AD1B16" w:rsidRDefault="004F7F71" w:rsidP="003324D9">
      <w:pPr>
        <w:pStyle w:val="NoSpacing"/>
        <w:rPr>
          <w:b/>
          <w:bCs/>
          <w:color w:val="000000"/>
          <w:sz w:val="16"/>
          <w:szCs w:val="16"/>
        </w:rPr>
      </w:pPr>
    </w:p>
    <w:p w:rsidR="000F756E" w:rsidRPr="00AD1B16" w:rsidRDefault="008E1A73" w:rsidP="003324D9">
      <w:pPr>
        <w:pStyle w:val="NoSpacing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Autori priloga</w:t>
      </w:r>
      <w:r w:rsidR="000F756E" w:rsidRPr="00AD1B16">
        <w:rPr>
          <w:b/>
          <w:bCs/>
          <w:color w:val="000000"/>
          <w:sz w:val="16"/>
          <w:szCs w:val="16"/>
        </w:rPr>
        <w:t>:</w:t>
      </w:r>
      <w:r w:rsidR="00F13EE1">
        <w:rPr>
          <w:b/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Radovan Živković</w:t>
      </w:r>
      <w:r>
        <w:rPr>
          <w:bCs/>
          <w:color w:val="000000"/>
          <w:sz w:val="16"/>
          <w:szCs w:val="16"/>
        </w:rPr>
        <w:t xml:space="preserve"> , </w:t>
      </w:r>
      <w:r w:rsidR="000F756E" w:rsidRPr="00AD1B16">
        <w:rPr>
          <w:bCs/>
          <w:color w:val="000000"/>
          <w:sz w:val="16"/>
          <w:szCs w:val="16"/>
        </w:rPr>
        <w:t>Radojka</w:t>
      </w:r>
      <w:r w:rsidR="00F13EE1">
        <w:rPr>
          <w:bCs/>
          <w:color w:val="000000"/>
          <w:sz w:val="16"/>
          <w:szCs w:val="16"/>
        </w:rPr>
        <w:t xml:space="preserve"> </w:t>
      </w:r>
      <w:r w:rsidR="000F756E" w:rsidRPr="00AD1B16">
        <w:rPr>
          <w:bCs/>
          <w:color w:val="000000"/>
          <w:sz w:val="16"/>
          <w:szCs w:val="16"/>
        </w:rPr>
        <w:t>Martinović, Olja</w:t>
      </w:r>
      <w:r w:rsidR="00F13EE1">
        <w:rPr>
          <w:bCs/>
          <w:color w:val="000000"/>
          <w:sz w:val="16"/>
          <w:szCs w:val="16"/>
        </w:rPr>
        <w:t xml:space="preserve"> </w:t>
      </w:r>
      <w:r w:rsidR="000F756E" w:rsidRPr="00AD1B16">
        <w:rPr>
          <w:bCs/>
          <w:color w:val="000000"/>
          <w:sz w:val="16"/>
          <w:szCs w:val="16"/>
        </w:rPr>
        <w:t>Tomanović,</w:t>
      </w:r>
      <w:r w:rsidRPr="008E1A73"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Stanko Jeknić</w:t>
      </w:r>
      <w:r w:rsidR="000F756E" w:rsidRPr="00AD1B16">
        <w:rPr>
          <w:bCs/>
          <w:color w:val="000000"/>
          <w:sz w:val="16"/>
          <w:szCs w:val="16"/>
        </w:rPr>
        <w:t xml:space="preserve"> , </w:t>
      </w:r>
      <w:r w:rsidR="001F69DD" w:rsidRPr="00AD1B16">
        <w:rPr>
          <w:bCs/>
          <w:color w:val="000000"/>
          <w:sz w:val="16"/>
          <w:szCs w:val="16"/>
        </w:rPr>
        <w:t>Marija</w:t>
      </w:r>
      <w:r w:rsidR="00F13EE1">
        <w:rPr>
          <w:bCs/>
          <w:color w:val="000000"/>
          <w:sz w:val="16"/>
          <w:szCs w:val="16"/>
        </w:rPr>
        <w:t xml:space="preserve"> </w:t>
      </w:r>
      <w:r w:rsidR="000F756E" w:rsidRPr="00AD1B16">
        <w:rPr>
          <w:bCs/>
          <w:color w:val="000000"/>
          <w:sz w:val="16"/>
          <w:szCs w:val="16"/>
        </w:rPr>
        <w:t>Novosel</w:t>
      </w:r>
      <w:r w:rsidR="00F13EE1">
        <w:rPr>
          <w:bCs/>
          <w:color w:val="000000"/>
          <w:sz w:val="16"/>
          <w:szCs w:val="16"/>
        </w:rPr>
        <w:t xml:space="preserve"> </w:t>
      </w:r>
      <w:r w:rsidR="000F756E" w:rsidRPr="00AD1B16">
        <w:rPr>
          <w:bCs/>
          <w:color w:val="000000"/>
          <w:sz w:val="16"/>
          <w:szCs w:val="16"/>
        </w:rPr>
        <w:t>i</w:t>
      </w:r>
      <w:r w:rsidR="00F13EE1">
        <w:rPr>
          <w:bCs/>
          <w:color w:val="000000"/>
          <w:sz w:val="16"/>
          <w:szCs w:val="16"/>
        </w:rPr>
        <w:t xml:space="preserve"> </w:t>
      </w:r>
      <w:r w:rsidR="000F756E" w:rsidRPr="00AD1B16">
        <w:rPr>
          <w:bCs/>
          <w:color w:val="000000"/>
          <w:sz w:val="16"/>
          <w:szCs w:val="16"/>
        </w:rPr>
        <w:t>ZdenkaDabović</w:t>
      </w:r>
    </w:p>
    <w:p w:rsidR="00B40133" w:rsidRPr="00AD1B16" w:rsidRDefault="00B40133" w:rsidP="004F7F71">
      <w:pPr>
        <w:pStyle w:val="NoSpacing"/>
      </w:pPr>
      <w:r w:rsidRPr="00AD1B16">
        <w:br w:type="page"/>
      </w:r>
    </w:p>
    <w:tbl>
      <w:tblPr>
        <w:tblStyle w:val="TableGrid"/>
        <w:tblW w:w="10740" w:type="dxa"/>
        <w:tblBorders>
          <w:top w:val="thinThickSmallGap" w:sz="18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3629"/>
        <w:gridCol w:w="57"/>
      </w:tblGrid>
      <w:tr w:rsidR="00716A7D" w:rsidRPr="00AD1B16" w:rsidTr="00920528">
        <w:trPr>
          <w:gridAfter w:val="1"/>
          <w:wAfter w:w="57" w:type="dxa"/>
        </w:trPr>
        <w:tc>
          <w:tcPr>
            <w:tcW w:w="7054" w:type="dxa"/>
            <w:tcBorders>
              <w:bottom w:val="single" w:sz="4" w:space="0" w:color="auto"/>
            </w:tcBorders>
          </w:tcPr>
          <w:p w:rsidR="00716A7D" w:rsidRPr="008F7D61" w:rsidRDefault="00716A7D" w:rsidP="008F7D61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8F7D61"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</w:rPr>
              <w:lastRenderedPageBreak/>
              <w:br w:type="page"/>
            </w:r>
            <w:bookmarkStart w:id="0" w:name="OLE_LINK3"/>
            <w:r w:rsidRPr="008F7D61">
              <w:rPr>
                <w:b/>
                <w:bCs/>
                <w:sz w:val="20"/>
                <w:szCs w:val="20"/>
              </w:rPr>
              <w:t>Međunarodno</w:t>
            </w:r>
            <w:r w:rsidR="005D0E14" w:rsidRPr="008F7D61">
              <w:rPr>
                <w:b/>
                <w:bCs/>
                <w:sz w:val="20"/>
                <w:szCs w:val="20"/>
              </w:rPr>
              <w:t xml:space="preserve"> </w:t>
            </w:r>
            <w:r w:rsidRPr="008F7D61">
              <w:rPr>
                <w:b/>
                <w:bCs/>
                <w:sz w:val="20"/>
                <w:szCs w:val="20"/>
              </w:rPr>
              <w:t>okruženje</w:t>
            </w:r>
            <w:bookmarkEnd w:id="0"/>
          </w:p>
        </w:tc>
        <w:tc>
          <w:tcPr>
            <w:tcW w:w="3629" w:type="dxa"/>
            <w:vMerge w:val="restart"/>
          </w:tcPr>
          <w:p w:rsidR="00D01C27" w:rsidRPr="00AD1B16" w:rsidRDefault="000357E2" w:rsidP="00EB64B9">
            <w:pPr>
              <w:ind w:left="-108"/>
              <w:rPr>
                <w:sz w:val="14"/>
                <w:szCs w:val="14"/>
              </w:rPr>
            </w:pPr>
            <w:r w:rsidRPr="000357E2">
              <w:rPr>
                <w:noProof/>
                <w:sz w:val="14"/>
                <w:szCs w:val="14"/>
                <w:lang w:val="sr-Latn-CS" w:eastAsia="sr-Latn-CS"/>
              </w:rPr>
              <w:drawing>
                <wp:inline distT="0" distB="0" distL="0" distR="0">
                  <wp:extent cx="2330450" cy="194310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F6B9D" w:rsidRPr="00AD1B16" w:rsidTr="00920528">
        <w:trPr>
          <w:gridAfter w:val="1"/>
          <w:wAfter w:w="57" w:type="dxa"/>
          <w:trHeight w:val="3014"/>
        </w:trPr>
        <w:tc>
          <w:tcPr>
            <w:tcW w:w="7054" w:type="dxa"/>
            <w:tcBorders>
              <w:top w:val="single" w:sz="4" w:space="0" w:color="auto"/>
            </w:tcBorders>
          </w:tcPr>
          <w:p w:rsidR="00320582" w:rsidRDefault="00320582" w:rsidP="00B60686">
            <w:pPr>
              <w:jc w:val="both"/>
              <w:rPr>
                <w:sz w:val="20"/>
              </w:rPr>
            </w:pPr>
          </w:p>
          <w:p w:rsidR="00974320" w:rsidRPr="00AD1B16" w:rsidRDefault="000357E2" w:rsidP="00FB28B2">
            <w:pPr>
              <w:jc w:val="both"/>
              <w:rPr>
                <w:sz w:val="17"/>
                <w:szCs w:val="17"/>
              </w:rPr>
            </w:pPr>
            <w:r w:rsidRPr="00320582">
              <w:rPr>
                <w:sz w:val="20"/>
              </w:rPr>
              <w:t>Compozitni indeks ekonomske aktivnosti u Eurozoni (Markit)</w:t>
            </w:r>
            <w:r w:rsidR="00FB28B2">
              <w:rPr>
                <w:sz w:val="20"/>
              </w:rPr>
              <w:t xml:space="preserve"> </w:t>
            </w:r>
            <w:r w:rsidRPr="00320582">
              <w:rPr>
                <w:sz w:val="20"/>
              </w:rPr>
              <w:t>u februaru 2013 iznosio je  47.9 što je slabije u odnosu na Januar</w:t>
            </w:r>
            <w:r w:rsidR="00FB28B2">
              <w:rPr>
                <w:sz w:val="20"/>
              </w:rPr>
              <w:t xml:space="preserve"> </w:t>
            </w:r>
            <w:r w:rsidRPr="00320582">
              <w:rPr>
                <w:sz w:val="20"/>
              </w:rPr>
              <w:t>(48,6). Pad ukazuje na sl</w:t>
            </w:r>
            <w:r w:rsidR="00B21CD5">
              <w:rPr>
                <w:sz w:val="20"/>
              </w:rPr>
              <w:t>abljenje ekonomske aktivnosti. K</w:t>
            </w:r>
            <w:r w:rsidRPr="00320582">
              <w:rPr>
                <w:sz w:val="20"/>
              </w:rPr>
              <w:t>ompozitni indeks indeks pokriva rast u Njemačkoj , ali on nije dovoljan da pokrije negativna kretanja u Francuskoj , Italiji i Španiji kao najvećim ekonomijama Eurozone.  Ovakav nivo indeksa ukazuje na pad od 0,2% u  prvom kvartalu BDP Eurozone posle pada od 0,6% u posljednjem kvartalu 2012. godine. Podaci o nezaposlenosti pokazuju rast nezaposlenosti na 12% što pokazuje najtežu posljedicu krize i prilagođavanja u Eurozoni. Stopa inflacije je pala na 1,8 % . Brent sirova nafta je pala na 110US/T , Dok se Aluminijum kotirao na 2053USD/T. Kurs eura je bio 1EUR=1.36USD.</w:t>
            </w:r>
          </w:p>
        </w:tc>
        <w:tc>
          <w:tcPr>
            <w:tcW w:w="3629" w:type="dxa"/>
            <w:vMerge/>
            <w:vAlign w:val="center"/>
          </w:tcPr>
          <w:p w:rsidR="00DF6B9D" w:rsidRPr="00AD1B16" w:rsidRDefault="00DF6B9D" w:rsidP="001C6750">
            <w:pPr>
              <w:ind w:left="34" w:hanging="34"/>
              <w:rPr>
                <w:sz w:val="17"/>
                <w:szCs w:val="17"/>
              </w:rPr>
            </w:pPr>
          </w:p>
        </w:tc>
      </w:tr>
      <w:tr w:rsidR="00DF6B9D" w:rsidRPr="00AD1B16" w:rsidTr="00920528">
        <w:trPr>
          <w:gridAfter w:val="1"/>
          <w:wAfter w:w="57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DF6B9D" w:rsidRPr="00AD1B16" w:rsidRDefault="00DF6B9D" w:rsidP="008F7D61">
            <w:pPr>
              <w:pStyle w:val="ListParagraph"/>
              <w:numPr>
                <w:ilvl w:val="0"/>
                <w:numId w:val="6"/>
              </w:numPr>
              <w:rPr>
                <w:rStyle w:val="CaptionChar"/>
              </w:rPr>
            </w:pPr>
            <w:r w:rsidRPr="00AD1B16">
              <w:rPr>
                <w:rStyle w:val="CaptionChar"/>
              </w:rPr>
              <w:t>Realn</w:t>
            </w:r>
            <w:r w:rsidR="00F13EE1">
              <w:rPr>
                <w:rStyle w:val="CaptionChar"/>
              </w:rPr>
              <w:t xml:space="preserve">i </w:t>
            </w:r>
            <w:r w:rsidRPr="00AD1B16">
              <w:rPr>
                <w:rStyle w:val="CaptionChar"/>
              </w:rPr>
              <w:t>sektor</w:t>
            </w:r>
          </w:p>
        </w:tc>
        <w:tc>
          <w:tcPr>
            <w:tcW w:w="3629" w:type="dxa"/>
            <w:vMerge w:val="restart"/>
            <w:vAlign w:val="center"/>
          </w:tcPr>
          <w:p w:rsidR="00DF6B9D" w:rsidRPr="00AD1B16" w:rsidRDefault="00A73899" w:rsidP="00A73899">
            <w:r w:rsidRPr="00A73899">
              <w:rPr>
                <w:noProof/>
                <w:lang w:val="sr-Latn-CS" w:eastAsia="sr-Latn-C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134620</wp:posOffset>
                  </wp:positionH>
                  <wp:positionV relativeFrom="margin">
                    <wp:posOffset>247650</wp:posOffset>
                  </wp:positionV>
                  <wp:extent cx="2101850" cy="1955800"/>
                  <wp:effectExtent l="0" t="0" r="0" b="0"/>
                  <wp:wrapSquare wrapText="bothSides"/>
                  <wp:docPr id="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</w:tc>
      </w:tr>
      <w:tr w:rsidR="00DF6B9D" w:rsidRPr="00AD1B16" w:rsidTr="00920528">
        <w:trPr>
          <w:gridAfter w:val="1"/>
          <w:wAfter w:w="57" w:type="dxa"/>
          <w:trHeight w:val="3288"/>
        </w:trPr>
        <w:tc>
          <w:tcPr>
            <w:tcW w:w="7054" w:type="dxa"/>
            <w:tcBorders>
              <w:top w:val="single" w:sz="4" w:space="0" w:color="auto"/>
            </w:tcBorders>
          </w:tcPr>
          <w:p w:rsidR="00DF6B9D" w:rsidRPr="00A73899" w:rsidRDefault="00E95931" w:rsidP="000357E2">
            <w:pPr>
              <w:jc w:val="both"/>
              <w:rPr>
                <w:rFonts w:ascii="Calibri" w:hAnsi="Calibri" w:cs="Calibri"/>
              </w:rPr>
            </w:pPr>
            <w:r w:rsidRPr="00320582">
              <w:rPr>
                <w:rFonts w:ascii="Calibri" w:hAnsi="Calibri" w:cs="Calibri"/>
                <w:b/>
                <w:sz w:val="20"/>
              </w:rPr>
              <w:t xml:space="preserve">Industrijska </w:t>
            </w:r>
            <w:r w:rsidR="00A73899" w:rsidRPr="00320582">
              <w:rPr>
                <w:rFonts w:ascii="Calibri" w:hAnsi="Calibri" w:cs="Calibri"/>
                <w:b/>
                <w:sz w:val="20"/>
              </w:rPr>
              <w:t xml:space="preserve">proizvodnja u februaru  bilježi rast u odnosu na prethodni mjesec i blagi pad u odnosu na isti mjesec prethodne godine. </w:t>
            </w:r>
            <w:r w:rsidR="00A73899" w:rsidRPr="00320582">
              <w:rPr>
                <w:rFonts w:ascii="Calibri" w:hAnsi="Calibri" w:cs="Calibri"/>
                <w:sz w:val="20"/>
              </w:rPr>
              <w:t>Godišnji pad industrijske proizvodnje od 3,0%, opredijeljen je padom u sektorima “ vađenje rude i kamena “ i “prerađivačka industrija” od 12,7 i 32,8%,</w:t>
            </w:r>
            <w:r w:rsidR="00DE0140" w:rsidRPr="00320582">
              <w:rPr>
                <w:rFonts w:ascii="Calibri" w:hAnsi="Calibri" w:cs="Calibri"/>
                <w:sz w:val="20"/>
              </w:rPr>
              <w:t xml:space="preserve"> </w:t>
            </w:r>
            <w:r w:rsidR="00A73899" w:rsidRPr="00320582">
              <w:rPr>
                <w:rFonts w:ascii="Calibri" w:hAnsi="Calibri" w:cs="Calibri"/>
                <w:sz w:val="20"/>
              </w:rPr>
              <w:t>respektivno, dok je sektor”snabdijevanje el.energijom, gasom i parom” ostvario godišnji rast od 40,7%. Povoljni hidrometeorološki uslovi uticali su na rast proizvodnje električne energije, koja je u februaru za 7,0% veća u odnosu na planiranu i 42,7% veća u odnosu na proizvodnju ostvarenu u februaru prošle godine.</w:t>
            </w:r>
            <w:r w:rsidR="000357E2" w:rsidRPr="00320582">
              <w:rPr>
                <w:rFonts w:ascii="Calibri" w:hAnsi="Calibri" w:cs="Calibri"/>
                <w:sz w:val="20"/>
              </w:rPr>
              <w:t xml:space="preserve"> </w:t>
            </w:r>
            <w:r w:rsidR="00A73899" w:rsidRPr="00320582">
              <w:rPr>
                <w:rFonts w:ascii="Calibri" w:hAnsi="Calibri" w:cs="Calibri"/>
                <w:sz w:val="20"/>
              </w:rPr>
              <w:t>Godišnji pad prerađivačke industrije(32,8%)</w:t>
            </w:r>
            <w:r w:rsidR="000357E2" w:rsidRPr="00320582">
              <w:rPr>
                <w:rFonts w:ascii="Calibri" w:hAnsi="Calibri" w:cs="Calibri"/>
                <w:sz w:val="20"/>
              </w:rPr>
              <w:t xml:space="preserve"> </w:t>
            </w:r>
            <w:r w:rsidR="00A73899" w:rsidRPr="00320582">
              <w:rPr>
                <w:rFonts w:ascii="Calibri" w:hAnsi="Calibri" w:cs="Calibri"/>
                <w:sz w:val="20"/>
              </w:rPr>
              <w:t>opredijeljen je padom proizvodnje osnovnih metala(45,0%), prehrambenih proizvoda(4,9%),</w:t>
            </w:r>
            <w:r w:rsidR="000357E2" w:rsidRPr="00320582">
              <w:rPr>
                <w:rFonts w:ascii="Calibri" w:hAnsi="Calibri" w:cs="Calibri"/>
                <w:sz w:val="20"/>
              </w:rPr>
              <w:t xml:space="preserve"> </w:t>
            </w:r>
            <w:r w:rsidR="00A73899" w:rsidRPr="00320582">
              <w:rPr>
                <w:rFonts w:ascii="Calibri" w:hAnsi="Calibri" w:cs="Calibri"/>
                <w:sz w:val="20"/>
              </w:rPr>
              <w:t>pića(2,3%)</w:t>
            </w:r>
            <w:r w:rsidR="000357E2" w:rsidRPr="00320582">
              <w:rPr>
                <w:rFonts w:ascii="Calibri" w:hAnsi="Calibri" w:cs="Calibri"/>
                <w:sz w:val="20"/>
              </w:rPr>
              <w:t xml:space="preserve"> </w:t>
            </w:r>
            <w:r w:rsidR="00A73899" w:rsidRPr="00320582">
              <w:rPr>
                <w:rFonts w:ascii="Calibri" w:hAnsi="Calibri" w:cs="Calibri"/>
                <w:sz w:val="20"/>
              </w:rPr>
              <w:t>i</w:t>
            </w:r>
            <w:r w:rsidR="000357E2" w:rsidRPr="00320582">
              <w:rPr>
                <w:rFonts w:ascii="Calibri" w:hAnsi="Calibri" w:cs="Calibri"/>
                <w:sz w:val="20"/>
              </w:rPr>
              <w:t xml:space="preserve"> </w:t>
            </w:r>
            <w:r w:rsidR="00A73899" w:rsidRPr="00320582">
              <w:rPr>
                <w:rFonts w:ascii="Calibri" w:hAnsi="Calibri" w:cs="Calibri"/>
                <w:sz w:val="20"/>
              </w:rPr>
              <w:t>osnovnih farmaceutskih proizvoda</w:t>
            </w:r>
            <w:r w:rsidR="000357E2" w:rsidRPr="00320582">
              <w:rPr>
                <w:rFonts w:ascii="Calibri" w:hAnsi="Calibri" w:cs="Calibri"/>
                <w:sz w:val="20"/>
              </w:rPr>
              <w:t xml:space="preserve"> </w:t>
            </w:r>
            <w:r w:rsidR="00A73899" w:rsidRPr="00320582">
              <w:rPr>
                <w:rFonts w:ascii="Calibri" w:hAnsi="Calibri" w:cs="Calibri"/>
                <w:sz w:val="20"/>
              </w:rPr>
              <w:t>(68,6%)..Promet u trgovini na malo (tekuće cijene) u februaru bilježi godišnji rast od 8,2%, dok je,u odnosu na prethodni mjesec, zabilježen pad prometa od 5,3%.</w:t>
            </w:r>
          </w:p>
        </w:tc>
        <w:tc>
          <w:tcPr>
            <w:tcW w:w="3629" w:type="dxa"/>
            <w:vMerge/>
            <w:vAlign w:val="center"/>
          </w:tcPr>
          <w:p w:rsidR="00DF6B9D" w:rsidRPr="00AD1B16" w:rsidRDefault="00DF6B9D" w:rsidP="00FE641C">
            <w:pPr>
              <w:spacing w:after="119"/>
              <w:jc w:val="center"/>
              <w:rPr>
                <w:noProof/>
              </w:rPr>
            </w:pPr>
          </w:p>
        </w:tc>
      </w:tr>
      <w:tr w:rsidR="00DF6B9D" w:rsidRPr="00AD1B16" w:rsidTr="00920528">
        <w:trPr>
          <w:gridAfter w:val="1"/>
          <w:wAfter w:w="57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DF6B9D" w:rsidRPr="00AD1B16" w:rsidRDefault="00DF6B9D" w:rsidP="008F7D61">
            <w:pPr>
              <w:pStyle w:val="NormalWeb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D1B16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Cijene</w:t>
            </w:r>
          </w:p>
        </w:tc>
        <w:tc>
          <w:tcPr>
            <w:tcW w:w="3629" w:type="dxa"/>
            <w:vMerge w:val="restart"/>
            <w:vAlign w:val="center"/>
          </w:tcPr>
          <w:p w:rsidR="00DF6B9D" w:rsidRPr="00AD1B16" w:rsidRDefault="00160756" w:rsidP="00676A4B">
            <w:pPr>
              <w:ind w:left="-250"/>
              <w:jc w:val="center"/>
              <w:rPr>
                <w:b/>
                <w:noProof/>
              </w:rPr>
            </w:pPr>
            <w:r w:rsidRPr="00160756">
              <w:rPr>
                <w:b/>
                <w:noProof/>
                <w:lang w:val="sr-Latn-CS" w:eastAsia="sr-Latn-C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-4685030</wp:posOffset>
                  </wp:positionV>
                  <wp:extent cx="2505075" cy="1895475"/>
                  <wp:effectExtent l="0" t="0" r="0" b="0"/>
                  <wp:wrapSquare wrapText="bothSides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</w:tc>
      </w:tr>
      <w:tr w:rsidR="00DF6B9D" w:rsidRPr="00AD1B16" w:rsidTr="00A64A4B">
        <w:trPr>
          <w:gridAfter w:val="1"/>
          <w:wAfter w:w="57" w:type="dxa"/>
          <w:trHeight w:val="3122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320582" w:rsidRPr="00160756" w:rsidRDefault="009377DB" w:rsidP="00320582">
            <w:pPr>
              <w:jc w:val="both"/>
            </w:pPr>
            <w:r w:rsidRPr="00320582">
              <w:rPr>
                <w:b/>
                <w:sz w:val="20"/>
              </w:rPr>
              <w:t>Godišnja stopa inflacije u februaru 2013 godine, mjerena indeksom potrošačkih cijena, iznosila je 3,3% i niža je za 0,9 p.p u odnosu na istu izmjerenu u januaru tekuće godine.</w:t>
            </w:r>
            <w:r w:rsidRPr="00320582">
              <w:rPr>
                <w:sz w:val="20"/>
              </w:rPr>
              <w:t>Rast</w:t>
            </w:r>
            <w:r w:rsidRPr="00320582">
              <w:rPr>
                <w:b/>
                <w:sz w:val="20"/>
              </w:rPr>
              <w:t xml:space="preserve"> </w:t>
            </w:r>
            <w:r w:rsidRPr="00320582">
              <w:rPr>
                <w:sz w:val="20"/>
              </w:rPr>
              <w:t>potrošačkih cijena, dominantno je opredijeljen rastom cijena hrane(5,3%), odjeće(11,5%) i električne energije(9,7%) dok je realtivno niži rast zabilježen kod cijena goriva(2,0%) i farmaceutskih proizvoda(2,3%).Prosječan rast potrošačkih cijena u periodu januar-februar, u odnosu na uporedni period prošle godine, iznosio je 3,7%.Harmonizovani indeks potrošačkih cijena pokazuje da je u februaru ostvarena godišnja stopa inflacije od 3,0%, pri čemu su najveći uticaj na ostvarenu stopu imali rast cijena u grupama „hrana“(6,1%), “odjeće i obuća“(6,1%), “stanovanje, voda, struja, gas i ostala goriva“(4,9%) i „hoteli i restorani“(3,6%).Proizvođačke cijene u februaru veće su za 3,9% u odnosu na isti mjesec prošle godine,dok je prosječan rast iznosio 4,2%.Rast cijena je zabilježen u sektoru „snabdijevanje el.energijom,gaso i parom“(17,6%), dok su sektori „prerađivačka industrija“ i „vađenje rude i kamena“,</w:t>
            </w:r>
            <w:r w:rsidR="006E5AF1">
              <w:rPr>
                <w:sz w:val="20"/>
              </w:rPr>
              <w:t xml:space="preserve"> </w:t>
            </w:r>
            <w:r w:rsidRPr="00320582">
              <w:rPr>
                <w:sz w:val="20"/>
              </w:rPr>
              <w:t>zabilježili pad cijena od 0,1 i 1,0%,</w:t>
            </w:r>
            <w:r w:rsidR="006E5AF1">
              <w:rPr>
                <w:sz w:val="20"/>
              </w:rPr>
              <w:t xml:space="preserve"> </w:t>
            </w:r>
            <w:r w:rsidRPr="00320582">
              <w:rPr>
                <w:sz w:val="20"/>
              </w:rPr>
              <w:t>respektivno.</w:t>
            </w:r>
          </w:p>
        </w:tc>
        <w:tc>
          <w:tcPr>
            <w:tcW w:w="3629" w:type="dxa"/>
            <w:vMerge/>
            <w:tcBorders>
              <w:bottom w:val="thinThickSmallGap" w:sz="18" w:space="0" w:color="auto"/>
            </w:tcBorders>
            <w:vAlign w:val="center"/>
          </w:tcPr>
          <w:p w:rsidR="00DF6B9D" w:rsidRPr="00AD1B16" w:rsidRDefault="00DF6B9D" w:rsidP="00480082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17"/>
                <w:szCs w:val="17"/>
              </w:rPr>
            </w:pPr>
          </w:p>
        </w:tc>
      </w:tr>
      <w:tr w:rsidR="00DF6B9D" w:rsidRPr="00AD1B16" w:rsidTr="00A64A4B">
        <w:trPr>
          <w:gridAfter w:val="1"/>
          <w:wAfter w:w="57" w:type="dxa"/>
          <w:trHeight w:val="255"/>
        </w:trPr>
        <w:tc>
          <w:tcPr>
            <w:tcW w:w="7054" w:type="dxa"/>
            <w:tcBorders>
              <w:bottom w:val="nil"/>
            </w:tcBorders>
            <w:vAlign w:val="center"/>
          </w:tcPr>
          <w:p w:rsidR="00C92CB3" w:rsidRPr="00C92CB3" w:rsidRDefault="00DF6B9D" w:rsidP="00C92CB3">
            <w:pPr>
              <w:pStyle w:val="ListParagraph"/>
              <w:numPr>
                <w:ilvl w:val="0"/>
                <w:numId w:val="6"/>
              </w:numPr>
              <w:pBdr>
                <w:bottom w:val="single" w:sz="4" w:space="1" w:color="auto"/>
              </w:pBdr>
              <w:jc w:val="both"/>
              <w:rPr>
                <w:b/>
                <w:sz w:val="20"/>
                <w:szCs w:val="18"/>
              </w:rPr>
            </w:pPr>
            <w:r w:rsidRPr="00C92CB3">
              <w:rPr>
                <w:b/>
                <w:bCs/>
                <w:sz w:val="20"/>
                <w:szCs w:val="20"/>
              </w:rPr>
              <w:t>Zaposlenost</w:t>
            </w:r>
            <w:r w:rsidR="00E35767" w:rsidRPr="00C92CB3">
              <w:rPr>
                <w:b/>
                <w:bCs/>
                <w:sz w:val="20"/>
                <w:szCs w:val="20"/>
              </w:rPr>
              <w:t xml:space="preserve"> i</w:t>
            </w:r>
            <w:r w:rsidR="008573C7" w:rsidRPr="00C92CB3">
              <w:rPr>
                <w:b/>
                <w:bCs/>
                <w:sz w:val="20"/>
                <w:szCs w:val="20"/>
              </w:rPr>
              <w:t xml:space="preserve"> </w:t>
            </w:r>
            <w:r w:rsidRPr="00C92CB3">
              <w:rPr>
                <w:b/>
                <w:bCs/>
                <w:sz w:val="20"/>
                <w:szCs w:val="20"/>
              </w:rPr>
              <w:t>zarade</w:t>
            </w:r>
          </w:p>
          <w:p w:rsidR="00B60686" w:rsidRDefault="00D20B87" w:rsidP="00C92CB3">
            <w:pPr>
              <w:jc w:val="both"/>
              <w:rPr>
                <w:rFonts w:cstheme="minorHAnsi"/>
                <w:sz w:val="20"/>
                <w:szCs w:val="20"/>
              </w:rPr>
            </w:pPr>
            <w:r w:rsidRPr="00150E87">
              <w:rPr>
                <w:b/>
                <w:sz w:val="20"/>
                <w:szCs w:val="18"/>
              </w:rPr>
              <w:t>Nastavlja se tre</w:t>
            </w:r>
            <w:r w:rsidR="00AD2362">
              <w:rPr>
                <w:b/>
                <w:sz w:val="20"/>
                <w:szCs w:val="18"/>
              </w:rPr>
              <w:t>nd povećanja zaposlenosti, ali i</w:t>
            </w:r>
            <w:r w:rsidRPr="00150E87">
              <w:rPr>
                <w:b/>
                <w:sz w:val="20"/>
                <w:szCs w:val="18"/>
              </w:rPr>
              <w:t xml:space="preserve"> povećanja nezaposlenosti</w:t>
            </w:r>
            <w:r>
              <w:rPr>
                <w:sz w:val="20"/>
                <w:szCs w:val="18"/>
              </w:rPr>
              <w:t xml:space="preserve">. Broj zaposlenih u februaru 2013. je iznosio </w:t>
            </w:r>
            <w:r w:rsidRPr="00150E87">
              <w:rPr>
                <w:b/>
                <w:sz w:val="20"/>
                <w:szCs w:val="18"/>
              </w:rPr>
              <w:t>167</w:t>
            </w:r>
            <w:r w:rsidR="00C92CB3">
              <w:rPr>
                <w:b/>
                <w:sz w:val="20"/>
                <w:szCs w:val="18"/>
              </w:rPr>
              <w:t>.</w:t>
            </w:r>
            <w:r w:rsidRPr="00150E87">
              <w:rPr>
                <w:b/>
                <w:sz w:val="20"/>
                <w:szCs w:val="18"/>
              </w:rPr>
              <w:t>379 ili 3,3% više</w:t>
            </w:r>
            <w:r>
              <w:rPr>
                <w:sz w:val="20"/>
                <w:szCs w:val="18"/>
              </w:rPr>
              <w:t xml:space="preserve"> nego u februaru 2012., dok je periodično povečan 3,7%. Broj nezaposlenih u februaru 2013 je iznosio 32</w:t>
            </w:r>
            <w:r w:rsidR="00C92CB3">
              <w:rPr>
                <w:sz w:val="20"/>
                <w:szCs w:val="18"/>
              </w:rPr>
              <w:t>.</w:t>
            </w:r>
            <w:r>
              <w:rPr>
                <w:sz w:val="20"/>
                <w:szCs w:val="18"/>
              </w:rPr>
              <w:t xml:space="preserve">648 ili 3,7% više nego u istom mjesecu prethodne godine ili 2,7% periodično. Stopa nezaposlenosti se povećala sa 13,6%% u februaru 2012. na 14,1% u februaru 2013. Na rast nezaposlenosti naročito je uticao porast broja lica koja prvi put traže zaposlenje, od kojih je broj visokoškolaca u februaru 2013. veći za 51,3% u odnosu na februar 2012. Povećan je broj prijavljenih za zaposlenje po prestanku radnog odnosa. </w:t>
            </w:r>
            <w:r w:rsidRPr="009F7B13">
              <w:rPr>
                <w:b/>
                <w:sz w:val="20"/>
                <w:szCs w:val="18"/>
              </w:rPr>
              <w:t>Oglašenih slobodnih radnih mjesta je 583</w:t>
            </w:r>
            <w:r>
              <w:rPr>
                <w:sz w:val="20"/>
                <w:szCs w:val="18"/>
              </w:rPr>
              <w:t xml:space="preserve">, što je 40,3% manje nego u februaru 2012, a najveći broj je u Baru 148, dok </w:t>
            </w:r>
            <w:r w:rsidR="006E5AF1">
              <w:rPr>
                <w:sz w:val="20"/>
                <w:szCs w:val="18"/>
              </w:rPr>
              <w:t xml:space="preserve">ih </w:t>
            </w:r>
            <w:r>
              <w:rPr>
                <w:sz w:val="20"/>
                <w:szCs w:val="18"/>
              </w:rPr>
              <w:t xml:space="preserve">u Andrijevici, Beranama, Plavu, Plužinama I Šavniku nema. </w:t>
            </w:r>
            <w:r w:rsidRPr="009F7B13">
              <w:rPr>
                <w:b/>
                <w:sz w:val="20"/>
                <w:szCs w:val="18"/>
              </w:rPr>
              <w:t xml:space="preserve">Broj izdatih radnih dozvola u februaru je 1416 </w:t>
            </w:r>
            <w:r>
              <w:rPr>
                <w:sz w:val="20"/>
                <w:szCs w:val="18"/>
              </w:rPr>
              <w:t xml:space="preserve">ili 30,6% više, nego u istom mjesecu 2012., dok je za dva mjeseca taj broj 2640. Prosječna zarada u februaru 2013. je iznosila 734€, a prosječna neto zarada 476€. </w:t>
            </w:r>
            <w:r w:rsidRPr="009F7B13">
              <w:rPr>
                <w:b/>
                <w:sz w:val="20"/>
                <w:szCs w:val="18"/>
              </w:rPr>
              <w:t>Prosječna zarada u periodu januar-februar 2013. u odnosu na isti period prethodne godine je smanjena 1,9%, a neto zarada 2,4% ili 1,1% realno</w:t>
            </w:r>
            <w:r>
              <w:rPr>
                <w:sz w:val="20"/>
                <w:szCs w:val="18"/>
              </w:rPr>
              <w:t>.</w:t>
            </w:r>
          </w:p>
          <w:p w:rsidR="00B60686" w:rsidRDefault="00B60686" w:rsidP="00B60686">
            <w:pPr>
              <w:pBdr>
                <w:top w:val="single" w:sz="4" w:space="1" w:color="auto"/>
              </w:pBdr>
              <w:rPr>
                <w:rFonts w:cstheme="minorHAnsi"/>
                <w:sz w:val="20"/>
                <w:szCs w:val="20"/>
              </w:rPr>
            </w:pPr>
          </w:p>
          <w:p w:rsidR="00B60686" w:rsidRPr="008F7D61" w:rsidRDefault="00B60686" w:rsidP="008F7D61">
            <w:pPr>
              <w:pStyle w:val="ListParagraph"/>
              <w:numPr>
                <w:ilvl w:val="0"/>
                <w:numId w:val="6"/>
              </w:numPr>
              <w:pBdr>
                <w:bottom w:val="single" w:sz="4" w:space="1" w:color="auto"/>
              </w:pBdr>
              <w:rPr>
                <w:rFonts w:cstheme="minorHAnsi"/>
                <w:sz w:val="20"/>
                <w:szCs w:val="20"/>
              </w:rPr>
            </w:pPr>
            <w:r w:rsidRPr="008F7D61">
              <w:rPr>
                <w:b/>
                <w:bCs/>
                <w:sz w:val="20"/>
                <w:szCs w:val="20"/>
              </w:rPr>
              <w:lastRenderedPageBreak/>
              <w:t>Javne finansije</w:t>
            </w: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:rsidR="00DF6B9D" w:rsidRPr="00AD1B16" w:rsidRDefault="0087731F" w:rsidP="00905F6A">
            <w:pPr>
              <w:ind w:left="-250"/>
              <w:jc w:val="center"/>
            </w:pPr>
            <w:r w:rsidRPr="0087731F">
              <w:rPr>
                <w:noProof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4.8pt;margin-top:42.95pt;width:39.1pt;height:2.3pt;flip:x y;z-index:251660288;mso-position-horizontal-relative:text;mso-position-vertical-relative:text" o:connectortype="straight" strokecolor="#1f497d [3215]" strokeweight=".5pt">
                  <v:stroke endarrow="open"/>
                </v:shape>
              </w:pict>
            </w:r>
            <w:r w:rsidR="00F178DB" w:rsidRPr="00F178DB">
              <w:rPr>
                <w:noProof/>
                <w:lang w:val="sr-Latn-CS" w:eastAsia="sr-Latn-CS"/>
              </w:rPr>
              <w:drawing>
                <wp:inline distT="0" distB="0" distL="0" distR="0">
                  <wp:extent cx="2484120" cy="2352675"/>
                  <wp:effectExtent l="19050" t="0" r="11430" b="0"/>
                  <wp:docPr id="5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B228E9" w:rsidRPr="00AD1B16" w:rsidTr="008F7D61">
        <w:trPr>
          <w:trHeight w:val="236"/>
        </w:trPr>
        <w:tc>
          <w:tcPr>
            <w:tcW w:w="7054" w:type="dxa"/>
            <w:tcBorders>
              <w:top w:val="nil"/>
              <w:bottom w:val="nil"/>
            </w:tcBorders>
          </w:tcPr>
          <w:p w:rsidR="00B228E9" w:rsidRPr="0085388E" w:rsidRDefault="00B228E9" w:rsidP="00B60686">
            <w:pPr>
              <w:jc w:val="both"/>
              <w:rPr>
                <w:sz w:val="20"/>
                <w:szCs w:val="20"/>
              </w:rPr>
            </w:pPr>
            <w:r w:rsidRPr="0085388E">
              <w:rPr>
                <w:sz w:val="20"/>
              </w:rPr>
              <w:lastRenderedPageBreak/>
              <w:br w:type="page"/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B228E9" w:rsidRDefault="00B228E9" w:rsidP="00FB28B2">
            <w:pPr>
              <w:ind w:left="-250"/>
              <w:jc w:val="center"/>
              <w:rPr>
                <w:noProof/>
                <w:lang w:val="sr-Latn-CS" w:eastAsia="sr-Latn-CS"/>
              </w:rPr>
            </w:pPr>
          </w:p>
          <w:p w:rsidR="00B228E9" w:rsidRDefault="00B228E9" w:rsidP="00FB28B2">
            <w:pPr>
              <w:ind w:left="-250"/>
              <w:jc w:val="center"/>
              <w:rPr>
                <w:noProof/>
                <w:lang w:val="sr-Latn-CS" w:eastAsia="sr-Latn-CS"/>
              </w:rPr>
            </w:pPr>
            <w:r w:rsidRPr="00291DE3">
              <w:rPr>
                <w:noProof/>
                <w:lang w:val="sr-Latn-CS" w:eastAsia="sr-Latn-CS"/>
              </w:rPr>
              <w:drawing>
                <wp:inline distT="0" distB="0" distL="0" distR="0">
                  <wp:extent cx="2254250" cy="1974850"/>
                  <wp:effectExtent l="0" t="0" r="0" b="0"/>
                  <wp:docPr id="4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B228E9" w:rsidRDefault="00B228E9" w:rsidP="00FB28B2">
            <w:pPr>
              <w:ind w:left="-250"/>
              <w:jc w:val="center"/>
              <w:rPr>
                <w:noProof/>
                <w:lang w:val="sr-Latn-CS" w:eastAsia="sr-Latn-CS"/>
              </w:rPr>
            </w:pPr>
          </w:p>
          <w:p w:rsidR="00B228E9" w:rsidRPr="00AD1B16" w:rsidRDefault="00B228E9" w:rsidP="00FB28B2">
            <w:pPr>
              <w:ind w:left="-250"/>
              <w:jc w:val="center"/>
            </w:pPr>
          </w:p>
        </w:tc>
      </w:tr>
      <w:tr w:rsidR="00B228E9" w:rsidRPr="00AD1B16" w:rsidTr="00B60686">
        <w:trPr>
          <w:trHeight w:val="3425"/>
        </w:trPr>
        <w:tc>
          <w:tcPr>
            <w:tcW w:w="7054" w:type="dxa"/>
            <w:tcBorders>
              <w:top w:val="nil"/>
            </w:tcBorders>
          </w:tcPr>
          <w:p w:rsidR="00B228E9" w:rsidRPr="0085388E" w:rsidRDefault="00B228E9" w:rsidP="00FB28B2">
            <w:pPr>
              <w:jc w:val="both"/>
              <w:rPr>
                <w:sz w:val="20"/>
              </w:rPr>
            </w:pPr>
            <w:r w:rsidRPr="0085388E">
              <w:rPr>
                <w:b/>
                <w:sz w:val="20"/>
              </w:rPr>
              <w:t xml:space="preserve">U februaru je zabiljezen rast izvornih prihoda u odnosu na 2012 godinu, kao i u odnosu na planirane prihode u 2013 godini.  </w:t>
            </w:r>
            <w:r w:rsidRPr="0085388E">
              <w:rPr>
                <w:sz w:val="20"/>
              </w:rPr>
              <w:t>Pad je zabilježen samo kod poreza na međunarodnu trgovinu i transakcije i blagi pad prihoda od akciza.</w:t>
            </w:r>
            <w:r w:rsidRPr="0085388E">
              <w:rPr>
                <w:b/>
                <w:sz w:val="20"/>
              </w:rPr>
              <w:t xml:space="preserve"> Izvorni budzetski prihodi</w:t>
            </w:r>
            <w:r w:rsidRPr="0085388E">
              <w:rPr>
                <w:sz w:val="20"/>
              </w:rPr>
              <w:t xml:space="preserve"> u februaru 2013 godine iznosili su 75,64 mil. € i veci za 11,63% u odnosu na februar 2012 godine, a 4,96% su veći od planiranih u 2013. Ova pozitivna kretanja rezultat su povećanja prihoda od PDV-a i poreza i doprinosa na zarade. </w:t>
            </w:r>
          </w:p>
          <w:p w:rsidR="00B228E9" w:rsidRPr="0085388E" w:rsidRDefault="00B228E9" w:rsidP="00FB28B2">
            <w:pPr>
              <w:jc w:val="both"/>
              <w:rPr>
                <w:sz w:val="20"/>
              </w:rPr>
            </w:pPr>
            <w:r w:rsidRPr="0085388E">
              <w:rPr>
                <w:b/>
                <w:sz w:val="20"/>
              </w:rPr>
              <w:t>Izdaci budzeta</w:t>
            </w:r>
            <w:r w:rsidRPr="0085388E">
              <w:rPr>
                <w:sz w:val="20"/>
              </w:rPr>
              <w:t xml:space="preserve"> iznosili su 91,11 mil. € i bili su niži za 8,48% u odnosu na isti period 2012. i za 12,4% u odnosu na plan.Transferi za socijalnu zaštitu, kao najznačajnija stavka, niži su za 1% u odnosu na februar 2012. </w:t>
            </w:r>
          </w:p>
          <w:p w:rsidR="00B228E9" w:rsidRPr="0085388E" w:rsidRDefault="00B228E9" w:rsidP="00FB28B2">
            <w:pPr>
              <w:jc w:val="both"/>
              <w:rPr>
                <w:sz w:val="20"/>
                <w:szCs w:val="16"/>
              </w:rPr>
            </w:pPr>
            <w:r w:rsidRPr="0085388E">
              <w:rPr>
                <w:b/>
                <w:sz w:val="20"/>
              </w:rPr>
              <w:t>Budžetski deficit</w:t>
            </w:r>
            <w:r w:rsidRPr="0085388E">
              <w:rPr>
                <w:sz w:val="20"/>
              </w:rPr>
              <w:t xml:space="preserve"> iznosio je 15,47 mil. € i niži je od deficita u februaru 2012 godine za 16,3 mil. €, što je rezultat vladinih mjera  za suzbijanje sive ekonomije ka i mjera štednje.</w:t>
            </w:r>
          </w:p>
          <w:p w:rsidR="00B228E9" w:rsidRPr="0085388E" w:rsidRDefault="00B228E9" w:rsidP="0085388E">
            <w:pPr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85388E">
              <w:rPr>
                <w:b/>
                <w:sz w:val="20"/>
              </w:rPr>
              <w:t>Drzavni dug</w:t>
            </w:r>
            <w:r w:rsidRPr="0085388E">
              <w:rPr>
                <w:sz w:val="20"/>
              </w:rPr>
              <w:t xml:space="preserve"> na kraju februara iznosio je 1.732,70 mil.eura, ili 49,27% BDP-a i nije povećan u odnosu na prethodni mjesec. Unutrašnji dug iznosio je</w:t>
            </w:r>
            <w:r w:rsidR="006E5AF1">
              <w:rPr>
                <w:sz w:val="20"/>
              </w:rPr>
              <w:t xml:space="preserve"> 396,7 mil. €, a dug prema nerez</w:t>
            </w:r>
            <w:r w:rsidRPr="0085388E">
              <w:rPr>
                <w:sz w:val="20"/>
              </w:rPr>
              <w:t>identima 1.336,0 mil. €.</w:t>
            </w:r>
          </w:p>
        </w:tc>
        <w:tc>
          <w:tcPr>
            <w:tcW w:w="3686" w:type="dxa"/>
            <w:gridSpan w:val="2"/>
            <w:vMerge/>
            <w:tcBorders>
              <w:top w:val="nil"/>
            </w:tcBorders>
            <w:vAlign w:val="center"/>
          </w:tcPr>
          <w:p w:rsidR="00B228E9" w:rsidRPr="00AD1B16" w:rsidRDefault="00B228E9" w:rsidP="00FB28B2">
            <w:pPr>
              <w:jc w:val="center"/>
              <w:rPr>
                <w:noProof/>
              </w:rPr>
            </w:pPr>
          </w:p>
        </w:tc>
      </w:tr>
      <w:tr w:rsidR="00716A7D" w:rsidRPr="00AD1B16" w:rsidTr="006E5AF1">
        <w:trPr>
          <w:trHeight w:val="236"/>
        </w:trPr>
        <w:tc>
          <w:tcPr>
            <w:tcW w:w="705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16A7D" w:rsidRPr="008F7D61" w:rsidRDefault="00A46C9C" w:rsidP="00A64A4B">
            <w:pPr>
              <w:pStyle w:val="NormalWeb"/>
              <w:numPr>
                <w:ilvl w:val="0"/>
                <w:numId w:val="6"/>
              </w:numPr>
              <w:spacing w:after="0"/>
              <w:jc w:val="both"/>
              <w:rPr>
                <w:sz w:val="20"/>
                <w:szCs w:val="20"/>
              </w:rPr>
            </w:pPr>
            <w:r w:rsidRPr="00AD1B16">
              <w:br w:type="page"/>
            </w:r>
            <w:r w:rsidR="008F7D61" w:rsidRPr="00A64A4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Bankarski sektor</w:t>
            </w:r>
            <w:r w:rsidR="00A64A4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i likvidnost</w:t>
            </w:r>
          </w:p>
        </w:tc>
        <w:tc>
          <w:tcPr>
            <w:tcW w:w="3686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487296" w:rsidRDefault="00487296" w:rsidP="006E5AF1">
            <w:pPr>
              <w:ind w:left="-250"/>
              <w:jc w:val="center"/>
              <w:rPr>
                <w:noProof/>
                <w:lang w:val="sr-Latn-CS" w:eastAsia="sr-Latn-CS"/>
              </w:rPr>
            </w:pPr>
          </w:p>
          <w:p w:rsidR="009A68CA" w:rsidRDefault="009A68CA" w:rsidP="006E5AF1">
            <w:pPr>
              <w:ind w:left="-250"/>
              <w:jc w:val="center"/>
              <w:rPr>
                <w:noProof/>
                <w:lang w:val="sr-Latn-CS" w:eastAsia="sr-Latn-CS"/>
              </w:rPr>
            </w:pPr>
          </w:p>
          <w:p w:rsidR="009A68CA" w:rsidRDefault="006E5AF1" w:rsidP="006E5AF1">
            <w:pPr>
              <w:ind w:left="-250"/>
              <w:jc w:val="center"/>
              <w:rPr>
                <w:noProof/>
                <w:lang w:val="sr-Latn-CS" w:eastAsia="sr-Latn-CS"/>
              </w:rPr>
            </w:pPr>
            <w:r w:rsidRPr="00B21CD5">
              <w:rPr>
                <w:noProof/>
                <w:lang w:val="sr-Latn-CS" w:eastAsia="sr-Latn-CS"/>
              </w:rPr>
              <w:drawing>
                <wp:inline distT="0" distB="0" distL="0" distR="0">
                  <wp:extent cx="2482610" cy="2484408"/>
                  <wp:effectExtent l="0" t="0" r="0" b="0"/>
                  <wp:docPr id="9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9A68CA" w:rsidRPr="00AD1B16" w:rsidRDefault="009A68CA" w:rsidP="006E5AF1">
            <w:pPr>
              <w:ind w:left="-250"/>
              <w:jc w:val="center"/>
            </w:pPr>
          </w:p>
        </w:tc>
      </w:tr>
      <w:tr w:rsidR="00AD0474" w:rsidRPr="00AD2362" w:rsidTr="008F7D61">
        <w:trPr>
          <w:trHeight w:val="3425"/>
        </w:trPr>
        <w:tc>
          <w:tcPr>
            <w:tcW w:w="7054" w:type="dxa"/>
            <w:tcBorders>
              <w:top w:val="single" w:sz="4" w:space="0" w:color="auto"/>
              <w:bottom w:val="nil"/>
            </w:tcBorders>
          </w:tcPr>
          <w:p w:rsidR="00F74097" w:rsidRPr="00401DED" w:rsidRDefault="00323C1B" w:rsidP="00EE2426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402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Februarska kretanja u bankarskom sektoru obilježio je dalji rast ukupnih kredita 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402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depozita i  pozitivni parametri likvidnosti</w:t>
            </w:r>
            <w:r w:rsidR="002036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03664" w:rsidRPr="002036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banaka</w:t>
            </w:r>
            <w:r w:rsidR="00203664">
              <w:rPr>
                <w:rFonts w:asciiTheme="minorHAnsi" w:hAnsiTheme="minorHAnsi" w:cstheme="minorHAnsi"/>
                <w:bCs/>
                <w:sz w:val="16"/>
                <w:szCs w:val="17"/>
              </w:rPr>
              <w:t>.</w:t>
            </w:r>
            <w:r>
              <w:rPr>
                <w:rFonts w:asciiTheme="minorHAnsi" w:hAnsiTheme="minorHAnsi" w:cstheme="minorHAnsi"/>
                <w:bCs/>
                <w:sz w:val="16"/>
                <w:szCs w:val="17"/>
              </w:rPr>
              <w:t xml:space="preserve"> </w:t>
            </w:r>
            <w:r w:rsidRPr="00540298">
              <w:rPr>
                <w:rFonts w:asciiTheme="minorHAnsi" w:hAnsiTheme="minorHAnsi" w:cstheme="minorHAnsi"/>
                <w:bCs/>
                <w:sz w:val="20"/>
                <w:szCs w:val="20"/>
              </w:rPr>
              <w:t>Za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prva dva mjeseca ukupno odobreni </w:t>
            </w:r>
            <w:r w:rsidRPr="005557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krediti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845D4">
              <w:rPr>
                <w:rFonts w:asciiTheme="minorHAnsi" w:hAnsiTheme="minorHAnsi" w:cstheme="minorHAnsi"/>
                <w:bCs/>
                <w:sz w:val="20"/>
                <w:szCs w:val="20"/>
              </w:rPr>
              <w:t>i ostala potraživanja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55704">
              <w:rPr>
                <w:rFonts w:asciiTheme="minorHAnsi" w:hAnsiTheme="minorHAnsi" w:cstheme="minorHAnsi"/>
                <w:bCs/>
                <w:sz w:val="20"/>
                <w:szCs w:val="20"/>
              </w:rPr>
              <w:t>su ostvarili rast od 7,1 %,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dok su na godišnjem nivou povećani za 7,4%  Najznačajniji korisnici kredita su privreda i stanovništvo na koje se odnosi 74,3 % ukupnih kredita. Rast su ostvarili i ukupni </w:t>
            </w:r>
            <w:r w:rsidRPr="003F0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depoziti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koji su na godišnjem nivou povećani za 10,8 %, a na mjesečnom za 1,0 %.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40298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cilju dugoročnog rješavanja problema </w:t>
            </w:r>
            <w:r w:rsidRPr="006D31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nekvalitetnih kredita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Centralna banka Crne Gore u saradnji sa Svjetskom bankom i Ministarstvom finansija radi na modelu finansijskog restrukturiranja korporativnog sektora.</w:t>
            </w:r>
            <w:r w:rsidR="00AD23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 pitanju je novi pristup nazvan „Podgorički model“, koji se zasniva na uređivanju dužničko- povjerilačkih odnosa između privrednih društava, kao dužnika, koje se nalaze u finansijskim teškoćama i banaka, uz određene podsticaje od strane države.</w:t>
            </w:r>
            <w:r w:rsidR="00AD23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Za realizaciju prve faze, pilot projekta, je odabrano osam kompanija, što će imati za cilj smanjenje loših kredita i uvid u potrebu izmjene pravne regulative (najvjerovatnije uvođenje lex specialisa), koji bi se predložio u okviru druge faze ovog projekta.</w:t>
            </w:r>
            <w:r w:rsidR="00AD23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Sve ove aktivnosti doprinijeće smanjenju loših kredita, povećanju likvidnosti i očuvanju stabilnosti finansijskog sektora.</w:t>
            </w:r>
          </w:p>
        </w:tc>
        <w:tc>
          <w:tcPr>
            <w:tcW w:w="3686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AD0474" w:rsidRPr="00AD2362" w:rsidRDefault="00AD0474" w:rsidP="00461324">
            <w:pPr>
              <w:jc w:val="center"/>
              <w:rPr>
                <w:noProof/>
                <w:lang w:val="sr-Latn-CS"/>
              </w:rPr>
            </w:pPr>
          </w:p>
        </w:tc>
      </w:tr>
      <w:tr w:rsidR="00ED66A9" w:rsidRPr="00AD2362" w:rsidTr="00917310">
        <w:trPr>
          <w:trHeight w:val="66"/>
        </w:trPr>
        <w:tc>
          <w:tcPr>
            <w:tcW w:w="7054" w:type="dxa"/>
            <w:tcBorders>
              <w:top w:val="nil"/>
              <w:bottom w:val="single" w:sz="4" w:space="0" w:color="auto"/>
            </w:tcBorders>
          </w:tcPr>
          <w:p w:rsidR="00ED66A9" w:rsidRPr="00AD2362" w:rsidRDefault="00ED66A9" w:rsidP="008F7D61">
            <w:pPr>
              <w:pStyle w:val="ListParagraph"/>
              <w:ind w:left="360"/>
              <w:rPr>
                <w:rFonts w:eastAsiaTheme="minorHAnsi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3686" w:type="dxa"/>
            <w:gridSpan w:val="2"/>
            <w:tcBorders>
              <w:top w:val="nil"/>
            </w:tcBorders>
            <w:vAlign w:val="center"/>
          </w:tcPr>
          <w:p w:rsidR="00ED66A9" w:rsidRPr="00AD2362" w:rsidRDefault="00ED66A9" w:rsidP="00A2097F">
            <w:pPr>
              <w:ind w:left="-250"/>
              <w:jc w:val="center"/>
              <w:rPr>
                <w:lang w:val="sr-Latn-CS"/>
              </w:rPr>
            </w:pPr>
          </w:p>
        </w:tc>
      </w:tr>
      <w:tr w:rsidR="00A46C9C" w:rsidRPr="00AD1B16" w:rsidTr="00920528">
        <w:trPr>
          <w:trHeight w:val="258"/>
        </w:trPr>
        <w:tc>
          <w:tcPr>
            <w:tcW w:w="7054" w:type="dxa"/>
            <w:tcBorders>
              <w:bottom w:val="single" w:sz="4" w:space="0" w:color="auto"/>
            </w:tcBorders>
          </w:tcPr>
          <w:p w:rsidR="00A46C9C" w:rsidRPr="008F7D61" w:rsidRDefault="00A46C9C" w:rsidP="008F7D61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20"/>
              </w:rPr>
            </w:pPr>
            <w:r w:rsidRPr="008F7D61">
              <w:rPr>
                <w:b/>
                <w:bCs/>
                <w:sz w:val="20"/>
                <w:szCs w:val="20"/>
              </w:rPr>
              <w:t>Spoljnotrgovinska</w:t>
            </w:r>
            <w:r w:rsidR="00553E61" w:rsidRPr="008F7D61">
              <w:rPr>
                <w:b/>
                <w:bCs/>
                <w:sz w:val="20"/>
                <w:szCs w:val="20"/>
              </w:rPr>
              <w:t xml:space="preserve">  </w:t>
            </w:r>
            <w:r w:rsidRPr="008F7D61">
              <w:rPr>
                <w:b/>
                <w:bCs/>
                <w:sz w:val="20"/>
                <w:szCs w:val="20"/>
              </w:rPr>
              <w:t>razmjena</w:t>
            </w:r>
            <w:r w:rsidR="00553E61" w:rsidRPr="008F7D61">
              <w:rPr>
                <w:b/>
                <w:bCs/>
                <w:sz w:val="20"/>
                <w:szCs w:val="20"/>
              </w:rPr>
              <w:t xml:space="preserve"> </w:t>
            </w:r>
            <w:r w:rsidR="00734688" w:rsidRPr="008F7D61">
              <w:rPr>
                <w:b/>
                <w:bCs/>
                <w:sz w:val="20"/>
                <w:szCs w:val="20"/>
              </w:rPr>
              <w:t xml:space="preserve"> i</w:t>
            </w:r>
            <w:r w:rsidR="00553E61" w:rsidRPr="008F7D61">
              <w:rPr>
                <w:b/>
                <w:bCs/>
                <w:sz w:val="20"/>
                <w:szCs w:val="20"/>
              </w:rPr>
              <w:t xml:space="preserve">  </w:t>
            </w:r>
            <w:r w:rsidRPr="008F7D61">
              <w:rPr>
                <w:b/>
                <w:bCs/>
                <w:sz w:val="20"/>
                <w:szCs w:val="20"/>
              </w:rPr>
              <w:t>investicije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A46C9C" w:rsidRPr="00AD1B16" w:rsidRDefault="00DE4CEA" w:rsidP="00B74947">
            <w:pPr>
              <w:ind w:left="-250"/>
              <w:jc w:val="center"/>
              <w:rPr>
                <w:sz w:val="17"/>
                <w:szCs w:val="17"/>
              </w:rPr>
            </w:pPr>
            <w:r w:rsidRPr="00DE4CEA">
              <w:rPr>
                <w:noProof/>
                <w:sz w:val="17"/>
                <w:szCs w:val="17"/>
                <w:lang w:val="sr-Latn-CS" w:eastAsia="sr-Latn-CS"/>
              </w:rPr>
              <w:drawing>
                <wp:inline distT="0" distB="0" distL="0" distR="0">
                  <wp:extent cx="2198788" cy="2214645"/>
                  <wp:effectExtent l="1905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46C9C" w:rsidRPr="00AD2362" w:rsidTr="00A64A4B">
        <w:trPr>
          <w:trHeight w:val="4010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A46C9C" w:rsidRPr="00AD2362" w:rsidRDefault="006C4674" w:rsidP="00B21CD5">
            <w:pPr>
              <w:jc w:val="both"/>
              <w:rPr>
                <w:sz w:val="16"/>
                <w:szCs w:val="16"/>
                <w:lang w:val="sr-Latn-CS"/>
              </w:rPr>
            </w:pPr>
            <w:r w:rsidRPr="0085388E">
              <w:rPr>
                <w:rFonts w:cstheme="minorHAnsi"/>
                <w:b/>
                <w:sz w:val="20"/>
                <w:szCs w:val="18"/>
              </w:rPr>
              <w:t xml:space="preserve">Povećanje deficita u prva dva mjeseca 2013.godine posljedica je većeg rasta uvoza roba, iako je izvoz zabilježio procentualno veći rast od uvoza. </w:t>
            </w:r>
            <w:r w:rsidRPr="0085388E">
              <w:rPr>
                <w:rFonts w:cstheme="minorHAnsi"/>
                <w:sz w:val="20"/>
                <w:szCs w:val="18"/>
              </w:rPr>
              <w:t>Ukupna robna ra</w:t>
            </w:r>
            <w:r w:rsidRPr="0085388E">
              <w:rPr>
                <w:rFonts w:cstheme="minorHAnsi"/>
                <w:sz w:val="20"/>
                <w:szCs w:val="18"/>
                <w:lang w:val="sr-Latn-CS"/>
              </w:rPr>
              <w:t xml:space="preserve">zmjena u periodu </w:t>
            </w:r>
            <w:r w:rsidRPr="0085388E">
              <w:rPr>
                <w:rFonts w:cstheme="minorHAnsi"/>
                <w:b/>
                <w:sz w:val="20"/>
                <w:szCs w:val="18"/>
                <w:lang w:val="sr-Latn-CS"/>
              </w:rPr>
              <w:t>januar-februar</w:t>
            </w:r>
            <w:r w:rsidRPr="0085388E">
              <w:rPr>
                <w:rFonts w:cstheme="minorHAnsi"/>
                <w:sz w:val="20"/>
                <w:szCs w:val="18"/>
                <w:lang w:val="sr-Latn-CS"/>
              </w:rPr>
              <w:t xml:space="preserve"> 2</w:t>
            </w:r>
            <w:r w:rsidRPr="0085388E">
              <w:rPr>
                <w:rFonts w:cstheme="minorHAnsi"/>
                <w:b/>
                <w:sz w:val="20"/>
                <w:szCs w:val="18"/>
                <w:lang w:val="sr-Latn-CS"/>
              </w:rPr>
              <w:t xml:space="preserve">013.godine </w:t>
            </w:r>
            <w:r w:rsidRPr="0085388E">
              <w:rPr>
                <w:rFonts w:cstheme="minorHAnsi"/>
                <w:sz w:val="20"/>
                <w:szCs w:val="18"/>
                <w:lang w:val="sr-Latn-CS"/>
              </w:rPr>
              <w:t>iznosila je 282,7mil.€, što ukazuje  na rast od 9,7% u odnosu na isti period prethodne godine. Zabilježen je rast izvoza i uvoza roba, što je rezultiralo povećanjem s</w:t>
            </w:r>
            <w:r w:rsidRPr="00AD2362">
              <w:rPr>
                <w:rFonts w:cstheme="minorHAnsi"/>
                <w:sz w:val="20"/>
                <w:szCs w:val="18"/>
                <w:lang w:val="sr-Latn-CS"/>
              </w:rPr>
              <w:t>poljnotrgovinskog deficita koji je iznosio 164,</w:t>
            </w:r>
            <w:r w:rsidR="008E0C83" w:rsidRPr="00AD2362">
              <w:rPr>
                <w:rFonts w:cstheme="minorHAnsi"/>
                <w:sz w:val="20"/>
                <w:szCs w:val="18"/>
                <w:lang w:val="sr-Latn-CS"/>
              </w:rPr>
              <w:t>8</w:t>
            </w:r>
            <w:r w:rsidRPr="00AD2362">
              <w:rPr>
                <w:rFonts w:cstheme="minorHAnsi"/>
                <w:sz w:val="20"/>
                <w:szCs w:val="18"/>
                <w:lang w:val="sr-Latn-CS"/>
              </w:rPr>
              <w:t xml:space="preserve">mil.€ i bio veći za </w:t>
            </w:r>
            <w:r w:rsidR="008E0C83" w:rsidRPr="00AD2362">
              <w:rPr>
                <w:rFonts w:cstheme="minorHAnsi"/>
                <w:sz w:val="20"/>
                <w:szCs w:val="18"/>
                <w:lang w:val="sr-Latn-CS"/>
              </w:rPr>
              <w:t>6,3</w:t>
            </w:r>
            <w:r w:rsidRPr="00AD2362">
              <w:rPr>
                <w:rFonts w:cstheme="minorHAnsi"/>
                <w:sz w:val="20"/>
                <w:szCs w:val="18"/>
                <w:lang w:val="sr-Latn-CS"/>
              </w:rPr>
              <w:t>%. Deficit je generisan nedovoljnim obimom i niskim učešćem izvoza roba u ukupnoj razmjeni, uz nepovoljnu strukturu izvoza, jer su najviše zastupljeni radno i resursno intenzivni proizvodi. U ovom periodu pokrivenost uvoza izvozom iznosila je 26,5%, što je za  1,6 p.p veća pokrivenost nego u istom periodu 2012.godine. Ukupan i</w:t>
            </w:r>
            <w:r w:rsidRPr="0085388E">
              <w:rPr>
                <w:rFonts w:cstheme="minorHAnsi"/>
                <w:sz w:val="20"/>
                <w:szCs w:val="18"/>
                <w:lang w:val="sr-Latn-CS"/>
              </w:rPr>
              <w:t>zvoz</w:t>
            </w:r>
            <w:r w:rsidRPr="00AD2362">
              <w:rPr>
                <w:rFonts w:cstheme="minorHAnsi"/>
                <w:sz w:val="20"/>
                <w:szCs w:val="18"/>
                <w:lang w:val="sr-Latn-CS"/>
              </w:rPr>
              <w:t xml:space="preserve">  robe iznosio je  59,2mil.€, dok je uvoz robe vrijedio 22</w:t>
            </w:r>
            <w:r w:rsidR="00634B8C" w:rsidRPr="00AD2362">
              <w:rPr>
                <w:rFonts w:cstheme="minorHAnsi"/>
                <w:sz w:val="20"/>
                <w:szCs w:val="18"/>
                <w:lang w:val="sr-Latn-CS"/>
              </w:rPr>
              <w:t>4,1</w:t>
            </w:r>
            <w:r w:rsidRPr="00AD2362">
              <w:rPr>
                <w:rFonts w:cstheme="minorHAnsi"/>
                <w:sz w:val="20"/>
                <w:szCs w:val="18"/>
                <w:lang w:val="sr-Latn-CS"/>
              </w:rPr>
              <w:t>mil.€, što je za 15,3% i 8,</w:t>
            </w:r>
            <w:r w:rsidR="00634B8C" w:rsidRPr="00AD2362">
              <w:rPr>
                <w:rFonts w:cstheme="minorHAnsi"/>
                <w:sz w:val="20"/>
                <w:szCs w:val="18"/>
                <w:lang w:val="sr-Latn-CS"/>
              </w:rPr>
              <w:t>5</w:t>
            </w:r>
            <w:r w:rsidRPr="00AD2362">
              <w:rPr>
                <w:rFonts w:cstheme="minorHAnsi"/>
                <w:sz w:val="20"/>
                <w:szCs w:val="18"/>
                <w:lang w:val="sr-Latn-CS"/>
              </w:rPr>
              <w:t xml:space="preserve">% više, respektivno.  Na povećanje </w:t>
            </w:r>
            <w:r w:rsidRPr="00AD2362">
              <w:rPr>
                <w:rFonts w:cstheme="minorHAnsi"/>
                <w:b/>
                <w:sz w:val="20"/>
                <w:szCs w:val="18"/>
                <w:lang w:val="sr-Latn-CS"/>
              </w:rPr>
              <w:t xml:space="preserve">izvoza </w:t>
            </w:r>
            <w:r w:rsidRPr="00AD2362">
              <w:rPr>
                <w:rFonts w:cstheme="minorHAnsi"/>
                <w:sz w:val="20"/>
                <w:szCs w:val="18"/>
                <w:lang w:val="sr-Latn-CS"/>
              </w:rPr>
              <w:t xml:space="preserve">roba uticao je rast izvoza električne energije od 188,0% (28,7% ukupnog izvoza) zbog povećanja obima proizvodnje električne energije za 52,0%. Izvoz aluminijuma i gvožđa i čelika koji čini 33,4% ukupnog izvoza, smanjen je za 32,0%, odnosno 49,0%, a na takvo kretanje utiče smanjenje obima prozvodnje KAP-a, niske cijene aluminijuma na berzama metala, kao i pad eksterne tražnje usljed negativnih ekonomskih kretanja u pojedinim zemljama EU. Za razliku od izvoza, za uvoz je karakteristična veća diverzifikovanost. Najveći dio </w:t>
            </w:r>
            <w:r w:rsidRPr="00AD2362">
              <w:rPr>
                <w:rFonts w:cstheme="minorHAnsi"/>
                <w:b/>
                <w:sz w:val="20"/>
                <w:szCs w:val="18"/>
                <w:lang w:val="sr-Latn-CS"/>
              </w:rPr>
              <w:t>uvoza</w:t>
            </w:r>
            <w:r w:rsidRPr="00AD2362">
              <w:rPr>
                <w:rFonts w:cstheme="minorHAnsi"/>
                <w:sz w:val="20"/>
                <w:szCs w:val="18"/>
                <w:lang w:val="sr-Latn-CS"/>
              </w:rPr>
              <w:t xml:space="preserve"> odnosi se na mašine i transportne uređaje (25,8%ukupnog uvoza) čiji je uvoz za navedeni period povećan za 81,0% ( </w:t>
            </w:r>
            <w:r w:rsidR="00BE1FD0" w:rsidRPr="00AD2362">
              <w:rPr>
                <w:rFonts w:cstheme="minorHAnsi"/>
                <w:sz w:val="20"/>
                <w:szCs w:val="18"/>
                <w:lang w:val="sr-Latn-CS"/>
              </w:rPr>
              <w:t xml:space="preserve">u januaru vrijednost pododsjeka- brodovi, čamci i druga plovila iznosila je </w:t>
            </w:r>
            <w:r w:rsidRPr="00AD2362">
              <w:rPr>
                <w:rFonts w:cstheme="minorHAnsi"/>
                <w:sz w:val="20"/>
                <w:szCs w:val="18"/>
                <w:lang w:val="sr-Latn-CS"/>
              </w:rPr>
              <w:t>21,</w:t>
            </w:r>
            <w:r w:rsidR="00BE1FD0" w:rsidRPr="00AD2362">
              <w:rPr>
                <w:rFonts w:cstheme="minorHAnsi"/>
                <w:sz w:val="20"/>
                <w:szCs w:val="18"/>
                <w:lang w:val="sr-Latn-CS"/>
              </w:rPr>
              <w:t>2</w:t>
            </w:r>
            <w:r w:rsidRPr="00AD2362">
              <w:rPr>
                <w:rFonts w:cstheme="minorHAnsi"/>
                <w:sz w:val="20"/>
                <w:szCs w:val="18"/>
                <w:lang w:val="sr-Latn-CS"/>
              </w:rPr>
              <w:t>mil.€</w:t>
            </w:r>
            <w:r w:rsidR="00BE1FD0" w:rsidRPr="00AD2362">
              <w:rPr>
                <w:rFonts w:cstheme="minorHAnsi"/>
                <w:sz w:val="20"/>
                <w:szCs w:val="18"/>
                <w:lang w:val="sr-Latn-CS"/>
              </w:rPr>
              <w:t xml:space="preserve"> - uvoz broda za obnavljanje domaće flote)</w:t>
            </w:r>
            <w:r w:rsidRPr="00AD2362">
              <w:rPr>
                <w:rFonts w:cstheme="minorHAnsi"/>
                <w:sz w:val="20"/>
                <w:szCs w:val="18"/>
                <w:lang w:val="sr-Latn-CS"/>
              </w:rPr>
              <w:t>.</w:t>
            </w:r>
            <w:r w:rsidRPr="00AD2362">
              <w:rPr>
                <w:b/>
                <w:sz w:val="20"/>
                <w:szCs w:val="18"/>
                <w:lang w:val="sr-Latn-CS"/>
              </w:rPr>
              <w:t xml:space="preserve"> </w:t>
            </w:r>
          </w:p>
        </w:tc>
        <w:tc>
          <w:tcPr>
            <w:tcW w:w="3686" w:type="dxa"/>
            <w:gridSpan w:val="2"/>
            <w:vMerge/>
            <w:tcBorders>
              <w:bottom w:val="nil"/>
            </w:tcBorders>
            <w:vAlign w:val="center"/>
          </w:tcPr>
          <w:p w:rsidR="00A46C9C" w:rsidRPr="00AD2362" w:rsidRDefault="00A46C9C" w:rsidP="00CD1303">
            <w:pPr>
              <w:jc w:val="center"/>
              <w:rPr>
                <w:noProof/>
                <w:sz w:val="17"/>
                <w:szCs w:val="17"/>
                <w:lang w:val="sr-Latn-CS"/>
              </w:rPr>
            </w:pPr>
          </w:p>
        </w:tc>
      </w:tr>
    </w:tbl>
    <w:p w:rsidR="00CD1303" w:rsidRPr="00AD2362" w:rsidRDefault="00CD1303" w:rsidP="00D51C00">
      <w:pPr>
        <w:rPr>
          <w:lang w:val="sr-Latn-CS"/>
        </w:rPr>
        <w:sectPr w:rsidR="00CD1303" w:rsidRPr="00AD2362" w:rsidSect="008D4618">
          <w:pgSz w:w="11907" w:h="16839" w:code="9"/>
          <w:pgMar w:top="720" w:right="720" w:bottom="567" w:left="720" w:header="720" w:footer="720" w:gutter="0"/>
          <w:cols w:space="720"/>
          <w:docGrid w:linePitch="360"/>
        </w:sectPr>
      </w:pPr>
    </w:p>
    <w:p w:rsidR="00D61692" w:rsidRPr="00AD1B16" w:rsidRDefault="00D61692" w:rsidP="00D61692">
      <w:pPr>
        <w:jc w:val="center"/>
        <w:rPr>
          <w:sz w:val="17"/>
          <w:szCs w:val="16"/>
        </w:rPr>
      </w:pPr>
      <w:r w:rsidRPr="00AD1B16">
        <w:rPr>
          <w:sz w:val="17"/>
          <w:szCs w:val="16"/>
        </w:rPr>
        <w:lastRenderedPageBreak/>
        <w:t xml:space="preserve">Tabela 1: </w:t>
      </w:r>
      <w:r w:rsidRPr="00AD1B16">
        <w:rPr>
          <w:b/>
          <w:bCs/>
          <w:sz w:val="17"/>
          <w:szCs w:val="16"/>
        </w:rPr>
        <w:t>MAKROEKONOMSKI INDIKATORI</w:t>
      </w:r>
      <w:r w:rsidRPr="00AD1B16">
        <w:rPr>
          <w:sz w:val="17"/>
          <w:szCs w:val="16"/>
        </w:rPr>
        <w:t xml:space="preserve"> – </w:t>
      </w:r>
      <w:r w:rsidR="00B21CD5">
        <w:rPr>
          <w:sz w:val="17"/>
          <w:szCs w:val="16"/>
        </w:rPr>
        <w:t>Februar</w:t>
      </w:r>
      <w:r w:rsidRPr="00AD1B16">
        <w:rPr>
          <w:sz w:val="17"/>
          <w:szCs w:val="16"/>
        </w:rPr>
        <w:t xml:space="preserve"> 201</w:t>
      </w:r>
      <w:r w:rsidR="00B21CD5">
        <w:rPr>
          <w:sz w:val="17"/>
          <w:szCs w:val="16"/>
        </w:rPr>
        <w:t>3</w:t>
      </w:r>
      <w:r w:rsidR="000F5B09" w:rsidRPr="00AD1B16">
        <w:rPr>
          <w:sz w:val="17"/>
          <w:szCs w:val="16"/>
        </w:rPr>
        <w:t>.</w:t>
      </w:r>
    </w:p>
    <w:p w:rsidR="005D751B" w:rsidRPr="00AD1B16" w:rsidRDefault="008D6E96" w:rsidP="00303D85">
      <w:pPr>
        <w:spacing w:after="0" w:line="240" w:lineRule="auto"/>
        <w:rPr>
          <w:b/>
          <w:i/>
          <w:sz w:val="16"/>
          <w:szCs w:val="16"/>
        </w:rPr>
      </w:pPr>
      <w:bookmarkStart w:id="1" w:name="_GoBack"/>
      <w:bookmarkEnd w:id="1"/>
      <w:r w:rsidRPr="00AD1B16">
        <w:rPr>
          <w:b/>
          <w:i/>
          <w:sz w:val="16"/>
          <w:szCs w:val="16"/>
        </w:rPr>
        <w:t>Izvor: Monstat, Centralna Banka, Zavod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za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zapošljavanje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Crne Gor</w:t>
      </w:r>
      <w:r w:rsidR="005D751B" w:rsidRPr="00AD1B16">
        <w:rPr>
          <w:b/>
          <w:i/>
          <w:sz w:val="16"/>
          <w:szCs w:val="16"/>
        </w:rPr>
        <w:t>e</w:t>
      </w:r>
    </w:p>
    <w:p w:rsidR="005D751B" w:rsidRPr="00AD1B16" w:rsidRDefault="005D751B" w:rsidP="00303D85">
      <w:pPr>
        <w:spacing w:after="0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t>Svi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prikazani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kao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godišnje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stope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rasta (stopa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indikatora u posmatranom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mjesecu u odnosu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isti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prethodne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godine u %) ukoliko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nije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drugačije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naznačeno u nazivu</w:t>
      </w:r>
    </w:p>
    <w:p w:rsidR="00B162C7" w:rsidRDefault="005D751B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t>M-n-M označava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mjesečnu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promjenu (stopa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indikatora u posmatranom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mjesecu u odnosu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prethodni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 u %)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771"/>
        <w:gridCol w:w="776"/>
        <w:gridCol w:w="776"/>
        <w:gridCol w:w="776"/>
        <w:gridCol w:w="776"/>
        <w:gridCol w:w="776"/>
        <w:gridCol w:w="792"/>
        <w:gridCol w:w="667"/>
        <w:gridCol w:w="667"/>
        <w:gridCol w:w="667"/>
        <w:gridCol w:w="667"/>
        <w:gridCol w:w="667"/>
        <w:gridCol w:w="795"/>
        <w:gridCol w:w="792"/>
        <w:gridCol w:w="792"/>
        <w:gridCol w:w="688"/>
        <w:gridCol w:w="724"/>
        <w:gridCol w:w="730"/>
      </w:tblGrid>
      <w:tr w:rsidR="00486EDA" w:rsidRPr="00486EDA" w:rsidTr="002E7908">
        <w:trPr>
          <w:trHeight w:hRule="exact" w:val="912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III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IV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VII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VIII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IX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XI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XII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II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2E7908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</w:pPr>
            <w:r w:rsidRPr="002E7908"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  <w:t>M-n-M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2E7908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</w:pPr>
            <w:r w:rsidRPr="002E7908"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  <w:t>feb 2013 / feb 2012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2E7908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</w:pPr>
            <w:r w:rsidRPr="002E7908"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  <w:t>jan - feb 2013 / jan - feb 2012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-24,5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-14,7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-4,10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-19,60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-16,10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-24,40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-6,00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-0,8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-4,40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33,10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-18,50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-14,20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-20,40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-40,50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-28,10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-20,30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-36,40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-32,80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-32,8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-34,6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-7,10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-8,30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-2,6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21,3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18,60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10,1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7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-23,7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-28,2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3,7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n/d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4,3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160.880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162.035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162.569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163.744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165.776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162.567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173.124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173.024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169.877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168.701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168.589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167.484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167.370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167.379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3,7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31.339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31.495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31.562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31.320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30.126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29.411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28.686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28.549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28.272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29.540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30.718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31.232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31.890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32.648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2,7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2,6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7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20,7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20,0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18,8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3.003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3.685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4.146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2.651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1.081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2.005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2.766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972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583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-40,3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-35,8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741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-1,9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478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497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-2,5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2.336,7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2.335,6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2.349,6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2.327,6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2.327,5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2.345,2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2.374,7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2.401,4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2.425,3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2.361,5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2.338,1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2.342,0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2.482,8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2.507,6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1.784,3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1.796,1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1.792,6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1.809,3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1.818,9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1.843,4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1.916,6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1.954,4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2.001,1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1.965,5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1.982,9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1.980,7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1.969,8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1.990,1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944,4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948,1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959,0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964,4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961,5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955,7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951,8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931,4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922,3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904,9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918,2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912,3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995,3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1.001,4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 xml:space="preserve"> 5,6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832,3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826,2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828,8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829,6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830,3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831,7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827,6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824,6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825,2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821,6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818,1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809,2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857,4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861,1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460,2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465,0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453,8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465,8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483,0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527,4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552,1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569,2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549,5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546,4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526,5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507,8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518,7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1.024,7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1.034,1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1.034,0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1.044,8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1.043,3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1.051,4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1.086,6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1.108,3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1.113,7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1.114,7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1.134,7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1.146,8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1.150,4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1.158,7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 xml:space="preserve">3,32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27,5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23,9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33,4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34,5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30,1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26,5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15,3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99,9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106,5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191,5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151,0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170,8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177,6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173,4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147,7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158,6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136,6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139,5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110,2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113,8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8,5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-72,4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-82,6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-158,1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-119,7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-133,2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-138,9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-146,3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-141,6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-117,6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-132,2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-104,3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-107,0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-82,6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6,3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15,5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25,9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25,8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34,4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58,9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18,3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92,7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77,3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122,2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122,9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119,3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101,7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97,6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104,5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114,7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111,9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108,5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110,4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-9,7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-5,3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2.151,3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2.207,9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2.184,2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2.048,5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2.002,5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1.885,5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1.876,3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1.843,3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2.064,1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1.974,3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1.948,8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2.086,8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2.037,6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2.053,6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-7,0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-6,1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-1,3</w:t>
            </w:r>
          </w:p>
        </w:tc>
      </w:tr>
      <w:tr w:rsidR="00486EDA" w:rsidRPr="00486EDA" w:rsidTr="00486EDA">
        <w:trPr>
          <w:trHeight w:hRule="exact" w:val="227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EDA" w:rsidRPr="00486EDA" w:rsidRDefault="00486EDA" w:rsidP="00486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486EDA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-0,8</w:t>
            </w:r>
          </w:p>
        </w:tc>
      </w:tr>
    </w:tbl>
    <w:p w:rsidR="003A1150" w:rsidRPr="00AD1B16" w:rsidRDefault="003A1150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br w:type="page"/>
      </w:r>
    </w:p>
    <w:p w:rsidR="0097377E" w:rsidRPr="00AD1B16" w:rsidRDefault="0097377E" w:rsidP="003A1150">
      <w:pPr>
        <w:spacing w:after="0" w:line="240" w:lineRule="auto"/>
        <w:jc w:val="both"/>
        <w:rPr>
          <w:i/>
          <w:iCs/>
          <w:sz w:val="12"/>
          <w:szCs w:val="12"/>
        </w:rPr>
      </w:pPr>
    </w:p>
    <w:p w:rsidR="00690A2B" w:rsidRDefault="00D61692" w:rsidP="00DA35C2">
      <w:pPr>
        <w:jc w:val="center"/>
        <w:rPr>
          <w:sz w:val="17"/>
          <w:szCs w:val="16"/>
        </w:rPr>
      </w:pPr>
      <w:r w:rsidRPr="00AD1B16">
        <w:rPr>
          <w:sz w:val="17"/>
          <w:szCs w:val="16"/>
        </w:rPr>
        <w:t xml:space="preserve">Tabela 2: </w:t>
      </w:r>
      <w:r w:rsidRPr="00AD1B16">
        <w:rPr>
          <w:b/>
          <w:bCs/>
          <w:sz w:val="17"/>
          <w:szCs w:val="16"/>
        </w:rPr>
        <w:t>BUDŽET CRNE GORE</w:t>
      </w:r>
      <w:r w:rsidRPr="00AD1B16">
        <w:rPr>
          <w:sz w:val="17"/>
          <w:szCs w:val="16"/>
        </w:rPr>
        <w:t xml:space="preserve"> – </w:t>
      </w:r>
      <w:r w:rsidR="006E5AF1">
        <w:rPr>
          <w:sz w:val="17"/>
          <w:szCs w:val="16"/>
        </w:rPr>
        <w:t>februar</w:t>
      </w:r>
      <w:r w:rsidRPr="00AD1B16">
        <w:rPr>
          <w:sz w:val="17"/>
          <w:szCs w:val="16"/>
        </w:rPr>
        <w:t xml:space="preserve"> 201</w:t>
      </w:r>
      <w:r w:rsidR="006E5AF1">
        <w:rPr>
          <w:sz w:val="17"/>
          <w:szCs w:val="16"/>
        </w:rPr>
        <w:t>3</w:t>
      </w:r>
      <w:r w:rsidR="000F5B09" w:rsidRPr="00AD1B16">
        <w:rPr>
          <w:sz w:val="17"/>
          <w:szCs w:val="16"/>
        </w:rPr>
        <w:t>.</w:t>
      </w:r>
    </w:p>
    <w:tbl>
      <w:tblPr>
        <w:tblW w:w="13934" w:type="dxa"/>
        <w:tblInd w:w="103" w:type="dxa"/>
        <w:tblLayout w:type="fixed"/>
        <w:tblLook w:val="04A0"/>
      </w:tblPr>
      <w:tblGrid>
        <w:gridCol w:w="2140"/>
        <w:gridCol w:w="905"/>
        <w:gridCol w:w="757"/>
        <w:gridCol w:w="600"/>
        <w:gridCol w:w="600"/>
        <w:gridCol w:w="600"/>
        <w:gridCol w:w="600"/>
        <w:gridCol w:w="586"/>
        <w:gridCol w:w="600"/>
        <w:gridCol w:w="586"/>
        <w:gridCol w:w="586"/>
        <w:gridCol w:w="586"/>
        <w:gridCol w:w="586"/>
        <w:gridCol w:w="586"/>
        <w:gridCol w:w="586"/>
        <w:gridCol w:w="505"/>
        <w:gridCol w:w="505"/>
        <w:gridCol w:w="670"/>
        <w:gridCol w:w="693"/>
        <w:gridCol w:w="657"/>
      </w:tblGrid>
      <w:tr w:rsidR="008118EB" w:rsidRPr="00B21CD5" w:rsidTr="006E5AF1">
        <w:trPr>
          <w:trHeight w:val="315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BUDŽET CRNE GORE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Učešće u uk ostv Prihod/Rashod-u %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2012 (JAN-DEC)</w:t>
            </w:r>
          </w:p>
        </w:tc>
        <w:tc>
          <w:tcPr>
            <w:tcW w:w="5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2012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2013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2013-plan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Analitika-FEB</w:t>
            </w:r>
          </w:p>
        </w:tc>
      </w:tr>
      <w:tr w:rsidR="008118EB" w:rsidRPr="00B21CD5" w:rsidTr="006E5AF1">
        <w:trPr>
          <w:trHeight w:val="97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III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IV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VII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VIII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IX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XI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XII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II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feb 2013/feb 2012(%)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jan-feb 2013/jan-feb 2012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feb 2013/feb 2013 plan</w:t>
            </w:r>
          </w:p>
        </w:tc>
      </w:tr>
      <w:tr w:rsidR="008118EB" w:rsidRPr="00B21CD5" w:rsidTr="006E5AF1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1119,94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76,28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98,76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86,82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95,94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130,90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108,52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95,84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99,23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85,31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125,85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54,54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75,64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56,41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72,07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11,63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11,76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4,96</w:t>
            </w:r>
          </w:p>
        </w:tc>
      </w:tr>
      <w:tr w:rsidR="008118EB" w:rsidRPr="00B21CD5" w:rsidTr="006E5AF1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Porezi i doprinosi na  zarade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45,70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444,51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33,23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39,30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34,83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32,63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41,77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48,37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32,88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42,82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35,50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60,40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14,21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34,57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13,05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32,15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13,45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14,01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7,53</w:t>
            </w:r>
          </w:p>
        </w:tc>
      </w:tr>
      <w:tr w:rsidR="008118EB" w:rsidRPr="00B21CD5" w:rsidTr="006E5AF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Porez na dobit pravnih lica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1,40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64,02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4,55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13,49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3,05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3,80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28,54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2,31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3,27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1,54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0,79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1,82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0,50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1,06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0,58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0,52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143,92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85,17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105,78</w:t>
            </w:r>
          </w:p>
        </w:tc>
      </w:tr>
      <w:tr w:rsidR="008118EB" w:rsidRPr="00B21CD5" w:rsidTr="006E5AF1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Porez na dodatu vrijednost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32,72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354,71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23,76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27,71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30,99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37,82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37,35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32,21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33,59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33,88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29,08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25,78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24,86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24,75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22,22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22,35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16,05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16,67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10,72</w:t>
            </w:r>
          </w:p>
        </w:tc>
      </w:tr>
      <w:tr w:rsidR="008118EB" w:rsidRPr="00B21CD5" w:rsidTr="006E5AF1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Akcize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11,88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151,77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6,38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9,98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10,09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14,77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13,19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17,42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19,43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11,83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12,45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17,89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9,26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8,99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13,47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9,37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-1,03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-0,57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-4,10</w:t>
            </w:r>
          </w:p>
        </w:tc>
      </w:tr>
      <w:tr w:rsidR="008118EB" w:rsidRPr="00B21CD5" w:rsidTr="006E5AF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Porez na medj trgovinu i transak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1,74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28,97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3,24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3,38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3,25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2,41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1,99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2,27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1,69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1,86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1,10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1,31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2,25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2,43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-42,01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-44,64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-46,00</w:t>
            </w:r>
          </w:p>
        </w:tc>
      </w:tr>
      <w:tr w:rsidR="008118EB" w:rsidRPr="00B21CD5" w:rsidTr="006E5AF1">
        <w:trPr>
          <w:trHeight w:val="330"/>
        </w:trPr>
        <w:tc>
          <w:tcPr>
            <w:tcW w:w="21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1282,62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84,88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150,06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102,72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99,68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104,30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97,73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117,66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104,03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6E5A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100,50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6E5A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137,23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6E5A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80,87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91,11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106,33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104,02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-8,48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-6,44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-12,40</w:t>
            </w:r>
          </w:p>
        </w:tc>
      </w:tr>
      <w:tr w:rsidR="008118EB" w:rsidRPr="00B21CD5" w:rsidTr="006E5AF1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Bruto zarade i doprinosi na teret posl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34,01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374,66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31,22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31,22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31,22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31,22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31,22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31,22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31,22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31,22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31,22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31,22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30,98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30,98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31,00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31,02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-0,76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-0,76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-0,11</w:t>
            </w:r>
          </w:p>
        </w:tc>
      </w:tr>
      <w:tr w:rsidR="008118EB" w:rsidRPr="00B21CD5" w:rsidTr="006E5AF1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Rashodi za materijal i usluge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6,94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153,59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6,66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21,04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14,12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10,19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16,20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10,52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13,03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13,17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12,39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21,50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3,61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6,32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8,08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6,24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-49,26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-32,78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1,35</w:t>
            </w:r>
          </w:p>
        </w:tc>
      </w:tr>
      <w:tr w:rsidR="008118EB" w:rsidRPr="00B21CD5" w:rsidTr="006E5AF1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Kamate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1,03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55,99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14,13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4,87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1,23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18,18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0,52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0,80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3,69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0,55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0,94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5,87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5,87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-43,24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-71,80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-83,99</w:t>
            </w:r>
          </w:p>
        </w:tc>
      </w:tr>
      <w:tr w:rsidR="008118EB" w:rsidRPr="00B21CD5" w:rsidTr="006E5AF1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Transferi za socijalnu zaštitu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43,88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481,64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35,63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43,78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40,87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39,07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40,98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39,99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40,35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40,56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40,34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42,46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38,15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39,98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41,49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41,49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-1,02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0,65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-3,63</w:t>
            </w:r>
          </w:p>
        </w:tc>
      </w:tr>
      <w:tr w:rsidR="008118EB" w:rsidRPr="00B21CD5" w:rsidTr="006E5AF1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Transferi instit, pojed i NVO sektoru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7,88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31,51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0,99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4,07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2,06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2,03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6,24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4,77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7,18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8,08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7,62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156,02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267,89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-5,70</w:t>
            </w:r>
          </w:p>
        </w:tc>
      </w:tr>
      <w:tr w:rsidR="008118EB" w:rsidRPr="00B21CD5" w:rsidTr="006E5AF1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Kapitalni izdaci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2,33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67,69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1,27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4,32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5,50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4,11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6,14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7,88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4,64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5,85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6,17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16,42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0,30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2,12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6,13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6,11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-37,48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-55,09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-65,28</w:t>
            </w:r>
          </w:p>
        </w:tc>
      </w:tr>
      <w:tr w:rsidR="008118EB" w:rsidRPr="00B21CD5" w:rsidTr="006E5AF1">
        <w:trPr>
          <w:trHeight w:val="330"/>
        </w:trPr>
        <w:tc>
          <w:tcPr>
            <w:tcW w:w="21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-162,69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-8,60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-51,30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-15,90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-3,75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26,60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10,79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-21,82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-4,80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-15,19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-11,38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-26,33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-15,47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-49,93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-31,95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-51,34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-37,92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-51,58</w:t>
            </w:r>
          </w:p>
        </w:tc>
      </w:tr>
      <w:tr w:rsidR="008118EB" w:rsidRPr="00B21CD5" w:rsidTr="006E5AF1">
        <w:trPr>
          <w:trHeight w:val="3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Primarni deficit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-106,69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-5,95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-37,17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-13,88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1,12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27,83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13,39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-3,64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-4,28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-14,39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-7,68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-25,78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-14,53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-44,06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-26,08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-51,79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-35,03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-44,29</w:t>
            </w:r>
          </w:p>
        </w:tc>
      </w:tr>
      <w:tr w:rsidR="008118EB" w:rsidRPr="00B21CD5" w:rsidTr="006E5AF1">
        <w:trPr>
          <w:trHeight w:val="3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Otplata dugova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168,70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8,03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11,89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12,12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22,12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23,07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22,68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16,35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5,24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4,44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15,10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16,06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7,38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7,69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2,82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-38,22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-15,21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161,61</w:t>
            </w:r>
          </w:p>
        </w:tc>
      </w:tr>
      <w:tr w:rsidR="008118EB" w:rsidRPr="00B21CD5" w:rsidTr="006E5AF1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1534,80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1638,60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1634,50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1629,60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1718,80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1703,20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1707,20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1709,40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1700,20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1699,50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1732,70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1732,70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12,49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</w:t>
            </w:r>
          </w:p>
        </w:tc>
      </w:tr>
      <w:tr w:rsidR="008118EB" w:rsidRPr="00B21CD5" w:rsidTr="006E5AF1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Domaći dug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22,89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426,50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432,60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424,10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424,10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411,20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395,40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399,60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401,30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393,10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404,50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400,10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396,70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-8,02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-6,29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</w:t>
            </w:r>
          </w:p>
        </w:tc>
      </w:tr>
      <w:tr w:rsidR="008118EB" w:rsidRPr="00B21CD5" w:rsidTr="006E5AF1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Inostrani dug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i/>
                <w:iCs/>
                <w:sz w:val="16"/>
                <w:szCs w:val="16"/>
              </w:rPr>
              <w:t>77,11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1108,30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1206,00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1210,40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1205,50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1307,60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1307,80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1307,60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1308,10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</w:rPr>
            </w:pPr>
            <w:r w:rsidRPr="00B21CD5">
              <w:rPr>
                <w:rFonts w:eastAsia="Times New Roman" w:cs="Calibri"/>
                <w:sz w:val="16"/>
                <w:szCs w:val="16"/>
              </w:rPr>
              <w:t>1307,10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1295,00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1332,60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1336,00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6E5AF1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E5AF1">
              <w:rPr>
                <w:rFonts w:eastAsia="Times New Roman" w:cs="Calibri"/>
                <w:bCs/>
                <w:sz w:val="16"/>
                <w:szCs w:val="16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20,47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23,36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118EB" w:rsidRPr="00B21CD5" w:rsidRDefault="008118EB" w:rsidP="008118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B21CD5">
              <w:rPr>
                <w:rFonts w:eastAsia="Times New Roman" w:cs="Calibri"/>
                <w:b/>
                <w:bCs/>
                <w:sz w:val="16"/>
                <w:szCs w:val="16"/>
              </w:rPr>
              <w:t>-</w:t>
            </w:r>
          </w:p>
        </w:tc>
      </w:tr>
    </w:tbl>
    <w:p w:rsidR="009C248A" w:rsidRPr="00AD1B16" w:rsidRDefault="009C248A" w:rsidP="00DA35C2">
      <w:pPr>
        <w:jc w:val="center"/>
        <w:rPr>
          <w:sz w:val="17"/>
          <w:szCs w:val="16"/>
        </w:rPr>
      </w:pPr>
    </w:p>
    <w:p w:rsidR="009472A1" w:rsidRPr="00AD1B16" w:rsidRDefault="008D6E96" w:rsidP="00805844">
      <w:pPr>
        <w:rPr>
          <w:b/>
          <w:i/>
          <w:sz w:val="14"/>
          <w:szCs w:val="14"/>
        </w:rPr>
      </w:pPr>
      <w:r w:rsidRPr="00AD1B16">
        <w:rPr>
          <w:b/>
          <w:i/>
          <w:sz w:val="14"/>
          <w:szCs w:val="14"/>
        </w:rPr>
        <w:t>Izvor: Ministarstvo</w:t>
      </w:r>
      <w:r w:rsidR="00F13EE1">
        <w:rPr>
          <w:b/>
          <w:i/>
          <w:sz w:val="14"/>
          <w:szCs w:val="14"/>
        </w:rPr>
        <w:t xml:space="preserve"> </w:t>
      </w:r>
      <w:r w:rsidRPr="00AD1B16">
        <w:rPr>
          <w:b/>
          <w:i/>
          <w:sz w:val="14"/>
          <w:szCs w:val="14"/>
        </w:rPr>
        <w:t>finansijaCrne Gore</w:t>
      </w:r>
    </w:p>
    <w:p w:rsidR="005025EC" w:rsidRPr="00AD1B16" w:rsidRDefault="005025EC" w:rsidP="005025EC">
      <w:pPr>
        <w:jc w:val="both"/>
        <w:rPr>
          <w:rFonts w:cstheme="minorHAnsi"/>
          <w:bCs/>
          <w:sz w:val="14"/>
          <w:szCs w:val="14"/>
        </w:rPr>
      </w:pPr>
    </w:p>
    <w:p w:rsidR="005025EC" w:rsidRPr="00AD1B16" w:rsidRDefault="005025EC" w:rsidP="005025EC">
      <w:pPr>
        <w:jc w:val="both"/>
        <w:rPr>
          <w:rFonts w:cstheme="minorHAnsi"/>
          <w:bCs/>
          <w:sz w:val="14"/>
          <w:szCs w:val="14"/>
        </w:rPr>
      </w:pPr>
    </w:p>
    <w:p w:rsidR="005025EC" w:rsidRPr="00AD1B16" w:rsidRDefault="005025EC" w:rsidP="005025EC">
      <w:pPr>
        <w:jc w:val="both"/>
        <w:rPr>
          <w:rFonts w:cstheme="minorHAnsi"/>
          <w:bCs/>
          <w:sz w:val="14"/>
          <w:szCs w:val="14"/>
        </w:rPr>
      </w:pPr>
    </w:p>
    <w:p w:rsidR="009126D6" w:rsidRPr="00AD1B16" w:rsidRDefault="009126D6" w:rsidP="005025EC">
      <w:pPr>
        <w:jc w:val="both"/>
        <w:rPr>
          <w:rFonts w:cstheme="minorHAnsi"/>
          <w:bCs/>
          <w:sz w:val="14"/>
          <w:szCs w:val="14"/>
        </w:rPr>
      </w:pPr>
    </w:p>
    <w:p w:rsidR="009126D6" w:rsidRPr="00AD1B16" w:rsidRDefault="009126D6" w:rsidP="005025EC">
      <w:pPr>
        <w:jc w:val="both"/>
        <w:rPr>
          <w:rFonts w:cstheme="minorHAnsi"/>
          <w:bCs/>
          <w:sz w:val="14"/>
          <w:szCs w:val="14"/>
        </w:rPr>
      </w:pPr>
    </w:p>
    <w:sectPr w:rsidR="009126D6" w:rsidRPr="00AD1B16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67B" w:rsidRDefault="00E5167B" w:rsidP="00965FCD">
      <w:pPr>
        <w:spacing w:after="0" w:line="240" w:lineRule="auto"/>
      </w:pPr>
      <w:r>
        <w:separator/>
      </w:r>
    </w:p>
  </w:endnote>
  <w:endnote w:type="continuationSeparator" w:id="0">
    <w:p w:rsidR="00E5167B" w:rsidRDefault="00E5167B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67B" w:rsidRDefault="00E5167B" w:rsidP="00965FCD">
      <w:pPr>
        <w:spacing w:after="0" w:line="240" w:lineRule="auto"/>
      </w:pPr>
      <w:r>
        <w:separator/>
      </w:r>
    </w:p>
  </w:footnote>
  <w:footnote w:type="continuationSeparator" w:id="0">
    <w:p w:rsidR="00E5167B" w:rsidRDefault="00E5167B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5DCE"/>
    <w:multiLevelType w:val="hybridMultilevel"/>
    <w:tmpl w:val="D47ADD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A34285"/>
    <w:multiLevelType w:val="hybridMultilevel"/>
    <w:tmpl w:val="EBF2334A"/>
    <w:lvl w:ilvl="0" w:tplc="2624AA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74C6B"/>
    <w:multiLevelType w:val="hybridMultilevel"/>
    <w:tmpl w:val="B5F29A5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97970"/>
    <w:multiLevelType w:val="hybridMultilevel"/>
    <w:tmpl w:val="530A2D48"/>
    <w:lvl w:ilvl="0" w:tplc="901E34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6A62D5"/>
    <w:multiLevelType w:val="hybridMultilevel"/>
    <w:tmpl w:val="8E7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1692"/>
    <w:rsid w:val="000000CB"/>
    <w:rsid w:val="000010A3"/>
    <w:rsid w:val="00003D78"/>
    <w:rsid w:val="00004B56"/>
    <w:rsid w:val="000147A0"/>
    <w:rsid w:val="00014AAB"/>
    <w:rsid w:val="00014D0B"/>
    <w:rsid w:val="00014E6A"/>
    <w:rsid w:val="00021033"/>
    <w:rsid w:val="000224B4"/>
    <w:rsid w:val="00022789"/>
    <w:rsid w:val="000263A4"/>
    <w:rsid w:val="000341DE"/>
    <w:rsid w:val="00034923"/>
    <w:rsid w:val="0003544A"/>
    <w:rsid w:val="000357E2"/>
    <w:rsid w:val="000369E1"/>
    <w:rsid w:val="000421A3"/>
    <w:rsid w:val="000449CD"/>
    <w:rsid w:val="00044CB0"/>
    <w:rsid w:val="00045654"/>
    <w:rsid w:val="00046C9E"/>
    <w:rsid w:val="00050EAB"/>
    <w:rsid w:val="00052DC4"/>
    <w:rsid w:val="00054068"/>
    <w:rsid w:val="00055E5C"/>
    <w:rsid w:val="00055F78"/>
    <w:rsid w:val="00056E43"/>
    <w:rsid w:val="000601A4"/>
    <w:rsid w:val="00061391"/>
    <w:rsid w:val="000645F3"/>
    <w:rsid w:val="00067726"/>
    <w:rsid w:val="000734AF"/>
    <w:rsid w:val="00073786"/>
    <w:rsid w:val="00074378"/>
    <w:rsid w:val="000747AC"/>
    <w:rsid w:val="00074C3E"/>
    <w:rsid w:val="0007530C"/>
    <w:rsid w:val="00080AEE"/>
    <w:rsid w:val="000812E2"/>
    <w:rsid w:val="00085B67"/>
    <w:rsid w:val="0008654A"/>
    <w:rsid w:val="00090FDD"/>
    <w:rsid w:val="00091154"/>
    <w:rsid w:val="000915D3"/>
    <w:rsid w:val="000917D8"/>
    <w:rsid w:val="000925F7"/>
    <w:rsid w:val="000945C9"/>
    <w:rsid w:val="0009534C"/>
    <w:rsid w:val="0009548F"/>
    <w:rsid w:val="00096E02"/>
    <w:rsid w:val="00097E38"/>
    <w:rsid w:val="000A1159"/>
    <w:rsid w:val="000A2350"/>
    <w:rsid w:val="000A2F52"/>
    <w:rsid w:val="000A43CE"/>
    <w:rsid w:val="000A47FF"/>
    <w:rsid w:val="000A4E37"/>
    <w:rsid w:val="000A787A"/>
    <w:rsid w:val="000B1DD7"/>
    <w:rsid w:val="000B502D"/>
    <w:rsid w:val="000B67B1"/>
    <w:rsid w:val="000B7AE2"/>
    <w:rsid w:val="000C06C5"/>
    <w:rsid w:val="000C1965"/>
    <w:rsid w:val="000C36DB"/>
    <w:rsid w:val="000C6818"/>
    <w:rsid w:val="000D0374"/>
    <w:rsid w:val="000D52CF"/>
    <w:rsid w:val="000D5D48"/>
    <w:rsid w:val="000D5ED7"/>
    <w:rsid w:val="000D6DF1"/>
    <w:rsid w:val="000E13EB"/>
    <w:rsid w:val="000E2251"/>
    <w:rsid w:val="000E2351"/>
    <w:rsid w:val="000E3987"/>
    <w:rsid w:val="000E6096"/>
    <w:rsid w:val="000E77A4"/>
    <w:rsid w:val="000F4D73"/>
    <w:rsid w:val="000F5B09"/>
    <w:rsid w:val="000F6C6B"/>
    <w:rsid w:val="000F756E"/>
    <w:rsid w:val="00100371"/>
    <w:rsid w:val="0010339D"/>
    <w:rsid w:val="00107128"/>
    <w:rsid w:val="00112853"/>
    <w:rsid w:val="00114109"/>
    <w:rsid w:val="00115519"/>
    <w:rsid w:val="00116365"/>
    <w:rsid w:val="001164A1"/>
    <w:rsid w:val="00117AB0"/>
    <w:rsid w:val="00120A3A"/>
    <w:rsid w:val="00124167"/>
    <w:rsid w:val="00131185"/>
    <w:rsid w:val="001326B7"/>
    <w:rsid w:val="00134816"/>
    <w:rsid w:val="00134C6C"/>
    <w:rsid w:val="00136E70"/>
    <w:rsid w:val="001447DA"/>
    <w:rsid w:val="00144C86"/>
    <w:rsid w:val="0014607D"/>
    <w:rsid w:val="00147278"/>
    <w:rsid w:val="00152E4F"/>
    <w:rsid w:val="001530CE"/>
    <w:rsid w:val="0015515C"/>
    <w:rsid w:val="00156E33"/>
    <w:rsid w:val="00157601"/>
    <w:rsid w:val="00160756"/>
    <w:rsid w:val="001610BD"/>
    <w:rsid w:val="001613FC"/>
    <w:rsid w:val="001627A3"/>
    <w:rsid w:val="00163041"/>
    <w:rsid w:val="001644C7"/>
    <w:rsid w:val="00165BB6"/>
    <w:rsid w:val="00165DE6"/>
    <w:rsid w:val="001678F1"/>
    <w:rsid w:val="00170C82"/>
    <w:rsid w:val="00170CCE"/>
    <w:rsid w:val="00172D59"/>
    <w:rsid w:val="00174836"/>
    <w:rsid w:val="0017540F"/>
    <w:rsid w:val="00181309"/>
    <w:rsid w:val="0018289E"/>
    <w:rsid w:val="0018592D"/>
    <w:rsid w:val="00186BEF"/>
    <w:rsid w:val="00186F09"/>
    <w:rsid w:val="00187C66"/>
    <w:rsid w:val="00190285"/>
    <w:rsid w:val="001942BA"/>
    <w:rsid w:val="001A2829"/>
    <w:rsid w:val="001A392F"/>
    <w:rsid w:val="001A4F53"/>
    <w:rsid w:val="001A594D"/>
    <w:rsid w:val="001A65F4"/>
    <w:rsid w:val="001A7319"/>
    <w:rsid w:val="001B3267"/>
    <w:rsid w:val="001C1F7E"/>
    <w:rsid w:val="001C23DD"/>
    <w:rsid w:val="001C264C"/>
    <w:rsid w:val="001C2751"/>
    <w:rsid w:val="001C51EC"/>
    <w:rsid w:val="001C5CE9"/>
    <w:rsid w:val="001C6698"/>
    <w:rsid w:val="001C6750"/>
    <w:rsid w:val="001D0A32"/>
    <w:rsid w:val="001D4E81"/>
    <w:rsid w:val="001E29D1"/>
    <w:rsid w:val="001E2BC7"/>
    <w:rsid w:val="001E33FE"/>
    <w:rsid w:val="001E4EAE"/>
    <w:rsid w:val="001E5BE3"/>
    <w:rsid w:val="001F1378"/>
    <w:rsid w:val="001F19CC"/>
    <w:rsid w:val="001F2B57"/>
    <w:rsid w:val="001F4C02"/>
    <w:rsid w:val="001F69DD"/>
    <w:rsid w:val="001F7C33"/>
    <w:rsid w:val="002000E5"/>
    <w:rsid w:val="0020246C"/>
    <w:rsid w:val="00203447"/>
    <w:rsid w:val="00203664"/>
    <w:rsid w:val="00205D15"/>
    <w:rsid w:val="00206062"/>
    <w:rsid w:val="00207613"/>
    <w:rsid w:val="00207B53"/>
    <w:rsid w:val="0021042E"/>
    <w:rsid w:val="00212126"/>
    <w:rsid w:val="00212633"/>
    <w:rsid w:val="0021463F"/>
    <w:rsid w:val="0021614C"/>
    <w:rsid w:val="00220834"/>
    <w:rsid w:val="002210E9"/>
    <w:rsid w:val="00223E45"/>
    <w:rsid w:val="002251C3"/>
    <w:rsid w:val="00225F74"/>
    <w:rsid w:val="0022695C"/>
    <w:rsid w:val="00227682"/>
    <w:rsid w:val="00227D75"/>
    <w:rsid w:val="00230FA2"/>
    <w:rsid w:val="00231268"/>
    <w:rsid w:val="00234902"/>
    <w:rsid w:val="00236B99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5097"/>
    <w:rsid w:val="0025539C"/>
    <w:rsid w:val="00256550"/>
    <w:rsid w:val="0025757E"/>
    <w:rsid w:val="00257D9D"/>
    <w:rsid w:val="00260EF0"/>
    <w:rsid w:val="00265023"/>
    <w:rsid w:val="002650CF"/>
    <w:rsid w:val="00265406"/>
    <w:rsid w:val="00265A3D"/>
    <w:rsid w:val="00270FD9"/>
    <w:rsid w:val="002717A8"/>
    <w:rsid w:val="002723A7"/>
    <w:rsid w:val="00274EBC"/>
    <w:rsid w:val="00282488"/>
    <w:rsid w:val="00282DBE"/>
    <w:rsid w:val="00283704"/>
    <w:rsid w:val="00291352"/>
    <w:rsid w:val="00294586"/>
    <w:rsid w:val="00296127"/>
    <w:rsid w:val="00297AC4"/>
    <w:rsid w:val="002A046A"/>
    <w:rsid w:val="002A0D49"/>
    <w:rsid w:val="002A10A8"/>
    <w:rsid w:val="002A1B2B"/>
    <w:rsid w:val="002A1DC4"/>
    <w:rsid w:val="002A235B"/>
    <w:rsid w:val="002A4910"/>
    <w:rsid w:val="002A68B8"/>
    <w:rsid w:val="002A6D30"/>
    <w:rsid w:val="002B10AE"/>
    <w:rsid w:val="002B318C"/>
    <w:rsid w:val="002B552A"/>
    <w:rsid w:val="002B70F0"/>
    <w:rsid w:val="002C1A52"/>
    <w:rsid w:val="002C1FBF"/>
    <w:rsid w:val="002C47B8"/>
    <w:rsid w:val="002C6888"/>
    <w:rsid w:val="002C78FB"/>
    <w:rsid w:val="002C7999"/>
    <w:rsid w:val="002D170B"/>
    <w:rsid w:val="002D175D"/>
    <w:rsid w:val="002D2E80"/>
    <w:rsid w:val="002D3B0F"/>
    <w:rsid w:val="002D5865"/>
    <w:rsid w:val="002E6CB0"/>
    <w:rsid w:val="002E7908"/>
    <w:rsid w:val="002F184C"/>
    <w:rsid w:val="002F19E7"/>
    <w:rsid w:val="002F323A"/>
    <w:rsid w:val="002F5002"/>
    <w:rsid w:val="002F567B"/>
    <w:rsid w:val="002F6AB2"/>
    <w:rsid w:val="003004B8"/>
    <w:rsid w:val="003022A7"/>
    <w:rsid w:val="00303D85"/>
    <w:rsid w:val="00307F4D"/>
    <w:rsid w:val="0031558E"/>
    <w:rsid w:val="00315B94"/>
    <w:rsid w:val="00320582"/>
    <w:rsid w:val="003217C9"/>
    <w:rsid w:val="00321CA6"/>
    <w:rsid w:val="003220F5"/>
    <w:rsid w:val="00323C1B"/>
    <w:rsid w:val="00327AC3"/>
    <w:rsid w:val="00330832"/>
    <w:rsid w:val="00330C13"/>
    <w:rsid w:val="00331520"/>
    <w:rsid w:val="00331C0E"/>
    <w:rsid w:val="00331D9F"/>
    <w:rsid w:val="003324D9"/>
    <w:rsid w:val="0033276A"/>
    <w:rsid w:val="00333C49"/>
    <w:rsid w:val="0033450D"/>
    <w:rsid w:val="00337648"/>
    <w:rsid w:val="00340752"/>
    <w:rsid w:val="003409C9"/>
    <w:rsid w:val="00341583"/>
    <w:rsid w:val="00344581"/>
    <w:rsid w:val="00350CFE"/>
    <w:rsid w:val="0035139C"/>
    <w:rsid w:val="003568F4"/>
    <w:rsid w:val="00357182"/>
    <w:rsid w:val="00357E66"/>
    <w:rsid w:val="00360100"/>
    <w:rsid w:val="00360197"/>
    <w:rsid w:val="003625F1"/>
    <w:rsid w:val="00364D14"/>
    <w:rsid w:val="00365311"/>
    <w:rsid w:val="00365E46"/>
    <w:rsid w:val="00366F41"/>
    <w:rsid w:val="0037726C"/>
    <w:rsid w:val="00377388"/>
    <w:rsid w:val="00377A53"/>
    <w:rsid w:val="003809F3"/>
    <w:rsid w:val="0038117E"/>
    <w:rsid w:val="0038135E"/>
    <w:rsid w:val="003813A6"/>
    <w:rsid w:val="0038259A"/>
    <w:rsid w:val="00382F01"/>
    <w:rsid w:val="00384DC2"/>
    <w:rsid w:val="00387C29"/>
    <w:rsid w:val="00387DAD"/>
    <w:rsid w:val="00390732"/>
    <w:rsid w:val="0039257B"/>
    <w:rsid w:val="0039441A"/>
    <w:rsid w:val="00396D7E"/>
    <w:rsid w:val="00396FDF"/>
    <w:rsid w:val="003A0776"/>
    <w:rsid w:val="003A0C23"/>
    <w:rsid w:val="003A0F73"/>
    <w:rsid w:val="003A1150"/>
    <w:rsid w:val="003A1E5E"/>
    <w:rsid w:val="003B0B36"/>
    <w:rsid w:val="003B1992"/>
    <w:rsid w:val="003B1A29"/>
    <w:rsid w:val="003B2900"/>
    <w:rsid w:val="003B3299"/>
    <w:rsid w:val="003B436A"/>
    <w:rsid w:val="003B48D5"/>
    <w:rsid w:val="003B4F8C"/>
    <w:rsid w:val="003B62EC"/>
    <w:rsid w:val="003B6844"/>
    <w:rsid w:val="003C14C9"/>
    <w:rsid w:val="003C15EF"/>
    <w:rsid w:val="003C1D23"/>
    <w:rsid w:val="003C4817"/>
    <w:rsid w:val="003D1EDB"/>
    <w:rsid w:val="003D4359"/>
    <w:rsid w:val="003D4739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757E"/>
    <w:rsid w:val="003F0052"/>
    <w:rsid w:val="003F0EA8"/>
    <w:rsid w:val="003F5183"/>
    <w:rsid w:val="003F5A35"/>
    <w:rsid w:val="00400C11"/>
    <w:rsid w:val="004010A8"/>
    <w:rsid w:val="00401DED"/>
    <w:rsid w:val="00404546"/>
    <w:rsid w:val="00406097"/>
    <w:rsid w:val="00406C7B"/>
    <w:rsid w:val="00407FE4"/>
    <w:rsid w:val="00411561"/>
    <w:rsid w:val="0041311D"/>
    <w:rsid w:val="00415784"/>
    <w:rsid w:val="00415806"/>
    <w:rsid w:val="004159BE"/>
    <w:rsid w:val="00417DAC"/>
    <w:rsid w:val="00420CBC"/>
    <w:rsid w:val="00421432"/>
    <w:rsid w:val="00421CD5"/>
    <w:rsid w:val="00425EC2"/>
    <w:rsid w:val="00427696"/>
    <w:rsid w:val="004318F1"/>
    <w:rsid w:val="00435D37"/>
    <w:rsid w:val="00436469"/>
    <w:rsid w:val="0044465C"/>
    <w:rsid w:val="0044550D"/>
    <w:rsid w:val="004471B9"/>
    <w:rsid w:val="00447221"/>
    <w:rsid w:val="00455227"/>
    <w:rsid w:val="00461324"/>
    <w:rsid w:val="0046148B"/>
    <w:rsid w:val="004634E4"/>
    <w:rsid w:val="004655E7"/>
    <w:rsid w:val="004725CB"/>
    <w:rsid w:val="0047278D"/>
    <w:rsid w:val="00475763"/>
    <w:rsid w:val="00480082"/>
    <w:rsid w:val="004848E8"/>
    <w:rsid w:val="004865CE"/>
    <w:rsid w:val="004868F5"/>
    <w:rsid w:val="00486EDA"/>
    <w:rsid w:val="00487296"/>
    <w:rsid w:val="00491163"/>
    <w:rsid w:val="004932C1"/>
    <w:rsid w:val="00493B63"/>
    <w:rsid w:val="004940E0"/>
    <w:rsid w:val="00496861"/>
    <w:rsid w:val="004A1113"/>
    <w:rsid w:val="004A382B"/>
    <w:rsid w:val="004A3894"/>
    <w:rsid w:val="004A38D1"/>
    <w:rsid w:val="004A55B1"/>
    <w:rsid w:val="004A56BE"/>
    <w:rsid w:val="004A5717"/>
    <w:rsid w:val="004A62DA"/>
    <w:rsid w:val="004B1C2A"/>
    <w:rsid w:val="004B41B2"/>
    <w:rsid w:val="004B7800"/>
    <w:rsid w:val="004B7883"/>
    <w:rsid w:val="004C0135"/>
    <w:rsid w:val="004C16F3"/>
    <w:rsid w:val="004C373F"/>
    <w:rsid w:val="004C3C31"/>
    <w:rsid w:val="004C659C"/>
    <w:rsid w:val="004D49A0"/>
    <w:rsid w:val="004D4E0F"/>
    <w:rsid w:val="004E4DE1"/>
    <w:rsid w:val="004E7676"/>
    <w:rsid w:val="004F288B"/>
    <w:rsid w:val="004F3817"/>
    <w:rsid w:val="004F50B8"/>
    <w:rsid w:val="004F6277"/>
    <w:rsid w:val="004F7808"/>
    <w:rsid w:val="004F7D2D"/>
    <w:rsid w:val="004F7F71"/>
    <w:rsid w:val="005025EC"/>
    <w:rsid w:val="005027D6"/>
    <w:rsid w:val="005070CF"/>
    <w:rsid w:val="005078B9"/>
    <w:rsid w:val="00516264"/>
    <w:rsid w:val="00517175"/>
    <w:rsid w:val="00522282"/>
    <w:rsid w:val="00524534"/>
    <w:rsid w:val="00524587"/>
    <w:rsid w:val="0052531F"/>
    <w:rsid w:val="005253D1"/>
    <w:rsid w:val="00532B88"/>
    <w:rsid w:val="005331BD"/>
    <w:rsid w:val="0053621B"/>
    <w:rsid w:val="00536525"/>
    <w:rsid w:val="0053722D"/>
    <w:rsid w:val="00541131"/>
    <w:rsid w:val="00541D70"/>
    <w:rsid w:val="005429A2"/>
    <w:rsid w:val="00543A1F"/>
    <w:rsid w:val="00546967"/>
    <w:rsid w:val="00547212"/>
    <w:rsid w:val="005523CF"/>
    <w:rsid w:val="0055364A"/>
    <w:rsid w:val="00553E61"/>
    <w:rsid w:val="0055409D"/>
    <w:rsid w:val="0055507E"/>
    <w:rsid w:val="00555A5E"/>
    <w:rsid w:val="0055713F"/>
    <w:rsid w:val="00560529"/>
    <w:rsid w:val="00560667"/>
    <w:rsid w:val="00561992"/>
    <w:rsid w:val="00564436"/>
    <w:rsid w:val="005644BB"/>
    <w:rsid w:val="00565662"/>
    <w:rsid w:val="00570C9B"/>
    <w:rsid w:val="00570EEF"/>
    <w:rsid w:val="005715D6"/>
    <w:rsid w:val="00571A37"/>
    <w:rsid w:val="0057438A"/>
    <w:rsid w:val="005758AA"/>
    <w:rsid w:val="00580172"/>
    <w:rsid w:val="00581749"/>
    <w:rsid w:val="005829D9"/>
    <w:rsid w:val="00583591"/>
    <w:rsid w:val="005852DA"/>
    <w:rsid w:val="005916D5"/>
    <w:rsid w:val="00593B25"/>
    <w:rsid w:val="00595DA2"/>
    <w:rsid w:val="005A4AB8"/>
    <w:rsid w:val="005A5064"/>
    <w:rsid w:val="005A5229"/>
    <w:rsid w:val="005B0DB1"/>
    <w:rsid w:val="005B18F4"/>
    <w:rsid w:val="005B25F8"/>
    <w:rsid w:val="005B5CB7"/>
    <w:rsid w:val="005B7040"/>
    <w:rsid w:val="005C19AB"/>
    <w:rsid w:val="005C2AE5"/>
    <w:rsid w:val="005C3915"/>
    <w:rsid w:val="005C4CBE"/>
    <w:rsid w:val="005C5F38"/>
    <w:rsid w:val="005D0E14"/>
    <w:rsid w:val="005D44BF"/>
    <w:rsid w:val="005D4BC4"/>
    <w:rsid w:val="005D751B"/>
    <w:rsid w:val="005E038B"/>
    <w:rsid w:val="005E150E"/>
    <w:rsid w:val="005E2852"/>
    <w:rsid w:val="005E35C9"/>
    <w:rsid w:val="005E4CD1"/>
    <w:rsid w:val="005E5941"/>
    <w:rsid w:val="005E6D35"/>
    <w:rsid w:val="005F155D"/>
    <w:rsid w:val="005F50EA"/>
    <w:rsid w:val="005F568D"/>
    <w:rsid w:val="006006C6"/>
    <w:rsid w:val="006014FD"/>
    <w:rsid w:val="006050EA"/>
    <w:rsid w:val="006071F2"/>
    <w:rsid w:val="00607217"/>
    <w:rsid w:val="00607500"/>
    <w:rsid w:val="0061084D"/>
    <w:rsid w:val="006127E9"/>
    <w:rsid w:val="00612F5E"/>
    <w:rsid w:val="00613676"/>
    <w:rsid w:val="00616B6E"/>
    <w:rsid w:val="00620FA4"/>
    <w:rsid w:val="0062271A"/>
    <w:rsid w:val="00623BC4"/>
    <w:rsid w:val="00624C12"/>
    <w:rsid w:val="00634B8C"/>
    <w:rsid w:val="0063610A"/>
    <w:rsid w:val="00645ED4"/>
    <w:rsid w:val="00646955"/>
    <w:rsid w:val="00647B12"/>
    <w:rsid w:val="006509EE"/>
    <w:rsid w:val="0065108A"/>
    <w:rsid w:val="006534C5"/>
    <w:rsid w:val="00653CF3"/>
    <w:rsid w:val="00654A8A"/>
    <w:rsid w:val="0065775B"/>
    <w:rsid w:val="00661339"/>
    <w:rsid w:val="00661C7E"/>
    <w:rsid w:val="00663690"/>
    <w:rsid w:val="00664DEB"/>
    <w:rsid w:val="00666EFC"/>
    <w:rsid w:val="00670373"/>
    <w:rsid w:val="00671844"/>
    <w:rsid w:val="006723F0"/>
    <w:rsid w:val="00672DCB"/>
    <w:rsid w:val="006751BF"/>
    <w:rsid w:val="006756E9"/>
    <w:rsid w:val="006759B4"/>
    <w:rsid w:val="006760A4"/>
    <w:rsid w:val="00676A4B"/>
    <w:rsid w:val="00681351"/>
    <w:rsid w:val="00681A9E"/>
    <w:rsid w:val="00684902"/>
    <w:rsid w:val="00690A2B"/>
    <w:rsid w:val="00690EA9"/>
    <w:rsid w:val="006910F4"/>
    <w:rsid w:val="00692810"/>
    <w:rsid w:val="0069434B"/>
    <w:rsid w:val="00694445"/>
    <w:rsid w:val="00695141"/>
    <w:rsid w:val="00695AC5"/>
    <w:rsid w:val="006971AF"/>
    <w:rsid w:val="00697A91"/>
    <w:rsid w:val="006A0B4A"/>
    <w:rsid w:val="006A290B"/>
    <w:rsid w:val="006A5DE6"/>
    <w:rsid w:val="006A6C58"/>
    <w:rsid w:val="006B2866"/>
    <w:rsid w:val="006B3579"/>
    <w:rsid w:val="006B4777"/>
    <w:rsid w:val="006B7725"/>
    <w:rsid w:val="006C15C6"/>
    <w:rsid w:val="006C2906"/>
    <w:rsid w:val="006C3C84"/>
    <w:rsid w:val="006C4674"/>
    <w:rsid w:val="006C5F17"/>
    <w:rsid w:val="006C7BA4"/>
    <w:rsid w:val="006C7EA3"/>
    <w:rsid w:val="006D1A57"/>
    <w:rsid w:val="006D3720"/>
    <w:rsid w:val="006D3727"/>
    <w:rsid w:val="006D4A5C"/>
    <w:rsid w:val="006D53D7"/>
    <w:rsid w:val="006D74DB"/>
    <w:rsid w:val="006E11AC"/>
    <w:rsid w:val="006E4746"/>
    <w:rsid w:val="006E4B91"/>
    <w:rsid w:val="006E5AF1"/>
    <w:rsid w:val="006E6751"/>
    <w:rsid w:val="006F2861"/>
    <w:rsid w:val="006F4309"/>
    <w:rsid w:val="006F5E1B"/>
    <w:rsid w:val="006F6B2B"/>
    <w:rsid w:val="006F6D5E"/>
    <w:rsid w:val="00701093"/>
    <w:rsid w:val="007027D1"/>
    <w:rsid w:val="007055C9"/>
    <w:rsid w:val="00710BC7"/>
    <w:rsid w:val="00712271"/>
    <w:rsid w:val="00713AA0"/>
    <w:rsid w:val="00715597"/>
    <w:rsid w:val="00716A7D"/>
    <w:rsid w:val="00716B14"/>
    <w:rsid w:val="00717FE8"/>
    <w:rsid w:val="00721DCD"/>
    <w:rsid w:val="00722A4C"/>
    <w:rsid w:val="00725D07"/>
    <w:rsid w:val="007307C9"/>
    <w:rsid w:val="00734688"/>
    <w:rsid w:val="00734729"/>
    <w:rsid w:val="00736E76"/>
    <w:rsid w:val="00737DB4"/>
    <w:rsid w:val="007406F2"/>
    <w:rsid w:val="00742C04"/>
    <w:rsid w:val="007452A1"/>
    <w:rsid w:val="00745BCE"/>
    <w:rsid w:val="00746132"/>
    <w:rsid w:val="007469F9"/>
    <w:rsid w:val="007515DA"/>
    <w:rsid w:val="00753C0A"/>
    <w:rsid w:val="00754F86"/>
    <w:rsid w:val="0075551E"/>
    <w:rsid w:val="00756761"/>
    <w:rsid w:val="007579F4"/>
    <w:rsid w:val="00757A6C"/>
    <w:rsid w:val="0076100C"/>
    <w:rsid w:val="00761287"/>
    <w:rsid w:val="0076182F"/>
    <w:rsid w:val="007618B8"/>
    <w:rsid w:val="00771538"/>
    <w:rsid w:val="007722BC"/>
    <w:rsid w:val="00772A01"/>
    <w:rsid w:val="00772F45"/>
    <w:rsid w:val="00777134"/>
    <w:rsid w:val="00781377"/>
    <w:rsid w:val="00784166"/>
    <w:rsid w:val="0078476D"/>
    <w:rsid w:val="00784BF8"/>
    <w:rsid w:val="00785339"/>
    <w:rsid w:val="00786F50"/>
    <w:rsid w:val="00791DC2"/>
    <w:rsid w:val="007941BB"/>
    <w:rsid w:val="00794B8C"/>
    <w:rsid w:val="00796ED1"/>
    <w:rsid w:val="00797B66"/>
    <w:rsid w:val="007A1882"/>
    <w:rsid w:val="007A2838"/>
    <w:rsid w:val="007A299E"/>
    <w:rsid w:val="007A33EE"/>
    <w:rsid w:val="007B0888"/>
    <w:rsid w:val="007B5A1B"/>
    <w:rsid w:val="007B5C2E"/>
    <w:rsid w:val="007B7DBE"/>
    <w:rsid w:val="007C1EE8"/>
    <w:rsid w:val="007C2107"/>
    <w:rsid w:val="007C2827"/>
    <w:rsid w:val="007D0956"/>
    <w:rsid w:val="007D4C9D"/>
    <w:rsid w:val="007D4EE7"/>
    <w:rsid w:val="007D5AB1"/>
    <w:rsid w:val="007E0203"/>
    <w:rsid w:val="007E056C"/>
    <w:rsid w:val="007E081D"/>
    <w:rsid w:val="007E1AB8"/>
    <w:rsid w:val="007E293C"/>
    <w:rsid w:val="007E36EB"/>
    <w:rsid w:val="007E3722"/>
    <w:rsid w:val="007E5CC1"/>
    <w:rsid w:val="007E7DDD"/>
    <w:rsid w:val="007F33E9"/>
    <w:rsid w:val="007F388B"/>
    <w:rsid w:val="007F45CC"/>
    <w:rsid w:val="007F61AF"/>
    <w:rsid w:val="007F775F"/>
    <w:rsid w:val="00802B7F"/>
    <w:rsid w:val="00804F0B"/>
    <w:rsid w:val="00805844"/>
    <w:rsid w:val="00806B4B"/>
    <w:rsid w:val="00810837"/>
    <w:rsid w:val="00810CDD"/>
    <w:rsid w:val="0081184B"/>
    <w:rsid w:val="008118EB"/>
    <w:rsid w:val="00811DF5"/>
    <w:rsid w:val="00812E0B"/>
    <w:rsid w:val="00813F13"/>
    <w:rsid w:val="00815A2F"/>
    <w:rsid w:val="00817A6A"/>
    <w:rsid w:val="0082070B"/>
    <w:rsid w:val="00822F67"/>
    <w:rsid w:val="008251C2"/>
    <w:rsid w:val="0082721B"/>
    <w:rsid w:val="008343BA"/>
    <w:rsid w:val="00836A00"/>
    <w:rsid w:val="00845320"/>
    <w:rsid w:val="00845675"/>
    <w:rsid w:val="00847B5B"/>
    <w:rsid w:val="0085388E"/>
    <w:rsid w:val="00854098"/>
    <w:rsid w:val="008573C7"/>
    <w:rsid w:val="00857D04"/>
    <w:rsid w:val="00860BDB"/>
    <w:rsid w:val="00861096"/>
    <w:rsid w:val="00861D85"/>
    <w:rsid w:val="00861F52"/>
    <w:rsid w:val="00864891"/>
    <w:rsid w:val="00873808"/>
    <w:rsid w:val="00873FD5"/>
    <w:rsid w:val="00875C4F"/>
    <w:rsid w:val="008770B1"/>
    <w:rsid w:val="0087731F"/>
    <w:rsid w:val="00877642"/>
    <w:rsid w:val="00880646"/>
    <w:rsid w:val="00882650"/>
    <w:rsid w:val="00883754"/>
    <w:rsid w:val="008842AB"/>
    <w:rsid w:val="008844C7"/>
    <w:rsid w:val="008855BC"/>
    <w:rsid w:val="00886930"/>
    <w:rsid w:val="0089243B"/>
    <w:rsid w:val="0089368B"/>
    <w:rsid w:val="0089702D"/>
    <w:rsid w:val="008A1B88"/>
    <w:rsid w:val="008A1FE3"/>
    <w:rsid w:val="008A20BC"/>
    <w:rsid w:val="008A30DD"/>
    <w:rsid w:val="008A3BC7"/>
    <w:rsid w:val="008A3F44"/>
    <w:rsid w:val="008A466B"/>
    <w:rsid w:val="008A68EC"/>
    <w:rsid w:val="008A73B0"/>
    <w:rsid w:val="008B285E"/>
    <w:rsid w:val="008B2B3C"/>
    <w:rsid w:val="008C01EB"/>
    <w:rsid w:val="008C15C8"/>
    <w:rsid w:val="008C2299"/>
    <w:rsid w:val="008C3941"/>
    <w:rsid w:val="008D0998"/>
    <w:rsid w:val="008D2C8B"/>
    <w:rsid w:val="008D4618"/>
    <w:rsid w:val="008D6E96"/>
    <w:rsid w:val="008D6F6A"/>
    <w:rsid w:val="008D6F78"/>
    <w:rsid w:val="008E0C83"/>
    <w:rsid w:val="008E0E90"/>
    <w:rsid w:val="008E1A73"/>
    <w:rsid w:val="008E6D00"/>
    <w:rsid w:val="008E7183"/>
    <w:rsid w:val="008F0415"/>
    <w:rsid w:val="008F195C"/>
    <w:rsid w:val="008F34CB"/>
    <w:rsid w:val="008F3986"/>
    <w:rsid w:val="008F4F59"/>
    <w:rsid w:val="008F7755"/>
    <w:rsid w:val="008F7D61"/>
    <w:rsid w:val="00902289"/>
    <w:rsid w:val="009022BB"/>
    <w:rsid w:val="0090493D"/>
    <w:rsid w:val="00904C72"/>
    <w:rsid w:val="00905430"/>
    <w:rsid w:val="00905BF5"/>
    <w:rsid w:val="00905F6A"/>
    <w:rsid w:val="00907FE0"/>
    <w:rsid w:val="00910CBD"/>
    <w:rsid w:val="0091144B"/>
    <w:rsid w:val="009126D6"/>
    <w:rsid w:val="00915576"/>
    <w:rsid w:val="00916A0F"/>
    <w:rsid w:val="00917310"/>
    <w:rsid w:val="00920528"/>
    <w:rsid w:val="0092368D"/>
    <w:rsid w:val="0092403C"/>
    <w:rsid w:val="0092474C"/>
    <w:rsid w:val="00926DCD"/>
    <w:rsid w:val="009271A2"/>
    <w:rsid w:val="0093484E"/>
    <w:rsid w:val="00935A48"/>
    <w:rsid w:val="009377DB"/>
    <w:rsid w:val="00937C0F"/>
    <w:rsid w:val="00941C71"/>
    <w:rsid w:val="00941E99"/>
    <w:rsid w:val="0094299F"/>
    <w:rsid w:val="009472A1"/>
    <w:rsid w:val="00947E4E"/>
    <w:rsid w:val="00951A56"/>
    <w:rsid w:val="009543FD"/>
    <w:rsid w:val="0095708D"/>
    <w:rsid w:val="009570EC"/>
    <w:rsid w:val="00957325"/>
    <w:rsid w:val="00962341"/>
    <w:rsid w:val="009647DB"/>
    <w:rsid w:val="00965B35"/>
    <w:rsid w:val="00965FCD"/>
    <w:rsid w:val="00966CC3"/>
    <w:rsid w:val="009707F3"/>
    <w:rsid w:val="00970817"/>
    <w:rsid w:val="00972F5D"/>
    <w:rsid w:val="0097377E"/>
    <w:rsid w:val="00974320"/>
    <w:rsid w:val="00974F42"/>
    <w:rsid w:val="0098296F"/>
    <w:rsid w:val="009836D7"/>
    <w:rsid w:val="00983EFD"/>
    <w:rsid w:val="0098562F"/>
    <w:rsid w:val="009860B5"/>
    <w:rsid w:val="00992B90"/>
    <w:rsid w:val="00994D96"/>
    <w:rsid w:val="009A0736"/>
    <w:rsid w:val="009A24E1"/>
    <w:rsid w:val="009A4C61"/>
    <w:rsid w:val="009A68CA"/>
    <w:rsid w:val="009A792A"/>
    <w:rsid w:val="009B1C0A"/>
    <w:rsid w:val="009B320B"/>
    <w:rsid w:val="009B5779"/>
    <w:rsid w:val="009B65AF"/>
    <w:rsid w:val="009B6603"/>
    <w:rsid w:val="009C162D"/>
    <w:rsid w:val="009C248A"/>
    <w:rsid w:val="009C42D7"/>
    <w:rsid w:val="009C756D"/>
    <w:rsid w:val="009D04AF"/>
    <w:rsid w:val="009D198A"/>
    <w:rsid w:val="009D2F97"/>
    <w:rsid w:val="009D36B4"/>
    <w:rsid w:val="009D3AEA"/>
    <w:rsid w:val="009D3E8D"/>
    <w:rsid w:val="009D64D9"/>
    <w:rsid w:val="009D6D64"/>
    <w:rsid w:val="009D7885"/>
    <w:rsid w:val="009E04A3"/>
    <w:rsid w:val="009E58AC"/>
    <w:rsid w:val="009E5D48"/>
    <w:rsid w:val="009E70C1"/>
    <w:rsid w:val="009E7177"/>
    <w:rsid w:val="009F0EB0"/>
    <w:rsid w:val="009F1090"/>
    <w:rsid w:val="009F18E0"/>
    <w:rsid w:val="009F3CF9"/>
    <w:rsid w:val="009F3DA9"/>
    <w:rsid w:val="00A00218"/>
    <w:rsid w:val="00A0035B"/>
    <w:rsid w:val="00A060B3"/>
    <w:rsid w:val="00A06C70"/>
    <w:rsid w:val="00A07539"/>
    <w:rsid w:val="00A119B4"/>
    <w:rsid w:val="00A11CDE"/>
    <w:rsid w:val="00A14996"/>
    <w:rsid w:val="00A1623B"/>
    <w:rsid w:val="00A16685"/>
    <w:rsid w:val="00A17447"/>
    <w:rsid w:val="00A2097F"/>
    <w:rsid w:val="00A22776"/>
    <w:rsid w:val="00A22911"/>
    <w:rsid w:val="00A233F2"/>
    <w:rsid w:val="00A2480A"/>
    <w:rsid w:val="00A25D5F"/>
    <w:rsid w:val="00A33860"/>
    <w:rsid w:val="00A34E49"/>
    <w:rsid w:val="00A34E9D"/>
    <w:rsid w:val="00A35C10"/>
    <w:rsid w:val="00A4362B"/>
    <w:rsid w:val="00A4482B"/>
    <w:rsid w:val="00A44F75"/>
    <w:rsid w:val="00A4692E"/>
    <w:rsid w:val="00A46C9C"/>
    <w:rsid w:val="00A46DEF"/>
    <w:rsid w:val="00A52BC0"/>
    <w:rsid w:val="00A55764"/>
    <w:rsid w:val="00A5588C"/>
    <w:rsid w:val="00A559ED"/>
    <w:rsid w:val="00A55AB0"/>
    <w:rsid w:val="00A5642C"/>
    <w:rsid w:val="00A57868"/>
    <w:rsid w:val="00A6220E"/>
    <w:rsid w:val="00A62711"/>
    <w:rsid w:val="00A63167"/>
    <w:rsid w:val="00A64A4B"/>
    <w:rsid w:val="00A66994"/>
    <w:rsid w:val="00A67103"/>
    <w:rsid w:val="00A73828"/>
    <w:rsid w:val="00A73899"/>
    <w:rsid w:val="00A74590"/>
    <w:rsid w:val="00A75004"/>
    <w:rsid w:val="00A76BD3"/>
    <w:rsid w:val="00A80523"/>
    <w:rsid w:val="00A85320"/>
    <w:rsid w:val="00A85322"/>
    <w:rsid w:val="00A919D2"/>
    <w:rsid w:val="00A94105"/>
    <w:rsid w:val="00A9414F"/>
    <w:rsid w:val="00A94444"/>
    <w:rsid w:val="00A965E6"/>
    <w:rsid w:val="00AA1568"/>
    <w:rsid w:val="00AA4C9B"/>
    <w:rsid w:val="00AA53FC"/>
    <w:rsid w:val="00AA57C2"/>
    <w:rsid w:val="00AB1AAD"/>
    <w:rsid w:val="00AB3700"/>
    <w:rsid w:val="00AB47EB"/>
    <w:rsid w:val="00AB4C24"/>
    <w:rsid w:val="00AB4C79"/>
    <w:rsid w:val="00AC41A8"/>
    <w:rsid w:val="00AC7CE7"/>
    <w:rsid w:val="00AD02E0"/>
    <w:rsid w:val="00AD0474"/>
    <w:rsid w:val="00AD1B16"/>
    <w:rsid w:val="00AD1CF2"/>
    <w:rsid w:val="00AD2362"/>
    <w:rsid w:val="00AD34FE"/>
    <w:rsid w:val="00AD677F"/>
    <w:rsid w:val="00AD69AC"/>
    <w:rsid w:val="00AD6C85"/>
    <w:rsid w:val="00AD6E0C"/>
    <w:rsid w:val="00AD725A"/>
    <w:rsid w:val="00AE3B29"/>
    <w:rsid w:val="00AE46D2"/>
    <w:rsid w:val="00AF16EF"/>
    <w:rsid w:val="00AF2A35"/>
    <w:rsid w:val="00AF39C0"/>
    <w:rsid w:val="00AF5AB8"/>
    <w:rsid w:val="00AF6471"/>
    <w:rsid w:val="00AF71DC"/>
    <w:rsid w:val="00B02D66"/>
    <w:rsid w:val="00B0449D"/>
    <w:rsid w:val="00B063C0"/>
    <w:rsid w:val="00B10371"/>
    <w:rsid w:val="00B12E31"/>
    <w:rsid w:val="00B12FFF"/>
    <w:rsid w:val="00B144B8"/>
    <w:rsid w:val="00B15C0E"/>
    <w:rsid w:val="00B162C7"/>
    <w:rsid w:val="00B215A7"/>
    <w:rsid w:val="00B21CD5"/>
    <w:rsid w:val="00B228E9"/>
    <w:rsid w:val="00B2447D"/>
    <w:rsid w:val="00B2654F"/>
    <w:rsid w:val="00B26C8D"/>
    <w:rsid w:val="00B27D61"/>
    <w:rsid w:val="00B30BC0"/>
    <w:rsid w:val="00B36D48"/>
    <w:rsid w:val="00B40133"/>
    <w:rsid w:val="00B41E7A"/>
    <w:rsid w:val="00B46ABF"/>
    <w:rsid w:val="00B47CAB"/>
    <w:rsid w:val="00B50021"/>
    <w:rsid w:val="00B50CF4"/>
    <w:rsid w:val="00B53433"/>
    <w:rsid w:val="00B60686"/>
    <w:rsid w:val="00B6394D"/>
    <w:rsid w:val="00B63FBA"/>
    <w:rsid w:val="00B6519A"/>
    <w:rsid w:val="00B663B8"/>
    <w:rsid w:val="00B71665"/>
    <w:rsid w:val="00B71C0B"/>
    <w:rsid w:val="00B73338"/>
    <w:rsid w:val="00B74947"/>
    <w:rsid w:val="00B7591E"/>
    <w:rsid w:val="00B81BD0"/>
    <w:rsid w:val="00B82794"/>
    <w:rsid w:val="00B84CCB"/>
    <w:rsid w:val="00B862AF"/>
    <w:rsid w:val="00B90D97"/>
    <w:rsid w:val="00B91241"/>
    <w:rsid w:val="00B92D47"/>
    <w:rsid w:val="00BA0B65"/>
    <w:rsid w:val="00BA1F78"/>
    <w:rsid w:val="00BA6FEF"/>
    <w:rsid w:val="00BB24C2"/>
    <w:rsid w:val="00BB40F6"/>
    <w:rsid w:val="00BB60B2"/>
    <w:rsid w:val="00BB785F"/>
    <w:rsid w:val="00BB7D3F"/>
    <w:rsid w:val="00BC2E39"/>
    <w:rsid w:val="00BC4BB9"/>
    <w:rsid w:val="00BC6076"/>
    <w:rsid w:val="00BC6E86"/>
    <w:rsid w:val="00BC76FE"/>
    <w:rsid w:val="00BD0C9A"/>
    <w:rsid w:val="00BD30D2"/>
    <w:rsid w:val="00BE1FD0"/>
    <w:rsid w:val="00BE2E1E"/>
    <w:rsid w:val="00BE416D"/>
    <w:rsid w:val="00BE47BD"/>
    <w:rsid w:val="00BE5B52"/>
    <w:rsid w:val="00BE6E6D"/>
    <w:rsid w:val="00BF0ACC"/>
    <w:rsid w:val="00BF1F70"/>
    <w:rsid w:val="00BF2B93"/>
    <w:rsid w:val="00BF301B"/>
    <w:rsid w:val="00BF43FA"/>
    <w:rsid w:val="00BF53EF"/>
    <w:rsid w:val="00BF7150"/>
    <w:rsid w:val="00C00FED"/>
    <w:rsid w:val="00C0135E"/>
    <w:rsid w:val="00C01F4F"/>
    <w:rsid w:val="00C0788A"/>
    <w:rsid w:val="00C131FA"/>
    <w:rsid w:val="00C13F58"/>
    <w:rsid w:val="00C14571"/>
    <w:rsid w:val="00C1491F"/>
    <w:rsid w:val="00C157D1"/>
    <w:rsid w:val="00C20E5A"/>
    <w:rsid w:val="00C20F2F"/>
    <w:rsid w:val="00C22E55"/>
    <w:rsid w:val="00C25367"/>
    <w:rsid w:val="00C26844"/>
    <w:rsid w:val="00C2734A"/>
    <w:rsid w:val="00C321B7"/>
    <w:rsid w:val="00C34AC1"/>
    <w:rsid w:val="00C35CAA"/>
    <w:rsid w:val="00C37B69"/>
    <w:rsid w:val="00C41BAB"/>
    <w:rsid w:val="00C41D78"/>
    <w:rsid w:val="00C42122"/>
    <w:rsid w:val="00C42838"/>
    <w:rsid w:val="00C45AB2"/>
    <w:rsid w:val="00C4601D"/>
    <w:rsid w:val="00C46235"/>
    <w:rsid w:val="00C50494"/>
    <w:rsid w:val="00C51AFD"/>
    <w:rsid w:val="00C51BC7"/>
    <w:rsid w:val="00C53A70"/>
    <w:rsid w:val="00C565D2"/>
    <w:rsid w:val="00C576EA"/>
    <w:rsid w:val="00C57CD2"/>
    <w:rsid w:val="00C6164F"/>
    <w:rsid w:val="00C62171"/>
    <w:rsid w:val="00C6348A"/>
    <w:rsid w:val="00C6406C"/>
    <w:rsid w:val="00C64636"/>
    <w:rsid w:val="00C652CE"/>
    <w:rsid w:val="00C701AF"/>
    <w:rsid w:val="00C72651"/>
    <w:rsid w:val="00C72C89"/>
    <w:rsid w:val="00C74B05"/>
    <w:rsid w:val="00C75F0D"/>
    <w:rsid w:val="00C75F73"/>
    <w:rsid w:val="00C81007"/>
    <w:rsid w:val="00C85EA2"/>
    <w:rsid w:val="00C86D66"/>
    <w:rsid w:val="00C876CD"/>
    <w:rsid w:val="00C9152B"/>
    <w:rsid w:val="00C92CB3"/>
    <w:rsid w:val="00C93D87"/>
    <w:rsid w:val="00C93DA1"/>
    <w:rsid w:val="00C9626E"/>
    <w:rsid w:val="00CA44ED"/>
    <w:rsid w:val="00CA7C68"/>
    <w:rsid w:val="00CB0013"/>
    <w:rsid w:val="00CB04AC"/>
    <w:rsid w:val="00CB0D35"/>
    <w:rsid w:val="00CB2C84"/>
    <w:rsid w:val="00CB311F"/>
    <w:rsid w:val="00CB4560"/>
    <w:rsid w:val="00CB47DE"/>
    <w:rsid w:val="00CB7966"/>
    <w:rsid w:val="00CC16C7"/>
    <w:rsid w:val="00CC199B"/>
    <w:rsid w:val="00CC53C4"/>
    <w:rsid w:val="00CC577F"/>
    <w:rsid w:val="00CC67DD"/>
    <w:rsid w:val="00CC6A54"/>
    <w:rsid w:val="00CD1303"/>
    <w:rsid w:val="00CD16E6"/>
    <w:rsid w:val="00CD3371"/>
    <w:rsid w:val="00CD4B5D"/>
    <w:rsid w:val="00CD64D0"/>
    <w:rsid w:val="00CD68CA"/>
    <w:rsid w:val="00CE0B5A"/>
    <w:rsid w:val="00CE48DE"/>
    <w:rsid w:val="00CF5FA3"/>
    <w:rsid w:val="00D0131E"/>
    <w:rsid w:val="00D01C27"/>
    <w:rsid w:val="00D0344E"/>
    <w:rsid w:val="00D0409E"/>
    <w:rsid w:val="00D0655B"/>
    <w:rsid w:val="00D06D66"/>
    <w:rsid w:val="00D0711F"/>
    <w:rsid w:val="00D17067"/>
    <w:rsid w:val="00D20419"/>
    <w:rsid w:val="00D20B87"/>
    <w:rsid w:val="00D20CDA"/>
    <w:rsid w:val="00D26B12"/>
    <w:rsid w:val="00D26EB8"/>
    <w:rsid w:val="00D31577"/>
    <w:rsid w:val="00D31748"/>
    <w:rsid w:val="00D32131"/>
    <w:rsid w:val="00D322B0"/>
    <w:rsid w:val="00D32FC1"/>
    <w:rsid w:val="00D333BF"/>
    <w:rsid w:val="00D33EDE"/>
    <w:rsid w:val="00D34181"/>
    <w:rsid w:val="00D35983"/>
    <w:rsid w:val="00D3631D"/>
    <w:rsid w:val="00D37391"/>
    <w:rsid w:val="00D43442"/>
    <w:rsid w:val="00D44ED9"/>
    <w:rsid w:val="00D45256"/>
    <w:rsid w:val="00D47D6A"/>
    <w:rsid w:val="00D50FD4"/>
    <w:rsid w:val="00D51C00"/>
    <w:rsid w:val="00D51E0A"/>
    <w:rsid w:val="00D55775"/>
    <w:rsid w:val="00D564C8"/>
    <w:rsid w:val="00D61692"/>
    <w:rsid w:val="00D61E07"/>
    <w:rsid w:val="00D710FD"/>
    <w:rsid w:val="00D71690"/>
    <w:rsid w:val="00D733AC"/>
    <w:rsid w:val="00D73AA8"/>
    <w:rsid w:val="00D75F50"/>
    <w:rsid w:val="00D76A94"/>
    <w:rsid w:val="00D7718A"/>
    <w:rsid w:val="00D803C1"/>
    <w:rsid w:val="00D81159"/>
    <w:rsid w:val="00D85C94"/>
    <w:rsid w:val="00D8651E"/>
    <w:rsid w:val="00D91904"/>
    <w:rsid w:val="00D92C91"/>
    <w:rsid w:val="00D96B77"/>
    <w:rsid w:val="00DA35C2"/>
    <w:rsid w:val="00DA372E"/>
    <w:rsid w:val="00DB0D61"/>
    <w:rsid w:val="00DB2EE2"/>
    <w:rsid w:val="00DB3E5E"/>
    <w:rsid w:val="00DB55E7"/>
    <w:rsid w:val="00DC1184"/>
    <w:rsid w:val="00DC3690"/>
    <w:rsid w:val="00DC48C0"/>
    <w:rsid w:val="00DD230D"/>
    <w:rsid w:val="00DD25AC"/>
    <w:rsid w:val="00DD351E"/>
    <w:rsid w:val="00DD639A"/>
    <w:rsid w:val="00DD756A"/>
    <w:rsid w:val="00DE0140"/>
    <w:rsid w:val="00DE0595"/>
    <w:rsid w:val="00DE1A7C"/>
    <w:rsid w:val="00DE2C31"/>
    <w:rsid w:val="00DE4794"/>
    <w:rsid w:val="00DE495F"/>
    <w:rsid w:val="00DE4CEA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B9D"/>
    <w:rsid w:val="00E01F45"/>
    <w:rsid w:val="00E02E82"/>
    <w:rsid w:val="00E03367"/>
    <w:rsid w:val="00E05C49"/>
    <w:rsid w:val="00E06855"/>
    <w:rsid w:val="00E143F2"/>
    <w:rsid w:val="00E20800"/>
    <w:rsid w:val="00E237D9"/>
    <w:rsid w:val="00E245BA"/>
    <w:rsid w:val="00E27F19"/>
    <w:rsid w:val="00E30184"/>
    <w:rsid w:val="00E30F05"/>
    <w:rsid w:val="00E318AD"/>
    <w:rsid w:val="00E32169"/>
    <w:rsid w:val="00E328B1"/>
    <w:rsid w:val="00E35767"/>
    <w:rsid w:val="00E35BCC"/>
    <w:rsid w:val="00E36E18"/>
    <w:rsid w:val="00E37149"/>
    <w:rsid w:val="00E40915"/>
    <w:rsid w:val="00E41355"/>
    <w:rsid w:val="00E453FC"/>
    <w:rsid w:val="00E456CD"/>
    <w:rsid w:val="00E4745C"/>
    <w:rsid w:val="00E5167B"/>
    <w:rsid w:val="00E523EF"/>
    <w:rsid w:val="00E565C1"/>
    <w:rsid w:val="00E56648"/>
    <w:rsid w:val="00E56E69"/>
    <w:rsid w:val="00E57695"/>
    <w:rsid w:val="00E57725"/>
    <w:rsid w:val="00E610DC"/>
    <w:rsid w:val="00E64AA5"/>
    <w:rsid w:val="00E67C22"/>
    <w:rsid w:val="00E72541"/>
    <w:rsid w:val="00E72808"/>
    <w:rsid w:val="00E72F93"/>
    <w:rsid w:val="00E734B7"/>
    <w:rsid w:val="00E73E27"/>
    <w:rsid w:val="00E75796"/>
    <w:rsid w:val="00E805CE"/>
    <w:rsid w:val="00E8093F"/>
    <w:rsid w:val="00E82901"/>
    <w:rsid w:val="00E82C42"/>
    <w:rsid w:val="00E83DA8"/>
    <w:rsid w:val="00E83E92"/>
    <w:rsid w:val="00E842DE"/>
    <w:rsid w:val="00E84A41"/>
    <w:rsid w:val="00E8523D"/>
    <w:rsid w:val="00E87BA7"/>
    <w:rsid w:val="00E91311"/>
    <w:rsid w:val="00E92380"/>
    <w:rsid w:val="00E95931"/>
    <w:rsid w:val="00E95A95"/>
    <w:rsid w:val="00EA2FB5"/>
    <w:rsid w:val="00EA43D5"/>
    <w:rsid w:val="00EA60A7"/>
    <w:rsid w:val="00EB3658"/>
    <w:rsid w:val="00EB39B5"/>
    <w:rsid w:val="00EB39E1"/>
    <w:rsid w:val="00EB405A"/>
    <w:rsid w:val="00EB568C"/>
    <w:rsid w:val="00EB6068"/>
    <w:rsid w:val="00EB64B9"/>
    <w:rsid w:val="00EB7CD3"/>
    <w:rsid w:val="00EC0C1D"/>
    <w:rsid w:val="00EC0D33"/>
    <w:rsid w:val="00EC3691"/>
    <w:rsid w:val="00EC4680"/>
    <w:rsid w:val="00EC70BD"/>
    <w:rsid w:val="00ED05BC"/>
    <w:rsid w:val="00ED0E4C"/>
    <w:rsid w:val="00ED21BB"/>
    <w:rsid w:val="00ED2422"/>
    <w:rsid w:val="00ED3FE9"/>
    <w:rsid w:val="00ED4AD3"/>
    <w:rsid w:val="00ED4E43"/>
    <w:rsid w:val="00ED66A9"/>
    <w:rsid w:val="00EE0860"/>
    <w:rsid w:val="00EE096D"/>
    <w:rsid w:val="00EE2019"/>
    <w:rsid w:val="00EE2426"/>
    <w:rsid w:val="00EE337A"/>
    <w:rsid w:val="00EE4F3A"/>
    <w:rsid w:val="00EE5F9C"/>
    <w:rsid w:val="00EE725A"/>
    <w:rsid w:val="00EE7773"/>
    <w:rsid w:val="00EF0EF4"/>
    <w:rsid w:val="00EF3CD5"/>
    <w:rsid w:val="00EF490F"/>
    <w:rsid w:val="00EF5EA4"/>
    <w:rsid w:val="00EF668F"/>
    <w:rsid w:val="00EF6D1A"/>
    <w:rsid w:val="00F00B04"/>
    <w:rsid w:val="00F01200"/>
    <w:rsid w:val="00F03869"/>
    <w:rsid w:val="00F03B06"/>
    <w:rsid w:val="00F04386"/>
    <w:rsid w:val="00F04AF5"/>
    <w:rsid w:val="00F064DC"/>
    <w:rsid w:val="00F10750"/>
    <w:rsid w:val="00F1270D"/>
    <w:rsid w:val="00F13EE1"/>
    <w:rsid w:val="00F178DB"/>
    <w:rsid w:val="00F21847"/>
    <w:rsid w:val="00F21D60"/>
    <w:rsid w:val="00F231BA"/>
    <w:rsid w:val="00F24232"/>
    <w:rsid w:val="00F24992"/>
    <w:rsid w:val="00F27924"/>
    <w:rsid w:val="00F3219F"/>
    <w:rsid w:val="00F32E78"/>
    <w:rsid w:val="00F36375"/>
    <w:rsid w:val="00F4195C"/>
    <w:rsid w:val="00F52271"/>
    <w:rsid w:val="00F54342"/>
    <w:rsid w:val="00F550CB"/>
    <w:rsid w:val="00F5720E"/>
    <w:rsid w:val="00F5737B"/>
    <w:rsid w:val="00F619FF"/>
    <w:rsid w:val="00F6365F"/>
    <w:rsid w:val="00F653CD"/>
    <w:rsid w:val="00F65D2D"/>
    <w:rsid w:val="00F67252"/>
    <w:rsid w:val="00F70CC9"/>
    <w:rsid w:val="00F737D1"/>
    <w:rsid w:val="00F74097"/>
    <w:rsid w:val="00F743B0"/>
    <w:rsid w:val="00F75FBD"/>
    <w:rsid w:val="00F81AF7"/>
    <w:rsid w:val="00F81F17"/>
    <w:rsid w:val="00F911BE"/>
    <w:rsid w:val="00F93E6F"/>
    <w:rsid w:val="00F943E3"/>
    <w:rsid w:val="00F94653"/>
    <w:rsid w:val="00F967FC"/>
    <w:rsid w:val="00FA053C"/>
    <w:rsid w:val="00FA1BE2"/>
    <w:rsid w:val="00FA2AA4"/>
    <w:rsid w:val="00FB03D2"/>
    <w:rsid w:val="00FB0828"/>
    <w:rsid w:val="00FB28B2"/>
    <w:rsid w:val="00FB6B92"/>
    <w:rsid w:val="00FC1555"/>
    <w:rsid w:val="00FC39C8"/>
    <w:rsid w:val="00FC3AFD"/>
    <w:rsid w:val="00FC4259"/>
    <w:rsid w:val="00FD004E"/>
    <w:rsid w:val="00FD0116"/>
    <w:rsid w:val="00FD0297"/>
    <w:rsid w:val="00FD0AB9"/>
    <w:rsid w:val="00FE0243"/>
    <w:rsid w:val="00FE097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13A2"/>
    <w:rsid w:val="00FF3DED"/>
    <w:rsid w:val="00FF5D0A"/>
    <w:rsid w:val="00FF614F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pPr>
      <w:spacing w:after="0" w:line="240" w:lineRule="auto"/>
    </w:pPr>
    <w:rPr>
      <w:rFonts w:ascii="Calibri" w:eastAsia="PMingLiU" w:hAnsi="Calibri" w:cs="Calibri"/>
      <w:lang w:eastAsia="zh-TW"/>
    </w:rPr>
  </w:style>
  <w:style w:type="character" w:customStyle="1" w:styleId="NoSpacingChar">
    <w:name w:val="No Spacing Char"/>
    <w:basedOn w:val="DefaultParagraphFont"/>
    <w:link w:val="NoSpacing"/>
    <w:locked/>
    <w:rsid w:val="00D61692"/>
    <w:rPr>
      <w:rFonts w:ascii="Calibri" w:eastAsia="PMingLiU" w:hAnsi="Calibri" w:cs="Calibri"/>
      <w:lang w:eastAsia="zh-TW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ascii="Calibri" w:eastAsia="PMingLiU" w:hAnsi="Calibri" w:cs="Calibri"/>
      <w:lang w:eastAsia="zh-TW"/>
    </w:rPr>
  </w:style>
  <w:style w:type="paragraph" w:styleId="Caption">
    <w:name w:val="caption"/>
    <w:basedOn w:val="Normal"/>
    <w:next w:val="Normal"/>
    <w:link w:val="CaptionChar"/>
    <w:qFormat/>
    <w:rsid w:val="00D61692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21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1A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69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FCD"/>
  </w:style>
  <w:style w:type="paragraph" w:styleId="Footer">
    <w:name w:val="footer"/>
    <w:basedOn w:val="Normal"/>
    <w:link w:val="FooterChar"/>
    <w:uiPriority w:val="99"/>
    <w:semiHidden/>
    <w:unhideWhenUsed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FCD"/>
  </w:style>
  <w:style w:type="paragraph" w:customStyle="1" w:styleId="msonospacing0">
    <w:name w:val="msonospacing"/>
    <w:rsid w:val="0055364A"/>
    <w:pPr>
      <w:spacing w:after="0" w:line="240" w:lineRule="auto"/>
    </w:pPr>
    <w:rPr>
      <w:rFonts w:ascii="PMingLiU" w:eastAsia="PMingLiU" w:hAnsi="Times New Roman" w:cs="Times New Roman" w:hint="eastAsia"/>
      <w:lang w:eastAsia="zh-TW"/>
    </w:rPr>
  </w:style>
  <w:style w:type="table" w:styleId="TableGrid">
    <w:name w:val="Table Grid"/>
    <w:basedOn w:val="TableNormal"/>
    <w:uiPriority w:val="59"/>
    <w:rsid w:val="00CD1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84D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61A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1A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61AF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86E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EDA"/>
    <w:rPr>
      <w:color w:val="800080"/>
      <w:u w:val="single"/>
    </w:rPr>
  </w:style>
  <w:style w:type="paragraph" w:customStyle="1" w:styleId="xl139">
    <w:name w:val="xl139"/>
    <w:basedOn w:val="Normal"/>
    <w:rsid w:val="00486E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sr-Latn-CS" w:eastAsia="sr-Latn-CS"/>
    </w:rPr>
  </w:style>
  <w:style w:type="paragraph" w:customStyle="1" w:styleId="xl140">
    <w:name w:val="xl140"/>
    <w:basedOn w:val="Normal"/>
    <w:rsid w:val="00486E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val="sr-Latn-CS" w:eastAsia="sr-Latn-CS"/>
    </w:rPr>
  </w:style>
  <w:style w:type="paragraph" w:customStyle="1" w:styleId="xl141">
    <w:name w:val="xl141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val="sr-Latn-CS" w:eastAsia="sr-Latn-CS"/>
    </w:rPr>
  </w:style>
  <w:style w:type="paragraph" w:customStyle="1" w:styleId="xl142">
    <w:name w:val="xl142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43">
    <w:name w:val="xl143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44">
    <w:name w:val="xl144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45">
    <w:name w:val="xl145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46">
    <w:name w:val="xl146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47">
    <w:name w:val="xl147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48">
    <w:name w:val="xl148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49">
    <w:name w:val="xl149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0">
    <w:name w:val="xl150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1">
    <w:name w:val="xl151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2">
    <w:name w:val="xl152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3">
    <w:name w:val="xl153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4">
    <w:name w:val="xl154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5">
    <w:name w:val="xl155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6">
    <w:name w:val="xl156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7">
    <w:name w:val="xl157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C00000"/>
      <w:sz w:val="16"/>
      <w:szCs w:val="16"/>
      <w:lang w:val="sr-Latn-CS" w:eastAsia="sr-Latn-CS"/>
    </w:rPr>
  </w:style>
  <w:style w:type="paragraph" w:customStyle="1" w:styleId="xl158">
    <w:name w:val="xl158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9">
    <w:name w:val="xl159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0">
    <w:name w:val="xl160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1">
    <w:name w:val="xl161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2">
    <w:name w:val="xl162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3">
    <w:name w:val="xl163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4">
    <w:name w:val="xl164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5">
    <w:name w:val="xl165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6">
    <w:name w:val="xl166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7">
    <w:name w:val="xl167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8">
    <w:name w:val="xl168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val="sr-Latn-CS" w:eastAsia="sr-Latn-CS"/>
    </w:rPr>
  </w:style>
  <w:style w:type="paragraph" w:customStyle="1" w:styleId="xl169">
    <w:name w:val="xl169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val="sr-Latn-CS" w:eastAsia="sr-Latn-CS"/>
    </w:rPr>
  </w:style>
  <w:style w:type="paragraph" w:customStyle="1" w:styleId="xl170">
    <w:name w:val="xl170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val="sr-Latn-CS" w:eastAsia="sr-Latn-CS"/>
    </w:rPr>
  </w:style>
  <w:style w:type="paragraph" w:customStyle="1" w:styleId="xl171">
    <w:name w:val="xl171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val="sr-Latn-CS" w:eastAsia="sr-Latn-CS"/>
    </w:rPr>
  </w:style>
  <w:style w:type="paragraph" w:customStyle="1" w:styleId="xl172">
    <w:name w:val="xl172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3">
    <w:name w:val="xl173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486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ropbox\MINISTARSTVO%20FINANSIJA%20(1)\SEP\MMI\MMI%202013\MMI_2013_03\mmi_sirovi%20podaci_2013%2003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stanko.jeknic\Desktop\JUNE%202013\MMI\mmi%203\mmi_sirovi%20podaci_2013%200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tko\Dropbox\MINISTARSTVO%20FINANSIJA%20(1)\SEP\MMI\MMI%202013\MMI_2013_03\mmi_sirovi%20podaci_2013%200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esktop\mmi_sirovi%20podaci_2013%20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/>
            </a:pPr>
            <a:r>
              <a:rPr lang="sr-Latn-CS" sz="900"/>
              <a:t>Nezaposlenost u Eurozoni</a:t>
            </a:r>
          </a:p>
        </c:rich>
      </c:tx>
      <c:layout>
        <c:manualLayout>
          <c:xMode val="edge"/>
          <c:yMode val="edge"/>
          <c:x val="0.23712544787487394"/>
          <c:y val="8.7378640776699268E-2"/>
        </c:manualLayout>
      </c:layout>
      <c:overlay val="1"/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bg1">
                    <a:lumMod val="85000"/>
                  </a:scheme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  <a:ln>
              <a:solidFill>
                <a:schemeClr val="accent1"/>
              </a:solidFill>
            </a:ln>
          </c:spPr>
          <c:dLbls>
            <c:dLbl>
              <c:idx val="4"/>
              <c:layout>
                <c:manualLayout>
                  <c:x val="-4.9954009666347246E-17"/>
                  <c:y val="1.0498687664042043E-2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-2.6246719160105205E-2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-3.5560377787422624E-2"/>
                </c:manualLayout>
              </c:layout>
              <c:showVal val="1"/>
            </c:dLbl>
            <c:numFmt formatCode="#,##0.0" sourceLinked="0"/>
            <c:txPr>
              <a:bodyPr/>
              <a:lstStyle/>
              <a:p>
                <a:pPr>
                  <a:defRPr lang="sr-Latn-CS" sz="600"/>
                </a:pPr>
                <a:endParaRPr lang="sr-Latn-CS"/>
              </a:p>
            </c:txPr>
            <c:showVal val="1"/>
          </c:dLbls>
          <c:cat>
            <c:strRef>
              <c:f>Sheet1!$B$3:$B$16</c:f>
              <c:strCache>
                <c:ptCount val="14"/>
                <c:pt idx="0">
                  <c:v>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2013</c:v>
                </c:pt>
                <c:pt idx="13">
                  <c:v>II</c:v>
                </c:pt>
              </c:strCache>
            </c:strRef>
          </c:cat>
          <c:val>
            <c:numRef>
              <c:f>Sheet1!$C$3:$C$16</c:f>
              <c:numCache>
                <c:formatCode>General</c:formatCode>
                <c:ptCount val="14"/>
                <c:pt idx="0">
                  <c:v>10.4</c:v>
                </c:pt>
                <c:pt idx="1">
                  <c:v>10.7</c:v>
                </c:pt>
                <c:pt idx="2">
                  <c:v>10.8</c:v>
                </c:pt>
                <c:pt idx="3">
                  <c:v>11</c:v>
                </c:pt>
                <c:pt idx="4">
                  <c:v>11.2</c:v>
                </c:pt>
                <c:pt idx="5">
                  <c:v>11.2</c:v>
                </c:pt>
                <c:pt idx="6">
                  <c:v>11.3</c:v>
                </c:pt>
                <c:pt idx="7">
                  <c:v>11.3</c:v>
                </c:pt>
                <c:pt idx="8">
                  <c:v>11.5</c:v>
                </c:pt>
                <c:pt idx="9">
                  <c:v>11.6</c:v>
                </c:pt>
                <c:pt idx="10">
                  <c:v>11.7</c:v>
                </c:pt>
                <c:pt idx="11">
                  <c:v>11.8</c:v>
                </c:pt>
                <c:pt idx="12">
                  <c:v>11.8</c:v>
                </c:pt>
                <c:pt idx="13">
                  <c:v>12</c:v>
                </c:pt>
              </c:numCache>
            </c:numRef>
          </c:val>
        </c:ser>
        <c:gapWidth val="40"/>
        <c:overlap val="-20"/>
        <c:axId val="121370496"/>
        <c:axId val="121491840"/>
      </c:barChart>
      <c:catAx>
        <c:axId val="121370496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21491840"/>
        <c:crosses val="autoZero"/>
        <c:auto val="1"/>
        <c:lblAlgn val="ctr"/>
        <c:lblOffset val="100"/>
        <c:tickLblSkip val="2"/>
      </c:catAx>
      <c:valAx>
        <c:axId val="121491840"/>
        <c:scaling>
          <c:orientation val="minMax"/>
          <c:min val="10"/>
        </c:scaling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#,##0.0" sourceLinked="0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2137049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850"/>
            </a:pPr>
            <a:r>
              <a:rPr lang="x-none" sz="850"/>
              <a:t>Stope</a:t>
            </a:r>
            <a:r>
              <a:rPr lang="x-none" sz="850" baseline="0"/>
              <a:t> rasta u prerađivačkoj industriji i promet u maloprodaji</a:t>
            </a:r>
            <a:endParaRPr lang="en-US" sz="850"/>
          </a:p>
        </c:rich>
      </c:tx>
      <c:layout>
        <c:manualLayout>
          <c:xMode val="edge"/>
          <c:yMode val="edge"/>
          <c:x val="0.18093463733069809"/>
          <c:y val="4.7714490234176156E-3"/>
        </c:manualLayout>
      </c:layout>
    </c:title>
    <c:plotArea>
      <c:layout>
        <c:manualLayout>
          <c:layoutTarget val="inner"/>
          <c:xMode val="edge"/>
          <c:yMode val="edge"/>
          <c:x val="0.17460159643447989"/>
          <c:y val="0.29804980827869632"/>
          <c:w val="0.85094714429304674"/>
          <c:h val="0.55059555280935368"/>
        </c:manualLayout>
      </c:layout>
      <c:lineChart>
        <c:grouping val="standard"/>
        <c:ser>
          <c:idx val="0"/>
          <c:order val="0"/>
          <c:tx>
            <c:strRef>
              <c:f>'Makroekonomski indikatori'!$C$13</c:f>
              <c:strCache>
                <c:ptCount val="1"/>
                <c:pt idx="0">
                  <c:v>Prerađivačka industrija (stopa rasta)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cat>
            <c:strRef>
              <c:f>'Makroekonomski indikatori'!$P$10:$AC$10</c:f>
              <c:strCache>
                <c:ptCount val="1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</c:strCache>
            </c:strRef>
          </c:cat>
          <c:val>
            <c:numRef>
              <c:f>'Makroekonomski indikatori'!$P$13:$AC$13</c:f>
              <c:numCache>
                <c:formatCode>0.00</c:formatCode>
                <c:ptCount val="14"/>
                <c:pt idx="0" formatCode="0.0">
                  <c:v>5</c:v>
                </c:pt>
                <c:pt idx="1">
                  <c:v>-4.4000000000000004</c:v>
                </c:pt>
                <c:pt idx="2">
                  <c:v>11.6</c:v>
                </c:pt>
                <c:pt idx="3">
                  <c:v>33.1</c:v>
                </c:pt>
                <c:pt idx="4">
                  <c:v>3.6</c:v>
                </c:pt>
                <c:pt idx="5">
                  <c:v>-18.5</c:v>
                </c:pt>
                <c:pt idx="6">
                  <c:v>-20.399999999999999</c:v>
                </c:pt>
                <c:pt idx="7">
                  <c:v>-13</c:v>
                </c:pt>
                <c:pt idx="8">
                  <c:v>-20.399999999999999</c:v>
                </c:pt>
                <c:pt idx="9">
                  <c:v>-40.5</c:v>
                </c:pt>
                <c:pt idx="10">
                  <c:v>-28.1</c:v>
                </c:pt>
                <c:pt idx="11">
                  <c:v>-20.3</c:v>
                </c:pt>
                <c:pt idx="12">
                  <c:v>-36.4</c:v>
                </c:pt>
                <c:pt idx="13">
                  <c:v>-32.800000000000004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indikatori'!$C$15</c:f>
              <c:strCache>
                <c:ptCount val="1"/>
                <c:pt idx="0">
                  <c:v>Promet u maloprodaji (stopa rasta)</c:v>
                </c:pt>
              </c:strCache>
            </c:strRef>
          </c:tx>
          <c:spPr>
            <a:ln cmpd="sng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'Makroekonomski indikatori'!$P$10:$AC$10</c:f>
              <c:strCache>
                <c:ptCount val="1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</c:strCache>
            </c:strRef>
          </c:cat>
          <c:val>
            <c:numRef>
              <c:f>'Makroekonomski indikatori'!$P$15:$AC$15</c:f>
              <c:numCache>
                <c:formatCode>0.00</c:formatCode>
                <c:ptCount val="14"/>
                <c:pt idx="0" formatCode="0.0">
                  <c:v>21.3</c:v>
                </c:pt>
                <c:pt idx="1">
                  <c:v>16.3</c:v>
                </c:pt>
                <c:pt idx="2">
                  <c:v>8</c:v>
                </c:pt>
                <c:pt idx="3">
                  <c:v>18.600000000000001</c:v>
                </c:pt>
                <c:pt idx="4">
                  <c:v>9.8000000000000007</c:v>
                </c:pt>
                <c:pt idx="5">
                  <c:v>3.3</c:v>
                </c:pt>
                <c:pt idx="6">
                  <c:v>4.4000000000000004</c:v>
                </c:pt>
                <c:pt idx="7">
                  <c:v>1.1000000000000001</c:v>
                </c:pt>
                <c:pt idx="8">
                  <c:v>4.4000000000000004</c:v>
                </c:pt>
                <c:pt idx="9">
                  <c:v>3.5</c:v>
                </c:pt>
                <c:pt idx="10">
                  <c:v>2.1</c:v>
                </c:pt>
                <c:pt idx="11">
                  <c:v>2.1</c:v>
                </c:pt>
                <c:pt idx="12">
                  <c:v>12.1</c:v>
                </c:pt>
                <c:pt idx="13">
                  <c:v>8.2000000000000011</c:v>
                </c:pt>
              </c:numCache>
            </c:numRef>
          </c:val>
          <c:smooth val="1"/>
        </c:ser>
        <c:marker val="1"/>
        <c:axId val="123224448"/>
        <c:axId val="123227136"/>
      </c:lineChart>
      <c:catAx>
        <c:axId val="123224448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700"/>
            </a:pPr>
            <a:endParaRPr lang="sr-Latn-CS"/>
          </a:p>
        </c:txPr>
        <c:crossAx val="123227136"/>
        <c:crosses val="autoZero"/>
        <c:auto val="1"/>
        <c:lblAlgn val="ctr"/>
        <c:lblOffset val="100"/>
        <c:tickLblSkip val="1"/>
      </c:catAx>
      <c:valAx>
        <c:axId val="123227136"/>
        <c:scaling>
          <c:orientation val="minMax"/>
        </c:scaling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sysDot"/>
            </a:ln>
          </c:spPr>
        </c:majorGridlines>
        <c:numFmt formatCode="0.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232244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7455618614776242"/>
          <c:y val="0.17372488974389191"/>
          <c:w val="0.81747486109690837"/>
          <c:h val="0.1098907636545432"/>
        </c:manualLayout>
      </c:layout>
      <c:txPr>
        <a:bodyPr/>
        <a:lstStyle/>
        <a:p>
          <a:pPr>
            <a:defRPr lang="en-US"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000"/>
            </a:pPr>
            <a:r>
              <a:rPr lang="x-none" sz="1000" i="0"/>
              <a:t>I</a:t>
            </a:r>
            <a:r>
              <a:rPr lang="en-US" sz="1000"/>
              <a:t>nflacija</a:t>
            </a:r>
          </a:p>
        </c:rich>
      </c:tx>
      <c:layout>
        <c:manualLayout>
          <c:xMode val="edge"/>
          <c:yMode val="edge"/>
          <c:x val="0.40239513787012365"/>
          <c:y val="0"/>
        </c:manualLayout>
      </c:layout>
    </c:title>
    <c:plotArea>
      <c:layout>
        <c:manualLayout>
          <c:layoutTarget val="inner"/>
          <c:xMode val="edge"/>
          <c:yMode val="edge"/>
          <c:x val="0.13438479778843221"/>
          <c:y val="0.25189932183332575"/>
          <c:w val="0.80979053562110448"/>
          <c:h val="0.54594268202023877"/>
        </c:manualLayout>
      </c:layout>
      <c:lineChart>
        <c:grouping val="standard"/>
        <c:ser>
          <c:idx val="0"/>
          <c:order val="0"/>
          <c:tx>
            <c:strRef>
              <c:f>'Makroekonomski indikatori'!$C$19</c:f>
              <c:strCache>
                <c:ptCount val="1"/>
                <c:pt idx="0">
                  <c:v>Harmonizovani indeks potrošačkih cijena (stopa rasta)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'Makroekonomski indikatori'!$Q$10:$AC$10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'Makroekonomski indikatori'!$Q$19:$AC$19</c:f>
              <c:numCache>
                <c:formatCode>#,##0.0</c:formatCode>
                <c:ptCount val="13"/>
                <c:pt idx="0">
                  <c:v>3.1</c:v>
                </c:pt>
                <c:pt idx="1">
                  <c:v>2.1</c:v>
                </c:pt>
                <c:pt idx="2">
                  <c:v>2.9</c:v>
                </c:pt>
                <c:pt idx="3">
                  <c:v>3.6</c:v>
                </c:pt>
                <c:pt idx="4">
                  <c:v>4.4000000000000004</c:v>
                </c:pt>
                <c:pt idx="5">
                  <c:v>4.5999999999999996</c:v>
                </c:pt>
                <c:pt idx="6">
                  <c:v>5</c:v>
                </c:pt>
                <c:pt idx="7">
                  <c:v>4.5999999999999996</c:v>
                </c:pt>
                <c:pt idx="8">
                  <c:v>4.9000000000000004</c:v>
                </c:pt>
                <c:pt idx="9">
                  <c:v>4.8</c:v>
                </c:pt>
                <c:pt idx="10">
                  <c:v>4.4000000000000004</c:v>
                </c:pt>
                <c:pt idx="11">
                  <c:v>3.8</c:v>
                </c:pt>
                <c:pt idx="12">
                  <c:v>3.1</c:v>
                </c:pt>
              </c:numCache>
            </c:numRef>
          </c:val>
          <c:smooth val="1"/>
        </c:ser>
        <c:marker val="1"/>
        <c:axId val="142353536"/>
        <c:axId val="142355072"/>
      </c:lineChart>
      <c:catAx>
        <c:axId val="14235353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142355072"/>
        <c:crossesAt val="1.5"/>
        <c:auto val="1"/>
        <c:lblAlgn val="ctr"/>
        <c:lblOffset val="100"/>
        <c:tickLblSkip val="3"/>
      </c:catAx>
      <c:valAx>
        <c:axId val="142355072"/>
        <c:scaling>
          <c:orientation val="minMax"/>
          <c:max val="5.5"/>
          <c:min val="1.5"/>
        </c:scaling>
        <c:axPos val="l"/>
        <c:majorGridlines>
          <c:spPr>
            <a:ln>
              <a:solidFill>
                <a:sysClr val="window" lastClr="FFFFFF">
                  <a:lumMod val="75000"/>
                </a:sysClr>
              </a:solidFill>
              <a:prstDash val="sysDot"/>
            </a:ln>
          </c:spPr>
        </c:majorGridlines>
        <c:numFmt formatCode="#,##0.0" sourceLinked="1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14235353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8.0449858100650737E-2"/>
          <c:y val="0.10608893541486485"/>
          <c:w val="0.9"/>
          <c:h val="0.17653444929646125"/>
        </c:manualLayout>
      </c:layout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/>
            </a:pPr>
            <a:r>
              <a:rPr lang="x-none" sz="1000"/>
              <a:t>Broj zaposlenih i nezaposlenih</a:t>
            </a:r>
            <a:endParaRPr lang="en-US" sz="10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21618923401445991"/>
          <c:y val="0.21592442645074297"/>
          <c:w val="0.58577041366761673"/>
          <c:h val="0.63418789250534302"/>
        </c:manualLayout>
      </c:layout>
      <c:lineChart>
        <c:grouping val="standard"/>
        <c:ser>
          <c:idx val="2"/>
          <c:order val="2"/>
          <c:marker>
            <c:symbol val="none"/>
          </c:marker>
          <c:cat>
            <c:multiLvlStrRef>
              <c:f>'Makroekonomski indikatori'!$P$60:$AC$60</c:f>
            </c:multiLvlStrRef>
          </c:cat>
          <c:val>
            <c:numRef>
              <c:f>'Makroekonomski indikatori'!$P$22:$AC$22</c:f>
            </c:numRef>
          </c:val>
        </c:ser>
        <c:ser>
          <c:idx val="3"/>
          <c:order val="3"/>
          <c:marker>
            <c:symbol val="none"/>
          </c:marker>
          <c:val>
            <c:numRef>
              <c:f>'Makroekonomski indikatori'!$P$23:$AC$23</c:f>
            </c:numRef>
          </c:val>
        </c:ser>
        <c:ser>
          <c:idx val="0"/>
          <c:order val="0"/>
          <c:marker>
            <c:symbol val="none"/>
          </c:marker>
          <c:dLbls>
            <c:dLbl>
              <c:idx val="6"/>
              <c:layout>
                <c:manualLayout>
                  <c:x val="-0.14826175869120725"/>
                  <c:y val="-2.6990553306342733E-2"/>
                </c:manualLayout>
              </c:layout>
              <c:tx>
                <c:rich>
                  <a:bodyPr/>
                  <a:lstStyle/>
                  <a:p>
                    <a:r>
                      <a:rPr lang="x-none" sz="7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rPr>
                      <a:t>zaposleni</a:t>
                    </a:r>
                    <a:endParaRPr lang="en-US" sz="7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endParaRPr>
                  </a:p>
                </c:rich>
              </c:tx>
              <c:showVal val="1"/>
            </c:dLbl>
            <c:delete val="1"/>
          </c:dLbls>
          <c:cat>
            <c:strRef>
              <c:f>'Makroekonomski indikatori'!$P$60:$AC$60</c:f>
              <c:strCache>
                <c:ptCount val="14"/>
                <c:pt idx="0">
                  <c:v>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2013</c:v>
                </c:pt>
                <c:pt idx="13">
                  <c:v>II</c:v>
                </c:pt>
              </c:strCache>
            </c:strRef>
          </c:cat>
          <c:val>
            <c:numRef>
              <c:f>'Makroekonomski indikatori'!$P$22:$AC$22</c:f>
              <c:numCache>
                <c:formatCode>#,##0</c:formatCode>
                <c:ptCount val="14"/>
                <c:pt idx="0">
                  <c:v>160880</c:v>
                </c:pt>
                <c:pt idx="1">
                  <c:v>162035</c:v>
                </c:pt>
                <c:pt idx="2">
                  <c:v>162569</c:v>
                </c:pt>
                <c:pt idx="3">
                  <c:v>163744</c:v>
                </c:pt>
                <c:pt idx="4">
                  <c:v>165776</c:v>
                </c:pt>
                <c:pt idx="5">
                  <c:v>162567</c:v>
                </c:pt>
                <c:pt idx="6">
                  <c:v>173124</c:v>
                </c:pt>
                <c:pt idx="7">
                  <c:v>173024</c:v>
                </c:pt>
                <c:pt idx="8">
                  <c:v>169877</c:v>
                </c:pt>
                <c:pt idx="9">
                  <c:v>168701</c:v>
                </c:pt>
                <c:pt idx="10">
                  <c:v>168589</c:v>
                </c:pt>
                <c:pt idx="11">
                  <c:v>167484</c:v>
                </c:pt>
                <c:pt idx="12">
                  <c:v>167370</c:v>
                </c:pt>
                <c:pt idx="13">
                  <c:v>167379</c:v>
                </c:pt>
              </c:numCache>
            </c:numRef>
          </c:val>
        </c:ser>
        <c:marker val="1"/>
        <c:axId val="99059584"/>
        <c:axId val="99061120"/>
      </c:lineChart>
      <c:lineChart>
        <c:grouping val="standard"/>
        <c:ser>
          <c:idx val="1"/>
          <c:order val="1"/>
          <c:marker>
            <c:symbol val="none"/>
          </c:marker>
          <c:dLbls>
            <c:dLbl>
              <c:idx val="10"/>
              <c:layout>
                <c:manualLayout>
                  <c:x val="2.5562372188139212E-2"/>
                  <c:y val="0.21052631578947451"/>
                </c:manualLayout>
              </c:layout>
              <c:tx>
                <c:rich>
                  <a:bodyPr/>
                  <a:lstStyle/>
                  <a:p>
                    <a:pPr>
                      <a:defRPr sz="700"/>
                    </a:pPr>
                    <a:r>
                      <a:rPr lang="x-none" sz="70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t>nezaposl</a:t>
                    </a:r>
                    <a:r>
                      <a:rPr lang="x-none" sz="700"/>
                      <a:t>.</a:t>
                    </a:r>
                    <a:endParaRPr lang="en-US" sz="700"/>
                  </a:p>
                </c:rich>
              </c:tx>
              <c:spPr/>
              <c:dLblPos val="b"/>
              <c:showVal val="1"/>
            </c:dLbl>
            <c:delete val="1"/>
          </c:dLbls>
          <c:val>
            <c:numRef>
              <c:f>'Makroekonomski indikatori'!$P$23:$AC$23</c:f>
              <c:numCache>
                <c:formatCode>#,##0</c:formatCode>
                <c:ptCount val="14"/>
                <c:pt idx="0">
                  <c:v>31339</c:v>
                </c:pt>
                <c:pt idx="1">
                  <c:v>31495</c:v>
                </c:pt>
                <c:pt idx="2">
                  <c:v>31562</c:v>
                </c:pt>
                <c:pt idx="3">
                  <c:v>31320</c:v>
                </c:pt>
                <c:pt idx="4">
                  <c:v>30126</c:v>
                </c:pt>
                <c:pt idx="5">
                  <c:v>29411</c:v>
                </c:pt>
                <c:pt idx="6">
                  <c:v>28686</c:v>
                </c:pt>
                <c:pt idx="7">
                  <c:v>28549</c:v>
                </c:pt>
                <c:pt idx="8">
                  <c:v>28272</c:v>
                </c:pt>
                <c:pt idx="9">
                  <c:v>29540</c:v>
                </c:pt>
                <c:pt idx="10">
                  <c:v>30718</c:v>
                </c:pt>
                <c:pt idx="11">
                  <c:v>31232</c:v>
                </c:pt>
                <c:pt idx="12">
                  <c:v>31890</c:v>
                </c:pt>
                <c:pt idx="13">
                  <c:v>32648</c:v>
                </c:pt>
              </c:numCache>
            </c:numRef>
          </c:val>
        </c:ser>
        <c:marker val="1"/>
        <c:axId val="99068544"/>
        <c:axId val="99067008"/>
      </c:lineChart>
      <c:catAx>
        <c:axId val="9905958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99061120"/>
        <c:crosses val="autoZero"/>
        <c:auto val="1"/>
        <c:lblAlgn val="ctr"/>
        <c:lblOffset val="100"/>
      </c:catAx>
      <c:valAx>
        <c:axId val="99061120"/>
        <c:scaling>
          <c:orientation val="minMax"/>
          <c:min val="160000"/>
        </c:scaling>
        <c:axPos val="l"/>
        <c:majorGridlines>
          <c:spPr>
            <a:ln>
              <a:prstDash val="sysDot"/>
            </a:ln>
          </c:spPr>
        </c:majorGridlines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99059584"/>
        <c:crosses val="autoZero"/>
        <c:crossBetween val="between"/>
      </c:valAx>
      <c:valAx>
        <c:axId val="99067008"/>
        <c:scaling>
          <c:orientation val="minMax"/>
          <c:min val="28000"/>
        </c:scaling>
        <c:axPos val="r"/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99068544"/>
        <c:crosses val="max"/>
        <c:crossBetween val="between"/>
      </c:valAx>
      <c:catAx>
        <c:axId val="99068544"/>
        <c:scaling>
          <c:orientation val="minMax"/>
        </c:scaling>
        <c:delete val="1"/>
        <c:axPos val="b"/>
        <c:tickLblPos val="none"/>
        <c:crossAx val="99067008"/>
        <c:crosses val="autoZero"/>
        <c:auto val="1"/>
        <c:lblAlgn val="ctr"/>
        <c:lblOffset val="100"/>
      </c:cat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800"/>
            </a:pPr>
            <a:r>
              <a:rPr lang="x-none" sz="800"/>
              <a:t>D</a:t>
            </a:r>
            <a:r>
              <a:rPr lang="en-US" sz="800"/>
              <a:t>RŽAVNI</a:t>
            </a:r>
            <a:r>
              <a:rPr lang="x-none" sz="800"/>
              <a:t> BUDŽET</a:t>
            </a:r>
            <a:endParaRPr lang="en-US" sz="800"/>
          </a:p>
        </c:rich>
      </c:tx>
      <c:layout>
        <c:manualLayout>
          <c:xMode val="edge"/>
          <c:yMode val="edge"/>
          <c:x val="0.32363358101364376"/>
          <c:y val="0"/>
        </c:manualLayout>
      </c:layout>
    </c:title>
    <c:plotArea>
      <c:layout>
        <c:manualLayout>
          <c:layoutTarget val="inner"/>
          <c:xMode val="edge"/>
          <c:yMode val="edge"/>
          <c:x val="0.15749991899225677"/>
          <c:y val="0.1416752454531548"/>
          <c:w val="0.70754916726257788"/>
          <c:h val="0.56541509481732422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indikatori'!$AV$20</c:f>
              <c:strCache>
                <c:ptCount val="1"/>
                <c:pt idx="0">
                  <c:v>Suficit / Deficit budžeta</c:v>
                </c:pt>
              </c:strCache>
            </c:strRef>
          </c:tx>
          <c:spPr>
            <a:solidFill>
              <a:schemeClr val="accent1"/>
            </a:solidFill>
          </c:spPr>
          <c:cat>
            <c:strRef>
              <c:f>'Fiskalni indikatori'!$BI$6:$BU$6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'Fiskalni indikatori'!$BJ$20:$BV$20</c:f>
              <c:numCache>
                <c:formatCode>0.00,,</c:formatCode>
                <c:ptCount val="13"/>
                <c:pt idx="0">
                  <c:v>-31792761.274166681</c:v>
                </c:pt>
                <c:pt idx="1">
                  <c:v>-8601774.5941666514</c:v>
                </c:pt>
                <c:pt idx="2">
                  <c:v>-51300834.05416666</c:v>
                </c:pt>
                <c:pt idx="3">
                  <c:v>-15902559.364166632</c:v>
                </c:pt>
                <c:pt idx="4">
                  <c:v>-3745745.7141666557</c:v>
                </c:pt>
                <c:pt idx="5">
                  <c:v>26603941.475833312</c:v>
                </c:pt>
                <c:pt idx="6">
                  <c:v>10787125.645833343</c:v>
                </c:pt>
                <c:pt idx="7">
                  <c:v>-21819425.644166689</c:v>
                </c:pt>
                <c:pt idx="8">
                  <c:v>-4802538.3741666526</c:v>
                </c:pt>
                <c:pt idx="9">
                  <c:v>-15187791.394166647</c:v>
                </c:pt>
                <c:pt idx="10">
                  <c:v>-11379726.964166641</c:v>
                </c:pt>
                <c:pt idx="11">
                  <c:v>-26331443.129999995</c:v>
                </c:pt>
                <c:pt idx="12">
                  <c:v>-15470015.379999995</c:v>
                </c:pt>
              </c:numCache>
            </c:numRef>
          </c:val>
        </c:ser>
        <c:gapWidth val="17"/>
        <c:overlap val="-21"/>
        <c:axId val="116934144"/>
        <c:axId val="116932608"/>
      </c:barChart>
      <c:lineChart>
        <c:grouping val="standard"/>
        <c:ser>
          <c:idx val="0"/>
          <c:order val="0"/>
          <c:tx>
            <c:strRef>
              <c:f>'Fiskalni indikatori'!$AV$28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'Fiskalni indikatori'!$BJ$6:$BV$6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'Fiskalni indikatori'!$BJ$7:$BV$7</c:f>
              <c:numCache>
                <c:formatCode>0.00,,</c:formatCode>
                <c:ptCount val="13"/>
                <c:pt idx="0">
                  <c:v>67761749.069999993</c:v>
                </c:pt>
                <c:pt idx="1">
                  <c:v>76276638</c:v>
                </c:pt>
                <c:pt idx="2">
                  <c:v>98761847.500000015</c:v>
                </c:pt>
                <c:pt idx="3">
                  <c:v>86817319.960000023</c:v>
                </c:pt>
                <c:pt idx="4">
                  <c:v>95935673.590000004</c:v>
                </c:pt>
                <c:pt idx="5">
                  <c:v>130902818.23</c:v>
                </c:pt>
                <c:pt idx="6">
                  <c:v>108520677.06999999</c:v>
                </c:pt>
                <c:pt idx="7">
                  <c:v>95844316.429999992</c:v>
                </c:pt>
                <c:pt idx="8">
                  <c:v>99225993.690000013</c:v>
                </c:pt>
                <c:pt idx="9">
                  <c:v>85312820.549999997</c:v>
                </c:pt>
                <c:pt idx="10">
                  <c:v>125850417.43000002</c:v>
                </c:pt>
                <c:pt idx="11">
                  <c:v>54542432.850000001</c:v>
                </c:pt>
                <c:pt idx="12">
                  <c:v>75644319.790000007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indikatori'!$AV$29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strRef>
              <c:f>'Fiskalni indikatori'!$BJ$6:$BV$6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'Fiskalni indikatori'!$BJ$13:$BV$13</c:f>
              <c:numCache>
                <c:formatCode>0.00,,</c:formatCode>
                <c:ptCount val="13"/>
                <c:pt idx="0">
                  <c:v>99554510.344166666</c:v>
                </c:pt>
                <c:pt idx="1">
                  <c:v>84878412.594166651</c:v>
                </c:pt>
                <c:pt idx="2">
                  <c:v>150062681.55416662</c:v>
                </c:pt>
                <c:pt idx="3">
                  <c:v>102719879.32416666</c:v>
                </c:pt>
                <c:pt idx="4">
                  <c:v>99681419.30416666</c:v>
                </c:pt>
                <c:pt idx="5">
                  <c:v>104298876.75416666</c:v>
                </c:pt>
                <c:pt idx="6">
                  <c:v>97733551.42416665</c:v>
                </c:pt>
                <c:pt idx="7">
                  <c:v>117663742.07416666</c:v>
                </c:pt>
                <c:pt idx="8">
                  <c:v>104028532.06416668</c:v>
                </c:pt>
                <c:pt idx="9">
                  <c:v>100500611.94416733</c:v>
                </c:pt>
                <c:pt idx="10">
                  <c:v>137230144.39416665</c:v>
                </c:pt>
                <c:pt idx="11">
                  <c:v>80873875.979999989</c:v>
                </c:pt>
                <c:pt idx="12">
                  <c:v>91114335.169999972</c:v>
                </c:pt>
              </c:numCache>
            </c:numRef>
          </c:val>
          <c:smooth val="1"/>
        </c:ser>
        <c:marker val="1"/>
        <c:axId val="116916992"/>
        <c:axId val="116918528"/>
      </c:lineChart>
      <c:catAx>
        <c:axId val="116916992"/>
        <c:scaling>
          <c:orientation val="minMax"/>
        </c:scaling>
        <c:axPos val="b"/>
        <c:numFmt formatCode="#,##0.00" sourceLinked="0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16918528"/>
        <c:crosses val="autoZero"/>
        <c:auto val="1"/>
        <c:lblAlgn val="ctr"/>
        <c:lblOffset val="100"/>
        <c:tickLblSkip val="2"/>
      </c:catAx>
      <c:valAx>
        <c:axId val="116918528"/>
        <c:scaling>
          <c:orientation val="minMax"/>
          <c:min val="0"/>
        </c:scaling>
        <c:axPos val="l"/>
        <c:majorGridlines>
          <c:spPr>
            <a:ln>
              <a:solidFill>
                <a:sysClr val="window" lastClr="FFFFFF">
                  <a:lumMod val="75000"/>
                </a:sysClr>
              </a:solidFill>
              <a:prstDash val="sysDot"/>
            </a:ln>
          </c:spPr>
        </c:majorGridlines>
        <c:numFmt formatCode="0.0,," sourceLinked="0"/>
        <c:majorTickMark val="none"/>
        <c:tickLblPos val="nextTo"/>
        <c:spPr>
          <a:ln w="9525">
            <a:solidFill>
              <a:sysClr val="window" lastClr="FFFFFF">
                <a:lumMod val="75000"/>
              </a:sysClr>
            </a:solidFill>
          </a:ln>
        </c:spPr>
        <c:txPr>
          <a:bodyPr/>
          <a:lstStyle/>
          <a:p>
            <a:pPr>
              <a:defRPr lang="en-US" sz="700"/>
            </a:pPr>
            <a:endParaRPr lang="sr-Latn-CS"/>
          </a:p>
        </c:txPr>
        <c:crossAx val="116916992"/>
        <c:crosses val="autoZero"/>
        <c:crossBetween val="between"/>
      </c:valAx>
      <c:valAx>
        <c:axId val="116932608"/>
        <c:scaling>
          <c:orientation val="minMax"/>
          <c:max val="100000000"/>
          <c:min val="-60000000"/>
        </c:scaling>
        <c:axPos val="r"/>
        <c:numFmt formatCode="0.0,," sourceLinked="0"/>
        <c:tickLblPos val="nextTo"/>
        <c:spPr>
          <a:noFill/>
        </c:spPr>
        <c:txPr>
          <a:bodyPr rot="0" vert="horz" anchor="ctr" anchorCtr="0"/>
          <a:lstStyle/>
          <a:p>
            <a:pPr>
              <a:defRPr lang="en-US" sz="700"/>
            </a:pPr>
            <a:endParaRPr lang="sr-Latn-CS"/>
          </a:p>
        </c:txPr>
        <c:crossAx val="116934144"/>
        <c:crosses val="max"/>
        <c:crossBetween val="between"/>
      </c:valAx>
      <c:catAx>
        <c:axId val="116934144"/>
        <c:scaling>
          <c:orientation val="minMax"/>
        </c:scaling>
        <c:delete val="1"/>
        <c:axPos val="b"/>
        <c:numFmt formatCode="General" sourceLinked="1"/>
        <c:tickLblPos val="none"/>
        <c:crossAx val="116932608"/>
        <c:crosses val="autoZero"/>
        <c:auto val="1"/>
        <c:lblAlgn val="ctr"/>
        <c:lblOffset val="100"/>
      </c:catAx>
    </c:plotArea>
    <c:legend>
      <c:legendPos val="b"/>
      <c:legendEntry>
        <c:idx val="1"/>
        <c:txPr>
          <a:bodyPr/>
          <a:lstStyle/>
          <a:p>
            <a:pPr>
              <a:defRPr sz="700"/>
            </a:pPr>
            <a:endParaRPr lang="sr-Latn-CS"/>
          </a:p>
        </c:txPr>
      </c:legendEntry>
      <c:layout>
        <c:manualLayout>
          <c:xMode val="edge"/>
          <c:yMode val="edge"/>
          <c:x val="5.0352191030469132E-2"/>
          <c:y val="0.82442835718374785"/>
          <c:w val="0.86052079767203005"/>
          <c:h val="0.17557181558093021"/>
        </c:manualLayout>
      </c:layout>
      <c:txPr>
        <a:bodyPr/>
        <a:lstStyle/>
        <a:p>
          <a:pPr>
            <a:defRPr lang="en-US" sz="700"/>
          </a:pPr>
          <a:endParaRPr lang="sr-Latn-C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800" baseline="0"/>
      </a:pPr>
      <a:endParaRPr lang="sr-Latn-CS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/>
            </a:pPr>
            <a:r>
              <a:rPr lang="sr-Latn-CS" sz="900"/>
              <a:t>Krediti i depoziti privrede</a:t>
            </a:r>
            <a:endParaRPr lang="en-US" sz="900"/>
          </a:p>
        </c:rich>
      </c:tx>
      <c:layout>
        <c:manualLayout>
          <c:xMode val="edge"/>
          <c:yMode val="edge"/>
          <c:x val="0.27561553945249595"/>
          <c:y val="2.4852671125243496E-2"/>
        </c:manualLayout>
      </c:layout>
    </c:title>
    <c:plotArea>
      <c:layout>
        <c:manualLayout>
          <c:layoutTarget val="inner"/>
          <c:xMode val="edge"/>
          <c:yMode val="edge"/>
          <c:x val="0.20697141706924321"/>
          <c:y val="6.6906130268199235E-2"/>
          <c:w val="0.73678864734299565"/>
          <c:h val="0.68945958803674556"/>
        </c:manualLayout>
      </c:layout>
      <c:lineChart>
        <c:grouping val="standard"/>
        <c:ser>
          <c:idx val="0"/>
          <c:order val="0"/>
          <c:tx>
            <c:strRef>
              <c:f>'Makroekonomski indikatori'!$C$38</c:f>
              <c:strCache>
                <c:ptCount val="1"/>
                <c:pt idx="0">
                  <c:v>Krediti privredi (kumulativ, u mil €)</c:v>
                </c:pt>
              </c:strCache>
            </c:strRef>
          </c:tx>
          <c:marker>
            <c:symbol val="none"/>
          </c:marker>
          <c:cat>
            <c:strRef>
              <c:f>'Makroekonomski indikatori'!$Q$60:$AC$60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2013</c:v>
                </c:pt>
                <c:pt idx="12">
                  <c:v>II</c:v>
                </c:pt>
              </c:strCache>
            </c:strRef>
          </c:cat>
          <c:val>
            <c:numRef>
              <c:f>'Makroekonomski indikatori'!$Q$38:$AC$38</c:f>
              <c:numCache>
                <c:formatCode>000.0,,</c:formatCode>
                <c:ptCount val="13"/>
                <c:pt idx="0">
                  <c:v>934698000</c:v>
                </c:pt>
                <c:pt idx="1">
                  <c:v>945638000</c:v>
                </c:pt>
                <c:pt idx="2" formatCode="#,##0.0,,">
                  <c:v>950998000</c:v>
                </c:pt>
                <c:pt idx="3" formatCode="#,##0.0,,">
                  <c:v>948253000</c:v>
                </c:pt>
                <c:pt idx="4" formatCode="#,##0.0,,">
                  <c:v>942617000</c:v>
                </c:pt>
                <c:pt idx="5" formatCode="#,##0.0,,">
                  <c:v>938766000</c:v>
                </c:pt>
                <c:pt idx="6" formatCode="#,##0.0,,">
                  <c:v>918342000</c:v>
                </c:pt>
                <c:pt idx="7" formatCode="#,##0.0,,">
                  <c:v>909188000</c:v>
                </c:pt>
                <c:pt idx="8" formatCode="#,##0.0,,">
                  <c:v>891797000</c:v>
                </c:pt>
                <c:pt idx="9" formatCode="#,##0.0,,">
                  <c:v>905020000</c:v>
                </c:pt>
                <c:pt idx="10" formatCode="#,##0.0,,">
                  <c:v>898588000</c:v>
                </c:pt>
                <c:pt idx="11" formatCode="#,##0.0,,">
                  <c:v>995305000</c:v>
                </c:pt>
                <c:pt idx="12" formatCode="#,##0.0,,">
                  <c:v>1001351000</c:v>
                </c:pt>
              </c:numCache>
            </c:numRef>
          </c:val>
          <c:smooth val="1"/>
        </c:ser>
        <c:marker val="1"/>
        <c:axId val="116956544"/>
        <c:axId val="116962432"/>
      </c:lineChart>
      <c:lineChart>
        <c:grouping val="standard"/>
        <c:ser>
          <c:idx val="1"/>
          <c:order val="1"/>
          <c:tx>
            <c:strRef>
              <c:f>'Makroekonomski indikatori'!$C$40</c:f>
              <c:strCache>
                <c:ptCount val="1"/>
                <c:pt idx="0">
                  <c:v>Depoziti privrede (kumulativ, u mil €)</c:v>
                </c:pt>
              </c:strCache>
            </c:strRef>
          </c:tx>
          <c:spPr>
            <a:ln w="28575">
              <a:prstDash val="sysDash"/>
            </a:ln>
          </c:spPr>
          <c:marker>
            <c:symbol val="none"/>
          </c:marker>
          <c:cat>
            <c:strRef>
              <c:f>'Makroekonomski indikatori'!$Q$60:$AC$60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2013</c:v>
                </c:pt>
                <c:pt idx="12">
                  <c:v>II</c:v>
                </c:pt>
              </c:strCache>
            </c:strRef>
          </c:cat>
          <c:val>
            <c:numRef>
              <c:f>'Makroekonomski indikatori'!$Q$40:$AC$40</c:f>
              <c:numCache>
                <c:formatCode>#,##0.0,,</c:formatCode>
                <c:ptCount val="13"/>
                <c:pt idx="0">
                  <c:v>464969000</c:v>
                </c:pt>
                <c:pt idx="1">
                  <c:v>453761000</c:v>
                </c:pt>
                <c:pt idx="2">
                  <c:v>465775000</c:v>
                </c:pt>
                <c:pt idx="3">
                  <c:v>483032000</c:v>
                </c:pt>
                <c:pt idx="4">
                  <c:v>480662000</c:v>
                </c:pt>
                <c:pt idx="5">
                  <c:v>527383000</c:v>
                </c:pt>
                <c:pt idx="6">
                  <c:v>552080000</c:v>
                </c:pt>
                <c:pt idx="7">
                  <c:v>569228000</c:v>
                </c:pt>
                <c:pt idx="8">
                  <c:v>549548000</c:v>
                </c:pt>
                <c:pt idx="9">
                  <c:v>546428000</c:v>
                </c:pt>
                <c:pt idx="10">
                  <c:v>526525000</c:v>
                </c:pt>
                <c:pt idx="11">
                  <c:v>507787000</c:v>
                </c:pt>
                <c:pt idx="12">
                  <c:v>518687000</c:v>
                </c:pt>
              </c:numCache>
            </c:numRef>
          </c:val>
          <c:smooth val="1"/>
        </c:ser>
        <c:marker val="1"/>
        <c:axId val="116969856"/>
        <c:axId val="116963968"/>
      </c:lineChart>
      <c:catAx>
        <c:axId val="1169565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16962432"/>
        <c:crosses val="autoZero"/>
        <c:auto val="1"/>
        <c:lblAlgn val="ctr"/>
        <c:lblOffset val="100"/>
        <c:tickLblSkip val="3"/>
      </c:catAx>
      <c:valAx>
        <c:axId val="116962432"/>
        <c:scaling>
          <c:orientation val="minMax"/>
          <c:min val="700000000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000.0,," sourceLinked="1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16956544"/>
        <c:crosses val="autoZero"/>
        <c:crossBetween val="between"/>
        <c:majorUnit val="100000000"/>
        <c:minorUnit val="30000000"/>
      </c:valAx>
      <c:valAx>
        <c:axId val="116963968"/>
        <c:scaling>
          <c:orientation val="minMax"/>
          <c:max val="600000003"/>
          <c:min val="450000003"/>
        </c:scaling>
        <c:axPos val="r"/>
        <c:numFmt formatCode="#,##0.0,,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16969856"/>
        <c:crosses val="max"/>
        <c:crossBetween val="between"/>
      </c:valAx>
      <c:catAx>
        <c:axId val="116969856"/>
        <c:scaling>
          <c:orientation val="minMax"/>
        </c:scaling>
        <c:delete val="1"/>
        <c:axPos val="b"/>
        <c:tickLblPos val="none"/>
        <c:crossAx val="116963968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lang="en-U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900"/>
            </a:pPr>
            <a:r>
              <a:rPr lang="en-US" sz="800"/>
              <a:t>Spoljnotrgovinski bilans</a:t>
            </a:r>
            <a:r>
              <a:rPr lang="en-US" sz="800" baseline="0"/>
              <a:t> (mil. </a:t>
            </a:r>
            <a:r>
              <a:rPr lang="en-US" sz="800" baseline="0">
                <a:latin typeface="Calibri"/>
              </a:rPr>
              <a:t>€)</a:t>
            </a:r>
            <a:endParaRPr lang="en-US" sz="800"/>
          </a:p>
        </c:rich>
      </c:tx>
      <c:layout>
        <c:manualLayout>
          <c:xMode val="edge"/>
          <c:yMode val="edge"/>
          <c:x val="0.1511415610958772"/>
          <c:y val="5.4507224820649946E-3"/>
        </c:manualLayout>
      </c:layout>
    </c:title>
    <c:plotArea>
      <c:layout>
        <c:manualLayout>
          <c:layoutTarget val="inner"/>
          <c:xMode val="edge"/>
          <c:yMode val="edge"/>
          <c:x val="0.13120404329980634"/>
          <c:y val="0.19244308873337948"/>
          <c:w val="0.5980082773586578"/>
          <c:h val="0.66021932791753235"/>
        </c:manualLayout>
      </c:layout>
      <c:barChart>
        <c:barDir val="col"/>
        <c:grouping val="clustered"/>
        <c:ser>
          <c:idx val="2"/>
          <c:order val="2"/>
          <c:tx>
            <c:v>Spoljnotrgovinski bilans</c:v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dLbl>
              <c:idx val="7"/>
              <c:layout>
                <c:manualLayout>
                  <c:x val="6.8217037607999062E-2"/>
                  <c:y val="3.0344844064536549E-2"/>
                </c:manualLayout>
              </c:layout>
              <c:tx>
                <c:rich>
                  <a:bodyPr/>
                  <a:lstStyle/>
                  <a:p>
                    <a:r>
                      <a:rPr lang="x-none" sz="800"/>
                      <a:t>bilans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'Makroekonomski indikatori'!$Q$60:$AC$60</c:f>
              <c:strCache>
                <c:ptCount val="13"/>
                <c:pt idx="0">
                  <c:v>2012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2013</c:v>
                </c:pt>
                <c:pt idx="12">
                  <c:v>II</c:v>
                </c:pt>
              </c:strCache>
            </c:strRef>
          </c:cat>
          <c:val>
            <c:numRef>
              <c:f>'Makroekonomski indikatori'!$Q$47:$AC$47</c:f>
              <c:numCache>
                <c:formatCode>0.0,,</c:formatCode>
                <c:ptCount val="13"/>
                <c:pt idx="0">
                  <c:v>-82625000</c:v>
                </c:pt>
                <c:pt idx="1">
                  <c:v>-158078000</c:v>
                </c:pt>
                <c:pt idx="2" formatCode="#,##0.0,,">
                  <c:v>-119730000</c:v>
                </c:pt>
                <c:pt idx="3" formatCode="#,##0.0,,">
                  <c:v>-133225000</c:v>
                </c:pt>
                <c:pt idx="4" formatCode="#,##0.0,,">
                  <c:v>-138890000</c:v>
                </c:pt>
                <c:pt idx="5" formatCode="#,##0.0,,">
                  <c:v>-117584000</c:v>
                </c:pt>
                <c:pt idx="6" formatCode="#,##0.0,,">
                  <c:v>-141577000</c:v>
                </c:pt>
                <c:pt idx="7" formatCode="#,##0.0,,">
                  <c:v>-117584000</c:v>
                </c:pt>
                <c:pt idx="8" formatCode="#,##0.0,,">
                  <c:v>-106785000</c:v>
                </c:pt>
                <c:pt idx="9" formatCode="#,##0.0,,">
                  <c:v>-104165000</c:v>
                </c:pt>
                <c:pt idx="10" formatCode="#,##0.0,,">
                  <c:v>-106785000</c:v>
                </c:pt>
                <c:pt idx="11" formatCode="#,##0.0,,">
                  <c:v>-81906000</c:v>
                </c:pt>
                <c:pt idx="12" formatCode="#,##0.0,,">
                  <c:v>-82376000</c:v>
                </c:pt>
              </c:numCache>
            </c:numRef>
          </c:val>
        </c:ser>
        <c:gapWidth val="66"/>
        <c:axId val="116998528"/>
        <c:axId val="117000064"/>
      </c:barChart>
      <c:lineChart>
        <c:grouping val="standard"/>
        <c:ser>
          <c:idx val="1"/>
          <c:order val="1"/>
          <c:tx>
            <c:v>Uvoz</c:v>
          </c:tx>
          <c:spPr>
            <a:ln>
              <a:solidFill>
                <a:srgbClr val="C00000"/>
              </a:solidFill>
            </a:ln>
            <a:effectLst>
              <a:outerShdw blurRad="50800" dist="38100" dir="5400000" algn="t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dLbls>
            <c:dLbl>
              <c:idx val="6"/>
              <c:layout>
                <c:manualLayout>
                  <c:x val="3.9317976651784894E-2"/>
                  <c:y val="0.15091035075198853"/>
                </c:manualLayout>
              </c:layout>
              <c:tx>
                <c:rich>
                  <a:bodyPr/>
                  <a:lstStyle/>
                  <a:p>
                    <a:r>
                      <a:rPr lang="x-none" sz="800"/>
                      <a:t>uvoz</a:t>
                    </a:r>
                    <a:endParaRPr lang="en-US" sz="800"/>
                  </a:p>
                </c:rich>
              </c:tx>
              <c:showVal val="1"/>
            </c:dLbl>
            <c:delete val="1"/>
          </c:dLbls>
          <c:cat>
            <c:strRef>
              <c:f>'Makroekonomski indikatori'!$Q$60:$AC$60</c:f>
              <c:strCache>
                <c:ptCount val="13"/>
                <c:pt idx="0">
                  <c:v>2012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2013</c:v>
                </c:pt>
                <c:pt idx="12">
                  <c:v>II</c:v>
                </c:pt>
              </c:strCache>
            </c:strRef>
          </c:cat>
          <c:val>
            <c:numRef>
              <c:f>'Makroekonomski indikatori'!$Q$46:$AC$46</c:f>
              <c:numCache>
                <c:formatCode>0.0,,</c:formatCode>
                <c:ptCount val="13"/>
                <c:pt idx="0">
                  <c:v>106536000</c:v>
                </c:pt>
                <c:pt idx="1">
                  <c:v>191458000</c:v>
                </c:pt>
                <c:pt idx="2" formatCode="#,##0.0,,">
                  <c:v>150969000</c:v>
                </c:pt>
                <c:pt idx="3" formatCode="#,##0.0,,">
                  <c:v>167727000</c:v>
                </c:pt>
                <c:pt idx="4" formatCode="#,##0.0,,">
                  <c:v>170816000</c:v>
                </c:pt>
                <c:pt idx="5" formatCode="#,##0.0,,">
                  <c:v>147706000</c:v>
                </c:pt>
                <c:pt idx="6" formatCode="#,##0.0,,">
                  <c:v>173351000</c:v>
                </c:pt>
                <c:pt idx="7" formatCode="#,##0.0,,">
                  <c:v>147706000</c:v>
                </c:pt>
                <c:pt idx="8" formatCode="#,##0.0,,">
                  <c:v>158634000</c:v>
                </c:pt>
                <c:pt idx="9" formatCode="#,##0.0,,">
                  <c:v>136515000</c:v>
                </c:pt>
                <c:pt idx="10" formatCode="#,##0.0,,">
                  <c:v>139228000</c:v>
                </c:pt>
                <c:pt idx="11" formatCode="#,##0.0,,">
                  <c:v>109888000</c:v>
                </c:pt>
                <c:pt idx="12" formatCode="#,##0.0,,">
                  <c:v>113627000</c:v>
                </c:pt>
              </c:numCache>
            </c:numRef>
          </c:val>
          <c:smooth val="1"/>
        </c:ser>
        <c:marker val="1"/>
        <c:axId val="116998528"/>
        <c:axId val="117000064"/>
      </c:lineChart>
      <c:lineChart>
        <c:grouping val="standard"/>
        <c:ser>
          <c:idx val="0"/>
          <c:order val="0"/>
          <c:tx>
            <c:v>Izvoz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dLbls>
            <c:dLbl>
              <c:idx val="1"/>
              <c:layout>
                <c:manualLayout>
                  <c:x val="-0.30015496547519632"/>
                  <c:y val="-0.36088338832561367"/>
                </c:manualLayout>
              </c:layout>
              <c:tx>
                <c:rich>
                  <a:bodyPr/>
                  <a:lstStyle/>
                  <a:p>
                    <a:r>
                      <a:rPr lang="x-none" sz="700" b="1">
                        <a:solidFill>
                          <a:schemeClr val="tx2">
                            <a:lumMod val="75000"/>
                          </a:schemeClr>
                        </a:solidFill>
                      </a:rPr>
                      <a:t>uvoz</a:t>
                    </a:r>
                    <a:r>
                      <a:rPr lang="x-none" sz="700" b="1">
                        <a:solidFill>
                          <a:schemeClr val="accent2">
                            <a:lumMod val="75000"/>
                          </a:schemeClr>
                        </a:solidFill>
                      </a:rPr>
                      <a:t> </a:t>
                    </a:r>
                    <a:r>
                      <a:rPr lang="x-none" sz="700" b="1">
                        <a:solidFill>
                          <a:schemeClr val="accent3">
                            <a:lumMod val="75000"/>
                          </a:schemeClr>
                        </a:solidFill>
                      </a:rPr>
                      <a:t>bilans</a:t>
                    </a:r>
                    <a:endParaRPr lang="en-US" sz="700" b="1">
                      <a:solidFill>
                        <a:schemeClr val="accent3">
                          <a:lumMod val="75000"/>
                        </a:schemeClr>
                      </a:solidFill>
                    </a:endParaRPr>
                  </a:p>
                </c:rich>
              </c:tx>
              <c:showVal val="1"/>
            </c:dLbl>
            <c:dLbl>
              <c:idx val="7"/>
              <c:layout>
                <c:manualLayout>
                  <c:x val="-0.11725896949338505"/>
                  <c:y val="-9.4097993720062084E-2"/>
                </c:manualLayout>
              </c:layout>
              <c:tx>
                <c:rich>
                  <a:bodyPr/>
                  <a:lstStyle/>
                  <a:p>
                    <a:r>
                      <a:rPr lang="x-none" sz="800">
                        <a:solidFill>
                          <a:schemeClr val="accent2">
                            <a:lumMod val="75000"/>
                          </a:schemeClr>
                        </a:solidFill>
                      </a:rPr>
                      <a:t>izvoz</a:t>
                    </a:r>
                    <a:endParaRPr lang="en-US" sz="800">
                      <a:solidFill>
                        <a:schemeClr val="accent2">
                          <a:lumMod val="75000"/>
                        </a:schemeClr>
                      </a:solidFill>
                    </a:endParaRPr>
                  </a:p>
                </c:rich>
              </c:tx>
              <c:showVal val="1"/>
            </c:dLbl>
            <c:dLbl>
              <c:idx val="10"/>
              <c:layout>
                <c:manualLayout>
                  <c:x val="0.10232555641199872"/>
                  <c:y val="-0.20126188964312774"/>
                </c:manualLayout>
              </c:layout>
              <c:tx>
                <c:rich>
                  <a:bodyPr/>
                  <a:lstStyle/>
                  <a:p>
                    <a:r>
                      <a:rPr lang="x-none" sz="700" b="1">
                        <a:solidFill>
                          <a:schemeClr val="accent2">
                            <a:lumMod val="75000"/>
                          </a:schemeClr>
                        </a:solidFill>
                      </a:rPr>
                      <a:t>izvoz</a:t>
                    </a:r>
                    <a:endParaRPr lang="en-US" sz="700" b="1">
                      <a:solidFill>
                        <a:schemeClr val="accent2">
                          <a:lumMod val="75000"/>
                        </a:schemeClr>
                      </a:solidFill>
                    </a:endParaRPr>
                  </a:p>
                </c:rich>
              </c:tx>
              <c:showVal val="1"/>
            </c:dLbl>
            <c:delete val="1"/>
          </c:dLbls>
          <c:cat>
            <c:strRef>
              <c:f>'Makroekonomski indikatori'!$P$60:$AC$60</c:f>
              <c:strCache>
                <c:ptCount val="14"/>
                <c:pt idx="0">
                  <c:v>2012</c:v>
                </c:pt>
                <c:pt idx="1">
                  <c:v>2012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2013</c:v>
                </c:pt>
                <c:pt idx="13">
                  <c:v>II</c:v>
                </c:pt>
              </c:strCache>
            </c:strRef>
          </c:cat>
          <c:val>
            <c:numRef>
              <c:f>'Makroekonomski indikatori'!$Q$45:$AC$45</c:f>
              <c:numCache>
                <c:formatCode>0.0,,</c:formatCode>
                <c:ptCount val="13"/>
                <c:pt idx="0">
                  <c:v>23911000</c:v>
                </c:pt>
                <c:pt idx="1">
                  <c:v>33380000</c:v>
                </c:pt>
                <c:pt idx="2" formatCode="#,##0.0,,">
                  <c:v>31239000</c:v>
                </c:pt>
                <c:pt idx="3" formatCode="#,##0.0,,">
                  <c:v>34502000</c:v>
                </c:pt>
                <c:pt idx="4" formatCode="#,##0.0,,">
                  <c:v>31926000</c:v>
                </c:pt>
                <c:pt idx="5" formatCode="#,##0.0,,">
                  <c:v>30122000</c:v>
                </c:pt>
                <c:pt idx="6" formatCode="#,##0.0,,">
                  <c:v>31774000</c:v>
                </c:pt>
                <c:pt idx="7" formatCode="#,##0.0,,">
                  <c:v>30122000</c:v>
                </c:pt>
                <c:pt idx="8" formatCode="#,##0.0,,">
                  <c:v>26476000</c:v>
                </c:pt>
                <c:pt idx="9" formatCode="#,##0.0,,">
                  <c:v>32350000</c:v>
                </c:pt>
                <c:pt idx="10" formatCode="#,##0.0,,">
                  <c:v>32443000</c:v>
                </c:pt>
                <c:pt idx="11" formatCode="#,##0.0,,">
                  <c:v>27982000</c:v>
                </c:pt>
                <c:pt idx="12" formatCode="#,##0.0,,">
                  <c:v>31251000</c:v>
                </c:pt>
              </c:numCache>
            </c:numRef>
          </c:val>
          <c:smooth val="1"/>
        </c:ser>
        <c:marker val="1"/>
        <c:axId val="117003392"/>
        <c:axId val="117001600"/>
      </c:lineChart>
      <c:catAx>
        <c:axId val="116998528"/>
        <c:scaling>
          <c:orientation val="minMax"/>
        </c:scaling>
        <c:axPos val="b"/>
        <c:numFmt formatCode="@" sourceLinked="1"/>
        <c:majorTickMark val="cross"/>
        <c:tickLblPos val="low"/>
        <c:txPr>
          <a:bodyPr anchor="ctr" anchorCtr="0"/>
          <a:lstStyle/>
          <a:p>
            <a:pPr>
              <a:defRPr lang="en-US" sz="600"/>
            </a:pPr>
            <a:endParaRPr lang="sr-Latn-CS"/>
          </a:p>
        </c:txPr>
        <c:crossAx val="117000064"/>
        <c:crosses val="autoZero"/>
        <c:lblAlgn val="ctr"/>
        <c:lblOffset val="100"/>
        <c:tickLblSkip val="2"/>
      </c:catAx>
      <c:valAx>
        <c:axId val="117000064"/>
        <c:scaling>
          <c:orientation val="minMax"/>
        </c:scaling>
        <c:axPos val="l"/>
        <c:majorGridlines>
          <c:spPr>
            <a:ln>
              <a:prstDash val="sysDot"/>
            </a:ln>
          </c:spPr>
        </c:majorGridlines>
        <c:numFmt formatCode="0.0,,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16998528"/>
        <c:crosses val="autoZero"/>
        <c:crossBetween val="between"/>
      </c:valAx>
      <c:valAx>
        <c:axId val="117001600"/>
        <c:scaling>
          <c:orientation val="minMax"/>
        </c:scaling>
        <c:axPos val="r"/>
        <c:numFmt formatCode="0.0,," sourceLinked="1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17003392"/>
        <c:crosses val="max"/>
        <c:crossBetween val="between"/>
      </c:valAx>
      <c:catAx>
        <c:axId val="117003392"/>
        <c:scaling>
          <c:orientation val="minMax"/>
        </c:scaling>
        <c:delete val="1"/>
        <c:axPos val="b"/>
        <c:numFmt formatCode="0.0,," sourceLinked="1"/>
        <c:tickLblPos val="none"/>
        <c:crossAx val="117001600"/>
        <c:crosses val="autoZero"/>
        <c:lblAlgn val="ctr"/>
        <c:lblOffset val="100"/>
      </c:catAx>
    </c:plotArea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0.0399</cdr:x>
      <cdr:y>0.00321</cdr:y>
    </cdr:from>
    <cdr:to>
      <cdr:x>0.27887</cdr:x>
      <cdr:y>0.18971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9945" y="6338"/>
          <a:ext cx="538705" cy="3683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>
            <a:lnSpc>
              <a:spcPts val="600"/>
            </a:lnSpc>
          </a:pPr>
          <a:r>
            <a:rPr lang="x-none" sz="800"/>
            <a:t>Prihodi</a:t>
          </a:r>
          <a:r>
            <a:rPr lang="hr-BA" sz="800"/>
            <a:t>/</a:t>
          </a:r>
        </a:p>
        <a:p xmlns:a="http://schemas.openxmlformats.org/drawingml/2006/main">
          <a:pPr>
            <a:lnSpc>
              <a:spcPts val="600"/>
            </a:lnSpc>
          </a:pPr>
          <a:r>
            <a:rPr lang="x-none" sz="800"/>
            <a:t>Rashodi</a:t>
          </a:r>
        </a:p>
      </cdr:txBody>
    </cdr:sp>
  </cdr:relSizeAnchor>
  <cdr:relSizeAnchor xmlns:cdr="http://schemas.openxmlformats.org/drawingml/2006/chartDrawing">
    <cdr:from>
      <cdr:x>3.54685E-7</cdr:x>
      <cdr:y>0.00408</cdr:y>
    </cdr:from>
    <cdr:to>
      <cdr:x>0.27258</cdr:x>
      <cdr:y>0.18041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" y="13767"/>
          <a:ext cx="768525" cy="594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0.74085</cdr:x>
      <cdr:y>0</cdr:y>
    </cdr:from>
    <cdr:to>
      <cdr:x>0.9583</cdr:x>
      <cdr:y>0.14694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670050" y="0"/>
          <a:ext cx="490194" cy="2901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>
            <a:lnSpc>
              <a:spcPts val="700"/>
            </a:lnSpc>
          </a:pPr>
          <a:r>
            <a:rPr lang="x-none" sz="800"/>
            <a:t>Suficit/</a:t>
          </a:r>
        </a:p>
        <a:p xmlns:a="http://schemas.openxmlformats.org/drawingml/2006/main">
          <a:pPr>
            <a:lnSpc>
              <a:spcPts val="700"/>
            </a:lnSpc>
          </a:pPr>
          <a:r>
            <a:rPr lang="x-none" sz="800"/>
            <a:t>Deficit</a:t>
          </a: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0.11824</cdr:x>
      <cdr:y>0.0271</cdr:y>
    </cdr:from>
    <cdr:to>
      <cdr:x>0.45946</cdr:x>
      <cdr:y>0.18041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33375" y="91339"/>
          <a:ext cx="962026" cy="5166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0.06419</cdr:x>
      <cdr:y>0.03344</cdr:y>
    </cdr:from>
    <cdr:to>
      <cdr:x>0.08041</cdr:x>
      <cdr:y>0.04757</cdr:y>
    </cdr:to>
    <cdr:sp macro="" textlink="">
      <cdr:nvSpPr>
        <cdr:cNvPr id="6" name="TextBox 5"/>
        <cdr:cNvSpPr txBox="1"/>
      </cdr:nvSpPr>
      <cdr:spPr>
        <a:xfrm xmlns:a="http://schemas.openxmlformats.org/drawingml/2006/main" flipH="1">
          <a:off x="180975" y="112713"/>
          <a:ext cx="45719" cy="4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71DC-B26C-4921-AE30-C85159D9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radovan.zivkovic</cp:lastModifiedBy>
  <cp:revision>5</cp:revision>
  <cp:lastPrinted>2012-11-12T09:08:00Z</cp:lastPrinted>
  <dcterms:created xsi:type="dcterms:W3CDTF">2013-06-12T10:55:00Z</dcterms:created>
  <dcterms:modified xsi:type="dcterms:W3CDTF">2013-06-12T13:24:00Z</dcterms:modified>
</cp:coreProperties>
</file>