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bookmarkStart w:id="1" w:name="_GoBack"/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945107" w:rsidRPr="001A08DD">
        <w:rPr>
          <w:rFonts w:ascii="Times New Roman" w:eastAsia="Times New Roman" w:hAnsi="Times New Roman"/>
          <w:b/>
          <w:szCs w:val="24"/>
        </w:rPr>
        <w:t>d</w:t>
      </w:r>
      <w:r w:rsidR="00323E5A" w:rsidRPr="001A08DD">
        <w:rPr>
          <w:rFonts w:ascii="Times New Roman" w:eastAsia="Times New Roman" w:hAnsi="Times New Roman"/>
          <w:b/>
          <w:szCs w:val="24"/>
        </w:rPr>
        <w:t>ecembar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7159D1" w:rsidRPr="001A08DD">
        <w:rPr>
          <w:rFonts w:ascii="Times New Roman" w:eastAsia="Times New Roman" w:hAnsi="Times New Roman"/>
          <w:b/>
          <w:szCs w:val="24"/>
        </w:rPr>
        <w:t>5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bookmarkEnd w:id="1"/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4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državna sekretarka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</w:t>
            </w:r>
            <w:r>
              <w:rPr>
                <w:rFonts w:ascii="Times New Roman" w:eastAsiaTheme="minorEastAsia" w:hAnsi="Times New Roman"/>
                <w:szCs w:val="24"/>
              </w:rPr>
              <w:t>38,45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</w:t>
            </w:r>
            <w:r>
              <w:rPr>
                <w:rFonts w:ascii="Times New Roman" w:hAnsi="Times New Roman"/>
              </w:rPr>
              <w:t>36,93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>
              <w:rPr>
                <w:rFonts w:ascii="Times New Roman" w:eastAsiaTheme="minorEastAsia" w:hAnsi="Times New Roman"/>
                <w:szCs w:val="24"/>
              </w:rPr>
              <w:t>615,53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08DD"/>
    <w:rsid w:val="001A27BF"/>
    <w:rsid w:val="00202DC3"/>
    <w:rsid w:val="00212222"/>
    <w:rsid w:val="002544D9"/>
    <w:rsid w:val="0032189B"/>
    <w:rsid w:val="00323E5A"/>
    <w:rsid w:val="003302C8"/>
    <w:rsid w:val="003357A2"/>
    <w:rsid w:val="00371937"/>
    <w:rsid w:val="00371DE2"/>
    <w:rsid w:val="00376028"/>
    <w:rsid w:val="003D6561"/>
    <w:rsid w:val="004146FD"/>
    <w:rsid w:val="004606DD"/>
    <w:rsid w:val="0046413A"/>
    <w:rsid w:val="004D7E0C"/>
    <w:rsid w:val="004E30CE"/>
    <w:rsid w:val="00504249"/>
    <w:rsid w:val="005121D6"/>
    <w:rsid w:val="005D63DC"/>
    <w:rsid w:val="0062491E"/>
    <w:rsid w:val="0062604C"/>
    <w:rsid w:val="00644AE1"/>
    <w:rsid w:val="006D70EE"/>
    <w:rsid w:val="006E4852"/>
    <w:rsid w:val="007159D1"/>
    <w:rsid w:val="00750A55"/>
    <w:rsid w:val="00770D56"/>
    <w:rsid w:val="00790520"/>
    <w:rsid w:val="00806305"/>
    <w:rsid w:val="008107B7"/>
    <w:rsid w:val="00830EEC"/>
    <w:rsid w:val="008604B5"/>
    <w:rsid w:val="008C14DF"/>
    <w:rsid w:val="008D3E0A"/>
    <w:rsid w:val="009041A5"/>
    <w:rsid w:val="00945107"/>
    <w:rsid w:val="00974BDC"/>
    <w:rsid w:val="009A749D"/>
    <w:rsid w:val="009E1833"/>
    <w:rsid w:val="009F1168"/>
    <w:rsid w:val="009F13A5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2025-12-30T07:56:00Z</dcterms:created>
  <dcterms:modified xsi:type="dcterms:W3CDTF">2025-12-30T07:56:00Z</dcterms:modified>
</cp:coreProperties>
</file>