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EB3C" w14:textId="4C70A4F8" w:rsidR="007324C3" w:rsidRPr="00F00CC5" w:rsidRDefault="002E58B1" w:rsidP="0098086C">
      <w:pPr>
        <w:pStyle w:val="N03Y"/>
        <w:spacing w:before="0" w:after="0"/>
        <w:jc w:val="right"/>
        <w:rPr>
          <w:rFonts w:ascii="Cambria" w:hAnsi="Cambria"/>
          <w:i/>
        </w:rPr>
      </w:pPr>
      <w:r w:rsidRPr="00F00CC5">
        <w:rPr>
          <w:rFonts w:ascii="Cambria" w:hAnsi="Cambria"/>
          <w:i/>
        </w:rPr>
        <w:t>N a c r t</w:t>
      </w:r>
    </w:p>
    <w:p w14:paraId="17174C2F" w14:textId="77777777" w:rsidR="0076540B" w:rsidRPr="00A818CC" w:rsidRDefault="0076540B" w:rsidP="0098086C">
      <w:pPr>
        <w:pStyle w:val="N03Y"/>
        <w:spacing w:before="0" w:after="0"/>
        <w:jc w:val="right"/>
        <w:rPr>
          <w:rFonts w:ascii="Cambria" w:hAnsi="Cambria"/>
          <w:sz w:val="24"/>
          <w:szCs w:val="24"/>
        </w:rPr>
      </w:pPr>
    </w:p>
    <w:p w14:paraId="0AC2EAEA" w14:textId="77777777" w:rsidR="00F00CC5" w:rsidRDefault="00F00CC5" w:rsidP="0098086C">
      <w:pPr>
        <w:pStyle w:val="N03Y"/>
        <w:spacing w:before="0" w:after="0"/>
        <w:rPr>
          <w:rFonts w:ascii="Cambria" w:hAnsi="Cambria"/>
          <w:sz w:val="24"/>
          <w:szCs w:val="24"/>
        </w:rPr>
      </w:pPr>
    </w:p>
    <w:p w14:paraId="218C3CE9" w14:textId="768FEEA3" w:rsidR="008542A8" w:rsidRPr="00A818CC" w:rsidRDefault="008542A8" w:rsidP="0098086C">
      <w:pPr>
        <w:pStyle w:val="N03Y"/>
        <w:spacing w:before="0" w:after="0"/>
        <w:rPr>
          <w:rFonts w:ascii="Cambria" w:hAnsi="Cambria"/>
          <w:sz w:val="24"/>
          <w:szCs w:val="24"/>
        </w:rPr>
      </w:pPr>
      <w:r w:rsidRPr="00A818CC">
        <w:rPr>
          <w:rFonts w:ascii="Cambria" w:hAnsi="Cambria"/>
          <w:sz w:val="24"/>
          <w:szCs w:val="24"/>
        </w:rPr>
        <w:t>ZAKON</w:t>
      </w:r>
    </w:p>
    <w:p w14:paraId="1C098180" w14:textId="3320BBB5" w:rsidR="008542A8" w:rsidRPr="003943B9" w:rsidRDefault="008542A8" w:rsidP="0098086C">
      <w:pPr>
        <w:pStyle w:val="N03Y"/>
        <w:spacing w:before="0" w:after="0"/>
        <w:rPr>
          <w:rFonts w:ascii="Cambria" w:hAnsi="Cambria"/>
          <w:sz w:val="24"/>
          <w:szCs w:val="24"/>
          <w:lang w:val="sr-Latn-BA"/>
        </w:rPr>
      </w:pPr>
      <w:r w:rsidRPr="003943B9">
        <w:rPr>
          <w:rFonts w:ascii="Cambria" w:hAnsi="Cambria"/>
          <w:sz w:val="24"/>
          <w:szCs w:val="24"/>
          <w:lang w:val="sr-Latn-BA"/>
        </w:rPr>
        <w:t xml:space="preserve">O </w:t>
      </w:r>
      <w:r w:rsidR="00CD64C9" w:rsidRPr="003943B9">
        <w:rPr>
          <w:rFonts w:ascii="Cambria" w:hAnsi="Cambria"/>
          <w:sz w:val="24"/>
          <w:szCs w:val="24"/>
          <w:lang w:val="sr-Latn-BA"/>
        </w:rPr>
        <w:t>IZMJEN</w:t>
      </w:r>
      <w:bookmarkStart w:id="0" w:name="_Hlk150434170"/>
      <w:r w:rsidR="002E58B1" w:rsidRPr="003943B9">
        <w:rPr>
          <w:rFonts w:ascii="Cambria" w:hAnsi="Cambria"/>
          <w:sz w:val="24"/>
          <w:szCs w:val="24"/>
          <w:lang w:val="sr-Latn-BA"/>
        </w:rPr>
        <w:t>AMA I DOPUNAMA</w:t>
      </w:r>
      <w:r w:rsidR="004A4B4B" w:rsidRPr="003943B9">
        <w:rPr>
          <w:rFonts w:ascii="Cambria" w:hAnsi="Cambria"/>
          <w:sz w:val="24"/>
          <w:szCs w:val="24"/>
          <w:lang w:val="sr-Latn-BA"/>
        </w:rPr>
        <w:t xml:space="preserve"> </w:t>
      </w:r>
      <w:r w:rsidR="00A07EB0" w:rsidRPr="003943B9">
        <w:rPr>
          <w:rFonts w:ascii="Cambria" w:hAnsi="Cambria"/>
          <w:sz w:val="24"/>
          <w:szCs w:val="24"/>
          <w:lang w:val="sr-Latn-BA"/>
        </w:rPr>
        <w:t xml:space="preserve">ZAKONA </w:t>
      </w:r>
      <w:r w:rsidR="00135275" w:rsidRPr="003943B9">
        <w:rPr>
          <w:rFonts w:ascii="Cambria" w:hAnsi="Cambria"/>
          <w:sz w:val="24"/>
          <w:szCs w:val="24"/>
          <w:lang w:val="sr-Latn-BA"/>
        </w:rPr>
        <w:t xml:space="preserve">O </w:t>
      </w:r>
      <w:r w:rsidR="00A07EB0" w:rsidRPr="003943B9">
        <w:rPr>
          <w:rFonts w:ascii="Cambria" w:hAnsi="Cambria"/>
          <w:sz w:val="24"/>
          <w:szCs w:val="24"/>
          <w:lang w:val="sr-Latn-BA"/>
        </w:rPr>
        <w:t>FINANSIRANJU LOKALNE SAMOUPRAVE</w:t>
      </w:r>
    </w:p>
    <w:bookmarkEnd w:id="0"/>
    <w:p w14:paraId="00428FD2" w14:textId="77777777" w:rsidR="007324C3" w:rsidRPr="003943B9" w:rsidRDefault="007324C3" w:rsidP="0098086C">
      <w:pPr>
        <w:pStyle w:val="C30X"/>
        <w:spacing w:before="0" w:after="0"/>
        <w:rPr>
          <w:rFonts w:ascii="Cambria" w:hAnsi="Cambria"/>
          <w:lang w:val="sr-Latn-BA"/>
        </w:rPr>
      </w:pPr>
    </w:p>
    <w:p w14:paraId="2FD5020A" w14:textId="6852C1BC" w:rsidR="007324C3" w:rsidRPr="003943B9" w:rsidRDefault="008542A8" w:rsidP="0098086C">
      <w:pPr>
        <w:pStyle w:val="C30X"/>
        <w:spacing w:before="0" w:after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Član 1</w:t>
      </w:r>
    </w:p>
    <w:p w14:paraId="49DF4A8C" w14:textId="77777777" w:rsidR="0029723A" w:rsidRPr="003943B9" w:rsidRDefault="0029723A" w:rsidP="0098086C">
      <w:pPr>
        <w:pStyle w:val="C30X"/>
        <w:spacing w:before="0" w:after="0"/>
        <w:rPr>
          <w:rFonts w:ascii="Cambria" w:hAnsi="Cambria"/>
          <w:sz w:val="16"/>
          <w:szCs w:val="16"/>
          <w:lang w:val="sr-Latn-BA"/>
        </w:rPr>
      </w:pPr>
    </w:p>
    <w:p w14:paraId="5BB57CBF" w14:textId="7BF23DA4" w:rsidR="002E58B1" w:rsidRPr="003943B9" w:rsidRDefault="008542A8" w:rsidP="000D5A50">
      <w:pPr>
        <w:pStyle w:val="T30X"/>
        <w:spacing w:before="0" w:after="0"/>
        <w:ind w:firstLine="0"/>
        <w:rPr>
          <w:rFonts w:ascii="Cambria" w:hAnsi="Cambria"/>
          <w:sz w:val="24"/>
          <w:szCs w:val="24"/>
          <w:lang w:val="sr-Latn-BA"/>
        </w:rPr>
      </w:pPr>
      <w:r w:rsidRPr="003943B9">
        <w:rPr>
          <w:rFonts w:ascii="Cambria" w:hAnsi="Cambria"/>
          <w:sz w:val="24"/>
          <w:szCs w:val="24"/>
          <w:lang w:val="sr-Latn-BA"/>
        </w:rPr>
        <w:t xml:space="preserve">U Zakonu o finansiranju </w:t>
      </w:r>
      <w:r w:rsidR="00CD64C9" w:rsidRPr="003943B9">
        <w:rPr>
          <w:rFonts w:ascii="Cambria" w:hAnsi="Cambria"/>
          <w:sz w:val="24"/>
          <w:szCs w:val="24"/>
          <w:lang w:val="sr-Latn-BA"/>
        </w:rPr>
        <w:t xml:space="preserve">lokalne samouprave </w:t>
      </w:r>
      <w:r w:rsidRPr="003943B9">
        <w:rPr>
          <w:rFonts w:ascii="Cambria" w:hAnsi="Cambria"/>
          <w:sz w:val="24"/>
          <w:szCs w:val="24"/>
          <w:lang w:val="sr-Latn-BA"/>
        </w:rPr>
        <w:t>("Službeni list CG</w:t>
      </w:r>
      <w:r w:rsidR="00D246FF" w:rsidRPr="003943B9">
        <w:rPr>
          <w:rFonts w:ascii="Cambria" w:hAnsi="Cambria"/>
          <w:sz w:val="24"/>
          <w:szCs w:val="24"/>
          <w:lang w:val="sr-Latn-BA"/>
        </w:rPr>
        <w:t>”</w:t>
      </w:r>
      <w:r w:rsidRPr="003943B9">
        <w:rPr>
          <w:rFonts w:ascii="Cambria" w:hAnsi="Cambria"/>
          <w:sz w:val="24"/>
          <w:szCs w:val="24"/>
          <w:lang w:val="sr-Latn-BA"/>
        </w:rPr>
        <w:t>, br</w:t>
      </w:r>
      <w:r w:rsidR="00471181" w:rsidRPr="003943B9">
        <w:rPr>
          <w:rFonts w:ascii="Cambria" w:hAnsi="Cambria"/>
          <w:sz w:val="24"/>
          <w:szCs w:val="24"/>
          <w:lang w:val="sr-Latn-BA"/>
        </w:rPr>
        <w:t>.</w:t>
      </w:r>
      <w:r w:rsidRPr="003943B9">
        <w:rPr>
          <w:rFonts w:ascii="Cambria" w:hAnsi="Cambria"/>
          <w:sz w:val="24"/>
          <w:szCs w:val="24"/>
          <w:lang w:val="sr-Latn-BA"/>
        </w:rPr>
        <w:t xml:space="preserve"> 3/</w:t>
      </w:r>
      <w:r w:rsidR="00206438" w:rsidRPr="003943B9">
        <w:rPr>
          <w:rFonts w:ascii="Cambria" w:hAnsi="Cambria"/>
          <w:sz w:val="24"/>
          <w:szCs w:val="24"/>
          <w:lang w:val="sr-Latn-BA"/>
        </w:rPr>
        <w:t>19</w:t>
      </w:r>
      <w:r w:rsidR="00A818CC" w:rsidRPr="003943B9">
        <w:rPr>
          <w:rFonts w:ascii="Cambria" w:hAnsi="Cambria"/>
          <w:sz w:val="24"/>
          <w:szCs w:val="24"/>
          <w:lang w:val="sr-Latn-BA"/>
        </w:rPr>
        <w:t xml:space="preserve">, </w:t>
      </w:r>
      <w:r w:rsidR="006C0C79" w:rsidRPr="003943B9">
        <w:rPr>
          <w:rFonts w:ascii="Cambria" w:hAnsi="Cambria"/>
          <w:sz w:val="24"/>
          <w:szCs w:val="24"/>
          <w:lang w:val="sr-Latn-BA"/>
        </w:rPr>
        <w:t>86/22</w:t>
      </w:r>
      <w:r w:rsidR="002E58B1" w:rsidRPr="003943B9">
        <w:rPr>
          <w:rFonts w:ascii="Cambria" w:hAnsi="Cambria"/>
          <w:sz w:val="24"/>
          <w:szCs w:val="24"/>
          <w:lang w:val="sr-Latn-BA"/>
        </w:rPr>
        <w:t>,</w:t>
      </w:r>
      <w:r w:rsidR="00A818CC" w:rsidRPr="003943B9">
        <w:rPr>
          <w:rFonts w:ascii="Cambria" w:hAnsi="Cambria"/>
          <w:sz w:val="24"/>
          <w:szCs w:val="24"/>
          <w:lang w:val="sr-Latn-BA"/>
        </w:rPr>
        <w:t xml:space="preserve"> 05/24</w:t>
      </w:r>
      <w:r w:rsidR="00181366" w:rsidRPr="003943B9">
        <w:rPr>
          <w:rFonts w:ascii="Cambria" w:hAnsi="Cambria"/>
          <w:sz w:val="24"/>
          <w:szCs w:val="24"/>
          <w:lang w:val="sr-Latn-BA"/>
        </w:rPr>
        <w:t xml:space="preserve"> i</w:t>
      </w:r>
      <w:r w:rsidR="002E58B1" w:rsidRPr="003943B9">
        <w:rPr>
          <w:rFonts w:ascii="Cambria" w:hAnsi="Cambria"/>
          <w:sz w:val="24"/>
          <w:szCs w:val="24"/>
          <w:lang w:val="sr-Latn-BA"/>
        </w:rPr>
        <w:t xml:space="preserve"> 07/24</w:t>
      </w:r>
      <w:r w:rsidR="004E5C22" w:rsidRPr="003943B9">
        <w:rPr>
          <w:rFonts w:ascii="Cambria" w:hAnsi="Cambria"/>
          <w:sz w:val="24"/>
          <w:szCs w:val="24"/>
          <w:lang w:val="sr-Latn-BA"/>
        </w:rPr>
        <w:t>)</w:t>
      </w:r>
      <w:r w:rsidR="00EB6984" w:rsidRPr="003943B9">
        <w:rPr>
          <w:rFonts w:ascii="Cambria" w:hAnsi="Cambria"/>
          <w:sz w:val="24"/>
          <w:szCs w:val="24"/>
          <w:lang w:val="sr-Latn-BA"/>
        </w:rPr>
        <w:t xml:space="preserve"> u članu 1</w:t>
      </w:r>
      <w:r w:rsidR="002E58B1" w:rsidRPr="003943B9">
        <w:rPr>
          <w:rFonts w:ascii="Cambria" w:hAnsi="Cambria"/>
          <w:sz w:val="24"/>
          <w:szCs w:val="24"/>
          <w:lang w:val="sr-Latn-BA"/>
        </w:rPr>
        <w:t>0</w:t>
      </w:r>
      <w:r w:rsidR="00471181" w:rsidRPr="003943B9">
        <w:rPr>
          <w:rFonts w:ascii="Cambria" w:hAnsi="Cambria"/>
          <w:sz w:val="24"/>
          <w:szCs w:val="24"/>
          <w:lang w:val="sr-Latn-BA"/>
        </w:rPr>
        <w:t xml:space="preserve"> stav </w:t>
      </w:r>
      <w:r w:rsidR="002E58B1" w:rsidRPr="003943B9">
        <w:rPr>
          <w:rFonts w:ascii="Cambria" w:hAnsi="Cambria"/>
          <w:sz w:val="24"/>
          <w:szCs w:val="24"/>
          <w:lang w:val="sr-Latn-BA"/>
        </w:rPr>
        <w:t>1 tačka 3 mijenja se i glasi:</w:t>
      </w:r>
    </w:p>
    <w:p w14:paraId="236BD0A4" w14:textId="77777777" w:rsidR="002E58B1" w:rsidRPr="003943B9" w:rsidRDefault="002E58B1" w:rsidP="00A818CC">
      <w:pPr>
        <w:pStyle w:val="T30X"/>
        <w:spacing w:before="0" w:after="0"/>
        <w:ind w:firstLine="720"/>
        <w:rPr>
          <w:rFonts w:ascii="Cambria" w:hAnsi="Cambria"/>
          <w:sz w:val="24"/>
          <w:szCs w:val="24"/>
          <w:lang w:val="sr-Latn-BA"/>
        </w:rPr>
      </w:pPr>
    </w:p>
    <w:p w14:paraId="5D37F5E9" w14:textId="372FF5CA" w:rsidR="008A768A" w:rsidRPr="003943B9" w:rsidRDefault="00471181" w:rsidP="008A768A">
      <w:pPr>
        <w:pStyle w:val="T30X"/>
        <w:spacing w:before="0" w:after="0"/>
        <w:ind w:firstLine="720"/>
        <w:rPr>
          <w:rFonts w:ascii="Cambria" w:hAnsi="Cambria"/>
          <w:sz w:val="24"/>
          <w:szCs w:val="24"/>
          <w:lang w:val="sr-Latn-BA"/>
        </w:rPr>
      </w:pPr>
      <w:r w:rsidRPr="003943B9">
        <w:rPr>
          <w:rFonts w:ascii="Cambria" w:hAnsi="Cambria"/>
          <w:sz w:val="24"/>
          <w:szCs w:val="24"/>
          <w:lang w:val="sr-Latn-BA"/>
        </w:rPr>
        <w:t xml:space="preserve"> </w:t>
      </w:r>
      <w:r w:rsidR="00EB6984" w:rsidRPr="003943B9">
        <w:rPr>
          <w:rFonts w:ascii="Cambria" w:hAnsi="Cambria"/>
          <w:sz w:val="24"/>
          <w:szCs w:val="24"/>
          <w:lang w:val="sr-Latn-BA"/>
        </w:rPr>
        <w:t>“</w:t>
      </w:r>
      <w:r w:rsidR="002E58B1" w:rsidRPr="003943B9">
        <w:rPr>
          <w:rFonts w:ascii="Cambria" w:hAnsi="Cambria"/>
          <w:sz w:val="24"/>
          <w:szCs w:val="24"/>
          <w:lang w:val="sr-Latn-BA"/>
        </w:rPr>
        <w:t>3) godišnje naknade pri registraciji drumskih motornih vozila, traktora, priključnih vozila i drugih drumskih vozila na motorni pogon“</w:t>
      </w:r>
      <w:r w:rsidR="008A768A" w:rsidRPr="003943B9">
        <w:rPr>
          <w:rFonts w:ascii="Cambria" w:hAnsi="Cambria"/>
          <w:sz w:val="24"/>
          <w:szCs w:val="24"/>
          <w:lang w:val="sr-Latn-BA"/>
        </w:rPr>
        <w:t>.</w:t>
      </w:r>
    </w:p>
    <w:p w14:paraId="32587920" w14:textId="77777777" w:rsidR="008A768A" w:rsidRPr="003943B9" w:rsidRDefault="008A768A" w:rsidP="008A768A">
      <w:pPr>
        <w:pStyle w:val="T30X"/>
        <w:spacing w:before="0" w:after="0"/>
        <w:ind w:firstLine="720"/>
        <w:rPr>
          <w:rFonts w:ascii="Cambria" w:hAnsi="Cambria"/>
          <w:sz w:val="24"/>
          <w:szCs w:val="24"/>
          <w:lang w:val="sr-Latn-BA"/>
        </w:rPr>
      </w:pPr>
    </w:p>
    <w:p w14:paraId="72DCF113" w14:textId="34FACC59" w:rsidR="0012635D" w:rsidRPr="003943B9" w:rsidRDefault="0012635D" w:rsidP="000D5A50">
      <w:pPr>
        <w:pStyle w:val="T30X"/>
        <w:spacing w:before="0" w:after="0"/>
        <w:ind w:firstLine="0"/>
        <w:jc w:val="center"/>
        <w:rPr>
          <w:rFonts w:ascii="Cambria" w:hAnsi="Cambria"/>
          <w:b/>
          <w:sz w:val="24"/>
          <w:szCs w:val="24"/>
          <w:lang w:val="sr-Latn-BA"/>
        </w:rPr>
      </w:pPr>
      <w:r w:rsidRPr="003943B9">
        <w:rPr>
          <w:rFonts w:ascii="Cambria" w:hAnsi="Cambria"/>
          <w:b/>
          <w:sz w:val="24"/>
          <w:szCs w:val="24"/>
          <w:lang w:val="sr-Latn-BA"/>
        </w:rPr>
        <w:t xml:space="preserve">Član </w:t>
      </w:r>
      <w:r w:rsidR="000D0571">
        <w:rPr>
          <w:rFonts w:ascii="Cambria" w:hAnsi="Cambria"/>
          <w:b/>
          <w:sz w:val="24"/>
          <w:szCs w:val="24"/>
          <w:lang w:val="sr-Latn-BA"/>
        </w:rPr>
        <w:t>2</w:t>
      </w:r>
    </w:p>
    <w:p w14:paraId="1130F296" w14:textId="41CF541E" w:rsidR="004A6929" w:rsidRPr="003943B9" w:rsidRDefault="004A6929" w:rsidP="0012635D">
      <w:pPr>
        <w:pStyle w:val="C30X"/>
        <w:spacing w:before="0" w:after="0"/>
        <w:jc w:val="both"/>
        <w:rPr>
          <w:rFonts w:ascii="Cambria" w:hAnsi="Cambria"/>
          <w:sz w:val="16"/>
          <w:szCs w:val="16"/>
          <w:lang w:val="sr-Latn-BA"/>
        </w:rPr>
      </w:pPr>
    </w:p>
    <w:p w14:paraId="1F90E104" w14:textId="39BD9DD7" w:rsidR="0055277A" w:rsidRPr="003943B9" w:rsidRDefault="005B28BB" w:rsidP="000D5A50">
      <w:pPr>
        <w:pStyle w:val="T30X"/>
        <w:spacing w:before="0" w:after="0"/>
        <w:rPr>
          <w:rFonts w:ascii="Cambria" w:hAnsi="Cambria"/>
          <w:sz w:val="24"/>
          <w:szCs w:val="24"/>
          <w:lang w:val="sr-Latn-BA"/>
        </w:rPr>
      </w:pPr>
      <w:r w:rsidRPr="003943B9">
        <w:rPr>
          <w:rFonts w:ascii="Cambria" w:hAnsi="Cambria"/>
          <w:sz w:val="24"/>
          <w:szCs w:val="24"/>
          <w:lang w:val="sr-Latn-BA"/>
        </w:rPr>
        <w:t>U č</w:t>
      </w:r>
      <w:r w:rsidR="006C666C" w:rsidRPr="003943B9">
        <w:rPr>
          <w:rFonts w:ascii="Cambria" w:hAnsi="Cambria"/>
          <w:sz w:val="24"/>
          <w:szCs w:val="24"/>
          <w:lang w:val="sr-Latn-BA"/>
        </w:rPr>
        <w:t>lan</w:t>
      </w:r>
      <w:r w:rsidRPr="003943B9">
        <w:rPr>
          <w:rFonts w:ascii="Cambria" w:hAnsi="Cambria"/>
          <w:sz w:val="24"/>
          <w:szCs w:val="24"/>
          <w:lang w:val="sr-Latn-BA"/>
        </w:rPr>
        <w:t>u</w:t>
      </w:r>
      <w:r w:rsidR="006C666C" w:rsidRPr="003943B9">
        <w:rPr>
          <w:rFonts w:ascii="Cambria" w:hAnsi="Cambria"/>
          <w:sz w:val="24"/>
          <w:szCs w:val="24"/>
          <w:lang w:val="sr-Latn-BA"/>
        </w:rPr>
        <w:t xml:space="preserve"> 16</w:t>
      </w:r>
      <w:r w:rsidR="000D5A50" w:rsidRPr="003943B9">
        <w:rPr>
          <w:rFonts w:ascii="Cambria" w:hAnsi="Cambria"/>
          <w:sz w:val="24"/>
          <w:szCs w:val="24"/>
          <w:lang w:val="sr-Latn-BA"/>
        </w:rPr>
        <w:t>,</w:t>
      </w:r>
      <w:r w:rsidR="006C666C" w:rsidRPr="003943B9">
        <w:rPr>
          <w:rFonts w:ascii="Cambria" w:hAnsi="Cambria"/>
          <w:sz w:val="24"/>
          <w:szCs w:val="24"/>
          <w:lang w:val="sr-Latn-BA"/>
        </w:rPr>
        <w:t xml:space="preserve"> stav 1</w:t>
      </w:r>
      <w:r w:rsidR="0055277A" w:rsidRPr="003943B9">
        <w:rPr>
          <w:rFonts w:ascii="Cambria" w:hAnsi="Cambria"/>
          <w:sz w:val="24"/>
          <w:szCs w:val="24"/>
          <w:lang w:val="sr-Latn-BA"/>
        </w:rPr>
        <w:t xml:space="preserve"> mijenja se i glasi:</w:t>
      </w:r>
    </w:p>
    <w:p w14:paraId="12C5CA0E" w14:textId="77777777" w:rsidR="0055277A" w:rsidRPr="003943B9" w:rsidRDefault="0055277A" w:rsidP="0098086C">
      <w:pPr>
        <w:pStyle w:val="T30X"/>
        <w:spacing w:before="0" w:after="0"/>
        <w:ind w:firstLine="720"/>
        <w:rPr>
          <w:rFonts w:ascii="Cambria" w:hAnsi="Cambria"/>
          <w:sz w:val="24"/>
          <w:szCs w:val="24"/>
          <w:lang w:val="sr-Latn-BA"/>
        </w:rPr>
      </w:pPr>
    </w:p>
    <w:p w14:paraId="52A316F2" w14:textId="08FD85B7" w:rsidR="0055277A" w:rsidRPr="003943B9" w:rsidRDefault="0055277A" w:rsidP="000D5A50">
      <w:pPr>
        <w:pStyle w:val="T30X"/>
        <w:spacing w:before="0" w:after="0"/>
        <w:ind w:firstLine="0"/>
        <w:rPr>
          <w:rFonts w:ascii="Cambria" w:hAnsi="Cambria"/>
          <w:sz w:val="24"/>
          <w:szCs w:val="24"/>
          <w:lang w:val="sr-Latn-BA"/>
        </w:rPr>
      </w:pPr>
      <w:r w:rsidRPr="003943B9">
        <w:rPr>
          <w:rFonts w:ascii="Cambria" w:hAnsi="Cambria"/>
          <w:sz w:val="24"/>
          <w:szCs w:val="24"/>
          <w:lang w:val="sr-Latn-BA"/>
        </w:rPr>
        <w:t xml:space="preserve">„Opština, čiji je stepen razvijenosti ispod 100% prosječne vrijednosti indeksa razvijenosti utvrđenog u skladu sa zakonom kojim se uređuje regionalni razvoj i čije je učešće tekućih prihoda, isključujući prihode od Fonda, u ukupnim tekućim prihodima svih opština u godini koja prethodi godini u kojoj se vrši raspodjela sredstava Fonda za narednu godinu, ispod </w:t>
      </w:r>
      <w:r w:rsidR="00AA2D58">
        <w:rPr>
          <w:rFonts w:ascii="Cambria" w:hAnsi="Cambria"/>
          <w:sz w:val="24"/>
          <w:szCs w:val="24"/>
          <w:lang w:val="sr-Latn-BA"/>
        </w:rPr>
        <w:t>10</w:t>
      </w:r>
      <w:r w:rsidRPr="003943B9">
        <w:rPr>
          <w:rFonts w:ascii="Cambria" w:hAnsi="Cambria"/>
          <w:sz w:val="24"/>
          <w:szCs w:val="24"/>
          <w:lang w:val="sr-Latn-BA"/>
        </w:rPr>
        <w:t>%, ima pravo na korišćenje sredstava Fonda za godinu za koju se vrši raspodjela sredstava Fonda.”</w:t>
      </w:r>
    </w:p>
    <w:p w14:paraId="0FD560F3" w14:textId="3A5D073D" w:rsidR="00792C35" w:rsidRPr="003943B9" w:rsidRDefault="00792C35" w:rsidP="0098086C">
      <w:pPr>
        <w:pStyle w:val="T30X"/>
        <w:spacing w:before="0" w:after="0"/>
        <w:ind w:firstLine="720"/>
        <w:rPr>
          <w:rFonts w:ascii="Cambria" w:hAnsi="Cambria"/>
          <w:bCs/>
          <w:sz w:val="16"/>
          <w:szCs w:val="16"/>
          <w:lang w:val="sr-Latn-BA"/>
        </w:rPr>
      </w:pPr>
    </w:p>
    <w:p w14:paraId="3F8DEA76" w14:textId="4934E893" w:rsidR="00792C35" w:rsidRPr="003943B9" w:rsidRDefault="00792C35" w:rsidP="000D5A50">
      <w:pPr>
        <w:pStyle w:val="C30X"/>
        <w:spacing w:before="0" w:after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 xml:space="preserve">Član </w:t>
      </w:r>
      <w:r w:rsidR="000D0571">
        <w:rPr>
          <w:rFonts w:ascii="Cambria" w:hAnsi="Cambria"/>
          <w:lang w:val="sr-Latn-BA"/>
        </w:rPr>
        <w:t>3</w:t>
      </w:r>
    </w:p>
    <w:p w14:paraId="3CB605CE" w14:textId="77777777" w:rsidR="00335C33" w:rsidRPr="003943B9" w:rsidRDefault="00335C33" w:rsidP="00792C35">
      <w:pPr>
        <w:pStyle w:val="C30X"/>
        <w:spacing w:before="0" w:after="0"/>
        <w:rPr>
          <w:rFonts w:ascii="Cambria" w:hAnsi="Cambria"/>
          <w:sz w:val="16"/>
          <w:szCs w:val="16"/>
          <w:lang w:val="sr-Latn-BA"/>
        </w:rPr>
      </w:pPr>
    </w:p>
    <w:p w14:paraId="6557E267" w14:textId="3FA51F7E" w:rsidR="00792C35" w:rsidRPr="003943B9" w:rsidRDefault="00792C35" w:rsidP="00335C33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>Član 19 mijenja se i glasi:</w:t>
      </w:r>
    </w:p>
    <w:p w14:paraId="4A24F585" w14:textId="3E9FE279" w:rsidR="00792C35" w:rsidRPr="003943B9" w:rsidRDefault="00792C35" w:rsidP="00584F2E">
      <w:pPr>
        <w:pStyle w:val="C30X"/>
        <w:spacing w:before="0" w:after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„Član 19</w:t>
      </w:r>
    </w:p>
    <w:p w14:paraId="5BB7A78F" w14:textId="2FA40167" w:rsidR="00343830" w:rsidRPr="003943B9" w:rsidRDefault="00343830" w:rsidP="00792C35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</w:p>
    <w:p w14:paraId="41D687D6" w14:textId="45F51F66" w:rsidR="00343830" w:rsidRPr="003943B9" w:rsidRDefault="00343830" w:rsidP="00F00CC5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>O raspodjeli sredstava Fonda odlučuje Ministarstvo.</w:t>
      </w:r>
    </w:p>
    <w:p w14:paraId="6E46D071" w14:textId="0DA8F51A" w:rsidR="00343830" w:rsidRPr="003943B9" w:rsidRDefault="00343830" w:rsidP="00F00CC5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 xml:space="preserve">Akt o raspodjeli sredstava Fonda za narednu godinu donosi se do kraja </w:t>
      </w:r>
      <w:r w:rsidR="003943B9" w:rsidRPr="00AA2D58">
        <w:rPr>
          <w:rFonts w:ascii="Cambria" w:hAnsi="Cambria"/>
          <w:b w:val="0"/>
          <w:lang w:val="sr-Latn-BA"/>
        </w:rPr>
        <w:t>oktobra</w:t>
      </w:r>
      <w:r w:rsidRPr="003943B9">
        <w:rPr>
          <w:rFonts w:ascii="Cambria" w:hAnsi="Cambria"/>
          <w:b w:val="0"/>
          <w:lang w:val="sr-Latn-BA"/>
        </w:rPr>
        <w:t xml:space="preserve"> tekuće godine i isti se objavljuje u „Službenom listu Crne Gore“.</w:t>
      </w:r>
    </w:p>
    <w:p w14:paraId="26961E83" w14:textId="269561D5" w:rsidR="00584F2E" w:rsidRPr="003943B9" w:rsidRDefault="00584F2E" w:rsidP="00F00CC5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>Sredstva Fonda dodjeljuju se opštinama dva puta mjesečno u toku fiskalne godine.</w:t>
      </w:r>
    </w:p>
    <w:p w14:paraId="2255E014" w14:textId="4BD6F27C" w:rsidR="00343830" w:rsidRPr="003943B9" w:rsidRDefault="00343830" w:rsidP="00F00CC5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>Bliži način raspodjele sredstava Fonda propisuje Ministarstvo finansija.“</w:t>
      </w:r>
    </w:p>
    <w:p w14:paraId="4D23B5B7" w14:textId="6DFF0E23" w:rsidR="00343830" w:rsidRPr="003943B9" w:rsidRDefault="00343830" w:rsidP="00792C35">
      <w:pPr>
        <w:pStyle w:val="C30X"/>
        <w:spacing w:before="0" w:after="0"/>
        <w:jc w:val="both"/>
        <w:rPr>
          <w:rFonts w:ascii="Cambria" w:hAnsi="Cambria"/>
          <w:b w:val="0"/>
          <w:sz w:val="16"/>
          <w:szCs w:val="16"/>
          <w:lang w:val="sr-Latn-BA"/>
        </w:rPr>
      </w:pPr>
    </w:p>
    <w:p w14:paraId="5314C886" w14:textId="45EE81B6" w:rsidR="00AB2F20" w:rsidRPr="003943B9" w:rsidRDefault="00AB2F20" w:rsidP="000D5A50">
      <w:pPr>
        <w:pStyle w:val="C30X"/>
        <w:spacing w:before="0" w:after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 xml:space="preserve">Član </w:t>
      </w:r>
      <w:r w:rsidR="000D0571">
        <w:rPr>
          <w:rFonts w:ascii="Cambria" w:hAnsi="Cambria"/>
          <w:lang w:val="sr-Latn-BA"/>
        </w:rPr>
        <w:t>4</w:t>
      </w:r>
    </w:p>
    <w:p w14:paraId="13811A75" w14:textId="5AE0C13C" w:rsidR="000A709F" w:rsidRPr="003943B9" w:rsidRDefault="000A709F" w:rsidP="00AB2F20">
      <w:pPr>
        <w:pStyle w:val="C30X"/>
        <w:spacing w:before="0" w:after="0"/>
        <w:rPr>
          <w:rFonts w:ascii="Cambria" w:hAnsi="Cambria"/>
          <w:sz w:val="16"/>
          <w:szCs w:val="16"/>
          <w:lang w:val="sr-Latn-BA"/>
        </w:rPr>
      </w:pPr>
    </w:p>
    <w:p w14:paraId="7B62069E" w14:textId="10214B2D" w:rsidR="000A709F" w:rsidRPr="003943B9" w:rsidRDefault="000A709F" w:rsidP="000A709F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>Podzakonski akt iz člana 19 stav 4 donijeće se do kraja oktobra 2025. godine.</w:t>
      </w:r>
    </w:p>
    <w:p w14:paraId="4E359EEF" w14:textId="1951E936" w:rsidR="000A709F" w:rsidRPr="003943B9" w:rsidRDefault="000A709F" w:rsidP="000A709F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</w:p>
    <w:p w14:paraId="5D80424A" w14:textId="2C463900" w:rsidR="000D5A50" w:rsidRPr="00311A7F" w:rsidRDefault="000A709F" w:rsidP="000D5A50">
      <w:pPr>
        <w:pStyle w:val="C30X"/>
        <w:spacing w:before="0" w:after="0"/>
        <w:rPr>
          <w:rFonts w:ascii="Cambria" w:hAnsi="Cambria"/>
          <w:lang w:val="sr-Latn-BA"/>
        </w:rPr>
      </w:pPr>
      <w:r w:rsidRPr="00311A7F">
        <w:rPr>
          <w:rFonts w:ascii="Cambria" w:hAnsi="Cambria"/>
          <w:lang w:val="sr-Latn-BA"/>
        </w:rPr>
        <w:t xml:space="preserve">Član </w:t>
      </w:r>
      <w:r w:rsidR="000D0571">
        <w:rPr>
          <w:rFonts w:ascii="Cambria" w:hAnsi="Cambria"/>
          <w:lang w:val="sr-Latn-BA"/>
        </w:rPr>
        <w:t>5</w:t>
      </w:r>
    </w:p>
    <w:p w14:paraId="656EB837" w14:textId="639DF0CB" w:rsidR="00AA2D58" w:rsidRPr="00A908E6" w:rsidRDefault="00AA2D58" w:rsidP="000D5A50">
      <w:pPr>
        <w:pStyle w:val="C30X"/>
        <w:spacing w:before="0" w:after="0"/>
        <w:rPr>
          <w:rFonts w:ascii="Cambria" w:hAnsi="Cambria"/>
          <w:b w:val="0"/>
          <w:lang w:val="sr-Latn-BA"/>
        </w:rPr>
      </w:pPr>
    </w:p>
    <w:p w14:paraId="3D2B86BF" w14:textId="4A70EBB3" w:rsidR="00AA2D58" w:rsidRPr="00A908E6" w:rsidRDefault="00AA2D58" w:rsidP="00AA2D58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A908E6">
        <w:rPr>
          <w:rFonts w:ascii="Cambria" w:hAnsi="Cambria"/>
          <w:b w:val="0"/>
          <w:lang w:val="sr-Latn-BA"/>
        </w:rPr>
        <w:t>Izuzetno od člana 19 stav 2 ovog zakona, akt o raspodjeli sredstava Fonda za 2026. godinu donijeće se do kraja novembra 2025. godine, u skladu sa ovim zakonom.</w:t>
      </w:r>
    </w:p>
    <w:p w14:paraId="690F0E90" w14:textId="01AE90AB" w:rsidR="00AA2D58" w:rsidRPr="00A908E6" w:rsidRDefault="00AA2D58" w:rsidP="00AA2D58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</w:p>
    <w:p w14:paraId="20F0A83F" w14:textId="79459FC6" w:rsidR="00AA2D58" w:rsidRPr="003943B9" w:rsidRDefault="00AA2D58" w:rsidP="00AA2D58">
      <w:pPr>
        <w:pStyle w:val="C30X"/>
        <w:spacing w:before="0" w:after="0"/>
        <w:rPr>
          <w:rFonts w:ascii="Cambria" w:hAnsi="Cambria"/>
          <w:lang w:val="sr-Latn-BA"/>
        </w:rPr>
      </w:pPr>
      <w:r>
        <w:rPr>
          <w:rFonts w:ascii="Cambria" w:hAnsi="Cambria"/>
          <w:lang w:val="sr-Latn-BA"/>
        </w:rPr>
        <w:t xml:space="preserve">Član </w:t>
      </w:r>
      <w:r w:rsidR="000D0571">
        <w:rPr>
          <w:rFonts w:ascii="Cambria" w:hAnsi="Cambria"/>
          <w:lang w:val="sr-Latn-BA"/>
        </w:rPr>
        <w:t>6</w:t>
      </w:r>
    </w:p>
    <w:p w14:paraId="6B8E0457" w14:textId="77777777" w:rsidR="000D5A50" w:rsidRPr="003943B9" w:rsidRDefault="000D5A50" w:rsidP="004E5C22">
      <w:pPr>
        <w:pStyle w:val="C30X"/>
        <w:spacing w:before="0" w:after="0"/>
        <w:jc w:val="both"/>
        <w:rPr>
          <w:rFonts w:ascii="Cambria" w:hAnsi="Cambria"/>
          <w:sz w:val="16"/>
          <w:lang w:val="sr-Latn-BA"/>
        </w:rPr>
      </w:pPr>
    </w:p>
    <w:p w14:paraId="118EC562" w14:textId="7C40D033" w:rsidR="0098086C" w:rsidRPr="003943B9" w:rsidRDefault="004E5C22" w:rsidP="004E5C22">
      <w:pPr>
        <w:pStyle w:val="C30X"/>
        <w:spacing w:before="0" w:after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b w:val="0"/>
          <w:bCs w:val="0"/>
          <w:lang w:val="sr-Latn-BA"/>
        </w:rPr>
        <w:t>Danom stupanja na snagu ovog zakona prestaje da važi Pravilnik o načinu raspodjele sredstava iz Egalizacionog fonda i načinu korišćenja neraspoređenih sredstava Fonda  („Službeni list Crne Gore“, broj 6/19).</w:t>
      </w:r>
    </w:p>
    <w:p w14:paraId="6BD25FCE" w14:textId="77777777" w:rsidR="000D0571" w:rsidRDefault="000D0571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</w:p>
    <w:p w14:paraId="7F1966D0" w14:textId="77777777" w:rsidR="00F00CC5" w:rsidRDefault="00F00CC5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</w:p>
    <w:p w14:paraId="1992E867" w14:textId="4C29EA96" w:rsidR="00A818CC" w:rsidRPr="003943B9" w:rsidRDefault="000A709F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  <w:bookmarkStart w:id="1" w:name="_GoBack"/>
      <w:bookmarkEnd w:id="1"/>
      <w:r w:rsidRPr="003943B9">
        <w:rPr>
          <w:rFonts w:ascii="Cambria" w:hAnsi="Cambria"/>
          <w:bCs w:val="0"/>
          <w:lang w:val="sr-Latn-BA"/>
        </w:rPr>
        <w:lastRenderedPageBreak/>
        <w:t xml:space="preserve">Član </w:t>
      </w:r>
      <w:r w:rsidR="000D0571">
        <w:rPr>
          <w:rFonts w:ascii="Cambria" w:hAnsi="Cambria"/>
          <w:bCs w:val="0"/>
          <w:lang w:val="sr-Latn-BA"/>
        </w:rPr>
        <w:t>7</w:t>
      </w:r>
    </w:p>
    <w:p w14:paraId="27A2DD0E" w14:textId="2E071962" w:rsidR="004E5C22" w:rsidRPr="003943B9" w:rsidRDefault="004E5C22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</w:p>
    <w:p w14:paraId="12C6E35D" w14:textId="77777777" w:rsidR="004E5C22" w:rsidRPr="003943B9" w:rsidRDefault="004E5C22" w:rsidP="00D04F36">
      <w:pPr>
        <w:pStyle w:val="T30X"/>
        <w:spacing w:before="0" w:after="0"/>
        <w:ind w:firstLine="0"/>
        <w:rPr>
          <w:rFonts w:ascii="Cambria" w:hAnsi="Cambria"/>
          <w:bCs/>
          <w:sz w:val="24"/>
          <w:szCs w:val="24"/>
          <w:lang w:val="sr-Latn-BA"/>
        </w:rPr>
      </w:pPr>
      <w:r w:rsidRPr="003943B9">
        <w:rPr>
          <w:rFonts w:ascii="Cambria" w:hAnsi="Cambria"/>
          <w:bCs/>
          <w:sz w:val="24"/>
          <w:szCs w:val="24"/>
          <w:lang w:val="sr-Latn-BA"/>
        </w:rPr>
        <w:t>Ovaj Zakon stupa na snagu danom objavljivanja u „Službenom listu Crne Gore“.</w:t>
      </w:r>
    </w:p>
    <w:p w14:paraId="34B54448" w14:textId="77777777" w:rsidR="004E5C22" w:rsidRPr="003943B9" w:rsidRDefault="004E5C22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</w:p>
    <w:p w14:paraId="56E665B0" w14:textId="77777777" w:rsidR="000D0571" w:rsidRDefault="000D0571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</w:p>
    <w:p w14:paraId="4F64A49F" w14:textId="00B26557" w:rsidR="00692621" w:rsidRPr="003943B9" w:rsidRDefault="00692621" w:rsidP="0098086C">
      <w:pPr>
        <w:pStyle w:val="C30X"/>
        <w:spacing w:before="0" w:after="0"/>
        <w:rPr>
          <w:rFonts w:ascii="Cambria" w:hAnsi="Cambria"/>
          <w:bCs w:val="0"/>
          <w:lang w:val="sr-Latn-BA"/>
        </w:rPr>
      </w:pPr>
      <w:r w:rsidRPr="003943B9">
        <w:rPr>
          <w:rFonts w:ascii="Cambria" w:hAnsi="Cambria"/>
          <w:bCs w:val="0"/>
          <w:lang w:val="sr-Latn-BA"/>
        </w:rPr>
        <w:t>OBRAZLOŽENJE</w:t>
      </w:r>
    </w:p>
    <w:p w14:paraId="6A7CA8BF" w14:textId="77777777" w:rsidR="00CA54F9" w:rsidRPr="003943B9" w:rsidRDefault="00CA54F9" w:rsidP="0098086C">
      <w:pPr>
        <w:spacing w:after="0" w:line="240" w:lineRule="auto"/>
        <w:ind w:firstLine="720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69545612" w14:textId="7C9E930F" w:rsidR="00692621" w:rsidRPr="003943B9" w:rsidRDefault="00692621" w:rsidP="0098086C">
      <w:pPr>
        <w:spacing w:after="0" w:line="240" w:lineRule="auto"/>
        <w:ind w:firstLine="720"/>
        <w:rPr>
          <w:rFonts w:ascii="Cambria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I.  </w:t>
      </w:r>
      <w:r w:rsidR="007E1CAE" w:rsidRPr="003943B9">
        <w:rPr>
          <w:rFonts w:ascii="Cambria" w:hAnsi="Cambria" w:cs="Times New Roman"/>
          <w:b/>
          <w:sz w:val="24"/>
          <w:szCs w:val="24"/>
          <w:lang w:val="sr-Latn-BA"/>
        </w:rPr>
        <w:t>USTAVNI OSNOV ZA DONOŠENJE ZAKONA</w:t>
      </w:r>
    </w:p>
    <w:p w14:paraId="6376E02E" w14:textId="77777777" w:rsidR="00692621" w:rsidRPr="003943B9" w:rsidRDefault="00692621" w:rsidP="0098086C">
      <w:pPr>
        <w:spacing w:after="0" w:line="240" w:lineRule="auto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62833746" w14:textId="77777777" w:rsidR="00692621" w:rsidRPr="003943B9" w:rsidRDefault="00692621" w:rsidP="000D5A50">
      <w:pPr>
        <w:pStyle w:val="C30X"/>
        <w:spacing w:before="0" w:after="0"/>
        <w:jc w:val="both"/>
        <w:rPr>
          <w:rFonts w:ascii="Cambria" w:hAnsi="Cambria"/>
          <w:b w:val="0"/>
          <w:lang w:val="sr-Latn-BA"/>
        </w:rPr>
      </w:pPr>
      <w:r w:rsidRPr="003943B9">
        <w:rPr>
          <w:rFonts w:ascii="Cambria" w:hAnsi="Cambria"/>
          <w:b w:val="0"/>
          <w:lang w:val="sr-Latn-BA"/>
        </w:rPr>
        <w:t xml:space="preserve">Ustavni osnov za donošenje ovog zakona sadržan je u članu 16 tačka 4 Ustava Crne Gore kojim je propisano da se zakonom, u skladu sa Ustavom, uređuje sistem lokalne samouprave, u </w:t>
      </w:r>
      <w:r w:rsidR="00687CB7" w:rsidRPr="003943B9">
        <w:rPr>
          <w:rFonts w:ascii="Cambria" w:hAnsi="Cambria"/>
          <w:b w:val="0"/>
          <w:lang w:val="sr-Latn-BA"/>
        </w:rPr>
        <w:t>koji</w:t>
      </w:r>
      <w:r w:rsidR="00643AF0" w:rsidRPr="003943B9">
        <w:rPr>
          <w:rFonts w:ascii="Cambria" w:hAnsi="Cambria"/>
          <w:b w:val="0"/>
          <w:lang w:val="sr-Latn-BA"/>
        </w:rPr>
        <w:t xml:space="preserve"> spada i sistem finansiranja nadležnosti lokalne samouprave.</w:t>
      </w:r>
    </w:p>
    <w:p w14:paraId="5EEC6E37" w14:textId="77777777" w:rsidR="00692621" w:rsidRPr="003943B9" w:rsidRDefault="00692621" w:rsidP="0098086C">
      <w:pPr>
        <w:spacing w:after="0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2F4D2280" w14:textId="19C03CB2" w:rsidR="00692621" w:rsidRPr="003943B9" w:rsidRDefault="00692621" w:rsidP="0098086C">
      <w:pPr>
        <w:spacing w:after="0"/>
        <w:ind w:firstLine="720"/>
        <w:rPr>
          <w:rFonts w:ascii="Cambria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hAnsi="Cambria" w:cs="Times New Roman"/>
          <w:b/>
          <w:sz w:val="24"/>
          <w:szCs w:val="24"/>
          <w:lang w:val="sr-Latn-BA"/>
        </w:rPr>
        <w:t>II</w:t>
      </w:r>
      <w:r w:rsidR="007E1CAE" w:rsidRPr="003943B9">
        <w:rPr>
          <w:rFonts w:ascii="Cambria" w:hAnsi="Cambria" w:cs="Times New Roman"/>
          <w:b/>
          <w:sz w:val="24"/>
          <w:szCs w:val="24"/>
          <w:lang w:val="sr-Latn-BA"/>
        </w:rPr>
        <w:t>.  RAZLOZI ZA DONOŠENJE ZAKONA</w:t>
      </w:r>
      <w:r w:rsidR="00A818CC"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 </w:t>
      </w:r>
    </w:p>
    <w:p w14:paraId="029196EF" w14:textId="77777777" w:rsidR="000D0571" w:rsidRDefault="000D0571" w:rsidP="000D0571">
      <w:pPr>
        <w:pStyle w:val="NormalWeb"/>
        <w:spacing w:before="120" w:beforeAutospacing="0" w:after="120" w:afterAutospacing="0"/>
        <w:jc w:val="both"/>
        <w:rPr>
          <w:rFonts w:ascii="Cambria" w:eastAsia="Calibri" w:hAnsi="Cambria"/>
          <w:lang w:val="sr-Latn-BA"/>
        </w:rPr>
      </w:pPr>
      <w:r>
        <w:rPr>
          <w:rFonts w:ascii="Cambria" w:hAnsi="Cambria"/>
          <w:lang w:val="sr-Latn-BA"/>
        </w:rPr>
        <w:t>Osnovni</w:t>
      </w:r>
      <w:r w:rsidR="008A768A" w:rsidRPr="003943B9">
        <w:rPr>
          <w:rFonts w:ascii="Cambria" w:hAnsi="Cambria"/>
          <w:lang w:val="sr-Latn-BA"/>
        </w:rPr>
        <w:t xml:space="preserve"> razlog za donošenje ovog zakona</w:t>
      </w:r>
      <w:r w:rsidR="004E5C22" w:rsidRPr="003943B9">
        <w:rPr>
          <w:rFonts w:ascii="Cambria" w:hAnsi="Cambria"/>
          <w:b/>
          <w:lang w:val="sr-Latn-BA"/>
        </w:rPr>
        <w:t xml:space="preserve"> </w:t>
      </w:r>
      <w:r w:rsidR="004E5C22" w:rsidRPr="003943B9">
        <w:rPr>
          <w:rFonts w:ascii="Cambria" w:hAnsi="Cambria"/>
          <w:lang w:val="sr-Latn-BA"/>
        </w:rPr>
        <w:t>je</w:t>
      </w:r>
      <w:r w:rsidR="004E5C22" w:rsidRPr="003943B9">
        <w:rPr>
          <w:rFonts w:ascii="Cambria" w:hAnsi="Cambria"/>
          <w:b/>
          <w:lang w:val="sr-Latn-BA"/>
        </w:rPr>
        <w:t xml:space="preserve"> </w:t>
      </w:r>
      <w:r w:rsidR="002B28E7" w:rsidRPr="003943B9">
        <w:rPr>
          <w:rFonts w:ascii="Cambria" w:eastAsia="Calibri" w:hAnsi="Cambria"/>
          <w:lang w:val="sr-Latn-BA"/>
        </w:rPr>
        <w:t>uvo</w:t>
      </w:r>
      <w:r w:rsidR="004E5C22" w:rsidRPr="003943B9">
        <w:rPr>
          <w:rFonts w:ascii="Cambria" w:eastAsia="Calibri" w:hAnsi="Cambria"/>
          <w:lang w:val="sr-Latn-BA"/>
        </w:rPr>
        <w:t>đenje</w:t>
      </w:r>
      <w:r w:rsidR="002B28E7" w:rsidRPr="003943B9">
        <w:rPr>
          <w:rFonts w:ascii="Cambria" w:eastAsia="Calibri" w:hAnsi="Cambria"/>
          <w:lang w:val="sr-Latn-BA"/>
        </w:rPr>
        <w:t xml:space="preserve"> dodatn</w:t>
      </w:r>
      <w:r w:rsidR="004E5C22" w:rsidRPr="003943B9">
        <w:rPr>
          <w:rFonts w:ascii="Cambria" w:eastAsia="Calibri" w:hAnsi="Cambria"/>
          <w:lang w:val="sr-Latn-BA"/>
        </w:rPr>
        <w:t>og</w:t>
      </w:r>
      <w:r w:rsidR="002B28E7" w:rsidRPr="003943B9">
        <w:rPr>
          <w:rFonts w:ascii="Cambria" w:eastAsia="Calibri" w:hAnsi="Cambria"/>
          <w:lang w:val="sr-Latn-BA"/>
        </w:rPr>
        <w:t xml:space="preserve"> kriterijum</w:t>
      </w:r>
      <w:r w:rsidR="004E5C22" w:rsidRPr="003943B9">
        <w:rPr>
          <w:rFonts w:ascii="Cambria" w:eastAsia="Calibri" w:hAnsi="Cambria"/>
          <w:lang w:val="sr-Latn-BA"/>
        </w:rPr>
        <w:t>a na osnovu koga se stiče</w:t>
      </w:r>
      <w:r w:rsidR="002B28E7" w:rsidRPr="003943B9">
        <w:rPr>
          <w:rFonts w:ascii="Cambria" w:eastAsia="Calibri" w:hAnsi="Cambria"/>
          <w:lang w:val="sr-Latn-BA"/>
        </w:rPr>
        <w:t xml:space="preserve"> prav</w:t>
      </w:r>
      <w:r w:rsidR="004E5C22" w:rsidRPr="003943B9">
        <w:rPr>
          <w:rFonts w:ascii="Cambria" w:eastAsia="Calibri" w:hAnsi="Cambria"/>
          <w:lang w:val="sr-Latn-BA"/>
        </w:rPr>
        <w:t>o opštine</w:t>
      </w:r>
      <w:r w:rsidR="002B28E7" w:rsidRPr="003943B9">
        <w:rPr>
          <w:rFonts w:ascii="Cambria" w:eastAsia="Calibri" w:hAnsi="Cambria"/>
          <w:lang w:val="sr-Latn-BA"/>
        </w:rPr>
        <w:t xml:space="preserve"> za korišćenje</w:t>
      </w:r>
      <w:r w:rsidR="00D507A5" w:rsidRPr="003943B9">
        <w:rPr>
          <w:rFonts w:ascii="Cambria" w:eastAsia="Calibri" w:hAnsi="Cambria"/>
          <w:lang w:val="sr-Latn-BA"/>
        </w:rPr>
        <w:t>m</w:t>
      </w:r>
      <w:r w:rsidR="002B28E7" w:rsidRPr="003943B9">
        <w:rPr>
          <w:rFonts w:ascii="Cambria" w:eastAsia="Calibri" w:hAnsi="Cambria"/>
          <w:lang w:val="sr-Latn-BA"/>
        </w:rPr>
        <w:t xml:space="preserve"> sredstava iz Egalizacionog fonda. </w:t>
      </w:r>
    </w:p>
    <w:p w14:paraId="1751ED30" w14:textId="77777777" w:rsidR="000D0571" w:rsidRDefault="002B28E7" w:rsidP="000D0571">
      <w:pPr>
        <w:pStyle w:val="NormalWeb"/>
        <w:spacing w:before="120" w:beforeAutospacing="0" w:after="120" w:afterAutospacing="0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lang w:val="sr-Latn-BA"/>
        </w:rPr>
        <w:t xml:space="preserve">Naime, </w:t>
      </w:r>
      <w:r w:rsidR="00D507A5" w:rsidRPr="003943B9">
        <w:rPr>
          <w:rFonts w:ascii="Cambria" w:eastAsia="Calibri" w:hAnsi="Cambria"/>
          <w:lang w:val="sr-Latn-BA"/>
        </w:rPr>
        <w:t xml:space="preserve">kao uslov za ostvarivanje ovog prava, pored stepena razvijenosti opštine, predlaže se da </w:t>
      </w:r>
      <w:r w:rsidR="003943B9">
        <w:rPr>
          <w:rFonts w:ascii="Cambria" w:eastAsia="Calibri" w:hAnsi="Cambria"/>
          <w:lang w:val="sr-Latn-BA"/>
        </w:rPr>
        <w:t>procenat</w:t>
      </w:r>
      <w:r w:rsidR="00D507A5" w:rsidRPr="003943B9">
        <w:rPr>
          <w:rFonts w:ascii="Cambria" w:eastAsia="Calibri" w:hAnsi="Cambria"/>
          <w:lang w:val="sr-Latn-BA"/>
        </w:rPr>
        <w:t xml:space="preserve"> učešća </w:t>
      </w:r>
      <w:r w:rsidRPr="003943B9">
        <w:rPr>
          <w:rFonts w:ascii="Cambria" w:eastAsia="Calibri" w:hAnsi="Cambria"/>
          <w:lang w:val="sr-Latn-BA"/>
        </w:rPr>
        <w:t>tekućih prihoda pojedine opštine u ukupnim tekućim prihodima svih opština,</w:t>
      </w:r>
      <w:r w:rsidR="00D507A5" w:rsidRPr="003943B9">
        <w:rPr>
          <w:rFonts w:ascii="Cambria" w:eastAsia="Calibri" w:hAnsi="Cambria"/>
          <w:lang w:val="sr-Latn-BA"/>
        </w:rPr>
        <w:t xml:space="preserve"> isključujući sredstva iz Egalizacionog fonda, bude ispod </w:t>
      </w:r>
      <w:r w:rsidR="00CD2AEF">
        <w:rPr>
          <w:rFonts w:ascii="Cambria" w:eastAsia="Calibri" w:hAnsi="Cambria"/>
          <w:lang w:val="sr-Latn-BA"/>
        </w:rPr>
        <w:t>10</w:t>
      </w:r>
      <w:r w:rsidR="00D507A5" w:rsidRPr="003943B9">
        <w:rPr>
          <w:rFonts w:ascii="Cambria" w:eastAsia="Calibri" w:hAnsi="Cambria"/>
          <w:lang w:val="sr-Latn-BA"/>
        </w:rPr>
        <w:t xml:space="preserve">%. </w:t>
      </w:r>
    </w:p>
    <w:p w14:paraId="0459E280" w14:textId="77777777" w:rsidR="000D0571" w:rsidRDefault="00D507A5" w:rsidP="000D0571">
      <w:pPr>
        <w:pStyle w:val="NormalWeb"/>
        <w:spacing w:before="120" w:beforeAutospacing="0" w:after="120" w:afterAutospacing="0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lang w:val="sr-Latn-BA"/>
        </w:rPr>
        <w:t>Predloženo rješenje ima za cilj</w:t>
      </w:r>
      <w:r w:rsidR="002B28E7" w:rsidRPr="003943B9">
        <w:rPr>
          <w:rFonts w:ascii="Cambria" w:eastAsia="Calibri" w:hAnsi="Cambria"/>
          <w:lang w:val="sr-Latn-BA"/>
        </w:rPr>
        <w:t xml:space="preserve"> da se sredstva </w:t>
      </w:r>
      <w:r w:rsidRPr="003943B9">
        <w:rPr>
          <w:rFonts w:ascii="Cambria" w:eastAsia="Calibri" w:hAnsi="Cambria"/>
          <w:lang w:val="sr-Latn-BA"/>
        </w:rPr>
        <w:t>Egalizacionog f</w:t>
      </w:r>
      <w:r w:rsidR="002B28E7" w:rsidRPr="003943B9">
        <w:rPr>
          <w:rFonts w:ascii="Cambria" w:eastAsia="Calibri" w:hAnsi="Cambria"/>
          <w:lang w:val="sr-Latn-BA"/>
        </w:rPr>
        <w:t xml:space="preserve">onda usmjere na opštine </w:t>
      </w:r>
      <w:r w:rsidRPr="003943B9">
        <w:rPr>
          <w:rFonts w:ascii="Cambria" w:eastAsia="Calibri" w:hAnsi="Cambria"/>
          <w:lang w:val="sr-Latn-BA"/>
        </w:rPr>
        <w:t xml:space="preserve">sa manjim fiskalnim kapacitetom, </w:t>
      </w:r>
      <w:r w:rsidR="002B28E7" w:rsidRPr="003943B9">
        <w:rPr>
          <w:rFonts w:ascii="Cambria" w:eastAsia="Calibri" w:hAnsi="Cambria"/>
          <w:lang w:val="sr-Latn-BA"/>
        </w:rPr>
        <w:t xml:space="preserve">sa </w:t>
      </w:r>
      <w:r w:rsidRPr="003943B9">
        <w:rPr>
          <w:rFonts w:ascii="Cambria" w:eastAsia="Calibri" w:hAnsi="Cambria"/>
          <w:lang w:val="sr-Latn-BA"/>
        </w:rPr>
        <w:t>manjim mogućnostima</w:t>
      </w:r>
      <w:r w:rsidR="002B28E7" w:rsidRPr="003943B9">
        <w:rPr>
          <w:rFonts w:ascii="Cambria" w:eastAsia="Calibri" w:hAnsi="Cambria"/>
          <w:lang w:val="sr-Latn-BA"/>
        </w:rPr>
        <w:t xml:space="preserve"> za generisanje sopstvenih prihoda</w:t>
      </w:r>
      <w:r w:rsidRPr="003943B9">
        <w:rPr>
          <w:rFonts w:ascii="Cambria" w:eastAsia="Calibri" w:hAnsi="Cambria"/>
          <w:lang w:val="sr-Latn-BA"/>
        </w:rPr>
        <w:t>, čime bi se</w:t>
      </w:r>
      <w:r w:rsidR="002B28E7" w:rsidRPr="003943B9">
        <w:rPr>
          <w:rFonts w:ascii="Cambria" w:eastAsia="Calibri" w:hAnsi="Cambria"/>
          <w:lang w:val="sr-Latn-BA"/>
        </w:rPr>
        <w:t xml:space="preserve"> pravičnije alo</w:t>
      </w:r>
      <w:r w:rsidRPr="003943B9">
        <w:rPr>
          <w:rFonts w:ascii="Cambria" w:eastAsia="Calibri" w:hAnsi="Cambria"/>
          <w:lang w:val="sr-Latn-BA"/>
        </w:rPr>
        <w:t>cirala</w:t>
      </w:r>
      <w:r w:rsidR="002B28E7" w:rsidRPr="003943B9">
        <w:rPr>
          <w:rFonts w:ascii="Cambria" w:eastAsia="Calibri" w:hAnsi="Cambria"/>
          <w:lang w:val="sr-Latn-BA"/>
        </w:rPr>
        <w:t xml:space="preserve"> sredstva</w:t>
      </w:r>
      <w:r w:rsidRPr="003943B9">
        <w:rPr>
          <w:rFonts w:ascii="Cambria" w:eastAsia="Calibri" w:hAnsi="Cambria"/>
          <w:lang w:val="sr-Latn-BA"/>
        </w:rPr>
        <w:t xml:space="preserve"> iz ovog Fonda</w:t>
      </w:r>
      <w:r w:rsidR="002B28E7" w:rsidRPr="003943B9">
        <w:rPr>
          <w:rFonts w:ascii="Cambria" w:eastAsia="Calibri" w:hAnsi="Cambria"/>
          <w:lang w:val="sr-Latn-BA"/>
        </w:rPr>
        <w:t>, u skladu sa principima fiskalne ravnoteže, regionalne kohezije i održivosti lokalnih budžeta. Uvođenje dodatnog kriterijuma omogućava da se mehanizam Egalizacionog fonda fokusira na opštine kojima je takva vrsta podrške najpotrebnija, čime se jača transparentnost sistema finansiranja lokalne samouprave.</w:t>
      </w:r>
      <w:r w:rsidR="000D5A50" w:rsidRPr="003943B9">
        <w:rPr>
          <w:rFonts w:ascii="Cambria" w:eastAsia="Calibri" w:hAnsi="Cambria"/>
          <w:lang w:val="sr-Latn-BA"/>
        </w:rPr>
        <w:t xml:space="preserve"> </w:t>
      </w:r>
    </w:p>
    <w:p w14:paraId="36836DED" w14:textId="34F13F24" w:rsidR="002B28E7" w:rsidRDefault="000D5A50" w:rsidP="000D0571">
      <w:pPr>
        <w:pStyle w:val="NormalWeb"/>
        <w:spacing w:before="120" w:beforeAutospacing="0" w:after="120" w:afterAutospacing="0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lang w:val="sr-Latn-BA"/>
        </w:rPr>
        <w:t>Iz istog razloga, predložene su izmjene Zakona kojima se ukida akontativna isplata sredstava Fonda. Osim povećanja transparentnosti, povećava se efikasnost i skraćuju administrativne procedure.</w:t>
      </w:r>
    </w:p>
    <w:p w14:paraId="26100D04" w14:textId="77777777" w:rsidR="000D0571" w:rsidRPr="003943B9" w:rsidRDefault="000D0571" w:rsidP="000D0571">
      <w:pPr>
        <w:pStyle w:val="NormalWeb"/>
        <w:spacing w:before="120" w:beforeAutospacing="0" w:after="120" w:afterAutospacing="0"/>
        <w:jc w:val="both"/>
        <w:rPr>
          <w:rFonts w:ascii="Cambria" w:eastAsia="Calibri" w:hAnsi="Cambria"/>
          <w:lang w:val="sr-Latn-BA"/>
        </w:rPr>
      </w:pPr>
    </w:p>
    <w:p w14:paraId="377446FD" w14:textId="2FC6A7FA" w:rsidR="00692621" w:rsidRPr="003943B9" w:rsidRDefault="00692621" w:rsidP="0098086C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III. </w:t>
      </w:r>
      <w:r w:rsidR="007E1CAE" w:rsidRPr="003943B9">
        <w:rPr>
          <w:rFonts w:ascii="Cambria" w:hAnsi="Cambria" w:cs="Times New Roman"/>
          <w:b/>
          <w:sz w:val="24"/>
          <w:szCs w:val="24"/>
          <w:lang w:val="sr-Latn-BA"/>
        </w:rPr>
        <w:t>USKLAĐENOST SA PRAVNOM TEKOVINOM EVROPSKE  UNIJE I  POTVRĐENIM MEĐUNARODNIM KONVENCIJAMA</w:t>
      </w:r>
    </w:p>
    <w:p w14:paraId="02D41A9A" w14:textId="77777777" w:rsidR="00B10FCF" w:rsidRPr="003943B9" w:rsidRDefault="00B10FCF" w:rsidP="0098086C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1E0D2C63" w14:textId="77777777" w:rsidR="00B10FCF" w:rsidRPr="003943B9" w:rsidRDefault="00B10FCF" w:rsidP="000D5A5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Latn-BA"/>
        </w:rPr>
      </w:pPr>
      <w:r w:rsidRPr="003943B9">
        <w:rPr>
          <w:rFonts w:ascii="Cambria" w:hAnsi="Cambria" w:cs="Times New Roman"/>
          <w:sz w:val="24"/>
          <w:szCs w:val="24"/>
          <w:lang w:val="sr-Latn-BA"/>
        </w:rPr>
        <w:t xml:space="preserve">Predmetni zakon ne podliježe usaglašavanju sa evropskim zakonodavstvom i potvrđenim </w:t>
      </w:r>
      <w:r w:rsidR="009D5EDC" w:rsidRPr="003943B9">
        <w:rPr>
          <w:rFonts w:ascii="Cambria" w:hAnsi="Cambria" w:cs="Times New Roman"/>
          <w:sz w:val="24"/>
          <w:szCs w:val="24"/>
          <w:lang w:val="sr-Latn-BA"/>
        </w:rPr>
        <w:t>međunarodnim konven</w:t>
      </w:r>
      <w:r w:rsidRPr="003943B9">
        <w:rPr>
          <w:rFonts w:ascii="Cambria" w:hAnsi="Cambria" w:cs="Times New Roman"/>
          <w:sz w:val="24"/>
          <w:szCs w:val="24"/>
          <w:lang w:val="sr-Latn-BA"/>
        </w:rPr>
        <w:t>cijama.</w:t>
      </w:r>
    </w:p>
    <w:p w14:paraId="03EF7D8C" w14:textId="77777777" w:rsidR="0098086C" w:rsidRPr="003943B9" w:rsidRDefault="0098086C" w:rsidP="0098086C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BA"/>
        </w:rPr>
      </w:pPr>
    </w:p>
    <w:p w14:paraId="5692EB01" w14:textId="77777777" w:rsidR="00CD2AEF" w:rsidRDefault="00CD2AEF" w:rsidP="0098086C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BA"/>
        </w:rPr>
      </w:pPr>
    </w:p>
    <w:p w14:paraId="31537CB3" w14:textId="1A33F6E2" w:rsidR="00692621" w:rsidRPr="003943B9" w:rsidRDefault="00692621" w:rsidP="0098086C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eastAsia="Times New Roman" w:hAnsi="Cambria" w:cs="Times New Roman"/>
          <w:b/>
          <w:sz w:val="24"/>
          <w:szCs w:val="24"/>
          <w:lang w:val="sr-Latn-BA"/>
        </w:rPr>
        <w:t xml:space="preserve">IV.  </w:t>
      </w:r>
      <w:r w:rsidR="007E1CAE" w:rsidRPr="003943B9">
        <w:rPr>
          <w:rFonts w:ascii="Cambria" w:eastAsia="Times New Roman" w:hAnsi="Cambria" w:cs="Times New Roman"/>
          <w:b/>
          <w:sz w:val="24"/>
          <w:szCs w:val="24"/>
          <w:lang w:val="sr-Latn-BA"/>
        </w:rPr>
        <w:t>OBJAŠNJENJE OSNOVNIH PRAVNIH INSTITUTA</w:t>
      </w:r>
    </w:p>
    <w:p w14:paraId="0C769A42" w14:textId="03D1939F" w:rsidR="003D227A" w:rsidRPr="003943B9" w:rsidRDefault="003D227A" w:rsidP="003D227A">
      <w:pPr>
        <w:pStyle w:val="NormalWeb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b/>
          <w:bCs/>
          <w:lang w:val="sr-Latn-BA"/>
        </w:rPr>
        <w:t>Član 1</w:t>
      </w:r>
      <w:r w:rsidRPr="003943B9">
        <w:rPr>
          <w:rFonts w:ascii="Cambria" w:eastAsia="Calibri" w:hAnsi="Cambria"/>
          <w:lang w:val="sr-Latn-BA"/>
        </w:rPr>
        <w:t xml:space="preserve"> -</w:t>
      </w:r>
      <w:r w:rsidR="00181366" w:rsidRPr="003943B9">
        <w:rPr>
          <w:rFonts w:ascii="Cambria" w:eastAsia="Calibri" w:hAnsi="Cambria"/>
          <w:lang w:val="sr-Latn-BA"/>
        </w:rPr>
        <w:t>Ovim odredbama vrši se tehničko us</w:t>
      </w:r>
      <w:r w:rsidR="00971F49" w:rsidRPr="003943B9">
        <w:rPr>
          <w:rFonts w:ascii="Cambria" w:eastAsia="Calibri" w:hAnsi="Cambria"/>
          <w:lang w:val="sr-Latn-BA"/>
        </w:rPr>
        <w:t xml:space="preserve">klađivanje </w:t>
      </w:r>
      <w:r w:rsidR="00181366" w:rsidRPr="003943B9">
        <w:rPr>
          <w:rFonts w:ascii="Cambria" w:eastAsia="Calibri" w:hAnsi="Cambria"/>
          <w:lang w:val="sr-Latn-BA"/>
        </w:rPr>
        <w:t>naziva naknade</w:t>
      </w:r>
      <w:r w:rsidR="00971F49" w:rsidRPr="003943B9">
        <w:rPr>
          <w:rFonts w:ascii="Cambria" w:eastAsia="Calibri" w:hAnsi="Cambria"/>
          <w:lang w:val="sr-Latn-BA"/>
        </w:rPr>
        <w:t xml:space="preserve">, u smislu da se navede tačan naziv godišnje naknade pri registraciji drumskih motornih vozila, traktora, priključnih vozila i drugih drumskih vozila na motorni pogon, a koja je uvedena posebnim materijalnim propisom iz ove oblasti. </w:t>
      </w:r>
    </w:p>
    <w:p w14:paraId="3D088542" w14:textId="582145E4" w:rsidR="003D227A" w:rsidRPr="003943B9" w:rsidRDefault="003D227A" w:rsidP="003D227A">
      <w:pPr>
        <w:pStyle w:val="NormalWeb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hAnsi="Cambria"/>
          <w:b/>
          <w:bCs/>
          <w:color w:val="000000"/>
          <w:lang w:val="sr-Latn-BA"/>
        </w:rPr>
        <w:t xml:space="preserve">Član </w:t>
      </w:r>
      <w:r w:rsidR="000D0571">
        <w:rPr>
          <w:rFonts w:ascii="Cambria" w:hAnsi="Cambria"/>
          <w:b/>
          <w:bCs/>
          <w:color w:val="000000"/>
          <w:lang w:val="sr-Latn-BA"/>
        </w:rPr>
        <w:t>2</w:t>
      </w:r>
      <w:r w:rsidRPr="003943B9">
        <w:rPr>
          <w:rFonts w:ascii="Cambria" w:hAnsi="Cambria"/>
          <w:b/>
          <w:bCs/>
          <w:color w:val="000000"/>
          <w:lang w:val="sr-Latn-BA"/>
        </w:rPr>
        <w:t xml:space="preserve"> </w:t>
      </w:r>
      <w:r w:rsidR="00971F49" w:rsidRPr="003943B9">
        <w:rPr>
          <w:rFonts w:ascii="Cambria" w:hAnsi="Cambria"/>
          <w:b/>
          <w:bCs/>
          <w:color w:val="000000"/>
          <w:lang w:val="sr-Latn-BA"/>
        </w:rPr>
        <w:t>–</w:t>
      </w:r>
      <w:r w:rsidRPr="003943B9">
        <w:rPr>
          <w:rFonts w:ascii="Cambria" w:hAnsi="Cambria"/>
          <w:color w:val="000000"/>
          <w:lang w:val="sr-Latn-BA"/>
        </w:rPr>
        <w:t xml:space="preserve"> </w:t>
      </w:r>
      <w:r w:rsidR="00971F49" w:rsidRPr="003943B9">
        <w:rPr>
          <w:rFonts w:ascii="Cambria" w:hAnsi="Cambria"/>
          <w:color w:val="000000"/>
          <w:lang w:val="sr-Latn-BA"/>
        </w:rPr>
        <w:t>Odredbama ovog člana</w:t>
      </w:r>
      <w:r w:rsidRPr="003943B9">
        <w:rPr>
          <w:rFonts w:ascii="Cambria" w:eastAsia="Calibri" w:hAnsi="Cambria"/>
          <w:lang w:val="sr-Latn-BA"/>
        </w:rPr>
        <w:t xml:space="preserve"> uvodi se dodatni </w:t>
      </w:r>
      <w:r w:rsidR="00EE5EAA" w:rsidRPr="003943B9">
        <w:rPr>
          <w:rFonts w:ascii="Cambria" w:eastAsia="Calibri" w:hAnsi="Cambria"/>
          <w:lang w:val="sr-Latn-BA"/>
        </w:rPr>
        <w:t>kriterijum kao uslov</w:t>
      </w:r>
      <w:r w:rsidR="00971F49" w:rsidRPr="003943B9">
        <w:rPr>
          <w:rFonts w:ascii="Cambria" w:eastAsia="Calibri" w:hAnsi="Cambria"/>
          <w:lang w:val="sr-Latn-BA"/>
        </w:rPr>
        <w:t xml:space="preserve"> za ostvarivanje prava opština na korišćenje sredstava Egalizacionog fonda.</w:t>
      </w:r>
      <w:r w:rsidRPr="003943B9">
        <w:rPr>
          <w:rFonts w:ascii="Cambria" w:eastAsia="Calibri" w:hAnsi="Cambria"/>
          <w:lang w:val="sr-Latn-BA"/>
        </w:rPr>
        <w:t xml:space="preserve"> Naime, </w:t>
      </w:r>
      <w:r w:rsidR="00EE5EAA" w:rsidRPr="003943B9">
        <w:rPr>
          <w:rFonts w:ascii="Cambria" w:eastAsia="Calibri" w:hAnsi="Cambria"/>
          <w:lang w:val="sr-Latn-BA"/>
        </w:rPr>
        <w:t xml:space="preserve">predlaže se da se, pored stepena razvijenosti opštine, doda i </w:t>
      </w:r>
      <w:r w:rsidRPr="003943B9">
        <w:rPr>
          <w:rFonts w:ascii="Cambria" w:eastAsia="Calibri" w:hAnsi="Cambria"/>
          <w:lang w:val="sr-Latn-BA"/>
        </w:rPr>
        <w:t>novi</w:t>
      </w:r>
      <w:r w:rsidR="00971F49" w:rsidRPr="003943B9">
        <w:rPr>
          <w:rFonts w:ascii="Cambria" w:eastAsia="Calibri" w:hAnsi="Cambria"/>
          <w:lang w:val="sr-Latn-BA"/>
        </w:rPr>
        <w:t xml:space="preserve"> </w:t>
      </w:r>
      <w:r w:rsidR="00EE5EAA" w:rsidRPr="003943B9">
        <w:rPr>
          <w:rFonts w:ascii="Cambria" w:eastAsia="Calibri" w:hAnsi="Cambria"/>
          <w:lang w:val="sr-Latn-BA"/>
        </w:rPr>
        <w:t>kriterijum, odnosno da</w:t>
      </w:r>
      <w:r w:rsidR="00971F49" w:rsidRPr="003943B9">
        <w:rPr>
          <w:rFonts w:ascii="Cambria" w:eastAsia="Calibri" w:hAnsi="Cambria"/>
          <w:lang w:val="sr-Latn-BA"/>
        </w:rPr>
        <w:t xml:space="preserve"> </w:t>
      </w:r>
      <w:r w:rsidRPr="003943B9">
        <w:rPr>
          <w:rFonts w:ascii="Cambria" w:eastAsia="Calibri" w:hAnsi="Cambria"/>
          <w:lang w:val="sr-Latn-BA"/>
        </w:rPr>
        <w:t xml:space="preserve">učešće tekućih </w:t>
      </w:r>
      <w:r w:rsidRPr="003943B9">
        <w:rPr>
          <w:rFonts w:ascii="Cambria" w:eastAsia="Calibri" w:hAnsi="Cambria"/>
          <w:lang w:val="sr-Latn-BA"/>
        </w:rPr>
        <w:lastRenderedPageBreak/>
        <w:t xml:space="preserve">prihoda pojedine opštine bude ispod </w:t>
      </w:r>
      <w:r w:rsidR="00AA2D58">
        <w:rPr>
          <w:rFonts w:ascii="Cambria" w:eastAsia="Calibri" w:hAnsi="Cambria"/>
          <w:lang w:val="sr-Latn-BA"/>
        </w:rPr>
        <w:t xml:space="preserve">10% </w:t>
      </w:r>
      <w:r w:rsidRPr="003943B9">
        <w:rPr>
          <w:rFonts w:ascii="Cambria" w:eastAsia="Calibri" w:hAnsi="Cambria"/>
          <w:lang w:val="sr-Latn-BA"/>
        </w:rPr>
        <w:t xml:space="preserve">u ukupnim tekućim prihodima svih opština, </w:t>
      </w:r>
      <w:r w:rsidR="00EE5EAA" w:rsidRPr="003943B9">
        <w:rPr>
          <w:rFonts w:ascii="Cambria" w:eastAsia="Calibri" w:hAnsi="Cambria"/>
          <w:lang w:val="sr-Latn-BA"/>
        </w:rPr>
        <w:t>što ima za cilj</w:t>
      </w:r>
      <w:r w:rsidRPr="003943B9">
        <w:rPr>
          <w:rFonts w:ascii="Cambria" w:eastAsia="Calibri" w:hAnsi="Cambria"/>
          <w:lang w:val="sr-Latn-BA"/>
        </w:rPr>
        <w:t xml:space="preserve"> da se sredstva</w:t>
      </w:r>
      <w:r w:rsidR="00EE5EAA" w:rsidRPr="003943B9">
        <w:rPr>
          <w:rFonts w:ascii="Cambria" w:eastAsia="Calibri" w:hAnsi="Cambria"/>
          <w:lang w:val="sr-Latn-BA"/>
        </w:rPr>
        <w:t xml:space="preserve"> Egalizacionog fonda</w:t>
      </w:r>
      <w:r w:rsidRPr="003943B9">
        <w:rPr>
          <w:rFonts w:ascii="Cambria" w:eastAsia="Calibri" w:hAnsi="Cambria"/>
          <w:lang w:val="sr-Latn-BA"/>
        </w:rPr>
        <w:t xml:space="preserve"> usmjere na opštine koje su objektivno u nepovoljnijoj fiskalnoj poziciji, sa nižim kapacitetom za generisanje sopstvenih prihoda. Ovim se doprinosi efikasnijoj i pravičnijoj alokaciji sredstava, u skladu sa principima fiskalne ravnoteže, regionalne kohezije i održivosti lokalnih budžeta. Uvođenje dodatnog kriterijuma omogućava da se mehanizam Egalizacionog fonda fokusira na opštine kojima je takva vrsta podrške najpotrebnija, čime se jača transparentnost i svrhovitost sistema finansiranja lokalne samouprave.</w:t>
      </w:r>
    </w:p>
    <w:p w14:paraId="0AED000F" w14:textId="32BAD49B" w:rsidR="003D227A" w:rsidRPr="003943B9" w:rsidRDefault="003D227A" w:rsidP="003D227A">
      <w:pPr>
        <w:pStyle w:val="NormalWeb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b/>
          <w:bCs/>
          <w:lang w:val="sr-Latn-BA"/>
        </w:rPr>
        <w:t xml:space="preserve">Član </w:t>
      </w:r>
      <w:r w:rsidR="000D0571">
        <w:rPr>
          <w:rFonts w:ascii="Cambria" w:eastAsia="Calibri" w:hAnsi="Cambria"/>
          <w:b/>
          <w:bCs/>
          <w:lang w:val="sr-Latn-BA"/>
        </w:rPr>
        <w:t>3</w:t>
      </w:r>
      <w:r w:rsidRPr="003943B9">
        <w:rPr>
          <w:rFonts w:ascii="Cambria" w:eastAsia="Calibri" w:hAnsi="Cambria"/>
          <w:b/>
          <w:bCs/>
          <w:lang w:val="sr-Latn-BA"/>
        </w:rPr>
        <w:t xml:space="preserve"> </w:t>
      </w:r>
      <w:r w:rsidR="00EE5EAA" w:rsidRPr="003943B9">
        <w:rPr>
          <w:rFonts w:ascii="Cambria" w:eastAsia="Calibri" w:hAnsi="Cambria"/>
          <w:b/>
          <w:bCs/>
          <w:lang w:val="sr-Latn-BA"/>
        </w:rPr>
        <w:t>–</w:t>
      </w:r>
      <w:r w:rsidRPr="003943B9">
        <w:rPr>
          <w:rFonts w:ascii="Cambria" w:eastAsia="Calibri" w:hAnsi="Cambria"/>
          <w:lang w:val="sr-Latn-BA"/>
        </w:rPr>
        <w:t xml:space="preserve"> </w:t>
      </w:r>
      <w:r w:rsidR="00EE5EAA" w:rsidRPr="003943B9">
        <w:rPr>
          <w:rFonts w:ascii="Cambria" w:eastAsia="Calibri" w:hAnsi="Cambria"/>
          <w:lang w:val="sr-Latn-BA"/>
        </w:rPr>
        <w:t xml:space="preserve">Ovim odredbama </w:t>
      </w:r>
      <w:r w:rsidRPr="003943B9">
        <w:rPr>
          <w:rFonts w:ascii="Cambria" w:eastAsia="Calibri" w:hAnsi="Cambria"/>
          <w:lang w:val="sr-Latn-BA"/>
        </w:rPr>
        <w:t>redefiniše se procedura raspodjele sredstava</w:t>
      </w:r>
      <w:r w:rsidR="00EE5EAA" w:rsidRPr="003943B9">
        <w:rPr>
          <w:rFonts w:ascii="Cambria" w:eastAsia="Calibri" w:hAnsi="Cambria"/>
          <w:lang w:val="sr-Latn-BA"/>
        </w:rPr>
        <w:t xml:space="preserve"> opštinama</w:t>
      </w:r>
      <w:r w:rsidRPr="003943B9">
        <w:rPr>
          <w:rFonts w:ascii="Cambria" w:eastAsia="Calibri" w:hAnsi="Cambria"/>
          <w:lang w:val="sr-Latn-BA"/>
        </w:rPr>
        <w:t xml:space="preserve"> iz Egalizacionog fonda, u cilju povećanja transparentnosti, predvidivosti i efikasnosti ovog procesa. Ukinut je prethodni model akontativne isplate, koji je zahtijevao naknadna usklađivanja, čime se pojednostavljuje procedura, smanjuje administrativni teret i omogućava preciznije budžetsko planiranje i izvršavanje. Dodatno, ovakvo normativno rješenje doprinosi pravičnijoj i racionalnijoj raspodjeli sredstava, u skladu s definisanim kriterijumima.</w:t>
      </w:r>
    </w:p>
    <w:p w14:paraId="56FCE006" w14:textId="793E74AA" w:rsidR="00EE5EAA" w:rsidRPr="003943B9" w:rsidRDefault="00EE5EAA" w:rsidP="003D227A">
      <w:pPr>
        <w:pStyle w:val="NormalWeb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b/>
          <w:lang w:val="sr-Latn-BA"/>
        </w:rPr>
        <w:t xml:space="preserve">Član </w:t>
      </w:r>
      <w:r w:rsidR="000D0571">
        <w:rPr>
          <w:rFonts w:ascii="Cambria" w:eastAsia="Calibri" w:hAnsi="Cambria"/>
          <w:b/>
          <w:lang w:val="sr-Latn-BA"/>
        </w:rPr>
        <w:t>4</w:t>
      </w:r>
      <w:r w:rsidRPr="003943B9">
        <w:rPr>
          <w:rFonts w:ascii="Cambria" w:eastAsia="Calibri" w:hAnsi="Cambria"/>
          <w:lang w:val="sr-Latn-BA"/>
        </w:rPr>
        <w:t xml:space="preserve"> – Odredbama ovog člana predlaže se da se podzakonski akt koji se odnosi na bliži način raspodjele sredstava opštinama iz Egalizacionog fonda donese do kraja </w:t>
      </w:r>
      <w:r w:rsidR="003E55CA" w:rsidRPr="003943B9">
        <w:rPr>
          <w:rFonts w:ascii="Cambria" w:eastAsia="Calibri" w:hAnsi="Cambria"/>
          <w:lang w:val="sr-Latn-BA"/>
        </w:rPr>
        <w:t>oktobra 2025. godine čime bi se stvorio pravni osnov za implementaciju predloženih zakonskih rješenja.</w:t>
      </w:r>
    </w:p>
    <w:p w14:paraId="7408A160" w14:textId="08B78D91" w:rsidR="003E55CA" w:rsidRPr="003943B9" w:rsidRDefault="003E55CA" w:rsidP="003D227A">
      <w:pPr>
        <w:pStyle w:val="NormalWeb"/>
        <w:jc w:val="both"/>
        <w:rPr>
          <w:rFonts w:ascii="Cambria" w:eastAsia="Calibri" w:hAnsi="Cambria"/>
          <w:lang w:val="sr-Latn-BA"/>
        </w:rPr>
      </w:pPr>
      <w:r w:rsidRPr="003943B9">
        <w:rPr>
          <w:rFonts w:ascii="Cambria" w:eastAsia="Calibri" w:hAnsi="Cambria"/>
          <w:b/>
          <w:lang w:val="sr-Latn-BA"/>
        </w:rPr>
        <w:t xml:space="preserve">Član </w:t>
      </w:r>
      <w:r w:rsidR="000D0571">
        <w:rPr>
          <w:rFonts w:ascii="Cambria" w:eastAsia="Calibri" w:hAnsi="Cambria"/>
          <w:b/>
          <w:lang w:val="sr-Latn-BA"/>
        </w:rPr>
        <w:t>7</w:t>
      </w:r>
      <w:r w:rsidRPr="003943B9">
        <w:rPr>
          <w:rFonts w:ascii="Cambria" w:eastAsia="Calibri" w:hAnsi="Cambria"/>
          <w:lang w:val="sr-Latn-BA"/>
        </w:rPr>
        <w:t xml:space="preserve"> – Ovim odredbama predlaže se da predmetni zakon stupi na snagu danom objavljivanja, što podrazumjeva da se donese po hitnom postupku.</w:t>
      </w:r>
    </w:p>
    <w:p w14:paraId="74BCF672" w14:textId="77777777" w:rsidR="00B85615" w:rsidRPr="003943B9" w:rsidRDefault="00B85615" w:rsidP="0098086C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sz w:val="24"/>
          <w:szCs w:val="24"/>
          <w:lang w:val="sr-Latn-BA"/>
        </w:rPr>
      </w:pPr>
    </w:p>
    <w:p w14:paraId="73016FAE" w14:textId="77777777" w:rsidR="00692621" w:rsidRPr="003943B9" w:rsidRDefault="00692621" w:rsidP="0098086C">
      <w:pPr>
        <w:pStyle w:val="C30X"/>
        <w:spacing w:before="0" w:after="0"/>
        <w:ind w:firstLine="72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bCs w:val="0"/>
          <w:lang w:val="sr-Latn-BA"/>
        </w:rPr>
        <w:t xml:space="preserve">V. </w:t>
      </w:r>
      <w:r w:rsidR="007E1CAE" w:rsidRPr="003943B9">
        <w:rPr>
          <w:rFonts w:ascii="Cambria" w:hAnsi="Cambria"/>
          <w:bCs w:val="0"/>
          <w:lang w:val="sr-Latn-BA"/>
        </w:rPr>
        <w:t xml:space="preserve">PROCJENA </w:t>
      </w:r>
      <w:r w:rsidR="007E1CAE" w:rsidRPr="003943B9">
        <w:rPr>
          <w:rFonts w:ascii="Cambria" w:hAnsi="Cambria"/>
          <w:lang w:val="sr-Latn-BA"/>
        </w:rPr>
        <w:t>FINANSIJSKIH SREDSTVA ZA SPROVOĐENJE ZAKONA</w:t>
      </w:r>
    </w:p>
    <w:p w14:paraId="19266B10" w14:textId="77777777" w:rsidR="00692621" w:rsidRPr="003943B9" w:rsidRDefault="00692621" w:rsidP="0098086C">
      <w:pPr>
        <w:pStyle w:val="C30X"/>
        <w:spacing w:before="0" w:after="0"/>
        <w:jc w:val="both"/>
        <w:rPr>
          <w:rFonts w:ascii="Cambria" w:hAnsi="Cambria"/>
          <w:bCs w:val="0"/>
          <w:lang w:val="sr-Latn-BA"/>
        </w:rPr>
      </w:pPr>
    </w:p>
    <w:p w14:paraId="1B770A5D" w14:textId="4C5BEA29" w:rsidR="00CA54F9" w:rsidRPr="003943B9" w:rsidRDefault="00217D68" w:rsidP="0098086C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  <w:lang w:val="sr-Latn-BA"/>
        </w:rPr>
      </w:pPr>
      <w:r w:rsidRPr="003943B9">
        <w:rPr>
          <w:rFonts w:ascii="Cambria" w:hAnsi="Cambria" w:cs="Times New Roman"/>
          <w:bCs/>
          <w:sz w:val="24"/>
          <w:szCs w:val="24"/>
          <w:lang w:val="sr-Latn-BA"/>
        </w:rPr>
        <w:t>Za s</w:t>
      </w:r>
      <w:r w:rsidR="001E1A44" w:rsidRPr="003943B9">
        <w:rPr>
          <w:rFonts w:ascii="Cambria" w:hAnsi="Cambria" w:cs="Times New Roman"/>
          <w:bCs/>
          <w:sz w:val="24"/>
          <w:szCs w:val="24"/>
          <w:lang w:val="sr-Latn-BA"/>
        </w:rPr>
        <w:t>provođenje ovog zakona</w:t>
      </w:r>
      <w:r w:rsidRPr="003943B9">
        <w:rPr>
          <w:rFonts w:ascii="Cambria" w:hAnsi="Cambria" w:cs="Times New Roman"/>
          <w:bCs/>
          <w:sz w:val="24"/>
          <w:szCs w:val="24"/>
          <w:lang w:val="sr-Latn-BA"/>
        </w:rPr>
        <w:t xml:space="preserve"> nije potrebno obezbijediti dodatna sredstva iz budžeta </w:t>
      </w:r>
      <w:r w:rsidR="00146563" w:rsidRPr="003943B9">
        <w:rPr>
          <w:rFonts w:ascii="Cambria" w:hAnsi="Cambria" w:cs="Times New Roman"/>
          <w:bCs/>
          <w:sz w:val="24"/>
          <w:szCs w:val="24"/>
          <w:lang w:val="sr-Latn-BA"/>
        </w:rPr>
        <w:t>Crne Gore</w:t>
      </w:r>
      <w:r w:rsidRPr="003943B9">
        <w:rPr>
          <w:rFonts w:ascii="Cambria" w:hAnsi="Cambria" w:cs="Times New Roman"/>
          <w:bCs/>
          <w:sz w:val="24"/>
          <w:szCs w:val="24"/>
          <w:lang w:val="sr-Latn-BA"/>
        </w:rPr>
        <w:t>.</w:t>
      </w:r>
    </w:p>
    <w:p w14:paraId="76B0C5E8" w14:textId="6608C00D" w:rsidR="00CA54F9" w:rsidRPr="003943B9" w:rsidRDefault="00CA54F9" w:rsidP="00BE2909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Cs/>
          <w:sz w:val="24"/>
          <w:szCs w:val="24"/>
          <w:lang w:val="sr-Latn-BA"/>
        </w:rPr>
      </w:pPr>
      <w:r w:rsidRPr="003943B9">
        <w:rPr>
          <w:rFonts w:ascii="Cambria" w:hAnsi="Cambria" w:cs="Times New Roman"/>
          <w:bCs/>
          <w:sz w:val="24"/>
          <w:szCs w:val="24"/>
          <w:lang w:val="sr-Latn-BA"/>
        </w:rPr>
        <w:tab/>
      </w:r>
    </w:p>
    <w:p w14:paraId="700FE221" w14:textId="76A542C0" w:rsidR="00812067" w:rsidRPr="003943B9" w:rsidRDefault="00CA54F9" w:rsidP="0098086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hAnsi="Cambria" w:cs="Times New Roman"/>
          <w:b/>
          <w:bCs/>
          <w:sz w:val="24"/>
          <w:szCs w:val="24"/>
          <w:lang w:val="sr-Latn-BA"/>
        </w:rPr>
        <w:tab/>
      </w:r>
      <w:r w:rsidR="00812067" w:rsidRPr="003943B9">
        <w:rPr>
          <w:rFonts w:ascii="Cambria" w:hAnsi="Cambria" w:cs="Times New Roman"/>
          <w:b/>
          <w:bCs/>
          <w:sz w:val="24"/>
          <w:szCs w:val="24"/>
          <w:lang w:val="sr-Latn-BA"/>
        </w:rPr>
        <w:t xml:space="preserve">VI. </w:t>
      </w:r>
      <w:r w:rsidR="007E1CAE" w:rsidRPr="003943B9">
        <w:rPr>
          <w:rFonts w:ascii="Cambria" w:hAnsi="Cambria" w:cs="Times New Roman"/>
          <w:b/>
          <w:sz w:val="24"/>
          <w:szCs w:val="24"/>
          <w:lang w:val="sr-Latn-BA"/>
        </w:rPr>
        <w:t>RAZLOZI ZA DONOŠENJE ZAKONA PO HITNOM POSTUPKU</w:t>
      </w:r>
    </w:p>
    <w:p w14:paraId="2C630A52" w14:textId="77777777" w:rsidR="00812067" w:rsidRPr="003943B9" w:rsidRDefault="00812067" w:rsidP="0098086C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Latn-BA"/>
        </w:rPr>
      </w:pPr>
      <w:r w:rsidRPr="003943B9">
        <w:rPr>
          <w:rFonts w:ascii="Cambria" w:hAnsi="Cambria" w:cs="Times New Roman"/>
          <w:sz w:val="24"/>
          <w:szCs w:val="24"/>
          <w:lang w:val="sr-Latn-BA"/>
        </w:rPr>
        <w:tab/>
      </w:r>
    </w:p>
    <w:p w14:paraId="3CD25EA9" w14:textId="7CB140F8" w:rsidR="002B28E7" w:rsidRPr="003943B9" w:rsidRDefault="000D0571" w:rsidP="002B28E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  <w:lang w:val="sr-Latn-BA"/>
        </w:rPr>
      </w:pPr>
      <w:r>
        <w:rPr>
          <w:rFonts w:ascii="Cambria" w:hAnsi="Cambria" w:cs="Times New Roman"/>
          <w:bCs/>
          <w:sz w:val="24"/>
          <w:szCs w:val="24"/>
          <w:lang w:val="sr-Latn-BA"/>
        </w:rPr>
        <w:t>R</w:t>
      </w:r>
      <w:r w:rsidR="009038AC" w:rsidRPr="003943B9">
        <w:rPr>
          <w:rFonts w:ascii="Cambria" w:hAnsi="Cambria" w:cs="Times New Roman"/>
          <w:bCs/>
          <w:sz w:val="24"/>
          <w:szCs w:val="24"/>
          <w:lang w:val="sr-Latn-BA"/>
        </w:rPr>
        <w:t xml:space="preserve">azlog za donošenje ovog Zakona po hitnom postupku je stvaranje zakonskog osnova za </w:t>
      </w:r>
      <w:r w:rsidR="002B28E7" w:rsidRPr="003943B9">
        <w:rPr>
          <w:rFonts w:ascii="Cambria" w:hAnsi="Cambria" w:cs="Times New Roman"/>
          <w:bCs/>
          <w:sz w:val="24"/>
          <w:szCs w:val="24"/>
          <w:lang w:val="sr-Latn-BA"/>
        </w:rPr>
        <w:t>blagovremeno don</w:t>
      </w:r>
      <w:r w:rsidR="009038AC" w:rsidRPr="003943B9">
        <w:rPr>
          <w:rFonts w:ascii="Cambria" w:hAnsi="Cambria" w:cs="Times New Roman"/>
          <w:bCs/>
          <w:sz w:val="24"/>
          <w:szCs w:val="24"/>
          <w:lang w:val="sr-Latn-BA"/>
        </w:rPr>
        <w:t>ošenje Rješenja</w:t>
      </w:r>
      <w:r w:rsidR="002B28E7" w:rsidRPr="003943B9">
        <w:rPr>
          <w:rFonts w:ascii="Cambria" w:hAnsi="Cambria" w:cs="Times New Roman"/>
          <w:bCs/>
          <w:sz w:val="24"/>
          <w:szCs w:val="24"/>
          <w:lang w:val="sr-Latn-BA"/>
        </w:rPr>
        <w:t xml:space="preserve"> o raspodjeli sredstava Egalizacionog fonda opštinama</w:t>
      </w:r>
      <w:r>
        <w:rPr>
          <w:rFonts w:ascii="Cambria" w:hAnsi="Cambria" w:cs="Times New Roman"/>
          <w:bCs/>
          <w:sz w:val="24"/>
          <w:szCs w:val="24"/>
          <w:lang w:val="sr-Latn-BA"/>
        </w:rPr>
        <w:t>,</w:t>
      </w:r>
      <w:r w:rsidR="002B28E7" w:rsidRPr="003943B9">
        <w:rPr>
          <w:rFonts w:ascii="Cambria" w:hAnsi="Cambria" w:cs="Times New Roman"/>
          <w:bCs/>
          <w:sz w:val="24"/>
          <w:szCs w:val="24"/>
          <w:lang w:val="sr-Latn-BA"/>
        </w:rPr>
        <w:t xml:space="preserve"> korisnicama Fonda</w:t>
      </w:r>
      <w:r>
        <w:rPr>
          <w:rFonts w:ascii="Cambria" w:hAnsi="Cambria" w:cs="Times New Roman"/>
          <w:bCs/>
          <w:sz w:val="24"/>
          <w:szCs w:val="24"/>
          <w:lang w:val="sr-Latn-BA"/>
        </w:rPr>
        <w:t>,</w:t>
      </w:r>
      <w:r w:rsidR="002B28E7" w:rsidRPr="003943B9">
        <w:rPr>
          <w:rFonts w:ascii="Cambria" w:hAnsi="Cambria" w:cs="Times New Roman"/>
          <w:bCs/>
          <w:sz w:val="24"/>
          <w:szCs w:val="24"/>
          <w:lang w:val="sr-Latn-BA"/>
        </w:rPr>
        <w:t xml:space="preserve"> za 2026. godinu.</w:t>
      </w:r>
    </w:p>
    <w:p w14:paraId="18520D3F" w14:textId="7FB89D2A" w:rsidR="00BE2909" w:rsidRPr="003943B9" w:rsidRDefault="00BE2909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68724BC4" w14:textId="1A5B6913" w:rsidR="000D5A50" w:rsidRPr="003943B9" w:rsidRDefault="000D5A50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3FDACA7B" w14:textId="5926E241" w:rsidR="000D5A50" w:rsidRPr="003943B9" w:rsidRDefault="000D5A50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43C2C90E" w14:textId="37166CFF" w:rsidR="00D04F36" w:rsidRDefault="00D04F36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726032B3" w14:textId="6F85E27A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7E4E606C" w14:textId="1FD6040D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70662117" w14:textId="19105C4E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23B1D402" w14:textId="781F28FD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5E747110" w14:textId="34225618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244DA40C" w14:textId="519B2538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47EFAC69" w14:textId="50B61488" w:rsidR="000D0571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743E7DD2" w14:textId="77777777" w:rsidR="000D0571" w:rsidRPr="003943B9" w:rsidRDefault="000D0571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62CC34FF" w14:textId="77777777" w:rsidR="00BE2909" w:rsidRPr="003943B9" w:rsidRDefault="00BE2909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30683821" w14:textId="3A9F1C7E" w:rsidR="00A57AA9" w:rsidRPr="003943B9" w:rsidRDefault="00A57AA9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  <w:r w:rsidRPr="003943B9">
        <w:rPr>
          <w:rFonts w:ascii="Cambria" w:hAnsi="Cambria" w:cs="Times New Roman"/>
          <w:b/>
          <w:sz w:val="24"/>
          <w:szCs w:val="24"/>
          <w:lang w:val="sr-Latn-BA"/>
        </w:rPr>
        <w:lastRenderedPageBreak/>
        <w:t>PREGLED ODRED</w:t>
      </w:r>
      <w:r w:rsidR="00522EDD" w:rsidRPr="003943B9">
        <w:rPr>
          <w:rFonts w:ascii="Cambria" w:hAnsi="Cambria" w:cs="Times New Roman"/>
          <w:b/>
          <w:sz w:val="24"/>
          <w:szCs w:val="24"/>
          <w:lang w:val="sr-Latn-BA"/>
        </w:rPr>
        <w:t>B</w:t>
      </w:r>
      <w:r w:rsidR="000D0571">
        <w:rPr>
          <w:rFonts w:ascii="Cambria" w:hAnsi="Cambria" w:cs="Times New Roman"/>
          <w:b/>
          <w:sz w:val="24"/>
          <w:szCs w:val="24"/>
          <w:lang w:val="sr-Latn-BA"/>
        </w:rPr>
        <w:t>I</w:t>
      </w:r>
      <w:r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 ZAKONA O FINANSIRANJU LOKALNE SAMOUPRAVE ČIJ</w:t>
      </w:r>
      <w:r w:rsidR="000D15F9" w:rsidRPr="003943B9">
        <w:rPr>
          <w:rFonts w:ascii="Cambria" w:hAnsi="Cambria" w:cs="Times New Roman"/>
          <w:b/>
          <w:sz w:val="24"/>
          <w:szCs w:val="24"/>
          <w:lang w:val="sr-Latn-BA"/>
        </w:rPr>
        <w:t>E</w:t>
      </w:r>
      <w:r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 </w:t>
      </w:r>
      <w:r w:rsidR="00BA26C6"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SE </w:t>
      </w:r>
      <w:r w:rsidRPr="003943B9">
        <w:rPr>
          <w:rFonts w:ascii="Cambria" w:hAnsi="Cambria" w:cs="Times New Roman"/>
          <w:b/>
          <w:sz w:val="24"/>
          <w:szCs w:val="24"/>
          <w:lang w:val="sr-Latn-BA"/>
        </w:rPr>
        <w:t>IZMJEN</w:t>
      </w:r>
      <w:r w:rsidR="000D15F9" w:rsidRPr="003943B9">
        <w:rPr>
          <w:rFonts w:ascii="Cambria" w:hAnsi="Cambria" w:cs="Times New Roman"/>
          <w:b/>
          <w:sz w:val="24"/>
          <w:szCs w:val="24"/>
          <w:lang w:val="sr-Latn-BA"/>
        </w:rPr>
        <w:t>E</w:t>
      </w:r>
      <w:r w:rsidR="00146563" w:rsidRPr="003943B9">
        <w:rPr>
          <w:rFonts w:ascii="Cambria" w:hAnsi="Cambria" w:cs="Times New Roman"/>
          <w:b/>
          <w:sz w:val="24"/>
          <w:szCs w:val="24"/>
          <w:lang w:val="sr-Latn-BA"/>
        </w:rPr>
        <w:t xml:space="preserve"> </w:t>
      </w:r>
      <w:r w:rsidRPr="003943B9">
        <w:rPr>
          <w:rFonts w:ascii="Cambria" w:hAnsi="Cambria" w:cs="Times New Roman"/>
          <w:b/>
          <w:sz w:val="24"/>
          <w:szCs w:val="24"/>
          <w:lang w:val="sr-Latn-BA"/>
        </w:rPr>
        <w:t>PREDLAŽ</w:t>
      </w:r>
      <w:r w:rsidR="000D15F9" w:rsidRPr="003943B9">
        <w:rPr>
          <w:rFonts w:ascii="Cambria" w:hAnsi="Cambria" w:cs="Times New Roman"/>
          <w:b/>
          <w:sz w:val="24"/>
          <w:szCs w:val="24"/>
          <w:lang w:val="sr-Latn-BA"/>
        </w:rPr>
        <w:t>U</w:t>
      </w:r>
    </w:p>
    <w:p w14:paraId="4BF1687C" w14:textId="07423671" w:rsidR="00C2332D" w:rsidRPr="003943B9" w:rsidRDefault="00C2332D" w:rsidP="00263DD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Latn-BA"/>
        </w:rPr>
      </w:pPr>
    </w:p>
    <w:p w14:paraId="380DC0C3" w14:textId="6EE325EF" w:rsidR="00C2332D" w:rsidRPr="003943B9" w:rsidRDefault="00C2332D" w:rsidP="00C2332D">
      <w:pPr>
        <w:pStyle w:val="4clan"/>
        <w:jc w:val="center"/>
        <w:rPr>
          <w:rFonts w:ascii="Cambria" w:hAnsi="Cambria"/>
          <w:b/>
          <w:lang w:val="sr-Latn-BA"/>
        </w:rPr>
      </w:pPr>
      <w:r w:rsidRPr="003943B9">
        <w:rPr>
          <w:rFonts w:ascii="Cambria" w:hAnsi="Cambria"/>
          <w:b/>
          <w:lang w:val="sr-Latn-BA"/>
        </w:rPr>
        <w:t xml:space="preserve">Član 10 </w:t>
      </w:r>
      <w:r w:rsidRPr="003943B9">
        <w:rPr>
          <w:rFonts w:ascii="Tahoma" w:hAnsi="Tahoma" w:cs="Tahoma"/>
          <w:b/>
          <w:lang w:val="sr-Latn-BA"/>
        </w:rPr>
        <w:t>﻿</w:t>
      </w:r>
    </w:p>
    <w:p w14:paraId="02A8C4D2" w14:textId="77777777" w:rsidR="00C2332D" w:rsidRPr="003943B9" w:rsidRDefault="00C2332D" w:rsidP="000D0571">
      <w:pPr>
        <w:pStyle w:val="1tekst"/>
        <w:spacing w:before="0" w:beforeAutospacing="0" w:after="0" w:afterAutospacing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Zakonom ustupljeni prihodi opštine su prihodi od:</w:t>
      </w:r>
    </w:p>
    <w:p w14:paraId="1F9366CF" w14:textId="77777777" w:rsidR="00C2332D" w:rsidRPr="003943B9" w:rsidRDefault="00C2332D" w:rsidP="000D0571">
      <w:pPr>
        <w:pStyle w:val="1tekst"/>
        <w:spacing w:before="0" w:beforeAutospacing="0" w:after="0" w:afterAutospacing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1) poreza na dohodak fizičkih lica;</w:t>
      </w:r>
    </w:p>
    <w:p w14:paraId="74DBE7B8" w14:textId="77777777" w:rsidR="00C2332D" w:rsidRPr="003943B9" w:rsidRDefault="00C2332D" w:rsidP="000D0571">
      <w:pPr>
        <w:pStyle w:val="1tekst"/>
        <w:spacing w:before="0" w:beforeAutospacing="0" w:after="0" w:afterAutospacing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2) koncesionih i drugih naknada za korišćenje dobara od opšteg interesa koje dodjeljuje država, u skladu sa ovim zakonom;</w:t>
      </w:r>
    </w:p>
    <w:p w14:paraId="33556A7E" w14:textId="77777777" w:rsidR="00C2332D" w:rsidRPr="003943B9" w:rsidRDefault="00C2332D" w:rsidP="000D0571">
      <w:pPr>
        <w:pStyle w:val="1tekst"/>
        <w:spacing w:before="0" w:beforeAutospacing="0" w:after="0" w:afterAutospacing="0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3) godišnje naknade pri registraciji motornih vozila, traktora i priključnih vozila.</w:t>
      </w:r>
    </w:p>
    <w:p w14:paraId="57CE96FB" w14:textId="77777777" w:rsidR="00C2332D" w:rsidRPr="003943B9" w:rsidRDefault="00C2332D" w:rsidP="00C2332D">
      <w:pPr>
        <w:pStyle w:val="4clan"/>
        <w:jc w:val="center"/>
        <w:rPr>
          <w:rFonts w:ascii="Cambria" w:hAnsi="Cambria"/>
          <w:b/>
          <w:lang w:val="sr-Latn-BA"/>
        </w:rPr>
      </w:pPr>
      <w:r w:rsidRPr="003943B9">
        <w:rPr>
          <w:rFonts w:ascii="Cambria" w:hAnsi="Cambria"/>
          <w:b/>
          <w:lang w:val="sr-Latn-BA"/>
        </w:rPr>
        <w:t>Član 16</w:t>
      </w:r>
    </w:p>
    <w:p w14:paraId="2B82FF5D" w14:textId="77777777" w:rsidR="00C2332D" w:rsidRPr="003943B9" w:rsidRDefault="00C2332D" w:rsidP="00F00CC5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Opština, čiji je stepen razvijenosti ispod 100% prosječne vrijednosti indeksa razvijenosti utvrđenog u skladu sa zakonom kojim se uređuje regionalni razvoj, ima pravo na korišćenje sredstava Fonda za godinu za koju se vrši raspodjela sredstava Fonda.</w:t>
      </w:r>
    </w:p>
    <w:p w14:paraId="5B8B6701" w14:textId="7F02851D" w:rsidR="00C2332D" w:rsidRPr="003943B9" w:rsidRDefault="00C2332D" w:rsidP="00F00CC5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Izuzetno od stava 1 od ovog člana, Prijestonica, u skladu sa zakonom, nema pravo na korišćenje sredstava Fonda.</w:t>
      </w:r>
    </w:p>
    <w:p w14:paraId="2A2CF869" w14:textId="5E0EBD6D" w:rsidR="00CC59FB" w:rsidRPr="003943B9" w:rsidRDefault="00CC59FB" w:rsidP="0068581C">
      <w:pPr>
        <w:pStyle w:val="4clan"/>
        <w:jc w:val="center"/>
        <w:rPr>
          <w:rFonts w:ascii="Cambria" w:hAnsi="Cambria"/>
          <w:b/>
          <w:lang w:val="sr-Latn-BA"/>
        </w:rPr>
      </w:pPr>
      <w:r w:rsidRPr="003943B9">
        <w:rPr>
          <w:rFonts w:ascii="Cambria" w:hAnsi="Cambria"/>
          <w:b/>
          <w:lang w:val="sr-Latn-BA"/>
        </w:rPr>
        <w:t>Član 1</w:t>
      </w:r>
      <w:r w:rsidR="00C2332D" w:rsidRPr="003943B9">
        <w:rPr>
          <w:rFonts w:ascii="Cambria" w:hAnsi="Cambria"/>
          <w:b/>
          <w:lang w:val="sr-Latn-BA"/>
        </w:rPr>
        <w:t>9</w:t>
      </w:r>
      <w:r w:rsidRPr="003943B9">
        <w:rPr>
          <w:rFonts w:ascii="Cambria" w:hAnsi="Cambria"/>
          <w:b/>
          <w:lang w:val="sr-Latn-BA"/>
        </w:rPr>
        <w:t xml:space="preserve"> </w:t>
      </w:r>
      <w:r w:rsidRPr="003943B9">
        <w:rPr>
          <w:rFonts w:ascii="Tahoma" w:hAnsi="Tahoma" w:cs="Tahoma"/>
          <w:b/>
          <w:lang w:val="sr-Latn-BA"/>
        </w:rPr>
        <w:t>﻿</w:t>
      </w:r>
    </w:p>
    <w:p w14:paraId="21EF3386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Sredstva Fonda dodjeljuju se opštinama tokom godine, kao mjesečne akontacije i po isteku godine, po konačnoj raspodjeli.</w:t>
      </w:r>
    </w:p>
    <w:p w14:paraId="70984F27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Opštinama se, tokom godine, sredstva dodjeljuju akontativno u visini od 90% raspoloživih sredstava Fonda.</w:t>
      </w:r>
    </w:p>
    <w:p w14:paraId="1E218335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Plan akontativne raspodjele sredstava Fonda za narednu godinu donosi se do kraja oktobra tekuće za narednu godinu.</w:t>
      </w:r>
    </w:p>
    <w:p w14:paraId="06B33B6F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Konačna raspodjela sredstava Fonda za prethodnu godinu vrši se do kraja marta tekuće godine.</w:t>
      </w:r>
    </w:p>
    <w:p w14:paraId="24FBC720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O raspodjeli sredstava iz st. 3 i 4 ovog člana odlučuje Ministarstvo.</w:t>
      </w:r>
    </w:p>
    <w:p w14:paraId="6A12DA22" w14:textId="77777777" w:rsidR="00C2332D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Akti o raspodjeli sredstava iz stava 5 ovog člana objavljuju se u "Službenom listu Crne Gore".</w:t>
      </w:r>
    </w:p>
    <w:p w14:paraId="1C019396" w14:textId="452D0782" w:rsidR="00A50F47" w:rsidRPr="003943B9" w:rsidRDefault="00C2332D" w:rsidP="000D0571">
      <w:pPr>
        <w:pStyle w:val="1tekst"/>
        <w:spacing w:before="0" w:beforeAutospacing="0" w:after="0" w:afterAutospacing="0"/>
        <w:jc w:val="both"/>
        <w:rPr>
          <w:rFonts w:ascii="Cambria" w:hAnsi="Cambria"/>
          <w:lang w:val="sr-Latn-BA"/>
        </w:rPr>
      </w:pPr>
      <w:r w:rsidRPr="003943B9">
        <w:rPr>
          <w:rFonts w:ascii="Cambria" w:hAnsi="Cambria"/>
          <w:lang w:val="sr-Latn-BA"/>
        </w:rPr>
        <w:t>Bliži način raspodjele sredstava Fonda, kao i način korišćenja neraspoređenih sredstava Fonda propisuje Ministarstvo.</w:t>
      </w:r>
    </w:p>
    <w:sectPr w:rsidR="00A50F47" w:rsidRPr="003943B9" w:rsidSect="00D04F36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C2F"/>
    <w:multiLevelType w:val="hybridMultilevel"/>
    <w:tmpl w:val="509E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2E17"/>
    <w:multiLevelType w:val="hybridMultilevel"/>
    <w:tmpl w:val="95985F9E"/>
    <w:lvl w:ilvl="0" w:tplc="994A5064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A71E37"/>
    <w:multiLevelType w:val="hybridMultilevel"/>
    <w:tmpl w:val="A776D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460CD6"/>
    <w:multiLevelType w:val="hybridMultilevel"/>
    <w:tmpl w:val="F7BA4D0A"/>
    <w:lvl w:ilvl="0" w:tplc="BE960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30"/>
    <w:rsid w:val="00015BCE"/>
    <w:rsid w:val="00033672"/>
    <w:rsid w:val="0004108E"/>
    <w:rsid w:val="000A709F"/>
    <w:rsid w:val="000D0571"/>
    <w:rsid w:val="000D15F9"/>
    <w:rsid w:val="000D5A50"/>
    <w:rsid w:val="000F13CC"/>
    <w:rsid w:val="0012635D"/>
    <w:rsid w:val="00135275"/>
    <w:rsid w:val="001414C6"/>
    <w:rsid w:val="00146563"/>
    <w:rsid w:val="00177BAB"/>
    <w:rsid w:val="00181366"/>
    <w:rsid w:val="001826BB"/>
    <w:rsid w:val="00186495"/>
    <w:rsid w:val="001A1676"/>
    <w:rsid w:val="001E1A44"/>
    <w:rsid w:val="001E211D"/>
    <w:rsid w:val="001E7219"/>
    <w:rsid w:val="001F5796"/>
    <w:rsid w:val="001F5D1C"/>
    <w:rsid w:val="001F712C"/>
    <w:rsid w:val="00202B42"/>
    <w:rsid w:val="00206438"/>
    <w:rsid w:val="00217D68"/>
    <w:rsid w:val="0022108A"/>
    <w:rsid w:val="00231969"/>
    <w:rsid w:val="002319B6"/>
    <w:rsid w:val="00241F26"/>
    <w:rsid w:val="00263DDA"/>
    <w:rsid w:val="00277826"/>
    <w:rsid w:val="0029723A"/>
    <w:rsid w:val="002B28E7"/>
    <w:rsid w:val="002B4370"/>
    <w:rsid w:val="002D007E"/>
    <w:rsid w:val="002D54AA"/>
    <w:rsid w:val="002E43CC"/>
    <w:rsid w:val="002E58B1"/>
    <w:rsid w:val="003029F1"/>
    <w:rsid w:val="00311A7F"/>
    <w:rsid w:val="003130C9"/>
    <w:rsid w:val="0032649F"/>
    <w:rsid w:val="00330662"/>
    <w:rsid w:val="00335C33"/>
    <w:rsid w:val="00337F35"/>
    <w:rsid w:val="00343830"/>
    <w:rsid w:val="00354430"/>
    <w:rsid w:val="0036707D"/>
    <w:rsid w:val="0038779C"/>
    <w:rsid w:val="003943B9"/>
    <w:rsid w:val="003A18F6"/>
    <w:rsid w:val="003D227A"/>
    <w:rsid w:val="003E55CA"/>
    <w:rsid w:val="003F4A88"/>
    <w:rsid w:val="003F7EBB"/>
    <w:rsid w:val="004055C4"/>
    <w:rsid w:val="00406708"/>
    <w:rsid w:val="004306E7"/>
    <w:rsid w:val="004555EC"/>
    <w:rsid w:val="004621A3"/>
    <w:rsid w:val="00471181"/>
    <w:rsid w:val="004857D0"/>
    <w:rsid w:val="004A4B4B"/>
    <w:rsid w:val="004A6929"/>
    <w:rsid w:val="004C4579"/>
    <w:rsid w:val="004E5C22"/>
    <w:rsid w:val="00522EDD"/>
    <w:rsid w:val="00522F27"/>
    <w:rsid w:val="00530563"/>
    <w:rsid w:val="00544762"/>
    <w:rsid w:val="005518A1"/>
    <w:rsid w:val="0055277A"/>
    <w:rsid w:val="00584F2E"/>
    <w:rsid w:val="005B28BB"/>
    <w:rsid w:val="005B4DC7"/>
    <w:rsid w:val="005C2EF2"/>
    <w:rsid w:val="005C3E95"/>
    <w:rsid w:val="005C5FF5"/>
    <w:rsid w:val="005E7544"/>
    <w:rsid w:val="00605703"/>
    <w:rsid w:val="00632DE3"/>
    <w:rsid w:val="00643AF0"/>
    <w:rsid w:val="0065061E"/>
    <w:rsid w:val="00655A8C"/>
    <w:rsid w:val="00662973"/>
    <w:rsid w:val="00665BC5"/>
    <w:rsid w:val="0068581C"/>
    <w:rsid w:val="00687CB7"/>
    <w:rsid w:val="00692621"/>
    <w:rsid w:val="006A0D8F"/>
    <w:rsid w:val="006C0C79"/>
    <w:rsid w:val="006C1246"/>
    <w:rsid w:val="006C666C"/>
    <w:rsid w:val="0070345B"/>
    <w:rsid w:val="00717033"/>
    <w:rsid w:val="007324C3"/>
    <w:rsid w:val="00733857"/>
    <w:rsid w:val="00764E23"/>
    <w:rsid w:val="0076540B"/>
    <w:rsid w:val="00773478"/>
    <w:rsid w:val="00787F0B"/>
    <w:rsid w:val="00792C35"/>
    <w:rsid w:val="007A02F8"/>
    <w:rsid w:val="007A6D39"/>
    <w:rsid w:val="007A74A7"/>
    <w:rsid w:val="007D44FA"/>
    <w:rsid w:val="007E1CAE"/>
    <w:rsid w:val="007E2CB3"/>
    <w:rsid w:val="007E737E"/>
    <w:rsid w:val="007F05F1"/>
    <w:rsid w:val="00812067"/>
    <w:rsid w:val="00824896"/>
    <w:rsid w:val="00826127"/>
    <w:rsid w:val="008542A8"/>
    <w:rsid w:val="008751E4"/>
    <w:rsid w:val="00880490"/>
    <w:rsid w:val="008811C1"/>
    <w:rsid w:val="00891C28"/>
    <w:rsid w:val="008A768A"/>
    <w:rsid w:val="008E548D"/>
    <w:rsid w:val="008E5BE3"/>
    <w:rsid w:val="009038AC"/>
    <w:rsid w:val="009306BA"/>
    <w:rsid w:val="0094483D"/>
    <w:rsid w:val="00971F49"/>
    <w:rsid w:val="0097271A"/>
    <w:rsid w:val="0098086C"/>
    <w:rsid w:val="0098654D"/>
    <w:rsid w:val="0099541B"/>
    <w:rsid w:val="009D34ED"/>
    <w:rsid w:val="009D5EDC"/>
    <w:rsid w:val="00A01C8C"/>
    <w:rsid w:val="00A07898"/>
    <w:rsid w:val="00A07EB0"/>
    <w:rsid w:val="00A36B81"/>
    <w:rsid w:val="00A42053"/>
    <w:rsid w:val="00A43C39"/>
    <w:rsid w:val="00A50F47"/>
    <w:rsid w:val="00A57AA9"/>
    <w:rsid w:val="00A63FF7"/>
    <w:rsid w:val="00A818CC"/>
    <w:rsid w:val="00A85177"/>
    <w:rsid w:val="00A908E6"/>
    <w:rsid w:val="00A93EF2"/>
    <w:rsid w:val="00AA2D58"/>
    <w:rsid w:val="00AA40CA"/>
    <w:rsid w:val="00AB2F20"/>
    <w:rsid w:val="00AC5055"/>
    <w:rsid w:val="00AD080A"/>
    <w:rsid w:val="00AD08E7"/>
    <w:rsid w:val="00AD1DB7"/>
    <w:rsid w:val="00AD371C"/>
    <w:rsid w:val="00AE6322"/>
    <w:rsid w:val="00B10FCF"/>
    <w:rsid w:val="00B308B4"/>
    <w:rsid w:val="00B57B3E"/>
    <w:rsid w:val="00B61653"/>
    <w:rsid w:val="00B85615"/>
    <w:rsid w:val="00B865BD"/>
    <w:rsid w:val="00BA26C6"/>
    <w:rsid w:val="00BD7B74"/>
    <w:rsid w:val="00BE2909"/>
    <w:rsid w:val="00BE53E9"/>
    <w:rsid w:val="00BE7ECA"/>
    <w:rsid w:val="00C06502"/>
    <w:rsid w:val="00C22F78"/>
    <w:rsid w:val="00C2332D"/>
    <w:rsid w:val="00C35B04"/>
    <w:rsid w:val="00C45E04"/>
    <w:rsid w:val="00C74544"/>
    <w:rsid w:val="00C913BC"/>
    <w:rsid w:val="00CA54F9"/>
    <w:rsid w:val="00CA5853"/>
    <w:rsid w:val="00CC59FB"/>
    <w:rsid w:val="00CC79AF"/>
    <w:rsid w:val="00CD2AEF"/>
    <w:rsid w:val="00CD64C9"/>
    <w:rsid w:val="00D04F36"/>
    <w:rsid w:val="00D246FF"/>
    <w:rsid w:val="00D30946"/>
    <w:rsid w:val="00D43308"/>
    <w:rsid w:val="00D507A5"/>
    <w:rsid w:val="00D702F3"/>
    <w:rsid w:val="00D85E78"/>
    <w:rsid w:val="00DA7679"/>
    <w:rsid w:val="00DB01C9"/>
    <w:rsid w:val="00DC74C1"/>
    <w:rsid w:val="00E307E5"/>
    <w:rsid w:val="00E42558"/>
    <w:rsid w:val="00E52C41"/>
    <w:rsid w:val="00E765C1"/>
    <w:rsid w:val="00EA727B"/>
    <w:rsid w:val="00EB6984"/>
    <w:rsid w:val="00EE1691"/>
    <w:rsid w:val="00EE5292"/>
    <w:rsid w:val="00EE5EAA"/>
    <w:rsid w:val="00EF6443"/>
    <w:rsid w:val="00F00CC5"/>
    <w:rsid w:val="00F048A8"/>
    <w:rsid w:val="00F1161C"/>
    <w:rsid w:val="00F11667"/>
    <w:rsid w:val="00F4438C"/>
    <w:rsid w:val="00F96C1F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35E6"/>
  <w15:chartTrackingRefBased/>
  <w15:docId w15:val="{DC8325C7-CE89-421F-A9F5-77523198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8542A8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C30X">
    <w:name w:val="C30X"/>
    <w:basedOn w:val="Normal"/>
    <w:uiPriority w:val="99"/>
    <w:rsid w:val="008542A8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N02Y">
    <w:name w:val="N02Y"/>
    <w:basedOn w:val="Normal"/>
    <w:uiPriority w:val="99"/>
    <w:rsid w:val="008542A8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customStyle="1" w:styleId="T30X">
    <w:name w:val="T30X"/>
    <w:basedOn w:val="Normal"/>
    <w:uiPriority w:val="99"/>
    <w:rsid w:val="008542A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  <w:style w:type="paragraph" w:styleId="PlainText">
    <w:name w:val="Plain Text"/>
    <w:basedOn w:val="Normal"/>
    <w:link w:val="PlainTextChar1"/>
    <w:uiPriority w:val="99"/>
    <w:unhideWhenUsed/>
    <w:rsid w:val="00692621"/>
    <w:pPr>
      <w:spacing w:after="0" w:line="240" w:lineRule="auto"/>
    </w:pPr>
    <w:rPr>
      <w:rFonts w:ascii="Consolas" w:eastAsia="Calibri" w:hAnsi="Consolas" w:cs="Times New Roman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692621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692621"/>
    <w:rPr>
      <w:rFonts w:ascii="Consolas" w:eastAsia="Calibri" w:hAnsi="Consolas" w:cs="Times New Roman"/>
      <w:lang w:val="en-US"/>
    </w:rPr>
  </w:style>
  <w:style w:type="paragraph" w:styleId="NoSpacing">
    <w:name w:val="No Spacing"/>
    <w:link w:val="NoSpacingChar"/>
    <w:uiPriority w:val="1"/>
    <w:qFormat/>
    <w:rsid w:val="0069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9262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C9"/>
    <w:rPr>
      <w:rFonts w:ascii="Segoe UI" w:hAnsi="Segoe UI" w:cs="Segoe UI"/>
      <w:sz w:val="18"/>
      <w:szCs w:val="18"/>
    </w:rPr>
  </w:style>
  <w:style w:type="paragraph" w:customStyle="1" w:styleId="7podnas">
    <w:name w:val="_7podnas"/>
    <w:basedOn w:val="Normal"/>
    <w:rsid w:val="0020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clan">
    <w:name w:val="_4clan"/>
    <w:basedOn w:val="Normal"/>
    <w:rsid w:val="0020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20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podpodnas">
    <w:name w:val="_8podpodnas"/>
    <w:basedOn w:val="Normal"/>
    <w:rsid w:val="0020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">
    <w:name w:val="ball"/>
    <w:basedOn w:val="DefaultParagraphFont"/>
    <w:rsid w:val="00202B42"/>
  </w:style>
  <w:style w:type="character" w:customStyle="1" w:styleId="vidividi">
    <w:name w:val="vidi_vidi"/>
    <w:basedOn w:val="DefaultParagraphFont"/>
    <w:rsid w:val="00202B42"/>
  </w:style>
  <w:style w:type="character" w:styleId="Hyperlink">
    <w:name w:val="Hyperlink"/>
    <w:basedOn w:val="DefaultParagraphFont"/>
    <w:uiPriority w:val="99"/>
    <w:semiHidden/>
    <w:unhideWhenUsed/>
    <w:rsid w:val="00202B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5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E0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D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BB23-184A-46D4-A032-125CE755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Radovic</dc:creator>
  <cp:keywords/>
  <dc:description/>
  <cp:lastModifiedBy>Sneza Mugosa</cp:lastModifiedBy>
  <cp:revision>3</cp:revision>
  <cp:lastPrinted>2025-07-18T05:39:00Z</cp:lastPrinted>
  <dcterms:created xsi:type="dcterms:W3CDTF">2025-07-18T05:17:00Z</dcterms:created>
  <dcterms:modified xsi:type="dcterms:W3CDTF">2025-07-18T05:40:00Z</dcterms:modified>
</cp:coreProperties>
</file>