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F11C7">
      <w:pPr>
        <w:pStyle w:val="1tekst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Na osnovu člana 95 tačka 3 Ustava Crne Gore donosim</w:t>
      </w:r>
    </w:p>
    <w:p w:rsidR="00000000" w:rsidRDefault="009F11C7">
      <w:pPr>
        <w:pStyle w:val="2zakon"/>
        <w:rPr>
          <w:rFonts w:ascii="Roboto" w:hAnsi="Roboto"/>
        </w:rPr>
      </w:pPr>
      <w:r>
        <w:rPr>
          <w:rFonts w:ascii="Roboto" w:hAnsi="Roboto"/>
        </w:rPr>
        <w:t>Ukaz o proglašenju Zakona o porezu na kafu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Proglašavam </w:t>
      </w:r>
      <w:r>
        <w:rPr>
          <w:rFonts w:ascii="Roboto" w:hAnsi="Roboto"/>
          <w:b/>
          <w:bCs/>
        </w:rPr>
        <w:t>Zakon o porezu na kafu</w:t>
      </w:r>
      <w:r>
        <w:rPr>
          <w:rFonts w:ascii="Roboto" w:hAnsi="Roboto"/>
        </w:rPr>
        <w:t xml:space="preserve">, koji je donijela Skupština Crne Gore 25. saziva, na sjednici prvog vanrednog zasijedanja u 2015. </w:t>
      </w:r>
      <w:r>
        <w:rPr>
          <w:rFonts w:ascii="Roboto" w:hAnsi="Roboto"/>
        </w:rPr>
        <w:t>godini, dana 17. februara 2015. godine.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Broj: 01-197/2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24. februara 2015. godine</w:t>
      </w:r>
    </w:p>
    <w:p w:rsidR="00000000" w:rsidRDefault="009F11C7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Predsjednik Crne Gore,</w:t>
      </w:r>
    </w:p>
    <w:p w:rsidR="00000000" w:rsidRDefault="009F11C7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Filip Vujanović</w:t>
      </w:r>
      <w:r>
        <w:rPr>
          <w:rFonts w:ascii="Roboto" w:hAnsi="Roboto"/>
        </w:rPr>
        <w:t>, s.r.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Na osnovu člana 82 tačka 2 Ustava Crne Gore i Amandmana IV stav 1 na Ustav Crne Gore, Skupština Crne Gore 25. saziva, n</w:t>
      </w:r>
      <w:r>
        <w:rPr>
          <w:rFonts w:ascii="Roboto" w:hAnsi="Roboto"/>
        </w:rPr>
        <w:t>a sjednici prvog vanrednog zasijedanja u 2015. godini, dana 17. februara 2015. godine, donijela je</w:t>
      </w:r>
    </w:p>
    <w:p w:rsidR="00000000" w:rsidRDefault="009F11C7">
      <w:pPr>
        <w:pStyle w:val="2zakon"/>
        <w:rPr>
          <w:rFonts w:ascii="Roboto" w:hAnsi="Roboto"/>
        </w:rPr>
      </w:pPr>
      <w:r>
        <w:rPr>
          <w:rFonts w:ascii="Roboto" w:hAnsi="Roboto"/>
        </w:rPr>
        <w:t>Zakon o porezu na kafu</w:t>
      </w:r>
    </w:p>
    <w:p w:rsidR="00000000" w:rsidRDefault="009F11C7">
      <w:pPr>
        <w:pStyle w:val="3mesto"/>
        <w:rPr>
          <w:rFonts w:ascii="Roboto" w:hAnsi="Roboto"/>
        </w:rPr>
      </w:pPr>
      <w:r>
        <w:rPr>
          <w:rFonts w:ascii="Roboto" w:hAnsi="Roboto"/>
        </w:rPr>
        <w:t>Zakon je objavljen u "Službenom listu CG", br. 8/2015 od 27.2.2015. godine, a stupio je na snagu 28.2.2015.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Predmet</w:t>
      </w:r>
    </w:p>
    <w:p w:rsidR="00000000" w:rsidRDefault="009F11C7">
      <w:pPr>
        <w:jc w:val="center"/>
        <w:divId w:val="122795567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Ovim zakono</w:t>
      </w:r>
      <w:r>
        <w:rPr>
          <w:rFonts w:ascii="Roboto" w:hAnsi="Roboto"/>
        </w:rPr>
        <w:t>m uvodi se obaveza plaćanja poreza na kafu koja se na teritoriji Crne Gore stavlja u slobodan promet.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Pripadnost prihoda</w:t>
      </w:r>
    </w:p>
    <w:p w:rsidR="00000000" w:rsidRDefault="009F11C7">
      <w:pPr>
        <w:jc w:val="center"/>
        <w:divId w:val="188693939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Prihodi od poreza na kafu pripadaju budžetu Crne Gore.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Predmet oporezivanja</w:t>
      </w:r>
    </w:p>
    <w:p w:rsidR="00000000" w:rsidRDefault="009F11C7">
      <w:pPr>
        <w:jc w:val="center"/>
        <w:divId w:val="149240637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Predmet oporezivanja je kafa koja se uvoz</w:t>
      </w:r>
      <w:r>
        <w:rPr>
          <w:rFonts w:ascii="Roboto" w:hAnsi="Roboto"/>
        </w:rPr>
        <w:t>i ili proizvodi na teritoriji Crne Gore.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(2) Porez na kafu se plaća na: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1) prženu kafu iz tarifne oznake Carinske tarife (u daljem tekstu: tarifne oznake) 0901 21 i 0901 22;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2) neprženu kafu iz tarifne oznake 0901 11 i 0901 12;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3) ljuspice i opne od kafe i</w:t>
      </w:r>
      <w:r>
        <w:rPr>
          <w:rFonts w:ascii="Roboto" w:hAnsi="Roboto"/>
        </w:rPr>
        <w:t>z tarifne oznake 0901 90 10;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4) ekstrakte, esencije i koncentrate od kafe iz tarifne oznake 2101 11;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5) zamjene kafe koje sadrže kafu iz tarifne oznake 0901 90 90;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6) preparate na bazi ekstrakata, esencija i koncentrata od kafe ili na bazi kafe iz tarifnih</w:t>
      </w:r>
      <w:r>
        <w:rPr>
          <w:rFonts w:ascii="Roboto" w:hAnsi="Roboto"/>
        </w:rPr>
        <w:t xml:space="preserve"> oznaka 2101 12;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7) napitke i bezalkoholna pića koji sadrže kafu, ekstrakte, esencije i koncentrate od kafe iz tarifne oznake 2202.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 xml:space="preserve">(3) Pod proizvodnjom kafe iz stava 1 ovog člana, smatra se </w:t>
      </w:r>
      <w:r>
        <w:rPr>
          <w:rFonts w:ascii="Roboto" w:hAnsi="Roboto"/>
        </w:rPr>
        <w:t>prerada, prženje, pakovanje, kao i druge sa njima povezane radnje koje se koriste u svrhe proizvodnje kafe.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(4) Kafom se, u smislu ovog zakona, ne smatra čokolada i proizvodi slični čokoladi, krem proizvodi, bombonski proizvodi, pekarski proizvodi, praškov</w:t>
      </w:r>
      <w:r>
        <w:rPr>
          <w:rFonts w:ascii="Roboto" w:hAnsi="Roboto"/>
        </w:rPr>
        <w:t>i za pudinge i kreme sa dodatkom kafe.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Poreski obveznik i poresko skladište</w:t>
      </w:r>
    </w:p>
    <w:p w:rsidR="00000000" w:rsidRDefault="009F11C7">
      <w:pPr>
        <w:jc w:val="center"/>
        <w:divId w:val="76927840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Obveznik poreza na kafu je pravno ili fizičko lice, odnosno preduzetnik koje u poreskom skladištu proizvodi kafu (u daljem tekstu: proizvođač kafe), odnosno lice koje uv</w:t>
      </w:r>
      <w:r>
        <w:rPr>
          <w:rFonts w:ascii="Roboto" w:hAnsi="Roboto"/>
        </w:rPr>
        <w:t>ozi kafu na teritoriji Crne Gore.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Poreskim skladištem, iz stava 1 ovog člana, smatraju se pogoni i postrojenja za proizvodnju kafe, skladišta za sastojke namijenjene za proizvodnju kafe, kao i druge sa njima povezane površine i uređaje koji se koriste </w:t>
      </w:r>
      <w:r>
        <w:rPr>
          <w:rFonts w:ascii="Roboto" w:hAnsi="Roboto"/>
        </w:rPr>
        <w:t>u svrhe proizvodnje kafe.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Poreski obveznik iz stava 1 ovog člana, dužan je da organu uprave nadležnom za poslove carina (u daljem tekstu: nadležni carinski organ), najkasnije u roku od deset dana prije početka obavljanja djelatnosti proizvodnje, odnosn</w:t>
      </w:r>
      <w:r>
        <w:rPr>
          <w:rFonts w:ascii="Roboto" w:hAnsi="Roboto"/>
        </w:rPr>
        <w:t>o uvoza kafe, podnese prijavu za upis u registar obveznika poreza na kafu (u daljem tekstu: Registar).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(4) Oblik i sadržinu prijave za upis kao i način prijavljivanja u Registar, kao i bliži postupak utvrđivanja visine i vrste instrumenata osiguranja plaća</w:t>
      </w:r>
      <w:r>
        <w:rPr>
          <w:rFonts w:ascii="Roboto" w:hAnsi="Roboto"/>
        </w:rPr>
        <w:t>nja poreza na kafu, propisuje organ državne uprave nadležan za poslove finansija (u daljem tekstu: Ministarstvo finansija).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Poreska osnovica i visina poreza</w:t>
      </w:r>
    </w:p>
    <w:p w:rsidR="00000000" w:rsidRDefault="009F11C7">
      <w:pPr>
        <w:jc w:val="center"/>
        <w:divId w:val="141289107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Porez na kafu iz člana 3 stav 2 tač. 1 do 4 ovog zakona plaća se po jednom kilogramu net</w:t>
      </w:r>
      <w:r>
        <w:rPr>
          <w:rFonts w:ascii="Roboto" w:hAnsi="Roboto"/>
        </w:rPr>
        <w:t>o mase kafe, i to za: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1) neprženu kafu - 1,00 Eura;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2) prženu kafu - 0,80 Eura;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3) ljuspice i opne od kafe - 1,00 Eura;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4) ekstrakte, esencije i koncentrati od kafe - 1,30 Eura.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Porez na kafu iz člana 3 stav 2 tač. 5 do 7 ovog zakona plaća se u visini </w:t>
      </w:r>
      <w:r>
        <w:rPr>
          <w:rFonts w:ascii="Roboto" w:hAnsi="Roboto"/>
        </w:rPr>
        <w:t>od 2,50 Eura za jedan kilogram neto mase kafe sadržane u gotovom proizvodu.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Nastanak i način obračuna poreske obaveze</w:t>
      </w:r>
    </w:p>
    <w:p w:rsidR="00000000" w:rsidRDefault="009F11C7">
      <w:pPr>
        <w:jc w:val="center"/>
        <w:divId w:val="69287934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Obaveza obračunavanja poreza na kafu iz člana 3 stav 2 ovog zakona nastaje: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1) prilikom uvoza,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2) u trenutku otpremanja kafe iz</w:t>
      </w:r>
      <w:r>
        <w:rPr>
          <w:rFonts w:ascii="Roboto" w:hAnsi="Roboto"/>
        </w:rPr>
        <w:t xml:space="preserve"> poreskog skladišta, osim: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- otpremanja drugom proizvođaču radi dalje proizvodnje, uz izjavu primaoca da će kafu koristiti u daljoj proizvodnji kafe,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- otpremanja radi izvoza.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3) u trenutku utvrđivanja manjka ili gubitka kafe (u daljem tekstu: rashod) u po</w:t>
      </w:r>
      <w:r>
        <w:rPr>
          <w:rFonts w:ascii="Roboto" w:hAnsi="Roboto"/>
        </w:rPr>
        <w:t>reskom skladištu, osim rashoda za koje proizvođač dokaže da se može pripisati nepredviđenim okolnostima ili višoj sili, odnosno da je rashod neodvojivo povezan sa osobinama proizvoda nastao tokom proizvodnje i skladištenja kafe.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(2) U slučaju izvoza kafe i</w:t>
      </w:r>
      <w:r>
        <w:rPr>
          <w:rFonts w:ascii="Roboto" w:hAnsi="Roboto"/>
        </w:rPr>
        <w:t>z stava 1 tačka 2 alineja 2 ovog zakona, izvoznik koji izvozi kafu dužan je da kao dokaz da je kafa napustila područje Crne Gore, podnese na uvid nadležnom carinskom organu ovjerenu carinsku deklaraciju.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Oblik i sadržinu izjave iz stava 1 tačka 2 aline</w:t>
      </w:r>
      <w:r>
        <w:rPr>
          <w:rFonts w:ascii="Roboto" w:hAnsi="Roboto"/>
        </w:rPr>
        <w:t>ja 1 propisuje Ministarstvo finansija.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(4) Vrstu i visinu priznatog rashoda iz stava 1 tačka 3 ovog zakona na koji se ne plaća porez na kafu, propisuje Ministarstvo finansija.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Obračunavanje poreza na kafu</w:t>
      </w:r>
    </w:p>
    <w:p w:rsidR="00000000" w:rsidRDefault="009F11C7">
      <w:pPr>
        <w:jc w:val="center"/>
        <w:divId w:val="196044888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Obračunavanje poreza na kafu vrši: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1) nadležni carinski organ - u slučaju iz člana 6 stav 1 tačka 1 ovog zakona;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2) poreski obveznik, proizvođač na dan otpremanja kafe iz poreskog skladišta - u slučaju iz člana 6 stav 1 tačka 2 ovog zakona;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3) poreski obveznik u trenutku utvrđivanja rashoda</w:t>
      </w:r>
      <w:r>
        <w:rPr>
          <w:rFonts w:ascii="Roboto" w:hAnsi="Roboto"/>
        </w:rPr>
        <w:t xml:space="preserve"> - u slučaju iz člana 6 stav 1 tačka 3 ovog zakona.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Poreska prijava</w:t>
      </w:r>
    </w:p>
    <w:p w:rsidR="00000000" w:rsidRDefault="009F11C7">
      <w:pPr>
        <w:jc w:val="center"/>
        <w:divId w:val="198161851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Obveznik poreza na kafu dužan je da poresku obavezu iskaže u mjesečnoj prijavi za obračun poreza na kafu.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Obveznik poreza na kafu je dužan da prijavu iz stava 1 ovog člana, </w:t>
      </w:r>
      <w:r>
        <w:rPr>
          <w:rFonts w:ascii="Roboto" w:hAnsi="Roboto"/>
        </w:rPr>
        <w:t>podnese nadležnom carinskom organu do 15. dana narednog mjeseca za prethodni mjesec.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Ako poreski obveznik u roku iz stava 2 ovog člana, ne podnese prijavu za obračun poreza na kafu ili nema propisanu dokumentaciju i poreske evidencije, nadležni carinsk</w:t>
      </w:r>
      <w:r>
        <w:rPr>
          <w:rFonts w:ascii="Roboto" w:hAnsi="Roboto"/>
        </w:rPr>
        <w:t>i organ može procijeniti poresku obavezu na osnovu obavljene kontrole, upoređivanjem sa poreskim obveznikom koji obavlja sličnu djelatnost ili na osnovu drugih podataka o poslovanju poreskog obveznika.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(4) Oblik i sadržinu prijave iz stava 1 ovog člana, pr</w:t>
      </w:r>
      <w:r>
        <w:rPr>
          <w:rFonts w:ascii="Roboto" w:hAnsi="Roboto"/>
        </w:rPr>
        <w:t>opisuje Ministarstvo finansija.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Plaćanje poreske obaveze</w:t>
      </w:r>
    </w:p>
    <w:p w:rsidR="00000000" w:rsidRDefault="009F11C7">
      <w:pPr>
        <w:jc w:val="center"/>
        <w:divId w:val="187107076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Poreska obaveza dospijeva za plaćanje do 15. dana u mjesecu za prethodni mjesec.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Izuzetno od stava 1 ovog člana, obaveza plaćanja poreza na kafu iz člana 6 stav 1 tačka 1 ovog zakona, </w:t>
      </w:r>
      <w:r>
        <w:rPr>
          <w:rFonts w:ascii="Roboto" w:hAnsi="Roboto"/>
        </w:rPr>
        <w:t>nastaje u rokovima propisanim carinskim propisima.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Povraćaj poreza na kafu</w:t>
      </w:r>
    </w:p>
    <w:p w:rsidR="00000000" w:rsidRDefault="009F11C7">
      <w:pPr>
        <w:jc w:val="center"/>
        <w:divId w:val="202574250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Povraćaj poreza na kafu odobrava se poreskom obvezniku - uvozniku iz člana 4 stav 1 ovog zakona koji izvozi kafu, na koju je platio porez pri uvozu, u visini plaćenog po</w:t>
      </w:r>
      <w:r>
        <w:rPr>
          <w:rFonts w:ascii="Roboto" w:hAnsi="Roboto"/>
        </w:rPr>
        <w:t>reza.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(2) Poreskom obvezniku koji izvozi kafu priznaje se poreski kredit u visini plaćenog poreza pri uvozu.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Zahtjev za povraćaj poreza na kafu poreski obveznik iz st. 1 i 2 ovog člana podnosi nadležnom carinskom organu prema svom sjedištu, odnosno pre</w:t>
      </w:r>
      <w:r>
        <w:rPr>
          <w:rFonts w:ascii="Roboto" w:hAnsi="Roboto"/>
        </w:rPr>
        <w:t>bivalištu.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(4) Uz zahtjev za povraćaj poreza na kafu podnosi se: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- dokaz da je na kafu koja se izvozi plaćen porez na kafu pri uvozu i dokaz o izvozu kafe;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- dokaz da je kafa nabavljena na domaćem tržištu sa obračunatim porezom na kafu i dokaz o izvozu kaf</w:t>
      </w:r>
      <w:r>
        <w:rPr>
          <w:rFonts w:ascii="Roboto" w:hAnsi="Roboto"/>
        </w:rPr>
        <w:t>e proizvedene od kafe na koju je obračunat i već plaćen porez.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(5) Kao dokaz da je kafa napustila teritoriju Crne Gore prilaže se ovjerena carinska deklaracija koju izdaje nadležni carinski organ.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(6) Poreskom obvezniku koji je ostvario pravo na povraćaj p</w:t>
      </w:r>
      <w:r>
        <w:rPr>
          <w:rFonts w:ascii="Roboto" w:hAnsi="Roboto"/>
        </w:rPr>
        <w:t>oreza na kafu, a koji istovremeno ima obaveze po osnovu drugih poreskih obaveza, može se, na njegov zahtjev, odobriti preusmjeravanje tih sredstava za plaćanje drugih poreskih obaveza.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Registracija poreskih obveznika</w:t>
      </w:r>
    </w:p>
    <w:p w:rsidR="00000000" w:rsidRDefault="009F11C7">
      <w:pPr>
        <w:jc w:val="center"/>
        <w:divId w:val="114997747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11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Proizvođač kafe dužan je da</w:t>
      </w:r>
      <w:r>
        <w:rPr>
          <w:rFonts w:ascii="Roboto" w:hAnsi="Roboto"/>
        </w:rPr>
        <w:t xml:space="preserve"> nadležnom carinskom organu, prema mjestu svog sjedišta ili prebivališta, najkasnije 15 dana prije početka obavljanja djelatnosti proizvodnje kafe podnese prijavu za registraciju obveznika poreza na kafu.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(2) Obveznik poreza na kafu dužan je da u roku iz stava 1 ovog člana, obavijesti nadležni carinski organ o namjeri prestanka obavljanja djelatnosti, odnosno o prekidu obustavljanja proizvodnje, bez odlaganja.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Oblik i sadržinu prijave iz stava 1 ovog čl</w:t>
      </w:r>
      <w:r>
        <w:rPr>
          <w:rFonts w:ascii="Roboto" w:hAnsi="Roboto"/>
        </w:rPr>
        <w:t>ana propisuje Ministarstvo finansija.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Knjigovodstvo poreskog obveznika</w:t>
      </w:r>
    </w:p>
    <w:p w:rsidR="00000000" w:rsidRDefault="009F11C7">
      <w:pPr>
        <w:jc w:val="center"/>
        <w:divId w:val="106163346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12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Proizvođač kafe dužan je da u poslovnim knjigama vodi i iskazuje podatke potrebne za pravilno i pravovremeno obračunavanje i plaćanje poreza, a naročito: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1) podatke o mjestu</w:t>
      </w:r>
      <w:r>
        <w:rPr>
          <w:rFonts w:ascii="Roboto" w:hAnsi="Roboto"/>
        </w:rPr>
        <w:t>, državi i datumu nabavke ili isporuke kafe;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2) količini proizvedene, uvezene, izvezene i prodate kafe;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3) stanju zaliha i sirovina;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4) vrijednosti, poreskoj osnovici, visini poreza i iznosa obračunatog poreza na kafu.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(2) Podaci iz stava 1 ovog člana upis</w:t>
      </w:r>
      <w:r>
        <w:rPr>
          <w:rFonts w:ascii="Roboto" w:hAnsi="Roboto"/>
        </w:rPr>
        <w:t>uju se u knjigovodstvenu evidenciju na dnevnoj osnovi, odnosno u trenutku nastanka poslovne promjene, a najkasnije do početka narednog radnog dana od nastanka poslovne promjene.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Izvještavanje</w:t>
      </w:r>
    </w:p>
    <w:p w:rsidR="00000000" w:rsidRDefault="009F11C7">
      <w:pPr>
        <w:jc w:val="center"/>
        <w:divId w:val="132948522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Obveznik poreza na kafu na osnovu podataka iz člana </w:t>
      </w:r>
      <w:r>
        <w:rPr>
          <w:rFonts w:ascii="Roboto" w:hAnsi="Roboto"/>
        </w:rPr>
        <w:t>12 ovog zakona sačinjava mjesečni izvještaj i dostavlja nadležnom carinskom organu, prema mjestu sjedišta, odnosno prebivališta.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(2) Izvještaj iz stava 1 ovog člana dostavlja se do kraja tekućeg za prethodni mjesec, osim ako nije bilo poslovnih promjena u </w:t>
      </w:r>
      <w:r>
        <w:rPr>
          <w:rFonts w:ascii="Roboto" w:hAnsi="Roboto"/>
        </w:rPr>
        <w:t>kom slučaju se ne dostavlja mjesečni izvještaj.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Proizvođač kafe koji ima više od jednog poreskog skladišta, dužan je da nadležnom carinskom organu dostavi zbirni mjesečni izvještaj, ako vodi posebnu knjigovodstvenu evidenciju za svako poresko skladište</w:t>
      </w:r>
      <w:r>
        <w:rPr>
          <w:rFonts w:ascii="Roboto" w:hAnsi="Roboto"/>
        </w:rPr>
        <w:t>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(4) U slučaju prestanka važenja odobrenja za rad poreskog skladišta, proizvođač je dužan da obračuna i plati porez na zalihe zatečene u poreskom skladištu i dostavi nadležnom carinskom organu mjesečni izvještaj u roku od 30 dana od dana prestanka važenja</w:t>
      </w:r>
      <w:r>
        <w:rPr>
          <w:rFonts w:ascii="Roboto" w:hAnsi="Roboto"/>
        </w:rPr>
        <w:t xml:space="preserve"> odobrenja.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(5) Oblik i sadržinu izvještaja iz stava 1 ovog člana, propisuje Ministarstvo finansija.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lastRenderedPageBreak/>
        <w:t>Čuvanje dokumentacije</w:t>
      </w:r>
    </w:p>
    <w:p w:rsidR="00000000" w:rsidRDefault="009F11C7">
      <w:pPr>
        <w:jc w:val="center"/>
        <w:divId w:val="84875754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Obveznik poreza na kafu dužan je da čuva izdate i primljene račune, knjigovodstvena dokumenta koja se odnose na proizvodnju k</w:t>
      </w:r>
      <w:r>
        <w:rPr>
          <w:rFonts w:ascii="Roboto" w:hAnsi="Roboto"/>
        </w:rPr>
        <w:t>afe, pet godina po isteku godine na koju se dokumenta odnose.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Kontrola obračunavanja i plaćanja poreza na kafu</w:t>
      </w:r>
    </w:p>
    <w:p w:rsidR="00000000" w:rsidRDefault="009F11C7">
      <w:pPr>
        <w:jc w:val="center"/>
        <w:divId w:val="100775603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15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Kontrolu obračunavanja i plaćanja poreza na kafu vrši nadležni carinski organ u skladu sa ovim zakonom i zakonom kojim je uređen carinski</w:t>
      </w:r>
      <w:r>
        <w:rPr>
          <w:rFonts w:ascii="Roboto" w:hAnsi="Roboto"/>
        </w:rPr>
        <w:t xml:space="preserve"> postupak.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Nadzor</w:t>
      </w:r>
    </w:p>
    <w:p w:rsidR="00000000" w:rsidRDefault="009F11C7">
      <w:pPr>
        <w:jc w:val="center"/>
        <w:divId w:val="159273576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16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Nadzor nad sprovođenjem ovog zakona i podzakonskih akata za sprovođenje ovog zakona vrši Ministarstvo finansija.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Shodna primjena drugih propisa</w:t>
      </w:r>
    </w:p>
    <w:p w:rsidR="00000000" w:rsidRDefault="009F11C7">
      <w:pPr>
        <w:jc w:val="center"/>
        <w:divId w:val="192657243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17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Na odnose koji nijesu posebno uređeni ovim zakonom shodno </w:t>
      </w:r>
      <w:r>
        <w:rPr>
          <w:rFonts w:ascii="Roboto" w:hAnsi="Roboto"/>
        </w:rPr>
        <w:t>se primjenjuju odredbe zakona kojim je uređen poreski, odnosno carinski postupak.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Kaznene odredbe</w:t>
      </w:r>
    </w:p>
    <w:p w:rsidR="00000000" w:rsidRDefault="009F11C7">
      <w:pPr>
        <w:jc w:val="center"/>
        <w:divId w:val="16239923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18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(1) Novčanom kaznom od 1.000 eura do 15.000 eura, kazniće se za prekršaj poreski obveznik - pravno lice, ako: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1) ne podnese nadležnom carinskom organu</w:t>
      </w:r>
      <w:r>
        <w:rPr>
          <w:rFonts w:ascii="Roboto" w:hAnsi="Roboto"/>
        </w:rPr>
        <w:t xml:space="preserve"> prijavu za upis u Registar obveznika poreza, najkasnije u roku od deset dana prije početka obavljanja djelatnosti proizvodnje ili uvoza kafe (član 4 stav 4);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2) ne podnese nadležnom carinskom organu prijavu za obračun poreza na kafu iz člana 8 stav 1 ovog</w:t>
      </w:r>
      <w:r>
        <w:rPr>
          <w:rFonts w:ascii="Roboto" w:hAnsi="Roboto"/>
        </w:rPr>
        <w:t xml:space="preserve"> zakona do 15. dana narednog mjeseca za prethodni mjesec (član 8 stav 2);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3) ne podnese nadležnom carinskom organu prijavu za registraciju obveznika poreza na kafu, najkasnije 15. dana prije početka obavljanja djelatnosti proizvodnje ili prodaje kafe (član</w:t>
      </w:r>
      <w:r>
        <w:rPr>
          <w:rFonts w:ascii="Roboto" w:hAnsi="Roboto"/>
        </w:rPr>
        <w:t xml:space="preserve"> 11 stav 1);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4) ne obavijesti nadležni carinski organ u roku iz člana 11 stav 1 ovog zakona o namjeri prestanka obavljanja djelatnosti odnosno o prekidu obustavljanja proizvodnje kafe bez odlaganja (član 11 stav 2);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5) ne obezbijedi u svom knjigovodstvu sv</w:t>
      </w:r>
      <w:r>
        <w:rPr>
          <w:rFonts w:ascii="Roboto" w:hAnsi="Roboto"/>
        </w:rPr>
        <w:t>e podatke potrebne za pravilno i pravovremeno obračunavanje i plaćanje poreza (član 12 stav 1);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(2) Za prekršaj iz stava 1 ovog člana kazniće se i odgovorno lice u pravnom licu novčanom kaznom od 100 eura do 1000 eura.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(3) Za prekršaj iz stava 1 ovog člana</w:t>
      </w:r>
      <w:r>
        <w:rPr>
          <w:rFonts w:ascii="Roboto" w:hAnsi="Roboto"/>
        </w:rPr>
        <w:t xml:space="preserve"> kazniće se preduzetnik novčanom kaznom od 500 eura do 6000 eura.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(4) Za prekršaj iz stava 1 ovog člana kazniće se fizičko lice novčanom kaznom od 100 eura do 1000 eura.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Popis zaliha</w:t>
      </w:r>
    </w:p>
    <w:p w:rsidR="00000000" w:rsidRDefault="009F11C7">
      <w:pPr>
        <w:jc w:val="center"/>
        <w:divId w:val="128013737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19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Obveznici poreza na kafu iz člana 4 ovog zakona, dužni su na </w:t>
      </w:r>
      <w:r>
        <w:rPr>
          <w:rFonts w:ascii="Roboto" w:hAnsi="Roboto"/>
        </w:rPr>
        <w:t>dan stupanja na snagu ovog zakona izvrše popis zaliha kafe i sačine zapisnik po nazivu proizvoda, odnosno po vrstama kafe izraženim u kilogramima neto mase.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(2) Zapisnik o izvršenom popisu zaliha iz stava 1 ovog člana dostavlja se nadležnom carinskom organ</w:t>
      </w:r>
      <w:r>
        <w:rPr>
          <w:rFonts w:ascii="Roboto" w:hAnsi="Roboto"/>
        </w:rPr>
        <w:t>u u roku od deset dana od dana popisa.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Prestanak važenja</w:t>
      </w:r>
    </w:p>
    <w:p w:rsidR="00000000" w:rsidRDefault="009F11C7">
      <w:pPr>
        <w:jc w:val="center"/>
        <w:divId w:val="131487566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20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Danom stupanja na snagu ovog zakona prestaje da važi odredba člana 1 stav 2 tačka 4 Zakona o akcizama ("Službeni list RCG", br. 65/01 i 76/05 i "Službeni list CG", br. 76/08, 50/09, 78/10, 61</w:t>
      </w:r>
      <w:r>
        <w:rPr>
          <w:rFonts w:ascii="Roboto" w:hAnsi="Roboto"/>
        </w:rPr>
        <w:t>/11, 28/12, 38/13 i 45/14).</w:t>
      </w:r>
    </w:p>
    <w:p w:rsidR="00000000" w:rsidRDefault="009F11C7">
      <w:pPr>
        <w:pStyle w:val="7podnas"/>
        <w:rPr>
          <w:rFonts w:ascii="Roboto" w:hAnsi="Roboto"/>
        </w:rPr>
      </w:pPr>
      <w:r>
        <w:rPr>
          <w:rFonts w:ascii="Roboto" w:hAnsi="Roboto"/>
        </w:rPr>
        <w:t>Stupanje na snagu</w:t>
      </w:r>
    </w:p>
    <w:p w:rsidR="00000000" w:rsidRDefault="009F11C7">
      <w:pPr>
        <w:jc w:val="center"/>
        <w:divId w:val="105554697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21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Ovaj zakon stupa na snagu narednog dana od dana objavljivanja u "Službenom listu Crne Gore".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Broj 16-03/14-6/10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EPA 694 XXV</w:t>
      </w:r>
    </w:p>
    <w:p w:rsidR="00000000" w:rsidRDefault="009F11C7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17. februara 2015. godine</w:t>
      </w:r>
    </w:p>
    <w:p w:rsidR="00000000" w:rsidRDefault="009F11C7">
      <w:pPr>
        <w:pStyle w:val="1tekst"/>
        <w:jc w:val="center"/>
        <w:rPr>
          <w:rFonts w:ascii="Roboto" w:hAnsi="Roboto"/>
        </w:rPr>
      </w:pPr>
      <w:r>
        <w:rPr>
          <w:rFonts w:ascii="Roboto" w:hAnsi="Roboto"/>
          <w:b/>
          <w:bCs/>
        </w:rPr>
        <w:t>Skupština Crne Gore 25. saziva</w:t>
      </w:r>
    </w:p>
    <w:p w:rsidR="00000000" w:rsidRDefault="009F11C7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Predsjedni</w:t>
      </w:r>
      <w:r>
        <w:rPr>
          <w:rFonts w:ascii="Roboto" w:hAnsi="Roboto"/>
        </w:rPr>
        <w:t>k,</w:t>
      </w:r>
    </w:p>
    <w:p w:rsidR="009F11C7" w:rsidRDefault="009F11C7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Ranko Krivokapić</w:t>
      </w:r>
      <w:r>
        <w:rPr>
          <w:rFonts w:ascii="Roboto" w:hAnsi="Roboto"/>
        </w:rPr>
        <w:t>, s.r.</w:t>
      </w:r>
    </w:p>
    <w:sectPr w:rsidR="009F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7"/>
    <w:rsid w:val="00574A67"/>
    <w:rsid w:val="009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34E7-BBF5-4D06-B907-1996B5C9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7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7765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4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951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629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9240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075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463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7283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5670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30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621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08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13101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17294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44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138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271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1572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175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24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porezu na kafu</vt:lpstr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porezu na kafu</dc:title>
  <dc:subject/>
  <dc:creator>Danijela Pejovic</dc:creator>
  <cp:keywords/>
  <dc:description/>
  <cp:lastModifiedBy>Danijela Pejovic</cp:lastModifiedBy>
  <cp:revision>2</cp:revision>
  <dcterms:created xsi:type="dcterms:W3CDTF">2026-03-20T09:54:00Z</dcterms:created>
  <dcterms:modified xsi:type="dcterms:W3CDTF">2026-03-20T09:54:00Z</dcterms:modified>
</cp:coreProperties>
</file>