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0B" w:rsidRPr="0020440D" w:rsidRDefault="007B41C4" w:rsidP="00D61692">
      <w:pPr>
        <w:spacing w:after="0" w:line="240" w:lineRule="auto"/>
        <w:jc w:val="center"/>
        <w:rPr>
          <w:rFonts w:ascii="Cambria" w:hAnsi="Cambria" w:cs="Cambria"/>
          <w:b/>
          <w:bCs/>
          <w:noProof/>
          <w:sz w:val="28"/>
          <w:szCs w:val="28"/>
        </w:rPr>
      </w:pPr>
      <w:r w:rsidRPr="0020440D">
        <w:rPr>
          <w:rFonts w:ascii="Cambria" w:hAnsi="Cambria" w:cs="Cambria"/>
          <w:noProof/>
        </w:rPr>
        <w:drawing>
          <wp:inline distT="0" distB="0" distL="0" distR="0">
            <wp:extent cx="675640" cy="81216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CRNA GORA</w:t>
      </w:r>
    </w:p>
    <w:p w:rsidR="0082570B" w:rsidRPr="0020440D" w:rsidRDefault="0082570B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MINISTARSTVO FINANSIJA</w:t>
      </w:r>
    </w:p>
    <w:p w:rsidR="0082570B" w:rsidRPr="0020440D" w:rsidRDefault="00DC4AD1" w:rsidP="0002564B">
      <w:pPr>
        <w:pStyle w:val="NoSpacing"/>
        <w:jc w:val="center"/>
        <w:outlineLvl w:val="0"/>
        <w:rPr>
          <w:b/>
          <w:bCs/>
          <w:noProof/>
          <w:sz w:val="28"/>
          <w:szCs w:val="28"/>
        </w:rPr>
      </w:pPr>
      <w:r w:rsidRPr="0020440D">
        <w:rPr>
          <w:b/>
          <w:bCs/>
          <w:noProof/>
          <w:sz w:val="28"/>
          <w:szCs w:val="28"/>
        </w:rPr>
        <w:t>Direktorat</w:t>
      </w:r>
      <w:r w:rsidR="0082570B" w:rsidRPr="0020440D">
        <w:rPr>
          <w:b/>
          <w:bCs/>
          <w:noProof/>
          <w:sz w:val="28"/>
          <w:szCs w:val="28"/>
        </w:rPr>
        <w:t xml:space="preserve"> za ekonomsku politiku i razvoj</w:t>
      </w:r>
    </w:p>
    <w:p w:rsidR="0082570B" w:rsidRPr="0020440D" w:rsidRDefault="0082570B" w:rsidP="00D61692">
      <w:pPr>
        <w:rPr>
          <w:rFonts w:cs="Calibri"/>
          <w:noProof/>
        </w:rPr>
      </w:pPr>
    </w:p>
    <w:p w:rsidR="0082570B" w:rsidRPr="0020440D" w:rsidRDefault="0082570B" w:rsidP="00D61692">
      <w:pPr>
        <w:jc w:val="center"/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F756E">
      <w:pPr>
        <w:rPr>
          <w:rFonts w:cs="Calibri"/>
          <w:b/>
          <w:bCs/>
          <w:i/>
          <w:iCs/>
          <w:noProof/>
          <w:sz w:val="36"/>
          <w:szCs w:val="36"/>
        </w:rPr>
      </w:pPr>
    </w:p>
    <w:p w:rsidR="0082570B" w:rsidRPr="0020440D" w:rsidRDefault="0082570B" w:rsidP="0002564B">
      <w:pPr>
        <w:spacing w:line="240" w:lineRule="auto"/>
        <w:jc w:val="center"/>
        <w:outlineLvl w:val="0"/>
        <w:rPr>
          <w:rFonts w:cs="Calibri"/>
          <w:b/>
          <w:bCs/>
          <w:iCs/>
          <w:noProof/>
          <w:sz w:val="52"/>
          <w:szCs w:val="52"/>
        </w:rPr>
      </w:pPr>
      <w:r w:rsidRPr="0020440D">
        <w:rPr>
          <w:rFonts w:cs="Calibri"/>
          <w:b/>
          <w:bCs/>
          <w:iCs/>
          <w:noProof/>
          <w:sz w:val="52"/>
          <w:szCs w:val="52"/>
        </w:rPr>
        <w:t>MJESEČNI MAKROEKONOMSKI INDIKATORI</w:t>
      </w:r>
    </w:p>
    <w:p w:rsidR="0082570B" w:rsidRPr="0020440D" w:rsidRDefault="00160A29" w:rsidP="005D48A0">
      <w:pPr>
        <w:spacing w:line="240" w:lineRule="auto"/>
        <w:ind w:firstLine="720"/>
        <w:jc w:val="center"/>
        <w:outlineLvl w:val="0"/>
        <w:rPr>
          <w:rFonts w:cs="Calibri"/>
          <w:b/>
          <w:bCs/>
          <w:noProof/>
          <w:sz w:val="32"/>
          <w:szCs w:val="32"/>
        </w:rPr>
      </w:pPr>
      <w:r>
        <w:rPr>
          <w:rFonts w:cs="Calibri"/>
          <w:b/>
          <w:bCs/>
          <w:noProof/>
          <w:sz w:val="32"/>
          <w:szCs w:val="32"/>
        </w:rPr>
        <w:t>Decembar</w:t>
      </w:r>
      <w:r w:rsidR="006D2B20" w:rsidRPr="0020440D">
        <w:rPr>
          <w:rFonts w:cs="Calibri"/>
          <w:b/>
          <w:bCs/>
          <w:noProof/>
          <w:sz w:val="32"/>
          <w:szCs w:val="32"/>
        </w:rPr>
        <w:t>2014</w:t>
      </w:r>
      <w:r w:rsidR="0082570B" w:rsidRPr="0020440D">
        <w:rPr>
          <w:rFonts w:cs="Calibri"/>
          <w:b/>
          <w:bCs/>
          <w:noProof/>
          <w:sz w:val="32"/>
          <w:szCs w:val="32"/>
        </w:rPr>
        <w:t>.</w:t>
      </w:r>
    </w:p>
    <w:p w:rsidR="0082570B" w:rsidRPr="0020440D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Default="0082570B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9F74C6" w:rsidRPr="0020440D" w:rsidRDefault="009F74C6" w:rsidP="00D61692">
      <w:pPr>
        <w:spacing w:after="0" w:line="240" w:lineRule="auto"/>
        <w:rPr>
          <w:rFonts w:cs="Calibri"/>
          <w:b/>
          <w:bCs/>
          <w:noProof/>
          <w:sz w:val="28"/>
          <w:szCs w:val="28"/>
        </w:rPr>
      </w:pPr>
    </w:p>
    <w:p w:rsidR="0082570B" w:rsidRPr="0020440D" w:rsidRDefault="000D2DFE" w:rsidP="00D20CDA">
      <w:pPr>
        <w:spacing w:after="0" w:line="240" w:lineRule="auto"/>
        <w:rPr>
          <w:rFonts w:cs="Calibri"/>
          <w:bCs/>
          <w:noProof/>
          <w:sz w:val="28"/>
          <w:szCs w:val="28"/>
        </w:rPr>
      </w:pPr>
      <w:r w:rsidRPr="000D2DFE">
        <w:rPr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margin-left:2.1pt;margin-top:5in;width:252.6pt;height:338pt;rotation:-360;z-index:-251657728;mso-position-horizontal-relative:margin;mso-position-vertical-relative:margin" wrapcoords="1315 -107 900 -53 -138 587 -138 20747 277 21227 277 21333 1038 21653 1246 21653 20285 21653 20423 21653 21392 21227 21738 20480 21738 1440 21669 587 20769 0 20285 -107 1315 -107" o:allowincell="f" adj="1739" fillcolor="#943634" strokecolor="#548dd4 [1951]" strokeweight="3pt">
            <v:imagedata embosscolor="shadow add(51)"/>
            <v:shadow type="emboss" color="lineOrFill darken(153)" color2="shadow add(102)" offset="1pt,1pt"/>
            <v:textbox style="mso-next-textbox:#_x0000_s1026" inset="3.6pt,,3.6pt">
              <w:txbxContent>
                <w:p w:rsidR="009869F0" w:rsidRDefault="009869F0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3A5C77"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  <w:t>KLJUČNE PORUKE</w:t>
                  </w:r>
                </w:p>
                <w:p w:rsidR="009869F0" w:rsidRDefault="009869F0" w:rsidP="00BE47BD">
                  <w:pPr>
                    <w:pStyle w:val="NoSpacing"/>
                    <w:jc w:val="center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</w:p>
                <w:p w:rsidR="009869F0" w:rsidRPr="005426C0" w:rsidRDefault="009869F0" w:rsidP="00F8076B">
                  <w:pPr>
                    <w:pStyle w:val="NoSpacing"/>
                    <w:numPr>
                      <w:ilvl w:val="0"/>
                      <w:numId w:val="35"/>
                    </w:numPr>
                    <w:ind w:left="567" w:hanging="425"/>
                    <w:rPr>
                      <w:bCs/>
                      <w:color w:val="000000"/>
                      <w:sz w:val="24"/>
                      <w:szCs w:val="28"/>
                      <w:lang w:val="pl-PL"/>
                    </w:rPr>
                  </w:pPr>
                  <w:r w:rsidRPr="005426C0">
                    <w:rPr>
                      <w:sz w:val="24"/>
                      <w:szCs w:val="28"/>
                    </w:rPr>
                    <w:t>Turistički promet u novembru bilježi visok rast dolazaka i noćenja u odnosu na isti mjesec prethodne godine</w:t>
                  </w:r>
                  <w:r>
                    <w:rPr>
                      <w:sz w:val="24"/>
                      <w:szCs w:val="28"/>
                    </w:rPr>
                    <w:t>;</w:t>
                  </w:r>
                </w:p>
                <w:p w:rsidR="009869F0" w:rsidRPr="005426C0" w:rsidRDefault="009869F0" w:rsidP="00F8076B">
                  <w:pPr>
                    <w:pStyle w:val="NoSpacing"/>
                    <w:numPr>
                      <w:ilvl w:val="0"/>
                      <w:numId w:val="35"/>
                    </w:numPr>
                    <w:ind w:left="567" w:hanging="425"/>
                    <w:rPr>
                      <w:sz w:val="24"/>
                      <w:szCs w:val="28"/>
                    </w:rPr>
                  </w:pPr>
                  <w:r w:rsidRPr="005426C0">
                    <w:rPr>
                      <w:sz w:val="24"/>
                      <w:szCs w:val="28"/>
                    </w:rPr>
                    <w:t>Industrijska proizvodnja u novembru bilježi pad po svim pokazateljima</w:t>
                  </w:r>
                  <w:r>
                    <w:rPr>
                      <w:sz w:val="24"/>
                      <w:szCs w:val="28"/>
                    </w:rPr>
                    <w:t>;</w:t>
                  </w:r>
                </w:p>
                <w:p w:rsidR="009869F0" w:rsidRPr="005426C0" w:rsidRDefault="009869F0" w:rsidP="009869F0">
                  <w:pPr>
                    <w:pStyle w:val="NoSpacing"/>
                    <w:numPr>
                      <w:ilvl w:val="0"/>
                      <w:numId w:val="35"/>
                    </w:numPr>
                    <w:ind w:left="567" w:hanging="425"/>
                    <w:rPr>
                      <w:sz w:val="24"/>
                      <w:szCs w:val="28"/>
                    </w:rPr>
                  </w:pPr>
                  <w:r w:rsidRPr="005426C0">
                    <w:rPr>
                      <w:rFonts w:asciiTheme="minorHAnsi" w:hAnsiTheme="minorHAnsi"/>
                      <w:sz w:val="24"/>
                      <w:szCs w:val="28"/>
                    </w:rPr>
                    <w:t>U no</w:t>
                  </w:r>
                  <w:r>
                    <w:rPr>
                      <w:rFonts w:asciiTheme="minorHAnsi" w:hAnsiTheme="minorHAnsi"/>
                      <w:sz w:val="24"/>
                      <w:szCs w:val="28"/>
                    </w:rPr>
                    <w:t xml:space="preserve">vembru je registrovan blagi pad </w:t>
                  </w:r>
                  <w:r w:rsidRPr="005426C0">
                    <w:rPr>
                      <w:rFonts w:asciiTheme="minorHAnsi" w:hAnsiTheme="minorHAnsi"/>
                      <w:sz w:val="24"/>
                      <w:szCs w:val="28"/>
                    </w:rPr>
                    <w:t>cijena, ali godišnja stopa inflacije, po prvi put ove godine, nije sa negativnim predznakom</w:t>
                  </w:r>
                  <w:r>
                    <w:rPr>
                      <w:rFonts w:asciiTheme="minorHAnsi" w:hAnsiTheme="minorHAnsi"/>
                      <w:sz w:val="24"/>
                      <w:szCs w:val="28"/>
                    </w:rPr>
                    <w:t>;</w:t>
                  </w:r>
                </w:p>
                <w:p w:rsidR="009869F0" w:rsidRPr="005426C0" w:rsidRDefault="009869F0" w:rsidP="009869F0">
                  <w:pPr>
                    <w:pStyle w:val="NoSpacing"/>
                    <w:numPr>
                      <w:ilvl w:val="0"/>
                      <w:numId w:val="35"/>
                    </w:numPr>
                    <w:ind w:left="567" w:hanging="425"/>
                    <w:rPr>
                      <w:sz w:val="24"/>
                      <w:szCs w:val="28"/>
                    </w:rPr>
                  </w:pPr>
                  <w:r w:rsidRPr="005426C0">
                    <w:rPr>
                      <w:rFonts w:asciiTheme="minorHAnsi" w:hAnsiTheme="minorHAnsi"/>
                      <w:sz w:val="24"/>
                      <w:szCs w:val="28"/>
                    </w:rPr>
                    <w:t>Stopa nezaposlenosti je u novembru 2014. iznosila 15,0%</w:t>
                  </w:r>
                  <w:r>
                    <w:rPr>
                      <w:rFonts w:asciiTheme="minorHAnsi" w:hAnsiTheme="minorHAnsi"/>
                      <w:sz w:val="24"/>
                      <w:szCs w:val="28"/>
                    </w:rPr>
                    <w:t>;</w:t>
                  </w:r>
                </w:p>
                <w:p w:rsidR="009869F0" w:rsidRPr="005426C0" w:rsidRDefault="009869F0" w:rsidP="009869F0">
                  <w:pPr>
                    <w:pStyle w:val="NoSpacing"/>
                    <w:numPr>
                      <w:ilvl w:val="0"/>
                      <w:numId w:val="35"/>
                    </w:numPr>
                    <w:ind w:left="567" w:hanging="425"/>
                    <w:rPr>
                      <w:b/>
                      <w:bCs/>
                      <w:color w:val="000000"/>
                      <w:sz w:val="28"/>
                      <w:szCs w:val="28"/>
                      <w:lang w:val="pl-PL"/>
                    </w:rPr>
                  </w:pPr>
                  <w:r>
                    <w:rPr>
                      <w:noProof/>
                      <w:sz w:val="24"/>
                      <w:szCs w:val="28"/>
                    </w:rPr>
                    <w:t>P</w:t>
                  </w:r>
                  <w:r w:rsidRPr="005426C0">
                    <w:rPr>
                      <w:noProof/>
                      <w:sz w:val="24"/>
                      <w:szCs w:val="28"/>
                    </w:rPr>
                    <w:t xml:space="preserve">ad kreditne aktivnosti je </w:t>
                  </w:r>
                  <w:r>
                    <w:rPr>
                      <w:noProof/>
                      <w:sz w:val="24"/>
                      <w:szCs w:val="28"/>
                    </w:rPr>
                    <w:t xml:space="preserve">u novembru </w:t>
                  </w:r>
                  <w:r w:rsidRPr="005426C0">
                    <w:rPr>
                      <w:noProof/>
                      <w:sz w:val="24"/>
                      <w:szCs w:val="28"/>
                    </w:rPr>
                    <w:t xml:space="preserve">najniži </w:t>
                  </w:r>
                  <w:r>
                    <w:rPr>
                      <w:noProof/>
                      <w:sz w:val="24"/>
                      <w:szCs w:val="28"/>
                    </w:rPr>
                    <w:t xml:space="preserve">od početka 2014, </w:t>
                  </w:r>
                  <w:r w:rsidRPr="005426C0">
                    <w:rPr>
                      <w:noProof/>
                      <w:sz w:val="24"/>
                      <w:szCs w:val="28"/>
                    </w:rPr>
                    <w:t xml:space="preserve"> i iznosi 1,5%</w:t>
                  </w:r>
                  <w:r>
                    <w:rPr>
                      <w:noProof/>
                      <w:sz w:val="24"/>
                      <w:szCs w:val="28"/>
                    </w:rPr>
                    <w:t xml:space="preserve"> g-n-g;</w:t>
                  </w:r>
                </w:p>
                <w:p w:rsidR="009869F0" w:rsidRPr="00A87A73" w:rsidRDefault="009869F0" w:rsidP="009869F0">
                  <w:pPr>
                    <w:pStyle w:val="NoSpacing"/>
                    <w:numPr>
                      <w:ilvl w:val="0"/>
                      <w:numId w:val="35"/>
                    </w:numPr>
                    <w:spacing w:after="120"/>
                    <w:ind w:left="567" w:hanging="425"/>
                    <w:rPr>
                      <w:b/>
                      <w:bCs/>
                      <w:color w:val="000000"/>
                      <w:sz w:val="40"/>
                      <w:szCs w:val="40"/>
                      <w:lang w:val="pl-PL"/>
                    </w:rPr>
                  </w:pPr>
                  <w:r w:rsidRPr="00A87A73">
                    <w:rPr>
                      <w:noProof/>
                      <w:sz w:val="24"/>
                      <w:szCs w:val="28"/>
                    </w:rPr>
                    <w:t>Rast neto SDI u</w:t>
                  </w:r>
                  <w:r>
                    <w:rPr>
                      <w:noProof/>
                      <w:sz w:val="24"/>
                      <w:szCs w:val="28"/>
                    </w:rPr>
                    <w:t xml:space="preserve"> periodu januar-novembar</w:t>
                  </w:r>
                  <w:r w:rsidRPr="00A87A73">
                    <w:rPr>
                      <w:noProof/>
                      <w:sz w:val="24"/>
                      <w:szCs w:val="28"/>
                    </w:rPr>
                    <w:t xml:space="preserve"> </w:t>
                  </w:r>
                  <w:r>
                    <w:rPr>
                      <w:noProof/>
                      <w:sz w:val="24"/>
                      <w:szCs w:val="28"/>
                    </w:rPr>
                    <w:t xml:space="preserve"> od </w:t>
                  </w:r>
                  <w:r w:rsidRPr="00A87A73">
                    <w:rPr>
                      <w:noProof/>
                      <w:sz w:val="24"/>
                      <w:szCs w:val="28"/>
                    </w:rPr>
                    <w:t>17,0%</w:t>
                  </w:r>
                  <w:r>
                    <w:rPr>
                      <w:noProof/>
                      <w:sz w:val="24"/>
                      <w:szCs w:val="28"/>
                    </w:rPr>
                    <w:t>;</w:t>
                  </w:r>
                </w:p>
                <w:p w:rsidR="009869F0" w:rsidRPr="005D48A0" w:rsidRDefault="009869F0" w:rsidP="005D48A0">
                  <w:pPr>
                    <w:pStyle w:val="NoSpacing"/>
                    <w:spacing w:after="120"/>
                    <w:jc w:val="both"/>
                    <w:rPr>
                      <w:rFonts w:asciiTheme="minorHAnsi" w:hAnsiTheme="minorHAnsi" w:cstheme="minorHAnsi"/>
                      <w:b/>
                      <w:sz w:val="32"/>
                      <w:szCs w:val="24"/>
                      <w:lang w:eastAsia="sr-Latn-CS"/>
                    </w:rPr>
                  </w:pPr>
                </w:p>
                <w:p w:rsidR="009869F0" w:rsidRDefault="009869F0"/>
                <w:p w:rsidR="009869F0" w:rsidRDefault="009869F0"/>
              </w:txbxContent>
            </v:textbox>
            <w10:wrap type="tight" anchorx="margin" anchory="margin"/>
          </v:shape>
        </w:pict>
      </w:r>
    </w:p>
    <w:p w:rsidR="0082570B" w:rsidRPr="0020440D" w:rsidRDefault="0082570B" w:rsidP="00D20CDA">
      <w:pPr>
        <w:spacing w:after="0" w:line="240" w:lineRule="auto"/>
        <w:rPr>
          <w:rFonts w:cs="Calibri"/>
          <w:bCs/>
          <w:iCs/>
          <w:noProof/>
          <w:sz w:val="26"/>
          <w:szCs w:val="26"/>
        </w:rPr>
      </w:pPr>
    </w:p>
    <w:p w:rsidR="0082570B" w:rsidRPr="0020440D" w:rsidRDefault="0082570B" w:rsidP="00D61692">
      <w:pPr>
        <w:pStyle w:val="NoSpacing"/>
        <w:rPr>
          <w:bCs/>
          <w:iCs/>
          <w:noProof/>
          <w:sz w:val="26"/>
          <w:szCs w:val="26"/>
        </w:rPr>
      </w:pPr>
    </w:p>
    <w:p w:rsidR="0082570B" w:rsidRPr="0020440D" w:rsidRDefault="0085138D" w:rsidP="00694445">
      <w:pPr>
        <w:pStyle w:val="NoSpacing"/>
        <w:rPr>
          <w:bCs/>
          <w:noProof/>
          <w:sz w:val="28"/>
          <w:szCs w:val="20"/>
        </w:rPr>
      </w:pPr>
      <w:r w:rsidRPr="0020440D">
        <w:rPr>
          <w:bCs/>
          <w:noProof/>
          <w:sz w:val="28"/>
          <w:szCs w:val="20"/>
          <w:lang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912495</wp:posOffset>
            </wp:positionH>
            <wp:positionV relativeFrom="paragraph">
              <wp:posOffset>136525</wp:posOffset>
            </wp:positionV>
            <wp:extent cx="2238375" cy="2644140"/>
            <wp:effectExtent l="19050" t="0" r="9525" b="0"/>
            <wp:wrapSquare wrapText="bothSides"/>
            <wp:docPr id="13" name="Picture 1" descr="C:\Users\radovan.zivkovic\Desktop\push-to-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ovan.zivkovic\Desktop\push-to-vertical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644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  <w:sz w:val="32"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82570B" w:rsidRPr="0020440D" w:rsidRDefault="0082570B" w:rsidP="003324D9">
      <w:pPr>
        <w:pStyle w:val="NoSpacing"/>
        <w:rPr>
          <w:noProof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9F74C6" w:rsidP="00A423C3">
      <w:pPr>
        <w:pStyle w:val="NoSpacing"/>
        <w:outlineLvl w:val="0"/>
        <w:rPr>
          <w:b/>
          <w:bCs/>
          <w:noProof/>
          <w:color w:val="000000"/>
          <w:sz w:val="16"/>
          <w:szCs w:val="16"/>
        </w:rPr>
      </w:pPr>
    </w:p>
    <w:p w:rsidR="009F74C6" w:rsidRDefault="0082570B" w:rsidP="00A423C3">
      <w:pPr>
        <w:pStyle w:val="NoSpacing"/>
        <w:outlineLvl w:val="0"/>
        <w:rPr>
          <w:bCs/>
          <w:noProof/>
          <w:color w:val="000000"/>
          <w:sz w:val="16"/>
          <w:szCs w:val="16"/>
        </w:rPr>
      </w:pPr>
      <w:r w:rsidRPr="0020440D">
        <w:rPr>
          <w:b/>
          <w:bCs/>
          <w:noProof/>
          <w:color w:val="000000"/>
          <w:sz w:val="16"/>
          <w:szCs w:val="16"/>
        </w:rPr>
        <w:t xml:space="preserve">Autori priloga: </w:t>
      </w:r>
      <w:r w:rsidR="00423EE9" w:rsidRPr="0020440D">
        <w:rPr>
          <w:bCs/>
          <w:noProof/>
          <w:color w:val="000000"/>
          <w:sz w:val="16"/>
          <w:szCs w:val="16"/>
        </w:rPr>
        <w:t>Radovan Živković</w:t>
      </w:r>
      <w:r w:rsidR="002A2CED" w:rsidRPr="0020440D">
        <w:rPr>
          <w:bCs/>
          <w:noProof/>
          <w:color w:val="000000"/>
          <w:sz w:val="16"/>
          <w:szCs w:val="16"/>
        </w:rPr>
        <w:t>, Radojka Martinović</w:t>
      </w:r>
      <w:r w:rsidR="00423EE9" w:rsidRPr="0020440D">
        <w:rPr>
          <w:bCs/>
          <w:noProof/>
          <w:color w:val="000000"/>
          <w:sz w:val="16"/>
          <w:szCs w:val="16"/>
        </w:rPr>
        <w:t xml:space="preserve">, Olja Tomanović, </w:t>
      </w:r>
      <w:r w:rsidR="004B5F63" w:rsidRPr="0020440D">
        <w:rPr>
          <w:bCs/>
          <w:noProof/>
          <w:color w:val="000000"/>
          <w:sz w:val="16"/>
          <w:szCs w:val="16"/>
        </w:rPr>
        <w:t>Marija Novosel</w:t>
      </w:r>
      <w:r w:rsidR="00A423C3" w:rsidRPr="0020440D">
        <w:rPr>
          <w:bCs/>
          <w:noProof/>
          <w:color w:val="000000"/>
          <w:sz w:val="16"/>
          <w:szCs w:val="16"/>
        </w:rPr>
        <w:t>,</w:t>
      </w:r>
      <w:r w:rsidR="002A2CED" w:rsidRPr="0020440D">
        <w:rPr>
          <w:bCs/>
          <w:noProof/>
          <w:color w:val="000000"/>
          <w:sz w:val="16"/>
          <w:szCs w:val="16"/>
        </w:rPr>
        <w:t xml:space="preserve"> Zdenka</w:t>
      </w:r>
      <w:r w:rsidR="009869F0">
        <w:rPr>
          <w:bCs/>
          <w:noProof/>
          <w:color w:val="000000"/>
          <w:sz w:val="16"/>
          <w:szCs w:val="16"/>
        </w:rPr>
        <w:t xml:space="preserve"> </w:t>
      </w:r>
      <w:r w:rsidR="002A2CED" w:rsidRPr="0020440D">
        <w:rPr>
          <w:bCs/>
          <w:noProof/>
          <w:color w:val="000000"/>
          <w:sz w:val="16"/>
          <w:szCs w:val="16"/>
        </w:rPr>
        <w:t>Dabović</w:t>
      </w:r>
      <w:r w:rsidR="00E2362B" w:rsidRPr="0020440D">
        <w:rPr>
          <w:bCs/>
          <w:noProof/>
          <w:color w:val="000000"/>
          <w:sz w:val="16"/>
          <w:szCs w:val="16"/>
        </w:rPr>
        <w:t>, Milanka Jovanović</w:t>
      </w:r>
      <w:r w:rsidR="00A73F8B" w:rsidRPr="0020440D">
        <w:rPr>
          <w:bCs/>
          <w:noProof/>
          <w:color w:val="000000"/>
          <w:sz w:val="16"/>
          <w:szCs w:val="16"/>
        </w:rPr>
        <w:t>,</w:t>
      </w:r>
      <w:r w:rsidR="009869F0">
        <w:rPr>
          <w:bCs/>
          <w:noProof/>
          <w:color w:val="000000"/>
          <w:sz w:val="16"/>
          <w:szCs w:val="16"/>
        </w:rPr>
        <w:t xml:space="preserve"> </w:t>
      </w:r>
      <w:r w:rsidR="00A73F8B" w:rsidRPr="0020440D">
        <w:rPr>
          <w:bCs/>
          <w:noProof/>
          <w:color w:val="000000"/>
          <w:sz w:val="16"/>
          <w:szCs w:val="16"/>
        </w:rPr>
        <w:t>Vesna Obradović</w:t>
      </w:r>
    </w:p>
    <w:p w:rsidR="009F74C6" w:rsidRDefault="009F74C6">
      <w:pPr>
        <w:spacing w:after="0" w:line="240" w:lineRule="auto"/>
        <w:rPr>
          <w:rFonts w:eastAsia="PMingLiU" w:cs="Calibri"/>
          <w:bCs/>
          <w:noProof/>
          <w:color w:val="000000"/>
          <w:sz w:val="16"/>
          <w:szCs w:val="16"/>
          <w:lang w:eastAsia="zh-TW"/>
        </w:rPr>
      </w:pPr>
      <w:r>
        <w:rPr>
          <w:bCs/>
          <w:noProof/>
          <w:color w:val="000000"/>
          <w:sz w:val="16"/>
          <w:szCs w:val="16"/>
        </w:rPr>
        <w:br w:type="page"/>
      </w:r>
    </w:p>
    <w:p w:rsidR="00A67F78" w:rsidRPr="0020440D" w:rsidRDefault="00A67F78" w:rsidP="00A423C3">
      <w:pPr>
        <w:pStyle w:val="NoSpacing"/>
        <w:outlineLvl w:val="0"/>
        <w:rPr>
          <w:noProof/>
        </w:rPr>
      </w:pPr>
    </w:p>
    <w:tbl>
      <w:tblPr>
        <w:tblpPr w:leftFromText="180" w:rightFromText="180" w:vertAnchor="text" w:tblpX="108" w:tblpY="1"/>
        <w:tblOverlap w:val="never"/>
        <w:tblW w:w="10716" w:type="dxa"/>
        <w:tblBorders>
          <w:top w:val="thinThickSmallGap" w:sz="18" w:space="0" w:color="auto"/>
          <w:bottom w:val="thinThickSmallGap" w:sz="18" w:space="0" w:color="auto"/>
          <w:insideH w:val="thinThickSmallGap" w:sz="18" w:space="0" w:color="auto"/>
        </w:tblBorders>
        <w:tblLayout w:type="fixed"/>
        <w:tblLook w:val="00A0"/>
      </w:tblPr>
      <w:tblGrid>
        <w:gridCol w:w="6930"/>
        <w:gridCol w:w="3644"/>
        <w:gridCol w:w="142"/>
      </w:tblGrid>
      <w:tr w:rsidR="0082570B" w:rsidRPr="0020440D" w:rsidTr="00C32335">
        <w:trPr>
          <w:gridAfter w:val="1"/>
          <w:wAfter w:w="142" w:type="dxa"/>
        </w:trPr>
        <w:tc>
          <w:tcPr>
            <w:tcW w:w="6930" w:type="dxa"/>
            <w:tcBorders>
              <w:bottom w:val="single" w:sz="4" w:space="0" w:color="auto"/>
            </w:tcBorders>
          </w:tcPr>
          <w:p w:rsidR="0082570B" w:rsidRPr="0020440D" w:rsidRDefault="005065E6" w:rsidP="001D21B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/>
                <w:b/>
                <w:noProof/>
                <w:color w:val="000000"/>
                <w:sz w:val="20"/>
                <w:szCs w:val="20"/>
                <w:lang w:eastAsia="en-US"/>
              </w:rPr>
            </w:pPr>
            <w:r w:rsidRPr="0020440D">
              <w:rPr>
                <w:rFonts w:eastAsia="Times New Roman"/>
                <w:b/>
                <w:noProof/>
                <w:color w:val="000000"/>
                <w:sz w:val="20"/>
                <w:szCs w:val="20"/>
                <w:lang w:eastAsia="en-US"/>
              </w:rPr>
              <w:t>Međunarodno okruženje</w:t>
            </w:r>
          </w:p>
        </w:tc>
        <w:tc>
          <w:tcPr>
            <w:tcW w:w="3644" w:type="dxa"/>
            <w:vMerge w:val="restart"/>
            <w:tcBorders>
              <w:bottom w:val="nil"/>
            </w:tcBorders>
            <w:vAlign w:val="center"/>
          </w:tcPr>
          <w:p w:rsidR="0082570B" w:rsidRPr="0020440D" w:rsidRDefault="009C7459" w:rsidP="001D21BD">
            <w:pPr>
              <w:spacing w:after="0" w:line="240" w:lineRule="auto"/>
              <w:jc w:val="center"/>
              <w:rPr>
                <w:rFonts w:cs="Calibri"/>
                <w:noProof/>
                <w:color w:val="000000"/>
                <w:sz w:val="20"/>
                <w:szCs w:val="20"/>
              </w:rPr>
            </w:pPr>
            <w:r w:rsidRPr="009C7459">
              <w:rPr>
                <w:rFonts w:cs="Calibri"/>
                <w:noProof/>
                <w:color w:val="000000"/>
                <w:sz w:val="20"/>
                <w:szCs w:val="20"/>
              </w:rPr>
              <w:drawing>
                <wp:inline distT="0" distB="0" distL="0" distR="0">
                  <wp:extent cx="2036324" cy="1861226"/>
                  <wp:effectExtent l="0" t="0" r="0" b="0"/>
                  <wp:docPr id="2" name="Chart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82570B" w:rsidRPr="0020440D" w:rsidTr="00E46823">
        <w:trPr>
          <w:gridAfter w:val="1"/>
          <w:wAfter w:w="142" w:type="dxa"/>
          <w:trHeight w:hRule="exact" w:val="2951"/>
        </w:trPr>
        <w:tc>
          <w:tcPr>
            <w:tcW w:w="6930" w:type="dxa"/>
            <w:tcBorders>
              <w:top w:val="single" w:sz="4" w:space="0" w:color="auto"/>
            </w:tcBorders>
          </w:tcPr>
          <w:p w:rsidR="00E46823" w:rsidRPr="00E106C7" w:rsidRDefault="00E46823" w:rsidP="00E4682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106C7">
              <w:rPr>
                <w:sz w:val="20"/>
                <w:szCs w:val="20"/>
              </w:rPr>
              <w:t>Tri kl</w:t>
            </w:r>
            <w:r>
              <w:rPr>
                <w:sz w:val="20"/>
                <w:szCs w:val="20"/>
              </w:rPr>
              <w:t>j</w:t>
            </w:r>
            <w:r w:rsidR="009869F0">
              <w:rPr>
                <w:sz w:val="20"/>
                <w:szCs w:val="20"/>
              </w:rPr>
              <w:t>učna događaja u j</w:t>
            </w:r>
            <w:r w:rsidRPr="00E106C7">
              <w:rPr>
                <w:sz w:val="20"/>
                <w:szCs w:val="20"/>
              </w:rPr>
              <w:t>anuaru 2015 odrediće ekonomsku putanju Eurozonone u 2015. godini. Prvi je preliminarno mišljenje Evropskog suda pravde o otkupu obveznica koje planira ECB. Drug</w:t>
            </w:r>
            <w:r w:rsidR="009869F0">
              <w:rPr>
                <w:sz w:val="20"/>
                <w:szCs w:val="20"/>
              </w:rPr>
              <w:t>i</w:t>
            </w:r>
            <w:r w:rsidRPr="00E106C7">
              <w:rPr>
                <w:sz w:val="20"/>
                <w:szCs w:val="20"/>
              </w:rPr>
              <w:t xml:space="preserve"> je odluka ECB o visini otkupa dionica suverenih država (kvantitativna podrška) i treći je ishod parlamentarnih izbora u Grčkoj. Pozitivno mišljenje u prvom slučaju omogućava nesmetano sprovođenje drugog događaja. Pozitivan prijem druge mjere od strane tržišta smanjiće dodatno niske stope na suvereno zaduživanje ne samo u Eurozoni</w:t>
            </w:r>
            <w:r w:rsidR="009869F0">
              <w:rPr>
                <w:sz w:val="20"/>
                <w:szCs w:val="20"/>
              </w:rPr>
              <w:t>,</w:t>
            </w:r>
            <w:r w:rsidRPr="00E106C7">
              <w:rPr>
                <w:sz w:val="20"/>
                <w:szCs w:val="20"/>
              </w:rPr>
              <w:t xml:space="preserve"> već i za ostale učesnike na tržištu kapitala, pa time i za našu zemlju, dok bi u suprotno</w:t>
            </w:r>
            <w:r w:rsidR="009869F0">
              <w:rPr>
                <w:sz w:val="20"/>
                <w:szCs w:val="20"/>
              </w:rPr>
              <w:t>m</w:t>
            </w:r>
            <w:r w:rsidRPr="00E106C7">
              <w:rPr>
                <w:sz w:val="20"/>
                <w:szCs w:val="20"/>
              </w:rPr>
              <w:t xml:space="preserve"> došlo do rasta stope i dalje fragmentacije monetarnog prostora Eurozone i daljih deflatornih pritisaka. Pobjeda Sirize u Grčkoj mogla bi da odloži primjenu druge mjere</w:t>
            </w:r>
            <w:r w:rsidR="009869F0">
              <w:rPr>
                <w:sz w:val="20"/>
                <w:szCs w:val="20"/>
              </w:rPr>
              <w:t>,</w:t>
            </w:r>
            <w:r w:rsidRPr="00E106C7">
              <w:rPr>
                <w:sz w:val="20"/>
                <w:szCs w:val="20"/>
              </w:rPr>
              <w:t xml:space="preserve"> dok se ne procijeni nova politička realnost,</w:t>
            </w:r>
            <w:r w:rsidR="00FD1DE9">
              <w:rPr>
                <w:sz w:val="20"/>
                <w:szCs w:val="20"/>
              </w:rPr>
              <w:t xml:space="preserve"> uz potencijalnu opasnost od iz</w:t>
            </w:r>
            <w:r w:rsidRPr="00E106C7">
              <w:rPr>
                <w:sz w:val="20"/>
                <w:szCs w:val="20"/>
              </w:rPr>
              <w:t>laska Grčke iz Eurozone.</w:t>
            </w:r>
          </w:p>
          <w:p w:rsidR="00C93695" w:rsidRPr="0020440D" w:rsidRDefault="00C93695" w:rsidP="00160A29">
            <w:pPr>
              <w:spacing w:after="0"/>
              <w:jc w:val="both"/>
              <w:rPr>
                <w:noProof/>
                <w:sz w:val="20"/>
                <w:szCs w:val="20"/>
              </w:rPr>
            </w:pPr>
          </w:p>
        </w:tc>
        <w:tc>
          <w:tcPr>
            <w:tcW w:w="3644" w:type="dxa"/>
            <w:vMerge/>
            <w:tcBorders>
              <w:top w:val="nil"/>
            </w:tcBorders>
            <w:vAlign w:val="center"/>
          </w:tcPr>
          <w:p w:rsidR="0082570B" w:rsidRPr="0020440D" w:rsidRDefault="0082570B" w:rsidP="001D21BD">
            <w:pPr>
              <w:spacing w:after="0" w:line="240" w:lineRule="auto"/>
              <w:ind w:left="34" w:hanging="34"/>
              <w:rPr>
                <w:rFonts w:cs="Calibri"/>
                <w:noProof/>
                <w:color w:val="000000"/>
                <w:sz w:val="20"/>
                <w:szCs w:val="20"/>
              </w:rPr>
            </w:pPr>
          </w:p>
        </w:tc>
      </w:tr>
      <w:tr w:rsidR="0082570B" w:rsidRPr="0020440D" w:rsidTr="00C32335">
        <w:trPr>
          <w:gridAfter w:val="1"/>
          <w:wAfter w:w="142" w:type="dxa"/>
          <w:trHeight w:val="215"/>
        </w:trPr>
        <w:tc>
          <w:tcPr>
            <w:tcW w:w="6930" w:type="dxa"/>
            <w:tcBorders>
              <w:bottom w:val="single" w:sz="4" w:space="0" w:color="auto"/>
            </w:tcBorders>
          </w:tcPr>
          <w:p w:rsidR="0082570B" w:rsidRPr="0020440D" w:rsidRDefault="008A31C0" w:rsidP="00677E65">
            <w:pPr>
              <w:pStyle w:val="ListParagraph"/>
              <w:numPr>
                <w:ilvl w:val="0"/>
                <w:numId w:val="1"/>
              </w:numPr>
              <w:spacing w:before="100" w:beforeAutospacing="1" w:after="0" w:line="240" w:lineRule="auto"/>
              <w:rPr>
                <w:rStyle w:val="CaptionChar"/>
                <w:noProof/>
              </w:rPr>
            </w:pPr>
            <w:r w:rsidRPr="0020440D">
              <w:rPr>
                <w:rStyle w:val="CaptionChar"/>
                <w:noProof/>
              </w:rPr>
              <w:t>Realni sektor</w:t>
            </w:r>
          </w:p>
        </w:tc>
        <w:tc>
          <w:tcPr>
            <w:tcW w:w="3644" w:type="dxa"/>
            <w:vMerge w:val="restart"/>
            <w:vAlign w:val="center"/>
          </w:tcPr>
          <w:p w:rsidR="0082570B" w:rsidRPr="0020440D" w:rsidRDefault="00C32335" w:rsidP="009E51BC">
            <w:pPr>
              <w:spacing w:after="0" w:line="240" w:lineRule="auto"/>
              <w:ind w:left="-250"/>
              <w:jc w:val="center"/>
              <w:rPr>
                <w:noProof/>
              </w:rPr>
            </w:pPr>
            <w:r w:rsidRPr="00C32335">
              <w:rPr>
                <w:noProof/>
              </w:rPr>
              <w:drawing>
                <wp:inline distT="0" distB="0" distL="0" distR="0">
                  <wp:extent cx="2346614" cy="2182091"/>
                  <wp:effectExtent l="0" t="0" r="0" b="0"/>
                  <wp:docPr id="4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DE587D" w:rsidRPr="0020440D" w:rsidTr="00C32335">
        <w:trPr>
          <w:gridAfter w:val="1"/>
          <w:wAfter w:w="142" w:type="dxa"/>
          <w:trHeight w:hRule="exact" w:val="3578"/>
        </w:trPr>
        <w:tc>
          <w:tcPr>
            <w:tcW w:w="6930" w:type="dxa"/>
            <w:tcBorders>
              <w:top w:val="single" w:sz="4" w:space="0" w:color="auto"/>
            </w:tcBorders>
          </w:tcPr>
          <w:p w:rsidR="00C32335" w:rsidRDefault="00C32335" w:rsidP="00C32335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Turistički promet u novembru bilježi visok rast dolazaka i noćenja u odnosu na isti mjesec prethodne godine. </w:t>
            </w:r>
            <w:r w:rsidRPr="000574A9">
              <w:rPr>
                <w:sz w:val="20"/>
                <w:szCs w:val="20"/>
              </w:rPr>
              <w:t>Crnu Goru je</w:t>
            </w:r>
            <w:r w:rsidR="009869F0">
              <w:rPr>
                <w:sz w:val="20"/>
                <w:szCs w:val="20"/>
              </w:rPr>
              <w:t xml:space="preserve"> u novembru</w:t>
            </w:r>
            <w:r w:rsidRPr="000574A9">
              <w:rPr>
                <w:sz w:val="20"/>
                <w:szCs w:val="20"/>
              </w:rPr>
              <w:t xml:space="preserve"> posjetilo 21,1% više turista i ostvareno je 12,8% više noćenja, što je prvenstveno rezultat povećanog prometa domaćih turista</w:t>
            </w:r>
            <w:r>
              <w:rPr>
                <w:sz w:val="20"/>
                <w:szCs w:val="20"/>
              </w:rPr>
              <w:t xml:space="preserve"> (rast dolazaka 61,2%, rast noćenja 28,9%). </w:t>
            </w:r>
            <w:r w:rsidRPr="009869F0">
              <w:rPr>
                <w:color w:val="FF0000"/>
                <w:sz w:val="20"/>
                <w:szCs w:val="20"/>
              </w:rPr>
              <w:t>V</w:t>
            </w:r>
            <w:r w:rsidR="009869F0" w:rsidRPr="009869F0">
              <w:rPr>
                <w:color w:val="FF0000"/>
                <w:sz w:val="20"/>
                <w:szCs w:val="20"/>
              </w:rPr>
              <w:t>eliki uticaj na ostvarene stope</w:t>
            </w:r>
            <w:r w:rsidRPr="009869F0">
              <w:rPr>
                <w:color w:val="FF0000"/>
                <w:sz w:val="20"/>
                <w:szCs w:val="20"/>
              </w:rPr>
              <w:t xml:space="preserve"> imao je projek</w:t>
            </w:r>
            <w:r w:rsidR="009869F0" w:rsidRPr="009869F0">
              <w:rPr>
                <w:color w:val="FF0000"/>
                <w:sz w:val="20"/>
                <w:szCs w:val="20"/>
              </w:rPr>
              <w:t>a</w:t>
            </w:r>
            <w:r w:rsidRPr="009869F0">
              <w:rPr>
                <w:color w:val="FF0000"/>
                <w:sz w:val="20"/>
                <w:szCs w:val="20"/>
              </w:rPr>
              <w:t>t Zavoda za školstvo, u okviru koga su učenici sedmog razreda svih osnovnih škola u Crnoj Gori posjetili Cetinje.</w:t>
            </w:r>
            <w:r w:rsidR="009869F0">
              <w:rPr>
                <w:sz w:val="20"/>
                <w:szCs w:val="20"/>
              </w:rPr>
              <w:t xml:space="preserve"> </w:t>
            </w:r>
            <w:r w:rsidRPr="00650DCD">
              <w:rPr>
                <w:sz w:val="20"/>
                <w:szCs w:val="20"/>
              </w:rPr>
              <w:t xml:space="preserve">Industrijska proizvodnja u </w:t>
            </w:r>
            <w:r>
              <w:rPr>
                <w:sz w:val="20"/>
                <w:szCs w:val="20"/>
              </w:rPr>
              <w:t>novembru</w:t>
            </w:r>
            <w:r w:rsidRPr="00650DCD">
              <w:rPr>
                <w:sz w:val="20"/>
                <w:szCs w:val="20"/>
              </w:rPr>
              <w:t xml:space="preserve"> bilježi </w:t>
            </w:r>
            <w:r>
              <w:rPr>
                <w:sz w:val="20"/>
                <w:szCs w:val="20"/>
              </w:rPr>
              <w:t>pad po svim pokazateljima (19,8% g-n-g;</w:t>
            </w:r>
            <w:r w:rsidR="009869F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5,6% m-n-m i 11,9% za period januar-novembar g-n-g). Gledano po sektorima, „vađenje rude i kamena“ u novembru bilježi rast od 57,3% kao rezultat rasta u oblasti ostalo rudarstvo (111,6%), dok je pad ostvarila „prerađivačka industrija“ (18,1%) i „snabdijevanje el.energijom, gasom i parom“ (28,8%). Pad prerađivačke industrije dominantno je opredijeljen  padom proizvodnje prehrambenih proizvoda (30,4%), osnovnih farmaceutskih proizvoda (44,6%) i osnovnih metala (32,8%). Promet u trgovini na malo u novembru veći je za 1,4% g-n-g i u tekućim i u stalnim cijenama.  </w:t>
            </w:r>
          </w:p>
          <w:p w:rsidR="00193080" w:rsidRPr="00B628E4" w:rsidRDefault="00193080" w:rsidP="00193080">
            <w:pPr>
              <w:jc w:val="both"/>
              <w:rPr>
                <w:rFonts w:cs="Calibri"/>
                <w:color w:val="FF0000"/>
                <w:sz w:val="20"/>
                <w:szCs w:val="20"/>
              </w:rPr>
            </w:pPr>
          </w:p>
          <w:p w:rsidR="00DE587D" w:rsidRPr="0020440D" w:rsidRDefault="00DE587D" w:rsidP="00BD2B67">
            <w:pPr>
              <w:jc w:val="both"/>
              <w:rPr>
                <w:rFonts w:cs="Calibri"/>
                <w:sz w:val="18"/>
                <w:szCs w:val="18"/>
              </w:rPr>
            </w:pPr>
          </w:p>
        </w:tc>
        <w:tc>
          <w:tcPr>
            <w:tcW w:w="3644" w:type="dxa"/>
            <w:vMerge/>
            <w:vAlign w:val="center"/>
          </w:tcPr>
          <w:p w:rsidR="00DE587D" w:rsidRPr="0020440D" w:rsidRDefault="00DE587D" w:rsidP="009E51BC">
            <w:pPr>
              <w:spacing w:after="119" w:line="240" w:lineRule="auto"/>
              <w:jc w:val="center"/>
              <w:rPr>
                <w:noProof/>
              </w:rPr>
            </w:pPr>
          </w:p>
        </w:tc>
      </w:tr>
      <w:tr w:rsidR="00DE587D" w:rsidRPr="0020440D" w:rsidTr="00C32335">
        <w:trPr>
          <w:gridAfter w:val="1"/>
          <w:wAfter w:w="142" w:type="dxa"/>
          <w:trHeight w:val="215"/>
        </w:trPr>
        <w:tc>
          <w:tcPr>
            <w:tcW w:w="6930" w:type="dxa"/>
            <w:tcBorders>
              <w:bottom w:val="single" w:sz="4" w:space="0" w:color="auto"/>
            </w:tcBorders>
          </w:tcPr>
          <w:p w:rsidR="00DE587D" w:rsidRPr="0020440D" w:rsidRDefault="00DE587D" w:rsidP="00496006">
            <w:pPr>
              <w:pStyle w:val="NormalWeb"/>
              <w:numPr>
                <w:ilvl w:val="0"/>
                <w:numId w:val="1"/>
              </w:numPr>
              <w:spacing w:after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20440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Cijene</w:t>
            </w:r>
          </w:p>
        </w:tc>
        <w:tc>
          <w:tcPr>
            <w:tcW w:w="3644" w:type="dxa"/>
            <w:vMerge w:val="restart"/>
            <w:vAlign w:val="center"/>
          </w:tcPr>
          <w:p w:rsidR="00DE587D" w:rsidRPr="0020440D" w:rsidRDefault="00C32335" w:rsidP="00496006">
            <w:pPr>
              <w:spacing w:after="0" w:line="240" w:lineRule="auto"/>
              <w:ind w:left="-250"/>
              <w:jc w:val="center"/>
              <w:rPr>
                <w:b/>
                <w:noProof/>
                <w:sz w:val="20"/>
                <w:szCs w:val="20"/>
              </w:rPr>
            </w:pPr>
            <w:r w:rsidRPr="00C32335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2232000" cy="2228850"/>
                  <wp:effectExtent l="0" t="0" r="0" b="0"/>
                  <wp:docPr id="7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  <w:tr w:rsidR="00DE587D" w:rsidRPr="0020440D" w:rsidTr="00BB4C6C">
        <w:trPr>
          <w:gridAfter w:val="1"/>
          <w:wAfter w:w="142" w:type="dxa"/>
          <w:trHeight w:hRule="exact" w:val="3392"/>
        </w:trPr>
        <w:tc>
          <w:tcPr>
            <w:tcW w:w="6930" w:type="dxa"/>
            <w:tcBorders>
              <w:top w:val="single" w:sz="4" w:space="0" w:color="auto"/>
              <w:bottom w:val="thinThickSmallGap" w:sz="18" w:space="0" w:color="auto"/>
            </w:tcBorders>
          </w:tcPr>
          <w:p w:rsidR="00C32335" w:rsidRPr="00CF4446" w:rsidRDefault="00C32335" w:rsidP="00C32335">
            <w:pPr>
              <w:spacing w:line="24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U novembru je registrovan blagi pad cijena, ali godišnja stopa inflacije, po prvi put ove godine, nije sa negativnim predznakom. </w:t>
            </w:r>
            <w:r w:rsidRPr="00E004B4">
              <w:rPr>
                <w:rFonts w:asciiTheme="minorHAnsi" w:hAnsiTheme="minorHAnsi"/>
                <w:sz w:val="20"/>
                <w:szCs w:val="20"/>
              </w:rPr>
              <w:t xml:space="preserve">Mjesečna </w:t>
            </w:r>
            <w:r>
              <w:rPr>
                <w:rFonts w:asciiTheme="minorHAnsi" w:hAnsiTheme="minorHAnsi"/>
                <w:sz w:val="20"/>
                <w:szCs w:val="20"/>
              </w:rPr>
              <w:t>deflacija</w:t>
            </w:r>
            <w:r w:rsidRPr="00E004B4">
              <w:rPr>
                <w:rFonts w:asciiTheme="minorHAnsi" w:hAnsiTheme="minorHAnsi"/>
                <w:sz w:val="20"/>
                <w:szCs w:val="20"/>
              </w:rPr>
              <w:t xml:space="preserve"> u </w:t>
            </w:r>
            <w:r>
              <w:rPr>
                <w:rFonts w:asciiTheme="minorHAnsi" w:hAnsiTheme="minorHAnsi"/>
                <w:sz w:val="20"/>
                <w:szCs w:val="20"/>
              </w:rPr>
              <w:t>novembru</w:t>
            </w:r>
            <w:r w:rsidRPr="00E004B4">
              <w:rPr>
                <w:rFonts w:asciiTheme="minorHAnsi" w:hAnsiTheme="minorHAnsi"/>
                <w:sz w:val="20"/>
                <w:szCs w:val="20"/>
              </w:rPr>
              <w:t xml:space="preserve"> (CPI) iznosila je </w:t>
            </w:r>
            <w:r>
              <w:rPr>
                <w:rFonts w:asciiTheme="minorHAnsi" w:hAnsiTheme="minorHAnsi"/>
                <w:sz w:val="20"/>
                <w:szCs w:val="20"/>
              </w:rPr>
              <w:t>-</w:t>
            </w:r>
            <w:r w:rsidRPr="00E004B4">
              <w:rPr>
                <w:rFonts w:asciiTheme="minorHAnsi" w:hAnsiTheme="minorHAnsi"/>
                <w:sz w:val="20"/>
                <w:szCs w:val="20"/>
              </w:rPr>
              <w:t xml:space="preserve">0,1%, dok je </w:t>
            </w:r>
            <w:r>
              <w:rPr>
                <w:rFonts w:asciiTheme="minorHAnsi" w:hAnsiTheme="minorHAnsi"/>
                <w:sz w:val="20"/>
                <w:szCs w:val="20"/>
              </w:rPr>
              <w:t>na godišnjem nivou zaustavljen pad cijena i zabilježena nulta stopa inflacije.</w:t>
            </w:r>
            <w:r w:rsidRPr="00E004B4">
              <w:rPr>
                <w:rFonts w:asciiTheme="minorHAnsi" w:hAnsiTheme="minorHAnsi"/>
                <w:sz w:val="20"/>
                <w:szCs w:val="20"/>
              </w:rPr>
              <w:t xml:space="preserve"> N</w:t>
            </w:r>
            <w:r w:rsidRPr="002351D8">
              <w:rPr>
                <w:rFonts w:asciiTheme="minorHAnsi" w:hAnsiTheme="minorHAnsi"/>
                <w:sz w:val="20"/>
                <w:szCs w:val="20"/>
              </w:rPr>
              <w:t xml:space="preserve">ajveći </w:t>
            </w:r>
            <w:r>
              <w:rPr>
                <w:rFonts w:asciiTheme="minorHAnsi" w:hAnsiTheme="minorHAnsi"/>
                <w:sz w:val="20"/>
                <w:szCs w:val="20"/>
              </w:rPr>
              <w:t>uticaj na</w:t>
            </w:r>
            <w:r w:rsidRPr="002351D8">
              <w:rPr>
                <w:rFonts w:asciiTheme="minorHAnsi" w:hAnsiTheme="minorHAnsi"/>
                <w:sz w:val="20"/>
                <w:szCs w:val="20"/>
              </w:rPr>
              <w:t xml:space="preserve"> godišnju stopu inflacije </w:t>
            </w:r>
            <w:r>
              <w:rPr>
                <w:rFonts w:asciiTheme="minorHAnsi" w:hAnsiTheme="minorHAnsi"/>
                <w:sz w:val="20"/>
                <w:szCs w:val="20"/>
              </w:rPr>
              <w:t>imale su</w:t>
            </w:r>
            <w:r w:rsidRPr="002351D8">
              <w:rPr>
                <w:rFonts w:asciiTheme="minorHAnsi" w:hAnsiTheme="minorHAnsi"/>
                <w:sz w:val="20"/>
                <w:szCs w:val="20"/>
              </w:rPr>
              <w:t xml:space="preserve"> c</w:t>
            </w:r>
            <w:r>
              <w:rPr>
                <w:rFonts w:asciiTheme="minorHAnsi" w:hAnsiTheme="minorHAnsi"/>
                <w:sz w:val="20"/>
                <w:szCs w:val="20"/>
              </w:rPr>
              <w:t>ijene</w:t>
            </w:r>
            <w:r w:rsidRPr="002351D8">
              <w:rPr>
                <w:rFonts w:asciiTheme="minorHAnsi" w:hAnsiTheme="minorHAnsi"/>
                <w:sz w:val="20"/>
                <w:szCs w:val="20"/>
              </w:rPr>
              <w:t xml:space="preserve"> u </w:t>
            </w:r>
            <w:r>
              <w:rPr>
                <w:rFonts w:asciiTheme="minorHAnsi" w:hAnsiTheme="minorHAnsi"/>
                <w:sz w:val="20"/>
                <w:szCs w:val="20"/>
              </w:rPr>
              <w:t>kategorijama</w:t>
            </w:r>
            <w:r w:rsidR="009869F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61400D">
              <w:rPr>
                <w:rFonts w:asciiTheme="minorHAnsi" w:hAnsiTheme="minorHAnsi"/>
                <w:sz w:val="20"/>
                <w:szCs w:val="20"/>
              </w:rPr>
              <w:t xml:space="preserve">„hrana i bezalkoholna pića“ sa rastom od </w:t>
            </w:r>
            <w:r>
              <w:rPr>
                <w:rFonts w:asciiTheme="minorHAnsi" w:hAnsiTheme="minorHAnsi"/>
                <w:sz w:val="20"/>
                <w:szCs w:val="20"/>
              </w:rPr>
              <w:t>1,0% (0,38 p.p), „zdravlje“ sa rastom od 3,5% (0,13 p.p), „ prevoz“ sa padom od 2,0% (-0,20 p.p) i „komunikacije“ sa padom od 3,5% (-0,20 p.p). Mjesečna deflacija u novembru dominantno je opredijeljena padom cijena u kategoriji „hrana i bezalkoholna pića“ (-0,1%), „odjeća i obuća“ (-0,2%) i „prevoz“ (-0,4%). Godišnja s</w:t>
            </w:r>
            <w:r w:rsidRPr="000C7AB3">
              <w:rPr>
                <w:rFonts w:asciiTheme="minorHAnsi" w:hAnsiTheme="minorHAnsi"/>
                <w:sz w:val="20"/>
                <w:szCs w:val="20"/>
              </w:rPr>
              <w:t>top</w:t>
            </w:r>
            <w:r w:rsidRPr="009F2C1D">
              <w:rPr>
                <w:rFonts w:asciiTheme="minorHAnsi" w:hAnsiTheme="minorHAnsi"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i</w:t>
            </w:r>
            <w:r w:rsidRPr="002B0095">
              <w:rPr>
                <w:rFonts w:asciiTheme="minorHAnsi" w:hAnsiTheme="minorHAnsi"/>
                <w:sz w:val="20"/>
                <w:szCs w:val="20"/>
              </w:rPr>
              <w:t>nflacija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(HICP)</w:t>
            </w:r>
            <w:r w:rsidRPr="002B0095">
              <w:rPr>
                <w:rFonts w:asciiTheme="minorHAnsi" w:hAnsiTheme="minorHAnsi"/>
                <w:sz w:val="20"/>
                <w:szCs w:val="20"/>
              </w:rPr>
              <w:t xml:space="preserve"> u </w:t>
            </w:r>
            <w:r>
              <w:rPr>
                <w:rFonts w:asciiTheme="minorHAnsi" w:hAnsiTheme="minorHAnsi"/>
                <w:sz w:val="20"/>
                <w:szCs w:val="20"/>
              </w:rPr>
              <w:t>novembru je iznosila -0,3%, pri čemu su najveći uticaj u procentnim poenima, dale cijene iz kategorija „hrana i bezalkoholna pića“ (0,32 p.p), „prevoz“ (-0,30p.p) i „komunikacije“ (-0,17p.p).</w:t>
            </w:r>
            <w:r w:rsidR="009869F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CF4446">
              <w:rPr>
                <w:rFonts w:asciiTheme="minorHAnsi" w:hAnsiTheme="minorHAnsi"/>
                <w:sz w:val="20"/>
                <w:szCs w:val="20"/>
              </w:rPr>
              <w:t xml:space="preserve">Cijene proizvođača industrijskih proizvoda u </w:t>
            </w:r>
            <w:r>
              <w:rPr>
                <w:rFonts w:asciiTheme="minorHAnsi" w:hAnsiTheme="minorHAnsi"/>
                <w:sz w:val="20"/>
                <w:szCs w:val="20"/>
              </w:rPr>
              <w:t>novembru 2014. bilježe rast od 1,1 % g-n-g.</w:t>
            </w:r>
          </w:p>
          <w:p w:rsidR="00DE587D" w:rsidRPr="0020440D" w:rsidRDefault="00DE587D" w:rsidP="002A2BD6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644" w:type="dxa"/>
            <w:vMerge/>
            <w:tcBorders>
              <w:bottom w:val="thinThickSmallGap" w:sz="18" w:space="0" w:color="auto"/>
            </w:tcBorders>
            <w:vAlign w:val="center"/>
          </w:tcPr>
          <w:p w:rsidR="00DE587D" w:rsidRPr="0020440D" w:rsidRDefault="00DE587D" w:rsidP="00496006">
            <w:pPr>
              <w:pStyle w:val="NoSpacing"/>
              <w:jc w:val="both"/>
              <w:rPr>
                <w:noProof/>
                <w:sz w:val="20"/>
                <w:szCs w:val="20"/>
              </w:rPr>
            </w:pPr>
          </w:p>
        </w:tc>
      </w:tr>
      <w:tr w:rsidR="00DE587D" w:rsidRPr="0020440D" w:rsidTr="002B7CC9">
        <w:trPr>
          <w:gridAfter w:val="1"/>
          <w:wAfter w:w="142" w:type="dxa"/>
          <w:trHeight w:hRule="exact" w:val="3825"/>
        </w:trPr>
        <w:tc>
          <w:tcPr>
            <w:tcW w:w="6930" w:type="dxa"/>
            <w:tcBorders>
              <w:top w:val="single" w:sz="4" w:space="0" w:color="auto"/>
              <w:bottom w:val="thinThickSmallGap" w:sz="18" w:space="0" w:color="auto"/>
            </w:tcBorders>
          </w:tcPr>
          <w:p w:rsidR="00DE587D" w:rsidRPr="0020440D" w:rsidRDefault="00DE587D" w:rsidP="000712B9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Theme="minorHAnsi" w:hAnsiTheme="minorHAnsi" w:cstheme="minorHAnsi"/>
                <w:b/>
                <w:bCs/>
                <w:noProof/>
                <w:color w:val="000000"/>
                <w:sz w:val="22"/>
                <w:szCs w:val="20"/>
              </w:rPr>
            </w:pPr>
            <w:r w:rsidRPr="0020440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Zaposlenost i zarade</w:t>
            </w:r>
          </w:p>
          <w:p w:rsidR="00865ABB" w:rsidRDefault="002B7CC9" w:rsidP="009869F0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</w:pPr>
            <w:r w:rsidRPr="00507B53">
              <w:rPr>
                <w:rFonts w:asciiTheme="minorHAnsi" w:eastAsia="PMingLiU" w:hAnsiTheme="minorHAnsi" w:cs="Calibri"/>
                <w:b/>
                <w:sz w:val="20"/>
                <w:szCs w:val="20"/>
                <w:lang w:eastAsia="zh-TW"/>
              </w:rPr>
              <w:t>U novembru  2014.  broj zaposlenih je iznosio 172.273, a broj nezaposlenih 34</w:t>
            </w:r>
            <w:r w:rsidR="00865ABB">
              <w:rPr>
                <w:rFonts w:asciiTheme="minorHAnsi" w:eastAsia="PMingLiU" w:hAnsiTheme="minorHAnsi" w:cs="Calibri"/>
                <w:b/>
                <w:sz w:val="20"/>
                <w:szCs w:val="20"/>
                <w:lang w:eastAsia="zh-TW"/>
              </w:rPr>
              <w:t>.</w:t>
            </w:r>
            <w:r w:rsidRPr="00507B53">
              <w:rPr>
                <w:rFonts w:asciiTheme="minorHAnsi" w:eastAsia="PMingLiU" w:hAnsiTheme="minorHAnsi" w:cs="Calibri"/>
                <w:b/>
                <w:sz w:val="20"/>
                <w:szCs w:val="20"/>
                <w:lang w:eastAsia="zh-TW"/>
              </w:rPr>
              <w:t>733.</w:t>
            </w:r>
            <w:r w:rsidRPr="00507B53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 U novembru 2014.</w:t>
            </w:r>
            <w:r w:rsidR="00865ABB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 godine</w:t>
            </w:r>
            <w:r w:rsidRPr="00507B53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 broj zaposlenih se povećao za 2,8%</w:t>
            </w:r>
            <w:r w:rsidR="00865ABB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 g-n-g.</w:t>
            </w:r>
          </w:p>
          <w:p w:rsidR="00DE587D" w:rsidRPr="0020440D" w:rsidRDefault="00865ABB" w:rsidP="009869F0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eastAsia="PMingLiU" w:cs="Calibri"/>
                <w:sz w:val="20"/>
                <w:szCs w:val="20"/>
                <w:lang w:eastAsia="zh-TW"/>
              </w:rPr>
            </w:pPr>
            <w:r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>U periodu januar-novembar broj zaposlenih</w:t>
            </w:r>
            <w:r w:rsidR="002B7CC9" w:rsidRPr="00507B53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 je povećan 1,1%</w:t>
            </w:r>
            <w:r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 g-n-g</w:t>
            </w:r>
            <w:r w:rsidR="002B7CC9" w:rsidRPr="00507B53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>. U novembru 2014. broj nezaposlenih je povećan 0,1%</w:t>
            </w:r>
            <w:r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 g-n-g</w:t>
            </w:r>
            <w:r w:rsidR="002B7CC9" w:rsidRPr="00507B53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, </w:t>
            </w:r>
            <w:r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>ili</w:t>
            </w:r>
            <w:r w:rsidR="002B7CC9" w:rsidRPr="00507B53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 2,9%</w:t>
            </w:r>
            <w:r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 m-n-m</w:t>
            </w:r>
            <w:r w:rsidR="002B7CC9" w:rsidRPr="00507B53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. </w:t>
            </w:r>
            <w:r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>Stopa</w:t>
            </w:r>
            <w:r w:rsidR="002B7CC9" w:rsidRPr="00507B53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 nez</w:t>
            </w:r>
            <w:r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>aposlenosti je u novembru 2014. iznosila</w:t>
            </w:r>
            <w:r w:rsidR="002B7CC9" w:rsidRPr="00507B53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 15,0% ili 0,1 p.p više nego u istom mjesecu 2013. Broj lica koja prvi put traže zaposlenje povećan je 3,0% m</w:t>
            </w:r>
            <w:r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>-n-</w:t>
            </w:r>
            <w:r w:rsidR="002B7CC9" w:rsidRPr="00507B53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m, a </w:t>
            </w:r>
            <w:r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broj </w:t>
            </w:r>
            <w:r w:rsidR="002B7CC9" w:rsidRPr="00507B53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visokoškolaca koji prvi put traže zaposlenje 4,6%. </w:t>
            </w:r>
            <w:r w:rsidR="002B7CC9" w:rsidRPr="00507B53">
              <w:rPr>
                <w:rFonts w:asciiTheme="minorHAnsi" w:eastAsia="PMingLiU" w:hAnsiTheme="minorHAnsi" w:cs="Calibri"/>
                <w:b/>
                <w:sz w:val="20"/>
                <w:szCs w:val="20"/>
                <w:lang w:eastAsia="zh-TW"/>
              </w:rPr>
              <w:t xml:space="preserve">Broj oglašenih slobodnih radnih mjesta za jedanaest mjeseci iznosio je 35.303, što je 2,6 puta više nego za jedanaest mjeseci prethodne godine. </w:t>
            </w:r>
            <w:r>
              <w:rPr>
                <w:rFonts w:asciiTheme="minorHAnsi" w:eastAsia="PMingLiU" w:hAnsiTheme="minorHAnsi" w:cs="Calibri"/>
                <w:b/>
                <w:sz w:val="20"/>
                <w:szCs w:val="20"/>
                <w:lang w:eastAsia="zh-TW"/>
              </w:rPr>
              <w:t xml:space="preserve">U period januar-novembar </w:t>
            </w:r>
            <w:r w:rsidR="002B7CC9" w:rsidRPr="00507B53">
              <w:rPr>
                <w:rFonts w:asciiTheme="minorHAnsi" w:eastAsia="PMingLiU" w:hAnsiTheme="minorHAnsi" w:cs="Calibri"/>
                <w:b/>
                <w:sz w:val="20"/>
                <w:szCs w:val="20"/>
                <w:lang w:eastAsia="zh-TW"/>
              </w:rPr>
              <w:t>Izdate su za 22</w:t>
            </w:r>
            <w:r>
              <w:rPr>
                <w:rFonts w:asciiTheme="minorHAnsi" w:eastAsia="PMingLiU" w:hAnsiTheme="minorHAnsi" w:cs="Calibri"/>
                <w:b/>
                <w:sz w:val="20"/>
                <w:szCs w:val="20"/>
                <w:lang w:eastAsia="zh-TW"/>
              </w:rPr>
              <w:t>.</w:t>
            </w:r>
            <w:r w:rsidR="002B7CC9" w:rsidRPr="00507B53">
              <w:rPr>
                <w:rFonts w:asciiTheme="minorHAnsi" w:eastAsia="PMingLiU" w:hAnsiTheme="minorHAnsi" w:cs="Calibri"/>
                <w:b/>
                <w:sz w:val="20"/>
                <w:szCs w:val="20"/>
                <w:lang w:eastAsia="zh-TW"/>
              </w:rPr>
              <w:t>273 radne dozvole  strancima ili 6,4% manje g. na g.</w:t>
            </w:r>
            <w:r w:rsidR="002B7CC9" w:rsidRPr="00507B53">
              <w:rPr>
                <w:rFonts w:asciiTheme="minorHAnsi" w:eastAsia="PMingLiU" w:hAnsiTheme="minorHAnsi" w:cs="Calibri"/>
                <w:sz w:val="20"/>
                <w:szCs w:val="20"/>
                <w:lang w:eastAsia="zh-TW"/>
              </w:rPr>
              <w:t xml:space="preserve"> Prosječna zarada u novembru 2014. je iznosila 723€, dok je neto zarada iznosila 477€.  </w:t>
            </w:r>
          </w:p>
        </w:tc>
        <w:tc>
          <w:tcPr>
            <w:tcW w:w="3644" w:type="dxa"/>
            <w:tcBorders>
              <w:bottom w:val="thinThickSmallGap" w:sz="18" w:space="0" w:color="auto"/>
            </w:tcBorders>
            <w:vAlign w:val="center"/>
          </w:tcPr>
          <w:p w:rsidR="00DE587D" w:rsidRPr="0020440D" w:rsidRDefault="00C32335" w:rsidP="00DE587D">
            <w:pPr>
              <w:pStyle w:val="NoSpacing"/>
              <w:jc w:val="center"/>
              <w:rPr>
                <w:noProof/>
                <w:sz w:val="20"/>
                <w:szCs w:val="20"/>
              </w:rPr>
            </w:pPr>
            <w:r w:rsidRPr="00C32335">
              <w:rPr>
                <w:noProof/>
                <w:sz w:val="20"/>
                <w:szCs w:val="20"/>
                <w:lang w:eastAsia="en-US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107315</wp:posOffset>
                  </wp:positionV>
                  <wp:extent cx="2055495" cy="1906270"/>
                  <wp:effectExtent l="0" t="0" r="0" b="0"/>
                  <wp:wrapNone/>
                  <wp:docPr id="9" name="Chart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anchor>
              </w:drawing>
            </w:r>
          </w:p>
        </w:tc>
      </w:tr>
      <w:tr w:rsidR="00DE587D" w:rsidRPr="0020440D" w:rsidTr="005A0061">
        <w:trPr>
          <w:trHeight w:hRule="exact" w:val="3761"/>
        </w:trPr>
        <w:tc>
          <w:tcPr>
            <w:tcW w:w="6930" w:type="dxa"/>
            <w:tcBorders>
              <w:bottom w:val="thinThickSmallGap" w:sz="18" w:space="0" w:color="auto"/>
            </w:tcBorders>
          </w:tcPr>
          <w:p w:rsidR="00DE587D" w:rsidRPr="0020440D" w:rsidRDefault="00DE587D" w:rsidP="003A6A2F">
            <w:pPr>
              <w:pStyle w:val="NormalWeb"/>
              <w:numPr>
                <w:ilvl w:val="0"/>
                <w:numId w:val="1"/>
              </w:numPr>
              <w:pBdr>
                <w:bottom w:val="single" w:sz="4" w:space="1" w:color="auto"/>
              </w:pBd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20440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Javne finansije</w:t>
            </w:r>
          </w:p>
          <w:p w:rsidR="00DE587D" w:rsidRPr="0020440D" w:rsidRDefault="00C32335" w:rsidP="0028233F">
            <w:pPr>
              <w:spacing w:line="240" w:lineRule="auto"/>
              <w:jc w:val="both"/>
              <w:rPr>
                <w:rFonts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BB2CF5">
              <w:rPr>
                <w:rFonts w:cs="Calibri"/>
                <w:b/>
                <w:sz w:val="20"/>
                <w:szCs w:val="20"/>
              </w:rPr>
              <w:t xml:space="preserve">Izvorni prihodi budžeta Crne Gore </w:t>
            </w:r>
            <w:r w:rsidRPr="00BB2CF5">
              <w:rPr>
                <w:rFonts w:cs="Calibri"/>
                <w:sz w:val="20"/>
                <w:szCs w:val="20"/>
              </w:rPr>
              <w:t xml:space="preserve">u </w:t>
            </w:r>
            <w:r>
              <w:rPr>
                <w:rFonts w:cs="Calibri"/>
                <w:sz w:val="20"/>
                <w:szCs w:val="20"/>
              </w:rPr>
              <w:t>novembru</w:t>
            </w:r>
            <w:r w:rsidRPr="00BB2CF5">
              <w:rPr>
                <w:rFonts w:cs="Calibri"/>
                <w:sz w:val="20"/>
                <w:szCs w:val="20"/>
              </w:rPr>
              <w:t xml:space="preserve"> 2014. ostvareni su u iznosu od </w:t>
            </w:r>
            <w:r>
              <w:rPr>
                <w:rFonts w:cs="Calibri"/>
                <w:sz w:val="20"/>
                <w:szCs w:val="20"/>
              </w:rPr>
              <w:t>98,5</w:t>
            </w:r>
            <w:r w:rsidRPr="00BB2CF5">
              <w:rPr>
                <w:rFonts w:cs="Calibri"/>
                <w:sz w:val="20"/>
                <w:szCs w:val="20"/>
              </w:rPr>
              <w:t xml:space="preserve"> mil.€ što je za </w:t>
            </w:r>
            <w:r>
              <w:rPr>
                <w:rFonts w:cs="Calibri"/>
                <w:sz w:val="20"/>
                <w:szCs w:val="20"/>
              </w:rPr>
              <w:t>2,0</w:t>
            </w:r>
            <w:r w:rsidRPr="00BB2CF5">
              <w:rPr>
                <w:rFonts w:cs="Calibri"/>
                <w:sz w:val="20"/>
                <w:szCs w:val="20"/>
              </w:rPr>
              <w:t xml:space="preserve"> % više u odnosu na </w:t>
            </w:r>
            <w:r>
              <w:rPr>
                <w:rFonts w:cs="Calibri"/>
                <w:sz w:val="20"/>
                <w:szCs w:val="20"/>
              </w:rPr>
              <w:t>novembar</w:t>
            </w:r>
            <w:r w:rsidRPr="00BB2CF5">
              <w:rPr>
                <w:rFonts w:cs="Calibri"/>
                <w:sz w:val="20"/>
                <w:szCs w:val="20"/>
              </w:rPr>
              <w:t xml:space="preserve"> 2013. Naplata prihoda u periodu januar-</w:t>
            </w:r>
            <w:r>
              <w:rPr>
                <w:rFonts w:cs="Calibri"/>
                <w:sz w:val="20"/>
                <w:szCs w:val="20"/>
              </w:rPr>
              <w:t>novembar</w:t>
            </w:r>
            <w:r w:rsidRPr="00BB2CF5">
              <w:rPr>
                <w:rFonts w:cs="Calibri"/>
                <w:sz w:val="20"/>
                <w:szCs w:val="20"/>
              </w:rPr>
              <w:t xml:space="preserve"> ove godine viša je za 9,</w:t>
            </w:r>
            <w:r>
              <w:rPr>
                <w:rFonts w:cs="Calibri"/>
                <w:sz w:val="20"/>
                <w:szCs w:val="20"/>
              </w:rPr>
              <w:t>0</w:t>
            </w:r>
            <w:r w:rsidRPr="00BB2CF5">
              <w:rPr>
                <w:rFonts w:cs="Calibri"/>
                <w:sz w:val="20"/>
                <w:szCs w:val="20"/>
              </w:rPr>
              <w:t xml:space="preserve">% u odnosu na isti period prošle godine. Prihodi po osnovu PDV-a bilježe rast od </w:t>
            </w:r>
            <w:r w:rsidR="0028233F">
              <w:rPr>
                <w:rFonts w:cs="Calibri"/>
                <w:sz w:val="20"/>
                <w:szCs w:val="20"/>
              </w:rPr>
              <w:t>18,4</w:t>
            </w:r>
            <w:r w:rsidRPr="00BB2CF5">
              <w:rPr>
                <w:rFonts w:cs="Calibri"/>
                <w:sz w:val="20"/>
                <w:szCs w:val="20"/>
              </w:rPr>
              <w:t xml:space="preserve">%, porez na dobit pravnih lica za </w:t>
            </w:r>
            <w:r w:rsidR="0028233F">
              <w:rPr>
                <w:rFonts w:cs="Calibri"/>
                <w:sz w:val="20"/>
                <w:szCs w:val="20"/>
              </w:rPr>
              <w:t>10,9</w:t>
            </w:r>
            <w:r w:rsidRPr="00BB2CF5">
              <w:rPr>
                <w:rFonts w:cs="Calibri"/>
                <w:sz w:val="20"/>
                <w:szCs w:val="20"/>
              </w:rPr>
              <w:t>%,</w:t>
            </w:r>
            <w:r w:rsidR="0028233F">
              <w:rPr>
                <w:rFonts w:cs="Calibri"/>
                <w:sz w:val="20"/>
                <w:szCs w:val="20"/>
              </w:rPr>
              <w:t xml:space="preserve"> </w:t>
            </w:r>
            <w:r w:rsidRPr="00BB2CF5">
              <w:rPr>
                <w:rFonts w:cs="Calibri"/>
                <w:sz w:val="20"/>
                <w:szCs w:val="20"/>
              </w:rPr>
              <w:t xml:space="preserve">kao i porezi </w:t>
            </w:r>
            <w:r>
              <w:rPr>
                <w:rFonts w:cs="Calibri"/>
                <w:sz w:val="20"/>
                <w:szCs w:val="20"/>
              </w:rPr>
              <w:t>i</w:t>
            </w:r>
            <w:r w:rsidRPr="00BB2CF5">
              <w:rPr>
                <w:rFonts w:cs="Calibri"/>
                <w:sz w:val="20"/>
                <w:szCs w:val="20"/>
              </w:rPr>
              <w:t xml:space="preserve"> doprinosi na zarade za </w:t>
            </w:r>
            <w:r w:rsidR="0028233F">
              <w:rPr>
                <w:rFonts w:cs="Calibri"/>
                <w:sz w:val="20"/>
                <w:szCs w:val="20"/>
              </w:rPr>
              <w:t>10,0</w:t>
            </w:r>
            <w:r w:rsidRPr="00BB2CF5">
              <w:rPr>
                <w:rFonts w:cs="Calibri"/>
                <w:sz w:val="20"/>
                <w:szCs w:val="20"/>
              </w:rPr>
              <w:t xml:space="preserve">% u odnosu na isti </w:t>
            </w:r>
            <w:r>
              <w:rPr>
                <w:rFonts w:cs="Calibri"/>
                <w:sz w:val="20"/>
                <w:szCs w:val="20"/>
              </w:rPr>
              <w:t>period</w:t>
            </w:r>
            <w:r w:rsidRPr="00BB2CF5">
              <w:rPr>
                <w:rFonts w:cs="Calibri"/>
                <w:sz w:val="20"/>
                <w:szCs w:val="20"/>
              </w:rPr>
              <w:t xml:space="preserve"> prošle godine</w:t>
            </w:r>
            <w:r>
              <w:rPr>
                <w:rFonts w:cs="Calibri"/>
                <w:sz w:val="20"/>
                <w:szCs w:val="20"/>
              </w:rPr>
              <w:t xml:space="preserve">. </w:t>
            </w:r>
            <w:r w:rsidRPr="00BB2CF5">
              <w:rPr>
                <w:rFonts w:cs="Calibri"/>
                <w:b/>
                <w:sz w:val="20"/>
                <w:szCs w:val="20"/>
              </w:rPr>
              <w:t>Izdaci budžeta</w:t>
            </w:r>
            <w:r w:rsidRPr="00BB2CF5">
              <w:rPr>
                <w:rFonts w:cs="Calibri"/>
                <w:sz w:val="20"/>
                <w:szCs w:val="20"/>
              </w:rPr>
              <w:t xml:space="preserve"> u </w:t>
            </w:r>
            <w:r>
              <w:rPr>
                <w:rFonts w:cs="Calibri"/>
                <w:sz w:val="20"/>
                <w:szCs w:val="20"/>
              </w:rPr>
              <w:t>novembru</w:t>
            </w:r>
            <w:r w:rsidRPr="00BB2CF5">
              <w:rPr>
                <w:rFonts w:cs="Calibri"/>
                <w:sz w:val="20"/>
                <w:szCs w:val="20"/>
              </w:rPr>
              <w:t xml:space="preserve"> 2014. iznosili su </w:t>
            </w:r>
            <w:r>
              <w:rPr>
                <w:rFonts w:cs="Calibri"/>
                <w:sz w:val="20"/>
                <w:szCs w:val="20"/>
              </w:rPr>
              <w:t>99,1</w:t>
            </w:r>
            <w:r w:rsidRPr="00BB2CF5">
              <w:rPr>
                <w:rFonts w:cs="Calibri"/>
                <w:sz w:val="20"/>
                <w:szCs w:val="20"/>
              </w:rPr>
              <w:t xml:space="preserve"> mil. € i </w:t>
            </w:r>
            <w:r>
              <w:rPr>
                <w:rFonts w:cs="Calibri"/>
                <w:sz w:val="20"/>
                <w:szCs w:val="20"/>
              </w:rPr>
              <w:t>niži</w:t>
            </w:r>
            <w:r w:rsidRPr="00BB2CF5">
              <w:rPr>
                <w:rFonts w:cs="Calibri"/>
                <w:sz w:val="20"/>
                <w:szCs w:val="20"/>
              </w:rPr>
              <w:t xml:space="preserve"> su u odno</w:t>
            </w:r>
            <w:r>
              <w:rPr>
                <w:rFonts w:cs="Calibri"/>
                <w:sz w:val="20"/>
                <w:szCs w:val="20"/>
              </w:rPr>
              <w:t>su na isti mjesec 2013. za 2,</w:t>
            </w:r>
            <w:r w:rsidR="0028233F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>%.</w:t>
            </w:r>
            <w:r w:rsidR="0028233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</w:rPr>
              <w:t xml:space="preserve">Deficit </w:t>
            </w:r>
            <w:r w:rsidRPr="00BB2CF5">
              <w:rPr>
                <w:rFonts w:cs="Calibri"/>
                <w:b/>
                <w:sz w:val="20"/>
                <w:szCs w:val="20"/>
              </w:rPr>
              <w:t>budžeta</w:t>
            </w:r>
            <w:r w:rsidRPr="00BB2CF5">
              <w:rPr>
                <w:rFonts w:cs="Calibri"/>
                <w:sz w:val="20"/>
                <w:szCs w:val="20"/>
              </w:rPr>
              <w:t xml:space="preserve"> u </w:t>
            </w:r>
            <w:r>
              <w:rPr>
                <w:rFonts w:cs="Calibri"/>
                <w:sz w:val="20"/>
                <w:szCs w:val="20"/>
              </w:rPr>
              <w:t>novembru</w:t>
            </w:r>
            <w:r w:rsidRPr="00BB2CF5">
              <w:rPr>
                <w:rFonts w:cs="Calibri"/>
                <w:sz w:val="20"/>
                <w:szCs w:val="20"/>
              </w:rPr>
              <w:t xml:space="preserve"> 2014. iznosio je </w:t>
            </w:r>
            <w:r>
              <w:rPr>
                <w:rFonts w:cs="Calibri"/>
                <w:sz w:val="20"/>
                <w:szCs w:val="20"/>
              </w:rPr>
              <w:t>0,7</w:t>
            </w:r>
            <w:r w:rsidR="0028233F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rFonts w:cs="Calibri"/>
                <w:sz w:val="20"/>
                <w:szCs w:val="20"/>
              </w:rPr>
              <w:t>mil</w:t>
            </w:r>
            <w:r w:rsidRPr="00BB2CF5">
              <w:rPr>
                <w:rFonts w:cs="Calibri"/>
                <w:sz w:val="20"/>
                <w:szCs w:val="20"/>
              </w:rPr>
              <w:t xml:space="preserve"> €. U periodu januar-</w:t>
            </w:r>
            <w:r>
              <w:rPr>
                <w:rFonts w:cs="Calibri"/>
                <w:sz w:val="20"/>
                <w:szCs w:val="20"/>
              </w:rPr>
              <w:t>novembar</w:t>
            </w:r>
            <w:r w:rsidRPr="00BB2CF5">
              <w:rPr>
                <w:rFonts w:cs="Calibri"/>
                <w:sz w:val="20"/>
                <w:szCs w:val="20"/>
              </w:rPr>
              <w:t xml:space="preserve"> 2014. ostvaren je budžetski deficit od </w:t>
            </w:r>
            <w:r>
              <w:rPr>
                <w:rFonts w:cs="Calibri"/>
                <w:sz w:val="20"/>
                <w:szCs w:val="20"/>
              </w:rPr>
              <w:t>25,3</w:t>
            </w:r>
            <w:r w:rsidRPr="00BB2CF5">
              <w:rPr>
                <w:rFonts w:cs="Calibri"/>
                <w:sz w:val="20"/>
                <w:szCs w:val="20"/>
              </w:rPr>
              <w:t xml:space="preserve"> mil. €.</w:t>
            </w:r>
            <w:r w:rsidR="00890A93">
              <w:rPr>
                <w:rFonts w:cs="Calibri"/>
                <w:sz w:val="20"/>
                <w:szCs w:val="20"/>
              </w:rPr>
              <w:t xml:space="preserve"> </w:t>
            </w:r>
            <w:r w:rsidRPr="00BB2CF5">
              <w:rPr>
                <w:rFonts w:cs="Calibri"/>
                <w:sz w:val="20"/>
                <w:szCs w:val="20"/>
              </w:rPr>
              <w:t xml:space="preserve">U odnosu na isti period 2013. kumulativni deficit je niži za </w:t>
            </w:r>
            <w:r>
              <w:rPr>
                <w:rFonts w:cs="Calibri"/>
                <w:sz w:val="20"/>
                <w:szCs w:val="20"/>
              </w:rPr>
              <w:t>93,5</w:t>
            </w:r>
            <w:r w:rsidRPr="00BB2CF5">
              <w:rPr>
                <w:rFonts w:cs="Calibri"/>
                <w:sz w:val="20"/>
                <w:szCs w:val="20"/>
              </w:rPr>
              <w:t xml:space="preserve"> mil.€</w:t>
            </w:r>
            <w:r>
              <w:rPr>
                <w:rFonts w:cs="Calibri"/>
                <w:sz w:val="20"/>
                <w:szCs w:val="20"/>
              </w:rPr>
              <w:t>,</w:t>
            </w:r>
            <w:r w:rsidRPr="00BB2CF5">
              <w:rPr>
                <w:rFonts w:cs="Calibri"/>
                <w:sz w:val="20"/>
                <w:szCs w:val="20"/>
              </w:rPr>
              <w:t xml:space="preserve"> što je posljedica visoke baze iz prošle godine. </w:t>
            </w:r>
            <w:r w:rsidRPr="005A0061">
              <w:rPr>
                <w:rFonts w:cs="Calibri"/>
                <w:sz w:val="20"/>
                <w:szCs w:val="20"/>
              </w:rPr>
              <w:t xml:space="preserve">Državni dug na kraju </w:t>
            </w:r>
            <w:r w:rsidR="009F74C6">
              <w:rPr>
                <w:rFonts w:cs="Calibri"/>
                <w:sz w:val="20"/>
                <w:szCs w:val="20"/>
              </w:rPr>
              <w:t>novembra</w:t>
            </w:r>
            <w:r w:rsidRPr="005A0061">
              <w:rPr>
                <w:rFonts w:cs="Calibri"/>
                <w:sz w:val="20"/>
                <w:szCs w:val="20"/>
              </w:rPr>
              <w:t xml:space="preserve"> 2014. iznosio je 1.</w:t>
            </w:r>
            <w:r w:rsidR="009F74C6">
              <w:rPr>
                <w:rFonts w:cs="Calibri"/>
                <w:sz w:val="20"/>
                <w:szCs w:val="20"/>
              </w:rPr>
              <w:t>961</w:t>
            </w:r>
            <w:r w:rsidRPr="005A0061">
              <w:rPr>
                <w:rFonts w:cs="Calibri"/>
                <w:sz w:val="20"/>
                <w:szCs w:val="20"/>
              </w:rPr>
              <w:t>,9 mil.€, što predstavlja 57,</w:t>
            </w:r>
            <w:r w:rsidR="009F74C6">
              <w:rPr>
                <w:rFonts w:cs="Calibri"/>
                <w:sz w:val="20"/>
                <w:szCs w:val="20"/>
              </w:rPr>
              <w:t>8</w:t>
            </w:r>
            <w:r w:rsidRPr="005A0061">
              <w:rPr>
                <w:rFonts w:cs="Calibri"/>
                <w:sz w:val="20"/>
                <w:szCs w:val="20"/>
              </w:rPr>
              <w:t xml:space="preserve"> % p</w:t>
            </w:r>
            <w:r w:rsidR="005A0061" w:rsidRPr="005A0061">
              <w:rPr>
                <w:rFonts w:cs="Calibri"/>
                <w:sz w:val="20"/>
                <w:szCs w:val="20"/>
              </w:rPr>
              <w:t>rocijenjenog BDP-a</w:t>
            </w:r>
            <w:r w:rsidR="009F74C6">
              <w:rPr>
                <w:rFonts w:cs="Calibri"/>
                <w:sz w:val="20"/>
                <w:szCs w:val="20"/>
              </w:rPr>
              <w:t>, od čega se na spoljni dug odnosi oko 80% ukupnog državnog duga</w:t>
            </w:r>
            <w:r w:rsidRPr="005A0061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3786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DE587D" w:rsidRPr="0020440D" w:rsidRDefault="00E65897" w:rsidP="00DE587D">
            <w:pPr>
              <w:rPr>
                <w:noProof/>
                <w:sz w:val="17"/>
                <w:szCs w:val="17"/>
                <w:lang w:eastAsia="sr-Latn-CS"/>
              </w:rPr>
            </w:pPr>
            <w:r w:rsidRPr="00E65897">
              <w:rPr>
                <w:noProof/>
                <w:sz w:val="17"/>
                <w:szCs w:val="17"/>
              </w:rPr>
              <w:drawing>
                <wp:inline distT="0" distB="0" distL="0" distR="0">
                  <wp:extent cx="2390775" cy="2305050"/>
                  <wp:effectExtent l="0" t="0" r="0" b="0"/>
                  <wp:docPr id="10" name="Chart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DE587D" w:rsidRPr="0020440D" w:rsidTr="00C32335">
        <w:trPr>
          <w:trHeight w:hRule="exact" w:val="4826"/>
        </w:trPr>
        <w:tc>
          <w:tcPr>
            <w:tcW w:w="6930" w:type="dxa"/>
          </w:tcPr>
          <w:p w:rsidR="00DE587D" w:rsidRPr="0020440D" w:rsidRDefault="00DE587D" w:rsidP="000712B9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 w:rsidRPr="0020440D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Monetarni sektor</w:t>
            </w:r>
          </w:p>
          <w:p w:rsidR="00DE587D" w:rsidRPr="0020440D" w:rsidRDefault="00C32335" w:rsidP="00890A93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U novembru je zabilježeno blago oživljavanje kreditne aktivnosti, dalji rast depozita i kapitala. </w:t>
            </w:r>
            <w:r>
              <w:rPr>
                <w:noProof/>
                <w:sz w:val="20"/>
                <w:szCs w:val="20"/>
              </w:rPr>
              <w:t xml:space="preserve">Ukupni </w:t>
            </w:r>
            <w:r>
              <w:rPr>
                <w:b/>
                <w:noProof/>
                <w:sz w:val="20"/>
                <w:szCs w:val="20"/>
              </w:rPr>
              <w:t>krediti</w:t>
            </w:r>
            <w:r>
              <w:rPr>
                <w:noProof/>
                <w:sz w:val="20"/>
                <w:szCs w:val="20"/>
              </w:rPr>
              <w:t xml:space="preserve"> banaka su, u novembru, iznosili 2.426,5 mil.€, što predstavlja povećanje od 0,1% na mjesečnom nivou i 0,5% u odnosu na kraj prethodne godine.</w:t>
            </w:r>
            <w:r w:rsidR="00890A93">
              <w:rPr>
                <w:noProof/>
                <w:sz w:val="20"/>
                <w:szCs w:val="20"/>
              </w:rPr>
              <w:t xml:space="preserve"> </w:t>
            </w:r>
            <w:r>
              <w:rPr>
                <w:noProof/>
                <w:sz w:val="20"/>
                <w:szCs w:val="20"/>
              </w:rPr>
              <w:t>Posmatrano na godišnjem nivou, pad</w:t>
            </w:r>
            <w:r w:rsidR="002F5EEC">
              <w:rPr>
                <w:noProof/>
                <w:sz w:val="20"/>
                <w:szCs w:val="20"/>
              </w:rPr>
              <w:t xml:space="preserve"> kreditne aktivnosti je najniži </w:t>
            </w:r>
            <w:r w:rsidR="004553F5">
              <w:rPr>
                <w:noProof/>
                <w:sz w:val="20"/>
                <w:szCs w:val="20"/>
              </w:rPr>
              <w:t>od početka 2014g.</w:t>
            </w:r>
            <w:r>
              <w:rPr>
                <w:noProof/>
                <w:sz w:val="20"/>
                <w:szCs w:val="20"/>
              </w:rPr>
              <w:t xml:space="preserve"> i iznosi 1,5%. Po osnovu kredita, banke su najviše potraživale od privrede i stanovništva (73,9%). </w:t>
            </w:r>
            <w:r>
              <w:rPr>
                <w:b/>
                <w:noProof/>
                <w:sz w:val="20"/>
                <w:szCs w:val="20"/>
              </w:rPr>
              <w:t>Kamatne stope</w:t>
            </w:r>
            <w:r>
              <w:rPr>
                <w:noProof/>
                <w:sz w:val="20"/>
                <w:szCs w:val="20"/>
              </w:rPr>
              <w:t xml:space="preserve"> pokazuju od septembra tendenciju pada, tako da je u novembru efektivna kamatna stopa na kredite iznosila 9,28% i bila je na nivou iz prethodnog mjeseca, dok je na novodobrene kredite iznosila 9,89%. Sredstva deponovana u bankama su nastavila trend rasta, tako da suukupni </w:t>
            </w:r>
            <w:r>
              <w:rPr>
                <w:b/>
                <w:noProof/>
                <w:sz w:val="20"/>
                <w:szCs w:val="20"/>
              </w:rPr>
              <w:t xml:space="preserve">depoziti </w:t>
            </w:r>
            <w:r>
              <w:rPr>
                <w:noProof/>
                <w:sz w:val="20"/>
                <w:szCs w:val="20"/>
              </w:rPr>
              <w:t xml:space="preserve">iznosili 2.274,9 mil.€ i na mjesečnom nivou ostvarili rast od 1,0%, a na godišnjem 9,1%. Pri tome se na depozite stanovništva odnosilo 1.305,9 mil.€ ili 57,4%, dok su depoziti privrede sa iznosom od 647,5 mil.€ činili 28,5% ukupnih depozita. </w:t>
            </w:r>
            <w:r>
              <w:rPr>
                <w:b/>
                <w:noProof/>
                <w:sz w:val="20"/>
                <w:szCs w:val="20"/>
              </w:rPr>
              <w:t>Nelikvidnost</w:t>
            </w:r>
            <w:r>
              <w:rPr>
                <w:noProof/>
                <w:sz w:val="20"/>
                <w:szCs w:val="20"/>
              </w:rPr>
              <w:t xml:space="preserve"> realnog sektora i dalje predstavlja ključni problem crnogorske ekonomije sa negativnim implikacijama na stanje u bankarskom sektoru.Krajem novembra od 63.579 pravnih lica i preduzetnika, u blokadi je bilo 13.953 dužnika, što u poređenju sa prethodnim mjesecom predstavlja povećanje od 0,97% Ukupan dug po osnovu koga je izvršena blokada računa je iznosio 486,7 mil. €, što je za 0,85% više u odnosu na oktobar.</w:t>
            </w:r>
          </w:p>
        </w:tc>
        <w:tc>
          <w:tcPr>
            <w:tcW w:w="3786" w:type="dxa"/>
            <w:gridSpan w:val="2"/>
            <w:vAlign w:val="center"/>
          </w:tcPr>
          <w:p w:rsidR="00A92A57" w:rsidRPr="0020440D" w:rsidRDefault="00A92A57" w:rsidP="00DE587D">
            <w:pPr>
              <w:rPr>
                <w:noProof/>
                <w:sz w:val="17"/>
                <w:szCs w:val="17"/>
                <w:lang w:eastAsia="sr-Latn-CS"/>
              </w:rPr>
            </w:pPr>
          </w:p>
          <w:p w:rsidR="00A92A57" w:rsidRPr="0020440D" w:rsidRDefault="00A92A57" w:rsidP="00A92A57">
            <w:pPr>
              <w:rPr>
                <w:sz w:val="17"/>
                <w:szCs w:val="17"/>
                <w:lang w:eastAsia="sr-Latn-CS"/>
              </w:rPr>
            </w:pPr>
          </w:p>
          <w:p w:rsidR="00A92A57" w:rsidRPr="0020440D" w:rsidRDefault="006D6988" w:rsidP="00A92A57">
            <w:pPr>
              <w:rPr>
                <w:sz w:val="17"/>
                <w:szCs w:val="17"/>
                <w:lang w:eastAsia="sr-Latn-CS"/>
              </w:rPr>
            </w:pPr>
            <w:r w:rsidRPr="006D6988">
              <w:rPr>
                <w:noProof/>
                <w:sz w:val="17"/>
                <w:szCs w:val="17"/>
              </w:rPr>
              <w:drawing>
                <wp:inline distT="0" distB="0" distL="0" distR="0">
                  <wp:extent cx="2295727" cy="2013625"/>
                  <wp:effectExtent l="0" t="0" r="0" b="0"/>
                  <wp:docPr id="6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:rsidR="00A92A57" w:rsidRPr="0020440D" w:rsidRDefault="00A92A57" w:rsidP="00A92A57">
            <w:pPr>
              <w:rPr>
                <w:sz w:val="17"/>
                <w:szCs w:val="17"/>
                <w:lang w:eastAsia="sr-Latn-CS"/>
              </w:rPr>
            </w:pPr>
          </w:p>
          <w:p w:rsidR="00DE587D" w:rsidRPr="0020440D" w:rsidRDefault="00DE587D" w:rsidP="00A92A57">
            <w:pPr>
              <w:rPr>
                <w:sz w:val="17"/>
                <w:szCs w:val="17"/>
                <w:lang w:eastAsia="sr-Latn-CS"/>
              </w:rPr>
            </w:pPr>
          </w:p>
        </w:tc>
      </w:tr>
      <w:tr w:rsidR="00C32335" w:rsidRPr="0020440D" w:rsidTr="00B86906">
        <w:trPr>
          <w:trHeight w:hRule="exact" w:val="6086"/>
        </w:trPr>
        <w:tc>
          <w:tcPr>
            <w:tcW w:w="6930" w:type="dxa"/>
            <w:tcBorders>
              <w:bottom w:val="thinThickSmallGap" w:sz="18" w:space="0" w:color="auto"/>
            </w:tcBorders>
          </w:tcPr>
          <w:p w:rsidR="00163AF0" w:rsidRPr="00163AF0" w:rsidRDefault="00325C96" w:rsidP="00163AF0">
            <w:pPr>
              <w:pStyle w:val="NormalWeb"/>
              <w:numPr>
                <w:ilvl w:val="0"/>
                <w:numId w:val="1"/>
              </w:numPr>
              <w:spacing w:before="0" w:beforeAutospacing="0" w:after="0"/>
              <w:ind w:left="357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Spoljnotrg</w:t>
            </w:r>
            <w:r w:rsidR="00163AF0"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  <w:t>ovinska razmjena</w:t>
            </w:r>
          </w:p>
          <w:p w:rsidR="005A0061" w:rsidRPr="00912D4B" w:rsidRDefault="005A0061" w:rsidP="00890A93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sr-Latn-CS"/>
              </w:rPr>
            </w:pPr>
            <w:r w:rsidRPr="00912D4B">
              <w:rPr>
                <w:rFonts w:asciiTheme="minorHAnsi" w:hAnsiTheme="minorHAnsi" w:cstheme="minorHAnsi"/>
                <w:b/>
                <w:sz w:val="20"/>
                <w:szCs w:val="20"/>
              </w:rPr>
              <w:t>Osno</w:t>
            </w:r>
            <w:r w:rsidRPr="00912D4B">
              <w:rPr>
                <w:rFonts w:asciiTheme="minorHAnsi" w:hAnsiTheme="minorHAnsi" w:cstheme="minorHAnsi"/>
                <w:b/>
                <w:sz w:val="20"/>
                <w:szCs w:val="20"/>
                <w:lang w:val="sr-Latn-CS"/>
              </w:rPr>
              <w:t>vni analitički indikatorispoljnotrgovinske razmjene Crne Gore u periodu januar-novembar 2014.pokazuju presudan uticaj energetskog sektora na dalji rast spoljnotrgovinskog deficita</w:t>
            </w:r>
            <w:r w:rsidRPr="00912D4B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.</w:t>
            </w:r>
            <w:r w:rsidRPr="00912D4B"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Ukupan robni promet iznosio je 1.933,6 mil.€, što je za 1,6% manje</w:t>
            </w:r>
            <w:r>
              <w:rPr>
                <w:rFonts w:asciiTheme="minorHAnsi" w:hAnsiTheme="minorHAnsi"/>
                <w:noProof/>
                <w:color w:val="000000"/>
                <w:sz w:val="20"/>
                <w:szCs w:val="20"/>
              </w:rPr>
              <w:t>.</w:t>
            </w:r>
            <w:r w:rsidRPr="00912D4B">
              <w:rPr>
                <w:rFonts w:asciiTheme="minorHAnsi" w:hAnsiTheme="minorHAnsi"/>
                <w:sz w:val="20"/>
                <w:szCs w:val="20"/>
              </w:rPr>
              <w:t xml:space="preserve">Robni deficit je iznosio 1.314,3mil.€ i bilježi povećanje od 2,4%, uz smanjen stepen pokrivenosti uvoza izvozom za 1,9 p.p. </w:t>
            </w:r>
            <w:r w:rsidRPr="00912D4B">
              <w:rPr>
                <w:rFonts w:asciiTheme="minorHAnsi" w:hAnsiTheme="minorHAnsi"/>
                <w:sz w:val="20"/>
                <w:szCs w:val="20"/>
                <w:lang w:val="pl-PL"/>
              </w:rPr>
              <w:t>Ostvaren je izvoz u vrijednosti od 309,6mil.€, što je za 9,2% manje.</w:t>
            </w:r>
            <w:r w:rsidRPr="00912D4B">
              <w:rPr>
                <w:rFonts w:asciiTheme="minorHAnsi" w:hAnsiTheme="minorHAnsi"/>
                <w:sz w:val="20"/>
                <w:szCs w:val="20"/>
              </w:rPr>
              <w:t xml:space="preserve"> Pad ukupnog izvoza, dominantno opredijeljen smanjenjem izvoza električne energije za 59,0%, odražava efekat smanjene proizvodnje</w:t>
            </w:r>
            <w:r w:rsidR="009C4D32">
              <w:rPr>
                <w:rFonts w:asciiTheme="minorHAnsi" w:hAnsiTheme="minorHAnsi"/>
                <w:sz w:val="20"/>
                <w:szCs w:val="20"/>
              </w:rPr>
              <w:t xml:space="preserve"> (23,1%)</w:t>
            </w:r>
            <w:r w:rsidRPr="00912D4B">
              <w:rPr>
                <w:rFonts w:asciiTheme="minorHAnsi" w:hAnsiTheme="minorHAnsi"/>
                <w:sz w:val="20"/>
                <w:szCs w:val="20"/>
              </w:rPr>
              <w:t xml:space="preserve">, ali i visoke baze iz prethodne godine. Nastavlja se opadajući  trend izvoza aluminijuma koji je u ovom periodu za </w:t>
            </w:r>
            <w:r w:rsidRPr="00912D4B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11,0% niži</w:t>
            </w:r>
            <w:r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.</w:t>
            </w:r>
            <w:r w:rsidRPr="00912D4B"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 xml:space="preserve"> Učešće izvoza hrane i živih životinja u ukupnom izvozu povećano je sa 7,8% na 19,0%, usljed rasta vrijednosti izvoza mesa i prerada mesa za 32,8 mil.€ (reeksport mesa i mesnih prerada u Bjelorusiju)</w:t>
            </w:r>
            <w:r>
              <w:rPr>
                <w:rFonts w:asciiTheme="minorHAnsi" w:hAnsiTheme="minorHAnsi" w:cstheme="minorHAnsi"/>
                <w:sz w:val="20"/>
                <w:szCs w:val="20"/>
                <w:lang w:val="sr-Latn-CS"/>
              </w:rPr>
              <w:t>.</w:t>
            </w:r>
            <w:r w:rsidRPr="00912D4B">
              <w:rPr>
                <w:rFonts w:asciiTheme="minorHAnsi" w:hAnsiTheme="minorHAnsi"/>
                <w:sz w:val="20"/>
                <w:szCs w:val="20"/>
                <w:lang w:val="pl-PL"/>
              </w:rPr>
              <w:t xml:space="preserve"> Uvezeno je robe u vrijednosti od 1.624,0 mil.€, što je jednako uvozu u istom periodu 2013. </w:t>
            </w:r>
          </w:p>
          <w:p w:rsidR="00350496" w:rsidRDefault="00350496" w:rsidP="00890A93">
            <w:pPr>
              <w:spacing w:line="240" w:lineRule="auto"/>
              <w:jc w:val="both"/>
            </w:pPr>
            <w:r>
              <w:rPr>
                <w:b/>
                <w:noProof/>
                <w:sz w:val="20"/>
                <w:szCs w:val="20"/>
              </w:rPr>
              <w:t>Prema preliminarnim podacima, neto SDI za jedanaest mjeseci 2014. su ostvarile rast i iznosile 314,1 mil.€, što je za 17% više nego u uporednom periodu iz 2013.(268,4 mil.€).</w:t>
            </w:r>
            <w:r>
              <w:rPr>
                <w:noProof/>
                <w:sz w:val="20"/>
                <w:szCs w:val="20"/>
              </w:rPr>
              <w:t xml:space="preserve"> Ukupan prili</w:t>
            </w:r>
            <w:r w:rsidR="009A5015">
              <w:rPr>
                <w:noProof/>
                <w:sz w:val="20"/>
                <w:szCs w:val="20"/>
              </w:rPr>
              <w:t>v SDI iznosio je 446,6 mil.€, (</w:t>
            </w:r>
            <w:r>
              <w:rPr>
                <w:noProof/>
                <w:sz w:val="20"/>
                <w:szCs w:val="20"/>
              </w:rPr>
              <w:t xml:space="preserve">9,9%  više nego u 2013). U periodu januar-novembar 2014, ostvareni priliv SDI po osnovu vlasničkih </w:t>
            </w:r>
            <w:r w:rsidR="00705D44">
              <w:rPr>
                <w:noProof/>
                <w:sz w:val="20"/>
                <w:szCs w:val="20"/>
              </w:rPr>
              <w:t>ulaganja iznosio je 232,1 mil.€, pri čemu,  i</w:t>
            </w:r>
            <w:r>
              <w:rPr>
                <w:noProof/>
                <w:sz w:val="20"/>
                <w:szCs w:val="20"/>
              </w:rPr>
              <w:t>nvestici</w:t>
            </w:r>
            <w:r w:rsidR="00705D44">
              <w:rPr>
                <w:noProof/>
                <w:sz w:val="20"/>
                <w:szCs w:val="20"/>
              </w:rPr>
              <w:t xml:space="preserve">je u preduzeća i banke </w:t>
            </w:r>
            <w:r w:rsidR="00EA262B">
              <w:rPr>
                <w:noProof/>
                <w:sz w:val="20"/>
                <w:szCs w:val="20"/>
              </w:rPr>
              <w:t xml:space="preserve"> 16,2%, (54,6% više) i</w:t>
            </w:r>
            <w:r>
              <w:rPr>
                <w:noProof/>
                <w:sz w:val="20"/>
                <w:szCs w:val="20"/>
              </w:rPr>
              <w:t xml:space="preserve"> investicije u nekretnine 35,8% (11,7% manje). Istovremeno, ostvaren je rast priliva po osnovu  interkompanijskog duga sa učešćem od 46,6%, ili  24,2% više nego u predhodnom periodu 2013. Povlačenje sredstava rezidenata investiranih u inost</w:t>
            </w:r>
            <w:r w:rsidR="00B86E20">
              <w:rPr>
                <w:noProof/>
                <w:sz w:val="20"/>
                <w:szCs w:val="20"/>
              </w:rPr>
              <w:t>ranstvo</w:t>
            </w:r>
            <w:r>
              <w:rPr>
                <w:noProof/>
                <w:sz w:val="20"/>
                <w:szCs w:val="20"/>
              </w:rPr>
              <w:t xml:space="preserve"> iznosilo je 1,4% u ukupnom prilivu SDI (42,4% manje). Ukupan odliv SDI iznosio je 132,5 mil.€  što je za 3,9%  manje g-n-g.(137,9 mil.€).</w:t>
            </w:r>
          </w:p>
          <w:p w:rsidR="00C91FD4" w:rsidRDefault="00C91FD4" w:rsidP="00C91FD4">
            <w:pPr>
              <w:jc w:val="both"/>
              <w:rPr>
                <w:noProof/>
                <w:sz w:val="20"/>
                <w:szCs w:val="20"/>
              </w:rPr>
            </w:pPr>
          </w:p>
          <w:p w:rsidR="00350496" w:rsidRDefault="00350496" w:rsidP="00C91FD4">
            <w:pPr>
              <w:jc w:val="both"/>
              <w:rPr>
                <w:noProof/>
                <w:sz w:val="20"/>
                <w:szCs w:val="20"/>
              </w:rPr>
            </w:pPr>
          </w:p>
          <w:p w:rsidR="00350496" w:rsidRDefault="00350496" w:rsidP="00C91FD4">
            <w:pPr>
              <w:jc w:val="both"/>
            </w:pPr>
          </w:p>
          <w:p w:rsidR="00C32335" w:rsidRPr="0020440D" w:rsidRDefault="00C32335" w:rsidP="005A0061">
            <w:pPr>
              <w:pStyle w:val="NormalWeb"/>
              <w:numPr>
                <w:ilvl w:val="0"/>
                <w:numId w:val="32"/>
              </w:numPr>
              <w:pBdr>
                <w:top w:val="single" w:sz="4" w:space="1" w:color="auto"/>
              </w:pBdr>
              <w:spacing w:before="0" w:beforeAutospacing="0" w:after="0"/>
              <w:ind w:left="0"/>
              <w:jc w:val="both"/>
              <w:rPr>
                <w:rFonts w:ascii="Calibri" w:hAnsi="Calibri" w:cs="Calibri"/>
                <w:b/>
                <w:bCs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3786" w:type="dxa"/>
            <w:gridSpan w:val="2"/>
            <w:tcBorders>
              <w:bottom w:val="thinThickSmallGap" w:sz="18" w:space="0" w:color="auto"/>
            </w:tcBorders>
            <w:vAlign w:val="center"/>
          </w:tcPr>
          <w:p w:rsidR="00C32335" w:rsidRPr="0020440D" w:rsidRDefault="007C7AE8" w:rsidP="00DE587D">
            <w:pPr>
              <w:rPr>
                <w:noProof/>
                <w:sz w:val="17"/>
                <w:szCs w:val="17"/>
                <w:lang w:eastAsia="sr-Latn-CS"/>
              </w:rPr>
            </w:pPr>
            <w:r w:rsidRPr="007C7AE8">
              <w:rPr>
                <w:noProof/>
                <w:sz w:val="17"/>
                <w:szCs w:val="17"/>
              </w:rPr>
              <w:drawing>
                <wp:inline distT="0" distB="0" distL="0" distR="0">
                  <wp:extent cx="2268000" cy="3438000"/>
                  <wp:effectExtent l="19050" t="0" r="0" b="0"/>
                  <wp:docPr id="5" name="Chart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</w:tr>
    </w:tbl>
    <w:p w:rsidR="0082570B" w:rsidRDefault="0082570B" w:rsidP="00D51C00">
      <w:pPr>
        <w:rPr>
          <w:rFonts w:asciiTheme="minorHAnsi" w:hAnsiTheme="minorHAnsi" w:cstheme="minorHAnsi"/>
          <w:sz w:val="20"/>
          <w:szCs w:val="20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  <w:sectPr w:rsidR="005A0061" w:rsidSect="005A0061">
          <w:pgSz w:w="11907" w:h="16839" w:code="9"/>
          <w:pgMar w:top="254" w:right="284" w:bottom="426" w:left="284" w:header="720" w:footer="720" w:gutter="0"/>
          <w:cols w:space="720"/>
          <w:docGrid w:linePitch="360"/>
        </w:sect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5A0061" w:rsidRDefault="005A0061" w:rsidP="00332574">
      <w:pPr>
        <w:jc w:val="center"/>
        <w:outlineLvl w:val="0"/>
        <w:rPr>
          <w:noProof/>
          <w:sz w:val="17"/>
          <w:szCs w:val="16"/>
        </w:rPr>
      </w:pPr>
    </w:p>
    <w:p w:rsidR="00BB4C6C" w:rsidRDefault="0082570B" w:rsidP="00BB4C6C">
      <w:pPr>
        <w:spacing w:after="0"/>
        <w:jc w:val="center"/>
        <w:outlineLvl w:val="0"/>
        <w:rPr>
          <w:noProof/>
          <w:sz w:val="17"/>
          <w:szCs w:val="16"/>
        </w:rPr>
      </w:pPr>
      <w:r w:rsidRPr="0020440D">
        <w:rPr>
          <w:noProof/>
          <w:sz w:val="17"/>
          <w:szCs w:val="16"/>
        </w:rPr>
        <w:t xml:space="preserve">Tabela 1: </w:t>
      </w:r>
      <w:r w:rsidRPr="0020440D">
        <w:rPr>
          <w:b/>
          <w:bCs/>
          <w:noProof/>
          <w:sz w:val="17"/>
          <w:szCs w:val="16"/>
        </w:rPr>
        <w:t>MAKROEKONOMSKI INDIKATORI</w:t>
      </w:r>
      <w:r w:rsidRPr="0020440D">
        <w:rPr>
          <w:noProof/>
          <w:sz w:val="17"/>
          <w:szCs w:val="16"/>
        </w:rPr>
        <w:t xml:space="preserve"> – </w:t>
      </w:r>
      <w:r w:rsidR="00865ABB">
        <w:rPr>
          <w:noProof/>
          <w:sz w:val="17"/>
          <w:szCs w:val="16"/>
        </w:rPr>
        <w:t>novembar</w:t>
      </w:r>
      <w:r w:rsidRPr="0020440D">
        <w:rPr>
          <w:noProof/>
          <w:sz w:val="17"/>
          <w:szCs w:val="16"/>
        </w:rPr>
        <w:t>201</w:t>
      </w:r>
      <w:r w:rsidR="00B355D6" w:rsidRPr="0020440D">
        <w:rPr>
          <w:noProof/>
          <w:sz w:val="17"/>
          <w:szCs w:val="16"/>
        </w:rPr>
        <w:t>4</w:t>
      </w:r>
      <w:r w:rsidRPr="0020440D">
        <w:rPr>
          <w:noProof/>
          <w:sz w:val="17"/>
          <w:szCs w:val="16"/>
        </w:rPr>
        <w:t>.</w:t>
      </w:r>
    </w:p>
    <w:p w:rsidR="00332574" w:rsidRPr="0020440D" w:rsidRDefault="00332574" w:rsidP="00BB4C6C">
      <w:pPr>
        <w:spacing w:after="0"/>
        <w:outlineLvl w:val="0"/>
        <w:rPr>
          <w:b/>
          <w:i/>
          <w:noProof/>
          <w:sz w:val="16"/>
          <w:szCs w:val="16"/>
        </w:rPr>
      </w:pPr>
      <w:r w:rsidRPr="0020440D">
        <w:rPr>
          <w:b/>
          <w:i/>
          <w:noProof/>
          <w:sz w:val="16"/>
          <w:szCs w:val="16"/>
        </w:rPr>
        <w:t>Izvor: MONSTAT, Centralna Banka, Zavod za zapošljavanje Crne Gore</w:t>
      </w:r>
    </w:p>
    <w:p w:rsidR="00332574" w:rsidRPr="0020440D" w:rsidRDefault="00332574" w:rsidP="00BB4C6C">
      <w:pPr>
        <w:spacing w:after="0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Svi indikatori su prikazani kao godišnje stope rasta (stopa promjene indikatora u posmatranom mjesecu u odnosu na isti mjesec prethodne godine u %) ukoliko nije drugačije naznačeno u nazivu</w:t>
      </w:r>
    </w:p>
    <w:p w:rsidR="0083011C" w:rsidRPr="0020440D" w:rsidRDefault="00332574" w:rsidP="00BB4C6C">
      <w:pPr>
        <w:spacing w:after="0" w:line="240" w:lineRule="auto"/>
        <w:ind w:firstLine="142"/>
        <w:rPr>
          <w:i/>
          <w:iCs/>
          <w:noProof/>
          <w:sz w:val="12"/>
          <w:szCs w:val="12"/>
        </w:rPr>
      </w:pPr>
      <w:r w:rsidRPr="0020440D">
        <w:rPr>
          <w:i/>
          <w:iCs/>
          <w:noProof/>
          <w:sz w:val="12"/>
          <w:szCs w:val="12"/>
        </w:rPr>
        <w:t>M-n-M označava mjesečnu promjenu (stopa promjene indikatora u posmatranom mjesecu u odnosu na prethodni mjesec u %)</w:t>
      </w:r>
      <w:r w:rsidR="00E2362B" w:rsidRPr="0020440D">
        <w:rPr>
          <w:i/>
          <w:iCs/>
          <w:noProof/>
          <w:sz w:val="12"/>
          <w:szCs w:val="12"/>
        </w:rPr>
        <w:t>g-n-g označava godišnju promjenu (stopa promjene indikatora u posmatranom mjesecuili periodu  u odnosu na isti mmjesec ili periodprethodne godine u %)</w:t>
      </w:r>
    </w:p>
    <w:p w:rsidR="00BB4C6C" w:rsidRPr="00865ABB" w:rsidRDefault="00200602" w:rsidP="00BB4C6C">
      <w:pPr>
        <w:pStyle w:val="Caption"/>
        <w:keepNext/>
        <w:spacing w:after="0"/>
        <w:rPr>
          <w:sz w:val="14"/>
        </w:rPr>
      </w:pPr>
      <w:r w:rsidRPr="00865ABB">
        <w:rPr>
          <w:sz w:val="14"/>
        </w:rPr>
        <w:t xml:space="preserve">Tabela </w:t>
      </w:r>
      <w:r w:rsidR="000D2DFE" w:rsidRPr="00865ABB">
        <w:rPr>
          <w:sz w:val="14"/>
        </w:rPr>
        <w:fldChar w:fldCharType="begin"/>
      </w:r>
      <w:r w:rsidR="00856B6A" w:rsidRPr="00865ABB">
        <w:rPr>
          <w:sz w:val="14"/>
        </w:rPr>
        <w:instrText xml:space="preserve"> SEQ Tabela \* ARABIC </w:instrText>
      </w:r>
      <w:r w:rsidR="000D2DFE" w:rsidRPr="00865ABB">
        <w:rPr>
          <w:sz w:val="14"/>
        </w:rPr>
        <w:fldChar w:fldCharType="separate"/>
      </w:r>
      <w:r w:rsidR="001754F5">
        <w:rPr>
          <w:noProof/>
          <w:sz w:val="14"/>
        </w:rPr>
        <w:t>1</w:t>
      </w:r>
      <w:r w:rsidR="000D2DFE" w:rsidRPr="00865ABB">
        <w:rPr>
          <w:sz w:val="14"/>
        </w:rPr>
        <w:fldChar w:fldCharType="end"/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620"/>
        <w:gridCol w:w="849"/>
        <w:gridCol w:w="672"/>
        <w:gridCol w:w="711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673"/>
        <w:gridCol w:w="850"/>
        <w:gridCol w:w="789"/>
        <w:gridCol w:w="948"/>
      </w:tblGrid>
      <w:tr w:rsidR="00BB4C6C" w:rsidRPr="00BB4C6C" w:rsidTr="00BB4C6C">
        <w:trPr>
          <w:divId w:val="1920676979"/>
          <w:trHeight w:val="630"/>
        </w:trPr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Indikatori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XII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2014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III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IV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VIII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IX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XI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M-n-M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nov '14 / nov '13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jan - nov '14 / jan - nov '13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REALNI SEKTOR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8"/>
                <w:szCs w:val="18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Industrijska proizvodnja (stopa rasta)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21,40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14,50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5,70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-20,60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-27,90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-23,40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-26,40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-16,30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-12,70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7,50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8,20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-19,80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-5,6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-19,8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-11,9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Prerađivačka industrija (stopa rasta)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28,20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48,80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39,80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20,50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18,40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-44,90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-10,90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-5,00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-24,60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-19,70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-3,20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-18,10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-18,1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-4,9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Noćenja u turizmu (stopa rasta)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22,10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2,70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-4,20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4,20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-57,2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12,8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1,5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Promet u maloprodaji (stopa rasta)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12,80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14,20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3,10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3,90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4,30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3,50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1,40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-9,9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1,4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2,6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Vrijednost radova u gradjevinarstvu (stopa rasta)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27,9</w:t>
            </w:r>
          </w:p>
        </w:tc>
        <w:tc>
          <w:tcPr>
            <w:tcW w:w="6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30,3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3,3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-5,5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color w:val="993300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potrošačkih cijena (stopa rasta)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Harmonizovani indeks potrošačkih cijena (stopa rasta)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n/p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Indeks proizvodjačkih cijena (stopa rasta)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I ZARADE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Zaposlenost (broj, kraj perioda)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167.607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167.173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167.616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168.805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170.177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172.202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174.917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179.774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181.408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178.558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173.942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172.306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172.273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2,8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1,3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Broj nezaposlenih (broj, kraj perioda)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34.680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34.514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34.804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34.664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34.671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33.906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32.763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31.115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31.163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31.548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33.744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34.733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(%)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14,9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14,6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14,1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13,4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13,6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14,5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15,0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3,7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Stopa nezaposlenosti (ARS) (%)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6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19,5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18,5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4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Oglašena radna mjesta (broj)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648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1.130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1.028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1.051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3.077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5.399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4.984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3.616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2.235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2.605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2.563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2.434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-5,0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275,6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146,0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bruto zarada (u 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728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738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729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720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726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725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713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718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722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724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723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-0,7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-0,4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Prosječna mjesečna neto zarada (u 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486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480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474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470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473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476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478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477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-0,8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MONETARNI SEKTOR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krediti (kumulativ, mil. 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2.463,9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2.411,9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2.407,9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2.415,0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2.405,0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2.386,6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2.383,1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2.376,2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2.402,7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2.453,0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2.443,2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2.424,1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2.426,5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 xml:space="preserve">Ukupni krediti (stopa rasta) 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3,0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-3,0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-3,7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-3,2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-3,8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-3,3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-4,1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-3,4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-2,0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Nekvalitetni krediti (kumulativ, mil 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428,3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423,2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425,6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426,3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393,9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406,1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417,6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402,6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422,4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400,2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398,9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Udio nekvalitetnih kredita u ukupnim kreditima (u %)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16,4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16,5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center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n.p.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(kumulativ, mil 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2.084,9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2.098,6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2.096,7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2.101,7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2.104,3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2.094,8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2.114,3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2.146,4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2.188,2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2.254,5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2.268,0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2.251,5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2.274,9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Ukupni depoziti (stopa rasta)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6,0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6,4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6,8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privredi (kumulativ, u mil 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955,2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948,4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942,6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951,6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947,7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958,5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959,8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950,4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932,3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911,3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900,9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890,4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898,1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-6,0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Krediti domaćinstvima (kumulativ, u mil 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881,3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881,1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882,6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887,1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887,4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890,7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891,5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893,6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892,7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893,0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895,4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Depoziti privrede (kumulativ, u mil 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553,9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554,8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554,0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549,6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542,8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533,0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551,7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576,4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596,1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639,4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633,5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634,2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647,5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16,9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Lična štednja (kumulativ, u mil 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1.221,0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1.237,7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1.235,1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1.236,4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1.239,2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1.247,8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1.245,5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1.244,5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1.270,1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1.288,5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1.300,0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1.299,3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1.305,9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7,0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kredite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9,33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9,36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9,40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9,42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9,45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9,51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9,54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9,55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9,31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9,57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9,28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-0,05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Kamatna stopa na depozite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2,60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2,55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2,41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2,45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2,31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2,25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2,19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2,08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2,01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1,96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1,93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1,89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-0,04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-0,71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EKSTERNI SEKTOR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Izvoz roba (u mil. 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31,2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34,5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22,6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22,2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24,7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23,2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25,7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28,3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31,7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27,7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35,3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33,8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34,4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10,4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-8,0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Uvoz roba (u mil. 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130,7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149,0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83,1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112,6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145,9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158,0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171,9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184,3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164,4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154,6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158,4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132,3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-16,4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1,2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Spoljnotrgovinski bilans (u mil 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-99,6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-114,5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-60,5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-90,4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-121,2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-135,2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-132,2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-143,6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-152,6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-136,7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-119,3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-124,6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-97,9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-21,4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-1,7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Strane direktne investicije (mil.€)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12,6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55,5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28,8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32,1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6,1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29,0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39,7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26,4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26,8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50,5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31,1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224D43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26,5</w:t>
            </w:r>
            <w:r w:rsidR="007C0AE4">
              <w:rPr>
                <w:rStyle w:val="FootnoteReference"/>
                <w:sz w:val="14"/>
                <w:szCs w:val="14"/>
                <w:lang w:val="sr-Latn-CS" w:eastAsia="sr-Latn-CS"/>
              </w:rPr>
              <w:footnoteReference w:id="2"/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224D43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-14,8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224D43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111,4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224D43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>
              <w:rPr>
                <w:rFonts w:cs="Calibri"/>
                <w:sz w:val="14"/>
                <w:szCs w:val="14"/>
                <w:lang w:val="sr-Latn-CS" w:eastAsia="sr-Latn-CS"/>
              </w:rPr>
              <w:t>17,0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MEĐUNARODNO OKRUŽENJE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4"/>
                <w:szCs w:val="14"/>
                <w:lang w:val="sr-Latn-CS" w:eastAsia="sr-Latn-CS"/>
              </w:rPr>
              <w:t> 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Brent crude oil (USD/barel)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111,5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107,8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108,8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109,7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107,7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108,0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109,6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112,5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105,6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103,0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94,8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85,9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70,2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-18,3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-37,1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-6,1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Aluminijum (USD/T)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1.748,0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1.739,8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1.740,8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1.695,2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1.705,4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1.810,7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1.751,1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1.839,0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1.948,3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2.030,5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1.990,4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1.946,2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2.055,6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5,6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17,6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0,2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Euribor (12 mjeseci)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0,53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0,56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0,55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0,59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0,61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0,57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0,49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0,43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0,34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0,33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-0,01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-0,20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-0,06</w:t>
            </w:r>
          </w:p>
        </w:tc>
      </w:tr>
      <w:tr w:rsidR="00BB4C6C" w:rsidRPr="00BB4C6C" w:rsidTr="00BB4C6C">
        <w:trPr>
          <w:divId w:val="1920676979"/>
          <w:trHeight w:hRule="exact" w:val="198"/>
        </w:trPr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</w:pPr>
            <w:r w:rsidRPr="00BB4C6C">
              <w:rPr>
                <w:rFonts w:cs="Calibri"/>
                <w:b/>
                <w:bCs/>
                <w:sz w:val="16"/>
                <w:szCs w:val="16"/>
                <w:lang w:val="sr-Latn-CS" w:eastAsia="sr-Latn-CS"/>
              </w:rPr>
              <w:t>Inflacija u Eurozoni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0,9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0,8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0,4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0,3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-0,6</w:t>
            </w:r>
          </w:p>
        </w:tc>
        <w:tc>
          <w:tcPr>
            <w:tcW w:w="2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right w:w="57" w:type="dxa"/>
            </w:tcMar>
            <w:vAlign w:val="center"/>
            <w:hideMark/>
          </w:tcPr>
          <w:p w:rsidR="00BB4C6C" w:rsidRPr="00BB4C6C" w:rsidRDefault="00BB4C6C" w:rsidP="00BB4C6C">
            <w:pPr>
              <w:spacing w:after="0" w:line="240" w:lineRule="auto"/>
              <w:jc w:val="right"/>
              <w:rPr>
                <w:rFonts w:cs="Calibri"/>
                <w:sz w:val="14"/>
                <w:szCs w:val="14"/>
                <w:lang w:val="sr-Latn-CS" w:eastAsia="sr-Latn-CS"/>
              </w:rPr>
            </w:pPr>
            <w:r w:rsidRPr="00BB4C6C">
              <w:rPr>
                <w:rFonts w:cs="Calibri"/>
                <w:sz w:val="14"/>
                <w:szCs w:val="14"/>
                <w:lang w:val="sr-Latn-CS" w:eastAsia="sr-Latn-CS"/>
              </w:rPr>
              <w:t>-0,9</w:t>
            </w:r>
          </w:p>
        </w:tc>
      </w:tr>
    </w:tbl>
    <w:p w:rsidR="00230C34" w:rsidRDefault="00230C34" w:rsidP="00200602">
      <w:pPr>
        <w:pStyle w:val="Caption"/>
        <w:keepNext/>
      </w:pPr>
    </w:p>
    <w:p w:rsidR="00230C34" w:rsidRPr="00865ABB" w:rsidRDefault="00230C34" w:rsidP="00230C34">
      <w:pPr>
        <w:pStyle w:val="Caption"/>
        <w:keepNext/>
        <w:rPr>
          <w:sz w:val="14"/>
        </w:rPr>
      </w:pPr>
      <w:r w:rsidRPr="00865ABB">
        <w:rPr>
          <w:sz w:val="14"/>
        </w:rPr>
        <w:t xml:space="preserve">Tabela </w:t>
      </w:r>
      <w:r w:rsidR="00BB4C6C" w:rsidRPr="00865ABB">
        <w:rPr>
          <w:sz w:val="14"/>
        </w:rPr>
        <w:t>2</w:t>
      </w:r>
    </w:p>
    <w:tbl>
      <w:tblPr>
        <w:tblW w:w="5000" w:type="pct"/>
        <w:tblLook w:val="04A0"/>
      </w:tblPr>
      <w:tblGrid>
        <w:gridCol w:w="3216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7"/>
        <w:gridCol w:w="784"/>
        <w:gridCol w:w="679"/>
        <w:gridCol w:w="793"/>
        <w:gridCol w:w="672"/>
      </w:tblGrid>
      <w:tr w:rsidR="00230C34" w:rsidRPr="000B542E" w:rsidTr="0044041E">
        <w:trPr>
          <w:trHeight w:val="315"/>
        </w:trPr>
        <w:tc>
          <w:tcPr>
            <w:tcW w:w="985" w:type="pct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B542E">
              <w:rPr>
                <w:b/>
                <w:bCs/>
                <w:sz w:val="16"/>
                <w:szCs w:val="16"/>
              </w:rPr>
              <w:t>BUDŽET CRNE GORE</w:t>
            </w:r>
          </w:p>
        </w:tc>
        <w:tc>
          <w:tcPr>
            <w:tcW w:w="481" w:type="pct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2013</w:t>
            </w:r>
          </w:p>
        </w:tc>
        <w:tc>
          <w:tcPr>
            <w:tcW w:w="2403" w:type="pct"/>
            <w:gridSpan w:val="10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2014</w:t>
            </w:r>
          </w:p>
        </w:tc>
        <w:tc>
          <w:tcPr>
            <w:tcW w:w="222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 </w:t>
            </w:r>
          </w:p>
        </w:tc>
        <w:tc>
          <w:tcPr>
            <w:tcW w:w="245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plan 2014</w:t>
            </w:r>
          </w:p>
        </w:tc>
        <w:tc>
          <w:tcPr>
            <w:tcW w:w="663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Analitika-Novembar</w:t>
            </w:r>
          </w:p>
        </w:tc>
      </w:tr>
      <w:tr w:rsidR="00230C34" w:rsidRPr="000B542E" w:rsidTr="0044041E">
        <w:trPr>
          <w:trHeight w:val="735"/>
        </w:trPr>
        <w:tc>
          <w:tcPr>
            <w:tcW w:w="985" w:type="pct"/>
            <w:vMerge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XI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XII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II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III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IV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V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VI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VII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VIII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IX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X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XI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XI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nov 2014 / nov 2013 (%)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jan-nov 2014 / jan-nov 2013 (%)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EEECE1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0B542E">
              <w:rPr>
                <w:sz w:val="14"/>
                <w:szCs w:val="14"/>
              </w:rPr>
              <w:t>nov 2014 / nov 2014 plan (%)</w:t>
            </w:r>
          </w:p>
        </w:tc>
      </w:tr>
      <w:tr w:rsidR="00230C34" w:rsidRPr="000B542E" w:rsidTr="0044041E">
        <w:trPr>
          <w:trHeight w:val="330"/>
        </w:trPr>
        <w:tc>
          <w:tcPr>
            <w:tcW w:w="985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B542E">
              <w:rPr>
                <w:b/>
                <w:bCs/>
                <w:sz w:val="16"/>
                <w:szCs w:val="16"/>
              </w:rPr>
              <w:t>IZVORNI PRIHODI, od čega:</w:t>
            </w:r>
          </w:p>
        </w:tc>
        <w:tc>
          <w:tcPr>
            <w:tcW w:w="24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96,52</w:t>
            </w:r>
          </w:p>
        </w:tc>
        <w:tc>
          <w:tcPr>
            <w:tcW w:w="240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145,12</w:t>
            </w:r>
          </w:p>
        </w:tc>
        <w:tc>
          <w:tcPr>
            <w:tcW w:w="24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70,78</w:t>
            </w:r>
          </w:p>
        </w:tc>
        <w:tc>
          <w:tcPr>
            <w:tcW w:w="24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82,13</w:t>
            </w:r>
          </w:p>
        </w:tc>
        <w:tc>
          <w:tcPr>
            <w:tcW w:w="24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100,71</w:t>
            </w:r>
          </w:p>
        </w:tc>
        <w:tc>
          <w:tcPr>
            <w:tcW w:w="24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109,08</w:t>
            </w:r>
          </w:p>
        </w:tc>
        <w:tc>
          <w:tcPr>
            <w:tcW w:w="24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102,20</w:t>
            </w:r>
          </w:p>
        </w:tc>
        <w:tc>
          <w:tcPr>
            <w:tcW w:w="24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109,84</w:t>
            </w:r>
          </w:p>
        </w:tc>
        <w:tc>
          <w:tcPr>
            <w:tcW w:w="24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120,72</w:t>
            </w:r>
          </w:p>
        </w:tc>
        <w:tc>
          <w:tcPr>
            <w:tcW w:w="24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126,56</w:t>
            </w:r>
          </w:p>
        </w:tc>
        <w:tc>
          <w:tcPr>
            <w:tcW w:w="24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117,90</w:t>
            </w:r>
          </w:p>
        </w:tc>
        <w:tc>
          <w:tcPr>
            <w:tcW w:w="240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158,21</w:t>
            </w:r>
          </w:p>
        </w:tc>
        <w:tc>
          <w:tcPr>
            <w:tcW w:w="222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98,47</w:t>
            </w:r>
          </w:p>
        </w:tc>
        <w:tc>
          <w:tcPr>
            <w:tcW w:w="245" w:type="pct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B542E">
              <w:rPr>
                <w:b/>
                <w:bCs/>
                <w:sz w:val="16"/>
                <w:szCs w:val="16"/>
              </w:rPr>
              <w:t>98,07</w:t>
            </w:r>
          </w:p>
        </w:tc>
        <w:tc>
          <w:tcPr>
            <w:tcW w:w="210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2,02</w:t>
            </w:r>
          </w:p>
        </w:tc>
        <w:tc>
          <w:tcPr>
            <w:tcW w:w="245" w:type="pct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8,96</w:t>
            </w:r>
          </w:p>
        </w:tc>
        <w:tc>
          <w:tcPr>
            <w:tcW w:w="207" w:type="pct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0,40</w:t>
            </w:r>
          </w:p>
        </w:tc>
      </w:tr>
      <w:tr w:rsidR="009C7459" w:rsidRPr="000B542E" w:rsidTr="0044041E">
        <w:trPr>
          <w:trHeight w:val="315"/>
        </w:trPr>
        <w:tc>
          <w:tcPr>
            <w:tcW w:w="98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Porezi i doprinosi na  zarade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37,52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75,77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21,23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34,36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37,91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40,21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45,74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45,71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44,52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45,43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40,40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59,14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43,27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37,50</w:t>
            </w:r>
          </w:p>
        </w:tc>
        <w:tc>
          <w:tcPr>
            <w:tcW w:w="210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15,34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9,46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15,41</w:t>
            </w:r>
          </w:p>
        </w:tc>
      </w:tr>
      <w:tr w:rsidR="009C7459" w:rsidRPr="000B542E" w:rsidTr="0044041E">
        <w:trPr>
          <w:trHeight w:val="300"/>
        </w:trPr>
        <w:tc>
          <w:tcPr>
            <w:tcW w:w="98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Porez na dobit pravnih lica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1,13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1,54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0,96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12,11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11,31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2,49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2,38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5,92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2,52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2,05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1,76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0,50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1,24</w:t>
            </w:r>
          </w:p>
        </w:tc>
        <w:tc>
          <w:tcPr>
            <w:tcW w:w="210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-56,17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9,93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-59,88</w:t>
            </w:r>
          </w:p>
        </w:tc>
      </w:tr>
      <w:tr w:rsidR="009C7459" w:rsidRPr="000B542E" w:rsidTr="0044041E">
        <w:trPr>
          <w:trHeight w:val="300"/>
        </w:trPr>
        <w:tc>
          <w:tcPr>
            <w:tcW w:w="98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Porez na dodatu vrijednost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33,51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40,19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32,17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31,16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34,92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39,01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33,08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37,06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45,61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49,64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49,31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74,54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33,89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34,98</w:t>
            </w:r>
          </w:p>
        </w:tc>
        <w:tc>
          <w:tcPr>
            <w:tcW w:w="210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1,12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18,35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-3,12</w:t>
            </w:r>
          </w:p>
        </w:tc>
      </w:tr>
      <w:tr w:rsidR="009C7459" w:rsidRPr="000B542E" w:rsidTr="0044041E">
        <w:trPr>
          <w:trHeight w:val="300"/>
        </w:trPr>
        <w:tc>
          <w:tcPr>
            <w:tcW w:w="98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Akcize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13,08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13,19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9,74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8,37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9,53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10,78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12,29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14,55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15,75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19,49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17,28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13,40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12,18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13,98</w:t>
            </w:r>
          </w:p>
        </w:tc>
        <w:tc>
          <w:tcPr>
            <w:tcW w:w="210" w:type="pct"/>
            <w:tcBorders>
              <w:top w:val="nil"/>
              <w:left w:val="dotted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-6,92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-3,30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-12,88</w:t>
            </w:r>
          </w:p>
        </w:tc>
      </w:tr>
      <w:tr w:rsidR="009C7459" w:rsidRPr="000B542E" w:rsidTr="0044041E">
        <w:trPr>
          <w:trHeight w:val="315"/>
        </w:trPr>
        <w:tc>
          <w:tcPr>
            <w:tcW w:w="985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Porez na medj trgovinu i transak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1,48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1,69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0,96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1,30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1,64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1,83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1,87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2,14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2,58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2,35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2,20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2,00</w:t>
            </w:r>
          </w:p>
        </w:tc>
        <w:tc>
          <w:tcPr>
            <w:tcW w:w="22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1,43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1,58</w:t>
            </w:r>
          </w:p>
        </w:tc>
        <w:tc>
          <w:tcPr>
            <w:tcW w:w="210" w:type="pct"/>
            <w:tcBorders>
              <w:top w:val="nil"/>
              <w:left w:val="dotted" w:sz="4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-3,45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-1,32</w:t>
            </w:r>
          </w:p>
        </w:tc>
        <w:tc>
          <w:tcPr>
            <w:tcW w:w="20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-9,42</w:t>
            </w:r>
          </w:p>
        </w:tc>
      </w:tr>
      <w:tr w:rsidR="00230C34" w:rsidRPr="000B542E" w:rsidTr="0044041E">
        <w:trPr>
          <w:trHeight w:val="330"/>
        </w:trPr>
        <w:tc>
          <w:tcPr>
            <w:tcW w:w="985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B542E">
              <w:rPr>
                <w:b/>
                <w:bCs/>
                <w:sz w:val="16"/>
                <w:szCs w:val="16"/>
              </w:rPr>
              <w:t>IZDACI BUDŽETA, od čega :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101,31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151,66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94,32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88,93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115,88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122,33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101,78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105,77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107,26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107,87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120,47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158,19</w:t>
            </w:r>
          </w:p>
        </w:tc>
        <w:tc>
          <w:tcPr>
            <w:tcW w:w="22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99,14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B542E">
              <w:rPr>
                <w:b/>
                <w:bCs/>
                <w:sz w:val="16"/>
                <w:szCs w:val="16"/>
              </w:rPr>
              <w:t>111,29</w:t>
            </w:r>
          </w:p>
        </w:tc>
        <w:tc>
          <w:tcPr>
            <w:tcW w:w="2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-2,14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0,50</w:t>
            </w:r>
          </w:p>
        </w:tc>
        <w:tc>
          <w:tcPr>
            <w:tcW w:w="20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-10,92</w:t>
            </w:r>
          </w:p>
        </w:tc>
      </w:tr>
      <w:tr w:rsidR="009C7459" w:rsidRPr="000B542E" w:rsidTr="0044041E">
        <w:trPr>
          <w:trHeight w:val="315"/>
        </w:trPr>
        <w:tc>
          <w:tcPr>
            <w:tcW w:w="98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Bruto zarade i doprinosi na teret poslodavca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33,51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29,83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31,75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31,99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28,95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33,40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33,99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29,16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31,64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33,57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32,19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28,62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33,16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32,21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-1,04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2,51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2,95</w:t>
            </w:r>
          </w:p>
        </w:tc>
      </w:tr>
      <w:tr w:rsidR="009C7459" w:rsidRPr="000B542E" w:rsidTr="0044041E">
        <w:trPr>
          <w:trHeight w:val="300"/>
        </w:trPr>
        <w:tc>
          <w:tcPr>
            <w:tcW w:w="98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Rashodi za materijal i usluge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5,22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15,37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3,12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4,42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5,25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5,56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6,62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5,96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5,94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5,30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8,69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6,36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5,83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21,91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-7,81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9,07</w:t>
            </w:r>
          </w:p>
        </w:tc>
      </w:tr>
      <w:tr w:rsidR="009C7459" w:rsidRPr="000B542E" w:rsidTr="0044041E">
        <w:trPr>
          <w:trHeight w:val="300"/>
        </w:trPr>
        <w:tc>
          <w:tcPr>
            <w:tcW w:w="98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Kamate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2,31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1,11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4,62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24,66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0,92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5,61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6,41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1,24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17,85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0,59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0,55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6,11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-26,84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5,76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-91,03</w:t>
            </w:r>
          </w:p>
        </w:tc>
      </w:tr>
      <w:tr w:rsidR="009C7459" w:rsidRPr="000B542E" w:rsidTr="0044041E">
        <w:trPr>
          <w:trHeight w:val="300"/>
        </w:trPr>
        <w:tc>
          <w:tcPr>
            <w:tcW w:w="98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Transferi za socijalnu zaštitu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39,83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43,05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39,56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41,43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41,91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40,42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40,51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40,39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42,65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41,82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39,29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40,46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40,89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41,52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2,65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2,14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-1,53</w:t>
            </w:r>
          </w:p>
        </w:tc>
      </w:tr>
      <w:tr w:rsidR="009C7459" w:rsidRPr="000B542E" w:rsidTr="0044041E">
        <w:trPr>
          <w:trHeight w:val="300"/>
        </w:trPr>
        <w:tc>
          <w:tcPr>
            <w:tcW w:w="98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Transferi instit, pojed i NVO sektoru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4,75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17,85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4,73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3,67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11,94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8,80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7,96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8,71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7,34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8,85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7,11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13,73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4,71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8,42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-1,01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14,51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-44,12</w:t>
            </w:r>
          </w:p>
        </w:tc>
      </w:tr>
      <w:tr w:rsidR="009C7459" w:rsidRPr="000B542E" w:rsidTr="0044041E">
        <w:trPr>
          <w:trHeight w:val="315"/>
        </w:trPr>
        <w:tc>
          <w:tcPr>
            <w:tcW w:w="985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Kapitalni izdaci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6,49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22,14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1,67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1,07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6,63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3,51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6,72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6,75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6,40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8,57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5,21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56,13</w:t>
            </w:r>
          </w:p>
        </w:tc>
        <w:tc>
          <w:tcPr>
            <w:tcW w:w="22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7,98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9,36</w:t>
            </w:r>
          </w:p>
        </w:tc>
        <w:tc>
          <w:tcPr>
            <w:tcW w:w="2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22,99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113,33</w:t>
            </w:r>
          </w:p>
        </w:tc>
        <w:tc>
          <w:tcPr>
            <w:tcW w:w="20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-14,77</w:t>
            </w:r>
          </w:p>
        </w:tc>
      </w:tr>
      <w:tr w:rsidR="00230C34" w:rsidRPr="000B542E" w:rsidTr="0044041E">
        <w:trPr>
          <w:trHeight w:val="330"/>
        </w:trPr>
        <w:tc>
          <w:tcPr>
            <w:tcW w:w="985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B542E">
              <w:rPr>
                <w:b/>
                <w:bCs/>
                <w:sz w:val="16"/>
                <w:szCs w:val="16"/>
              </w:rPr>
              <w:t>Suficit / Deficit budžeta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-4,79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-6,54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-23,54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-6,80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-15,17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-13,24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0,42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4,07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13,46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18,69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-2,57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0,02</w:t>
            </w:r>
          </w:p>
        </w:tc>
        <w:tc>
          <w:tcPr>
            <w:tcW w:w="22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-0,67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B542E">
              <w:rPr>
                <w:b/>
                <w:bCs/>
                <w:sz w:val="16"/>
                <w:szCs w:val="16"/>
              </w:rPr>
              <w:t>-13,22</w:t>
            </w:r>
          </w:p>
        </w:tc>
        <w:tc>
          <w:tcPr>
            <w:tcW w:w="2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-86,01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-78,47</w:t>
            </w:r>
          </w:p>
        </w:tc>
        <w:tc>
          <w:tcPr>
            <w:tcW w:w="20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-94,93</w:t>
            </w:r>
          </w:p>
        </w:tc>
      </w:tr>
      <w:tr w:rsidR="009C7459" w:rsidRPr="000B542E" w:rsidTr="0044041E">
        <w:trPr>
          <w:trHeight w:val="315"/>
        </w:trPr>
        <w:tc>
          <w:tcPr>
            <w:tcW w:w="98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Primarni deficit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-4,04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-0,92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-21,23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-5,69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-10,55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11,42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1,34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9,69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19,87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19,92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15,28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0,61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-0,12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-7,11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-96,98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-173,19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-98,29</w:t>
            </w:r>
          </w:p>
        </w:tc>
      </w:tr>
      <w:tr w:rsidR="009C7459" w:rsidRPr="000B542E" w:rsidTr="0044041E">
        <w:trPr>
          <w:trHeight w:val="315"/>
        </w:trPr>
        <w:tc>
          <w:tcPr>
            <w:tcW w:w="985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Otplata dugova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17,57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71,64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6,53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4,92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9,83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38,71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8,79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60,61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42,13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11,80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17,26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11,61</w:t>
            </w:r>
          </w:p>
        </w:tc>
        <w:tc>
          <w:tcPr>
            <w:tcW w:w="22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11,41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14,29</w:t>
            </w:r>
          </w:p>
        </w:tc>
        <w:tc>
          <w:tcPr>
            <w:tcW w:w="2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-35,07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31,43</w:t>
            </w:r>
          </w:p>
        </w:tc>
        <w:tc>
          <w:tcPr>
            <w:tcW w:w="20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230C34" w:rsidRPr="000B542E" w:rsidRDefault="00230C34" w:rsidP="00230C34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-20,16</w:t>
            </w:r>
          </w:p>
        </w:tc>
      </w:tr>
      <w:tr w:rsidR="0044041E" w:rsidRPr="000B542E" w:rsidTr="0044041E">
        <w:trPr>
          <w:trHeight w:val="330"/>
        </w:trPr>
        <w:tc>
          <w:tcPr>
            <w:tcW w:w="985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0B542E">
              <w:rPr>
                <w:b/>
                <w:bCs/>
                <w:sz w:val="16"/>
                <w:szCs w:val="16"/>
              </w:rPr>
              <w:t>Državni dug (stanje duga)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1.886,30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1.873,15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1.950,10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1.950,70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2.006,00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1.990,30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2.180,50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2.022,10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1.985,20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1.982,50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1.969,53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color w:val="000000"/>
                <w:sz w:val="16"/>
                <w:szCs w:val="16"/>
              </w:rPr>
              <w:t>1.964,90</w:t>
            </w:r>
          </w:p>
        </w:tc>
        <w:tc>
          <w:tcPr>
            <w:tcW w:w="22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4041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1.961,90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0B542E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2F2F2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44041E" w:rsidRPr="000B542E" w:rsidTr="0044041E">
        <w:trPr>
          <w:trHeight w:val="315"/>
        </w:trPr>
        <w:tc>
          <w:tcPr>
            <w:tcW w:w="985" w:type="pct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Domaći dug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440,40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440,13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517,60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513,40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572,60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588,10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583,30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438,30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412,10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406,90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394,93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392,20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4041E" w:rsidRPr="0044041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4041E">
              <w:rPr>
                <w:b/>
                <w:bCs/>
                <w:color w:val="000000"/>
                <w:sz w:val="16"/>
                <w:szCs w:val="16"/>
              </w:rPr>
              <w:t>389,80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  <w:tr w:rsidR="0044041E" w:rsidRPr="000B542E" w:rsidTr="0044041E">
        <w:trPr>
          <w:trHeight w:val="315"/>
        </w:trPr>
        <w:tc>
          <w:tcPr>
            <w:tcW w:w="985" w:type="pct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Inostrani dug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1.445,90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1.433,02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1.432,50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1.437,30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1.433,40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1.402,20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1.597,20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1.583,80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1.573,10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1.575,60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1.574,60</w:t>
            </w:r>
          </w:p>
        </w:tc>
        <w:tc>
          <w:tcPr>
            <w:tcW w:w="240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0B542E">
              <w:rPr>
                <w:color w:val="000000"/>
                <w:sz w:val="16"/>
                <w:szCs w:val="16"/>
              </w:rPr>
              <w:t>1.572,70</w:t>
            </w:r>
          </w:p>
        </w:tc>
        <w:tc>
          <w:tcPr>
            <w:tcW w:w="222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44041E" w:rsidRPr="0044041E" w:rsidRDefault="0044041E" w:rsidP="0044041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4041E">
              <w:rPr>
                <w:b/>
                <w:bCs/>
                <w:color w:val="000000"/>
                <w:sz w:val="16"/>
                <w:szCs w:val="16"/>
              </w:rPr>
              <w:t>1</w:t>
            </w:r>
            <w:bookmarkStart w:id="0" w:name="_GoBack"/>
            <w:bookmarkEnd w:id="0"/>
            <w:r w:rsidRPr="0044041E">
              <w:rPr>
                <w:b/>
                <w:bCs/>
                <w:color w:val="000000"/>
                <w:sz w:val="16"/>
                <w:szCs w:val="16"/>
              </w:rPr>
              <w:t>.572,10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0B542E">
              <w:rPr>
                <w:sz w:val="16"/>
                <w:szCs w:val="16"/>
              </w:rPr>
              <w:t>-</w:t>
            </w:r>
          </w:p>
        </w:tc>
        <w:tc>
          <w:tcPr>
            <w:tcW w:w="2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4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07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44041E" w:rsidRPr="000B542E" w:rsidRDefault="0044041E" w:rsidP="0044041E">
            <w:pPr>
              <w:spacing w:after="0" w:line="240" w:lineRule="auto"/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0B542E">
              <w:rPr>
                <w:b/>
                <w:bCs/>
                <w:i/>
                <w:iCs/>
                <w:color w:val="000000"/>
                <w:sz w:val="16"/>
                <w:szCs w:val="16"/>
              </w:rPr>
              <w:t>-</w:t>
            </w:r>
          </w:p>
        </w:tc>
      </w:tr>
    </w:tbl>
    <w:p w:rsidR="00200602" w:rsidRDefault="00200602" w:rsidP="00200602">
      <w:pPr>
        <w:pStyle w:val="Caption"/>
        <w:keepNext/>
      </w:pPr>
    </w:p>
    <w:p w:rsidR="002916F7" w:rsidRPr="0020440D" w:rsidRDefault="002916F7" w:rsidP="00784DAE">
      <w:pPr>
        <w:spacing w:after="0" w:line="240" w:lineRule="auto"/>
        <w:ind w:firstLine="142"/>
        <w:jc w:val="center"/>
        <w:rPr>
          <w:i/>
          <w:iCs/>
          <w:noProof/>
          <w:sz w:val="12"/>
          <w:szCs w:val="12"/>
        </w:rPr>
      </w:pPr>
    </w:p>
    <w:sectPr w:rsidR="002916F7" w:rsidRPr="0020440D" w:rsidSect="005A0061">
      <w:pgSz w:w="16839" w:h="11907" w:orient="landscape" w:code="9"/>
      <w:pgMar w:top="284" w:right="426" w:bottom="284" w:left="25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C8B" w:rsidRDefault="00993C8B" w:rsidP="00965FCD">
      <w:pPr>
        <w:spacing w:after="0" w:line="240" w:lineRule="auto"/>
      </w:pPr>
      <w:r>
        <w:separator/>
      </w:r>
    </w:p>
  </w:endnote>
  <w:endnote w:type="continuationSeparator" w:id="1">
    <w:p w:rsidR="00993C8B" w:rsidRDefault="00993C8B" w:rsidP="00965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C8B" w:rsidRDefault="00993C8B" w:rsidP="00965FCD">
      <w:pPr>
        <w:spacing w:after="0" w:line="240" w:lineRule="auto"/>
      </w:pPr>
      <w:r>
        <w:separator/>
      </w:r>
    </w:p>
  </w:footnote>
  <w:footnote w:type="continuationSeparator" w:id="1">
    <w:p w:rsidR="00993C8B" w:rsidRDefault="00993C8B" w:rsidP="00965FCD">
      <w:pPr>
        <w:spacing w:after="0" w:line="240" w:lineRule="auto"/>
      </w:pPr>
      <w:r>
        <w:continuationSeparator/>
      </w:r>
    </w:p>
  </w:footnote>
  <w:footnote w:id="2">
    <w:p w:rsidR="009869F0" w:rsidRPr="001C2278" w:rsidRDefault="009869F0">
      <w:pPr>
        <w:pStyle w:val="FootnoteText"/>
        <w:rPr>
          <w:sz w:val="16"/>
          <w:szCs w:val="16"/>
        </w:rPr>
      </w:pPr>
      <w:r>
        <w:rPr>
          <w:rStyle w:val="FootnoteReference"/>
        </w:rPr>
        <w:footnoteRef/>
      </w:r>
      <w:r w:rsidRPr="001C2278">
        <w:rPr>
          <w:sz w:val="16"/>
          <w:szCs w:val="16"/>
        </w:rPr>
        <w:t>Prema preliminarnim podacima CBCG o SDI u periodu januar-novembar 2014, Ministarstv</w:t>
      </w:r>
      <w:r>
        <w:rPr>
          <w:sz w:val="16"/>
          <w:szCs w:val="16"/>
        </w:rPr>
        <w:t xml:space="preserve">o finansija je dalo procjenu za </w:t>
      </w:r>
      <w:r w:rsidRPr="001C2278">
        <w:rPr>
          <w:sz w:val="16"/>
          <w:szCs w:val="16"/>
        </w:rPr>
        <w:t xml:space="preserve"> podatak o neto SDI za mjesec novembar u iznosu od 26,5 mil.€.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12C1A"/>
    <w:multiLevelType w:val="hybridMultilevel"/>
    <w:tmpl w:val="30AA2F4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16C16"/>
    <w:multiLevelType w:val="hybridMultilevel"/>
    <w:tmpl w:val="A8881E44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B535E"/>
    <w:multiLevelType w:val="hybridMultilevel"/>
    <w:tmpl w:val="23CE0FC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A7F5D"/>
    <w:multiLevelType w:val="hybridMultilevel"/>
    <w:tmpl w:val="D5861986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16B83CB2"/>
    <w:multiLevelType w:val="hybridMultilevel"/>
    <w:tmpl w:val="6DF487A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455C5"/>
    <w:multiLevelType w:val="hybridMultilevel"/>
    <w:tmpl w:val="A3349FA2"/>
    <w:lvl w:ilvl="0" w:tplc="0D8ACA5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2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AD75D1E"/>
    <w:multiLevelType w:val="hybridMultilevel"/>
    <w:tmpl w:val="D1FE9B4C"/>
    <w:lvl w:ilvl="0" w:tplc="3CB0BA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D15614F"/>
    <w:multiLevelType w:val="hybridMultilevel"/>
    <w:tmpl w:val="9BF2355E"/>
    <w:lvl w:ilvl="0" w:tplc="08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E6489D"/>
    <w:multiLevelType w:val="hybridMultilevel"/>
    <w:tmpl w:val="FE768EF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D37D0"/>
    <w:multiLevelType w:val="hybridMultilevel"/>
    <w:tmpl w:val="D4C08A40"/>
    <w:lvl w:ilvl="0" w:tplc="08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03C509B"/>
    <w:multiLevelType w:val="hybridMultilevel"/>
    <w:tmpl w:val="C694C4E4"/>
    <w:lvl w:ilvl="0" w:tplc="103E7AA0">
      <w:numFmt w:val="bullet"/>
      <w:lvlText w:val="*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8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1B54940"/>
    <w:multiLevelType w:val="hybridMultilevel"/>
    <w:tmpl w:val="E408973A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28668F7"/>
    <w:multiLevelType w:val="hybridMultilevel"/>
    <w:tmpl w:val="B6A42554"/>
    <w:lvl w:ilvl="0" w:tplc="85244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535C14"/>
    <w:multiLevelType w:val="hybridMultilevel"/>
    <w:tmpl w:val="8EEEE808"/>
    <w:lvl w:ilvl="0" w:tplc="5F662FB4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B03CE7"/>
    <w:multiLevelType w:val="hybridMultilevel"/>
    <w:tmpl w:val="9FECAB34"/>
    <w:lvl w:ilvl="0" w:tplc="7DA6C83E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20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40FD6A9E"/>
    <w:multiLevelType w:val="hybridMultilevel"/>
    <w:tmpl w:val="7FB84D48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E02C45"/>
    <w:multiLevelType w:val="hybridMultilevel"/>
    <w:tmpl w:val="1324B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B60745"/>
    <w:multiLevelType w:val="hybridMultilevel"/>
    <w:tmpl w:val="1E52891C"/>
    <w:lvl w:ilvl="0" w:tplc="08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01141A"/>
    <w:multiLevelType w:val="hybridMultilevel"/>
    <w:tmpl w:val="D0A8692C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5499401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55BA0AB7"/>
    <w:multiLevelType w:val="hybridMultilevel"/>
    <w:tmpl w:val="75E8BCEE"/>
    <w:lvl w:ilvl="0" w:tplc="081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6A37EC6"/>
    <w:multiLevelType w:val="hybridMultilevel"/>
    <w:tmpl w:val="B78AAF86"/>
    <w:lvl w:ilvl="0" w:tplc="213C6408">
      <w:start w:val="1"/>
      <w:numFmt w:val="decimal"/>
      <w:lvlText w:val="%1."/>
      <w:lvlJc w:val="left"/>
      <w:pPr>
        <w:ind w:left="1800" w:hanging="360"/>
      </w:pPr>
      <w:rPr>
        <w:sz w:val="28"/>
      </w:rPr>
    </w:lvl>
    <w:lvl w:ilvl="1" w:tplc="081A0019" w:tentative="1">
      <w:start w:val="1"/>
      <w:numFmt w:val="lowerLetter"/>
      <w:lvlText w:val="%2."/>
      <w:lvlJc w:val="left"/>
      <w:pPr>
        <w:ind w:left="2520" w:hanging="360"/>
      </w:pPr>
    </w:lvl>
    <w:lvl w:ilvl="2" w:tplc="081A001B" w:tentative="1">
      <w:start w:val="1"/>
      <w:numFmt w:val="lowerRoman"/>
      <w:lvlText w:val="%3."/>
      <w:lvlJc w:val="right"/>
      <w:pPr>
        <w:ind w:left="3240" w:hanging="180"/>
      </w:pPr>
    </w:lvl>
    <w:lvl w:ilvl="3" w:tplc="081A000F" w:tentative="1">
      <w:start w:val="1"/>
      <w:numFmt w:val="decimal"/>
      <w:lvlText w:val="%4."/>
      <w:lvlJc w:val="left"/>
      <w:pPr>
        <w:ind w:left="3960" w:hanging="360"/>
      </w:pPr>
    </w:lvl>
    <w:lvl w:ilvl="4" w:tplc="081A0019" w:tentative="1">
      <w:start w:val="1"/>
      <w:numFmt w:val="lowerLetter"/>
      <w:lvlText w:val="%5."/>
      <w:lvlJc w:val="left"/>
      <w:pPr>
        <w:ind w:left="4680" w:hanging="360"/>
      </w:pPr>
    </w:lvl>
    <w:lvl w:ilvl="5" w:tplc="081A001B" w:tentative="1">
      <w:start w:val="1"/>
      <w:numFmt w:val="lowerRoman"/>
      <w:lvlText w:val="%6."/>
      <w:lvlJc w:val="right"/>
      <w:pPr>
        <w:ind w:left="5400" w:hanging="180"/>
      </w:pPr>
    </w:lvl>
    <w:lvl w:ilvl="6" w:tplc="081A000F" w:tentative="1">
      <w:start w:val="1"/>
      <w:numFmt w:val="decimal"/>
      <w:lvlText w:val="%7."/>
      <w:lvlJc w:val="left"/>
      <w:pPr>
        <w:ind w:left="6120" w:hanging="360"/>
      </w:pPr>
    </w:lvl>
    <w:lvl w:ilvl="7" w:tplc="081A0019" w:tentative="1">
      <w:start w:val="1"/>
      <w:numFmt w:val="lowerLetter"/>
      <w:lvlText w:val="%8."/>
      <w:lvlJc w:val="left"/>
      <w:pPr>
        <w:ind w:left="6840" w:hanging="360"/>
      </w:pPr>
    </w:lvl>
    <w:lvl w:ilvl="8" w:tplc="08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8C121CD"/>
    <w:multiLevelType w:val="hybridMultilevel"/>
    <w:tmpl w:val="F1943F8E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1D2112"/>
    <w:multiLevelType w:val="hybridMultilevel"/>
    <w:tmpl w:val="B8425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6E7D4B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5ECC0A8D"/>
    <w:multiLevelType w:val="hybridMultilevel"/>
    <w:tmpl w:val="0A4EB86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097970"/>
    <w:multiLevelType w:val="hybridMultilevel"/>
    <w:tmpl w:val="31A4DA1E"/>
    <w:lvl w:ilvl="0" w:tplc="901E34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61246544"/>
    <w:multiLevelType w:val="hybridMultilevel"/>
    <w:tmpl w:val="3D148D9E"/>
    <w:lvl w:ilvl="0" w:tplc="B564503E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934FA9"/>
    <w:multiLevelType w:val="hybridMultilevel"/>
    <w:tmpl w:val="28C6A5DE"/>
    <w:lvl w:ilvl="0" w:tplc="A99EAD8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66417E"/>
    <w:multiLevelType w:val="hybridMultilevel"/>
    <w:tmpl w:val="62A2514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215A22"/>
    <w:multiLevelType w:val="hybridMultilevel"/>
    <w:tmpl w:val="018EDD7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B52292"/>
    <w:multiLevelType w:val="hybridMultilevel"/>
    <w:tmpl w:val="C1E0685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7D7715E1"/>
    <w:multiLevelType w:val="hybridMultilevel"/>
    <w:tmpl w:val="0016A45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7"/>
  </w:num>
  <w:num w:numId="3">
    <w:abstractNumId w:val="32"/>
  </w:num>
  <w:num w:numId="4">
    <w:abstractNumId w:val="22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23"/>
  </w:num>
  <w:num w:numId="8">
    <w:abstractNumId w:val="2"/>
  </w:num>
  <w:num w:numId="9">
    <w:abstractNumId w:val="0"/>
  </w:num>
  <w:num w:numId="10">
    <w:abstractNumId w:val="30"/>
  </w:num>
  <w:num w:numId="11">
    <w:abstractNumId w:val="1"/>
  </w:num>
  <w:num w:numId="12">
    <w:abstractNumId w:val="29"/>
  </w:num>
  <w:num w:numId="13">
    <w:abstractNumId w:val="25"/>
  </w:num>
  <w:num w:numId="14">
    <w:abstractNumId w:val="8"/>
  </w:num>
  <w:num w:numId="15">
    <w:abstractNumId w:val="6"/>
  </w:num>
  <w:num w:numId="16">
    <w:abstractNumId w:val="17"/>
  </w:num>
  <w:num w:numId="17">
    <w:abstractNumId w:val="10"/>
  </w:num>
  <w:num w:numId="18">
    <w:abstractNumId w:val="21"/>
  </w:num>
  <w:num w:numId="19">
    <w:abstractNumId w:val="9"/>
  </w:num>
  <w:num w:numId="20">
    <w:abstractNumId w:val="18"/>
  </w:num>
  <w:num w:numId="21">
    <w:abstractNumId w:val="20"/>
  </w:num>
  <w:num w:numId="22">
    <w:abstractNumId w:val="14"/>
  </w:num>
  <w:num w:numId="23">
    <w:abstractNumId w:val="13"/>
  </w:num>
  <w:num w:numId="24">
    <w:abstractNumId w:val="27"/>
  </w:num>
  <w:num w:numId="25">
    <w:abstractNumId w:val="4"/>
  </w:num>
  <w:num w:numId="26">
    <w:abstractNumId w:val="11"/>
  </w:num>
  <w:num w:numId="27">
    <w:abstractNumId w:val="24"/>
  </w:num>
  <w:num w:numId="28">
    <w:abstractNumId w:val="3"/>
  </w:num>
  <w:num w:numId="29">
    <w:abstractNumId w:val="5"/>
  </w:num>
  <w:num w:numId="30">
    <w:abstractNumId w:val="19"/>
  </w:num>
  <w:num w:numId="31">
    <w:abstractNumId w:val="28"/>
  </w:num>
  <w:num w:numId="32">
    <w:abstractNumId w:val="15"/>
  </w:num>
  <w:num w:numId="33">
    <w:abstractNumId w:val="31"/>
  </w:num>
  <w:num w:numId="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D61692"/>
    <w:rsid w:val="000000CB"/>
    <w:rsid w:val="000009E1"/>
    <w:rsid w:val="000010A3"/>
    <w:rsid w:val="00003D78"/>
    <w:rsid w:val="000040B3"/>
    <w:rsid w:val="00004B56"/>
    <w:rsid w:val="00005AD2"/>
    <w:rsid w:val="00005D5A"/>
    <w:rsid w:val="00007424"/>
    <w:rsid w:val="00012F84"/>
    <w:rsid w:val="0001459D"/>
    <w:rsid w:val="000147A0"/>
    <w:rsid w:val="00014AAB"/>
    <w:rsid w:val="00014D0B"/>
    <w:rsid w:val="00014E6A"/>
    <w:rsid w:val="0001641E"/>
    <w:rsid w:val="0001692A"/>
    <w:rsid w:val="00017070"/>
    <w:rsid w:val="00017AE3"/>
    <w:rsid w:val="0002071C"/>
    <w:rsid w:val="00021033"/>
    <w:rsid w:val="000216CA"/>
    <w:rsid w:val="000224B4"/>
    <w:rsid w:val="00022789"/>
    <w:rsid w:val="00022F81"/>
    <w:rsid w:val="0002327A"/>
    <w:rsid w:val="00024DC9"/>
    <w:rsid w:val="0002564B"/>
    <w:rsid w:val="00025AC0"/>
    <w:rsid w:val="000263A4"/>
    <w:rsid w:val="00026971"/>
    <w:rsid w:val="00027D5E"/>
    <w:rsid w:val="000300F0"/>
    <w:rsid w:val="000314E5"/>
    <w:rsid w:val="00031722"/>
    <w:rsid w:val="00031FAD"/>
    <w:rsid w:val="00032524"/>
    <w:rsid w:val="00032D34"/>
    <w:rsid w:val="0003370D"/>
    <w:rsid w:val="000341DE"/>
    <w:rsid w:val="00034923"/>
    <w:rsid w:val="0003497A"/>
    <w:rsid w:val="00034D42"/>
    <w:rsid w:val="00034F07"/>
    <w:rsid w:val="0003544A"/>
    <w:rsid w:val="00036822"/>
    <w:rsid w:val="000369E1"/>
    <w:rsid w:val="00037558"/>
    <w:rsid w:val="00037B58"/>
    <w:rsid w:val="0004205C"/>
    <w:rsid w:val="000421A3"/>
    <w:rsid w:val="00042CE6"/>
    <w:rsid w:val="00043DED"/>
    <w:rsid w:val="000449CD"/>
    <w:rsid w:val="00044CB0"/>
    <w:rsid w:val="00045654"/>
    <w:rsid w:val="00045D59"/>
    <w:rsid w:val="00046C9E"/>
    <w:rsid w:val="00050101"/>
    <w:rsid w:val="00050D3F"/>
    <w:rsid w:val="00050EAB"/>
    <w:rsid w:val="00052732"/>
    <w:rsid w:val="00052BB7"/>
    <w:rsid w:val="00052DC4"/>
    <w:rsid w:val="00054068"/>
    <w:rsid w:val="000547A1"/>
    <w:rsid w:val="00055E5C"/>
    <w:rsid w:val="00055F78"/>
    <w:rsid w:val="0005630C"/>
    <w:rsid w:val="00056750"/>
    <w:rsid w:val="00056E43"/>
    <w:rsid w:val="000572EC"/>
    <w:rsid w:val="0005797E"/>
    <w:rsid w:val="000601A4"/>
    <w:rsid w:val="00060976"/>
    <w:rsid w:val="00061391"/>
    <w:rsid w:val="000624EE"/>
    <w:rsid w:val="00064395"/>
    <w:rsid w:val="000645F3"/>
    <w:rsid w:val="00067726"/>
    <w:rsid w:val="00067FD6"/>
    <w:rsid w:val="00070965"/>
    <w:rsid w:val="000712B9"/>
    <w:rsid w:val="0007229B"/>
    <w:rsid w:val="000734AF"/>
    <w:rsid w:val="00073786"/>
    <w:rsid w:val="0007424D"/>
    <w:rsid w:val="00074378"/>
    <w:rsid w:val="000746C7"/>
    <w:rsid w:val="000747AC"/>
    <w:rsid w:val="00074C3E"/>
    <w:rsid w:val="00074D69"/>
    <w:rsid w:val="0007530C"/>
    <w:rsid w:val="0007555E"/>
    <w:rsid w:val="000771F2"/>
    <w:rsid w:val="00080AEE"/>
    <w:rsid w:val="000812E2"/>
    <w:rsid w:val="0008138F"/>
    <w:rsid w:val="00082D87"/>
    <w:rsid w:val="000831EE"/>
    <w:rsid w:val="00083320"/>
    <w:rsid w:val="00084C03"/>
    <w:rsid w:val="00085B67"/>
    <w:rsid w:val="00090FDD"/>
    <w:rsid w:val="00091154"/>
    <w:rsid w:val="00091539"/>
    <w:rsid w:val="000915D3"/>
    <w:rsid w:val="000917D8"/>
    <w:rsid w:val="000924C0"/>
    <w:rsid w:val="000925F7"/>
    <w:rsid w:val="00094311"/>
    <w:rsid w:val="000945C9"/>
    <w:rsid w:val="000947A0"/>
    <w:rsid w:val="0009505C"/>
    <w:rsid w:val="0009548F"/>
    <w:rsid w:val="000956EB"/>
    <w:rsid w:val="000963A6"/>
    <w:rsid w:val="000963C2"/>
    <w:rsid w:val="00097527"/>
    <w:rsid w:val="00097E38"/>
    <w:rsid w:val="000A01B0"/>
    <w:rsid w:val="000A0BBC"/>
    <w:rsid w:val="000A1159"/>
    <w:rsid w:val="000A1459"/>
    <w:rsid w:val="000A14DA"/>
    <w:rsid w:val="000A2350"/>
    <w:rsid w:val="000A2E85"/>
    <w:rsid w:val="000A2F52"/>
    <w:rsid w:val="000A33CB"/>
    <w:rsid w:val="000A4226"/>
    <w:rsid w:val="000A42FE"/>
    <w:rsid w:val="000A43CE"/>
    <w:rsid w:val="000A47FF"/>
    <w:rsid w:val="000A4E37"/>
    <w:rsid w:val="000A5E23"/>
    <w:rsid w:val="000A787A"/>
    <w:rsid w:val="000B19D0"/>
    <w:rsid w:val="000B1DD7"/>
    <w:rsid w:val="000B28FC"/>
    <w:rsid w:val="000B2B16"/>
    <w:rsid w:val="000B34E4"/>
    <w:rsid w:val="000B40A4"/>
    <w:rsid w:val="000B45AB"/>
    <w:rsid w:val="000B4800"/>
    <w:rsid w:val="000B48EE"/>
    <w:rsid w:val="000B502D"/>
    <w:rsid w:val="000B54A3"/>
    <w:rsid w:val="000B5DD4"/>
    <w:rsid w:val="000B6252"/>
    <w:rsid w:val="000B62D3"/>
    <w:rsid w:val="000B67B1"/>
    <w:rsid w:val="000B69BF"/>
    <w:rsid w:val="000B788B"/>
    <w:rsid w:val="000B7AE2"/>
    <w:rsid w:val="000C06C5"/>
    <w:rsid w:val="000C0B0A"/>
    <w:rsid w:val="000C108E"/>
    <w:rsid w:val="000C1965"/>
    <w:rsid w:val="000C2FAD"/>
    <w:rsid w:val="000C3655"/>
    <w:rsid w:val="000C36DB"/>
    <w:rsid w:val="000C5764"/>
    <w:rsid w:val="000C5FBB"/>
    <w:rsid w:val="000C65A2"/>
    <w:rsid w:val="000C6818"/>
    <w:rsid w:val="000C7278"/>
    <w:rsid w:val="000C72DD"/>
    <w:rsid w:val="000D0368"/>
    <w:rsid w:val="000D0374"/>
    <w:rsid w:val="000D09EB"/>
    <w:rsid w:val="000D1AA8"/>
    <w:rsid w:val="000D2DFE"/>
    <w:rsid w:val="000D52CF"/>
    <w:rsid w:val="000D588E"/>
    <w:rsid w:val="000D5D48"/>
    <w:rsid w:val="000D5ED7"/>
    <w:rsid w:val="000D6CD4"/>
    <w:rsid w:val="000D6DF1"/>
    <w:rsid w:val="000D765B"/>
    <w:rsid w:val="000D7A66"/>
    <w:rsid w:val="000E13EB"/>
    <w:rsid w:val="000E2251"/>
    <w:rsid w:val="000E2351"/>
    <w:rsid w:val="000E294A"/>
    <w:rsid w:val="000E3987"/>
    <w:rsid w:val="000E40CC"/>
    <w:rsid w:val="000E6096"/>
    <w:rsid w:val="000E77A4"/>
    <w:rsid w:val="000E7A16"/>
    <w:rsid w:val="000E7E9D"/>
    <w:rsid w:val="000F1186"/>
    <w:rsid w:val="000F1AA9"/>
    <w:rsid w:val="000F4D73"/>
    <w:rsid w:val="000F5B09"/>
    <w:rsid w:val="000F6577"/>
    <w:rsid w:val="000F6C6B"/>
    <w:rsid w:val="000F756E"/>
    <w:rsid w:val="000F7DDF"/>
    <w:rsid w:val="00100371"/>
    <w:rsid w:val="001021CB"/>
    <w:rsid w:val="00102786"/>
    <w:rsid w:val="001030CC"/>
    <w:rsid w:val="0010339D"/>
    <w:rsid w:val="00103CA9"/>
    <w:rsid w:val="0010452C"/>
    <w:rsid w:val="00106446"/>
    <w:rsid w:val="0010656B"/>
    <w:rsid w:val="00107128"/>
    <w:rsid w:val="00107647"/>
    <w:rsid w:val="00107A07"/>
    <w:rsid w:val="00111C8A"/>
    <w:rsid w:val="001124C4"/>
    <w:rsid w:val="00112853"/>
    <w:rsid w:val="00112E23"/>
    <w:rsid w:val="00114109"/>
    <w:rsid w:val="001141E2"/>
    <w:rsid w:val="00114378"/>
    <w:rsid w:val="00115519"/>
    <w:rsid w:val="00115C83"/>
    <w:rsid w:val="00116365"/>
    <w:rsid w:val="001164A1"/>
    <w:rsid w:val="00116A8F"/>
    <w:rsid w:val="00117AB0"/>
    <w:rsid w:val="001209D0"/>
    <w:rsid w:val="00120A3A"/>
    <w:rsid w:val="00123BF5"/>
    <w:rsid w:val="00123CBD"/>
    <w:rsid w:val="00124730"/>
    <w:rsid w:val="001251D5"/>
    <w:rsid w:val="0012708A"/>
    <w:rsid w:val="0012719F"/>
    <w:rsid w:val="001276C7"/>
    <w:rsid w:val="00127B5A"/>
    <w:rsid w:val="00131185"/>
    <w:rsid w:val="001321AB"/>
    <w:rsid w:val="001326B7"/>
    <w:rsid w:val="00134816"/>
    <w:rsid w:val="00134A21"/>
    <w:rsid w:val="00134C6C"/>
    <w:rsid w:val="00136E70"/>
    <w:rsid w:val="00141D67"/>
    <w:rsid w:val="00141FDD"/>
    <w:rsid w:val="00143FCB"/>
    <w:rsid w:val="00144C86"/>
    <w:rsid w:val="00144EE5"/>
    <w:rsid w:val="0014607D"/>
    <w:rsid w:val="00147278"/>
    <w:rsid w:val="00150230"/>
    <w:rsid w:val="00150707"/>
    <w:rsid w:val="00151155"/>
    <w:rsid w:val="00152409"/>
    <w:rsid w:val="00152E4F"/>
    <w:rsid w:val="001530CE"/>
    <w:rsid w:val="0015322D"/>
    <w:rsid w:val="00153490"/>
    <w:rsid w:val="00154145"/>
    <w:rsid w:val="0015515C"/>
    <w:rsid w:val="00156E33"/>
    <w:rsid w:val="001575F1"/>
    <w:rsid w:val="00157601"/>
    <w:rsid w:val="001577A1"/>
    <w:rsid w:val="00160183"/>
    <w:rsid w:val="00160A29"/>
    <w:rsid w:val="001610BD"/>
    <w:rsid w:val="001613FC"/>
    <w:rsid w:val="001627A3"/>
    <w:rsid w:val="00163041"/>
    <w:rsid w:val="00163A7B"/>
    <w:rsid w:val="00163AF0"/>
    <w:rsid w:val="001644C7"/>
    <w:rsid w:val="001646BA"/>
    <w:rsid w:val="00165773"/>
    <w:rsid w:val="00165DE6"/>
    <w:rsid w:val="00167281"/>
    <w:rsid w:val="001672AB"/>
    <w:rsid w:val="001678F1"/>
    <w:rsid w:val="001708D0"/>
    <w:rsid w:val="00170C82"/>
    <w:rsid w:val="00170CCE"/>
    <w:rsid w:val="00172053"/>
    <w:rsid w:val="00172816"/>
    <w:rsid w:val="00172D59"/>
    <w:rsid w:val="00172F78"/>
    <w:rsid w:val="001730BE"/>
    <w:rsid w:val="00174836"/>
    <w:rsid w:val="00174FD6"/>
    <w:rsid w:val="0017540F"/>
    <w:rsid w:val="001754F5"/>
    <w:rsid w:val="0017563A"/>
    <w:rsid w:val="00175718"/>
    <w:rsid w:val="00177AD9"/>
    <w:rsid w:val="00181309"/>
    <w:rsid w:val="001824C2"/>
    <w:rsid w:val="00182872"/>
    <w:rsid w:val="0018289E"/>
    <w:rsid w:val="0018331D"/>
    <w:rsid w:val="0018592D"/>
    <w:rsid w:val="0018626E"/>
    <w:rsid w:val="0018666E"/>
    <w:rsid w:val="00186BEF"/>
    <w:rsid w:val="00186F09"/>
    <w:rsid w:val="0018794A"/>
    <w:rsid w:val="00187C66"/>
    <w:rsid w:val="00190285"/>
    <w:rsid w:val="00191F90"/>
    <w:rsid w:val="00192506"/>
    <w:rsid w:val="00192F1E"/>
    <w:rsid w:val="00193080"/>
    <w:rsid w:val="001931C2"/>
    <w:rsid w:val="00193785"/>
    <w:rsid w:val="001942BA"/>
    <w:rsid w:val="001971A8"/>
    <w:rsid w:val="001A0035"/>
    <w:rsid w:val="001A2829"/>
    <w:rsid w:val="001A2F7A"/>
    <w:rsid w:val="001A392F"/>
    <w:rsid w:val="001A594D"/>
    <w:rsid w:val="001A5B99"/>
    <w:rsid w:val="001A65F4"/>
    <w:rsid w:val="001A7319"/>
    <w:rsid w:val="001A783E"/>
    <w:rsid w:val="001B0396"/>
    <w:rsid w:val="001B1D1D"/>
    <w:rsid w:val="001B25FF"/>
    <w:rsid w:val="001B3267"/>
    <w:rsid w:val="001B3BE3"/>
    <w:rsid w:val="001B4CB9"/>
    <w:rsid w:val="001B4F99"/>
    <w:rsid w:val="001B6D24"/>
    <w:rsid w:val="001B7AD0"/>
    <w:rsid w:val="001B7D00"/>
    <w:rsid w:val="001C0237"/>
    <w:rsid w:val="001C0AB4"/>
    <w:rsid w:val="001C1490"/>
    <w:rsid w:val="001C1928"/>
    <w:rsid w:val="001C1F7E"/>
    <w:rsid w:val="001C2278"/>
    <w:rsid w:val="001C22CB"/>
    <w:rsid w:val="001C23DD"/>
    <w:rsid w:val="001C264C"/>
    <w:rsid w:val="001C2751"/>
    <w:rsid w:val="001C51EC"/>
    <w:rsid w:val="001C5CE9"/>
    <w:rsid w:val="001C6120"/>
    <w:rsid w:val="001C6698"/>
    <w:rsid w:val="001C6750"/>
    <w:rsid w:val="001C70BA"/>
    <w:rsid w:val="001D0226"/>
    <w:rsid w:val="001D0A32"/>
    <w:rsid w:val="001D21BD"/>
    <w:rsid w:val="001D37FD"/>
    <w:rsid w:val="001D4E81"/>
    <w:rsid w:val="001D7822"/>
    <w:rsid w:val="001E2403"/>
    <w:rsid w:val="001E29C8"/>
    <w:rsid w:val="001E29D1"/>
    <w:rsid w:val="001E2BC7"/>
    <w:rsid w:val="001E33FE"/>
    <w:rsid w:val="001E4EAE"/>
    <w:rsid w:val="001E5BE3"/>
    <w:rsid w:val="001E5E69"/>
    <w:rsid w:val="001F1378"/>
    <w:rsid w:val="001F19CC"/>
    <w:rsid w:val="001F27F8"/>
    <w:rsid w:val="001F2B57"/>
    <w:rsid w:val="001F3E69"/>
    <w:rsid w:val="001F4118"/>
    <w:rsid w:val="001F4C02"/>
    <w:rsid w:val="001F69DD"/>
    <w:rsid w:val="001F7445"/>
    <w:rsid w:val="001F7741"/>
    <w:rsid w:val="001F7C33"/>
    <w:rsid w:val="001F7C4B"/>
    <w:rsid w:val="002000E5"/>
    <w:rsid w:val="00200602"/>
    <w:rsid w:val="00200A3F"/>
    <w:rsid w:val="00201AEB"/>
    <w:rsid w:val="0020246C"/>
    <w:rsid w:val="00203447"/>
    <w:rsid w:val="0020440D"/>
    <w:rsid w:val="002049C0"/>
    <w:rsid w:val="00205D15"/>
    <w:rsid w:val="00205E88"/>
    <w:rsid w:val="00206062"/>
    <w:rsid w:val="0020648A"/>
    <w:rsid w:val="00207613"/>
    <w:rsid w:val="00207B53"/>
    <w:rsid w:val="0021042E"/>
    <w:rsid w:val="00212126"/>
    <w:rsid w:val="00212633"/>
    <w:rsid w:val="002127F9"/>
    <w:rsid w:val="002128D8"/>
    <w:rsid w:val="002129D4"/>
    <w:rsid w:val="00212CDE"/>
    <w:rsid w:val="002135A2"/>
    <w:rsid w:val="002138EC"/>
    <w:rsid w:val="0021614C"/>
    <w:rsid w:val="00220834"/>
    <w:rsid w:val="00220B59"/>
    <w:rsid w:val="002210E9"/>
    <w:rsid w:val="00222175"/>
    <w:rsid w:val="00223E45"/>
    <w:rsid w:val="00224AD0"/>
    <w:rsid w:val="00224D43"/>
    <w:rsid w:val="002251C3"/>
    <w:rsid w:val="00225534"/>
    <w:rsid w:val="00225F74"/>
    <w:rsid w:val="002260FD"/>
    <w:rsid w:val="002263B3"/>
    <w:rsid w:val="0022695C"/>
    <w:rsid w:val="0022764C"/>
    <w:rsid w:val="00227682"/>
    <w:rsid w:val="00227D75"/>
    <w:rsid w:val="0023090D"/>
    <w:rsid w:val="00230C34"/>
    <w:rsid w:val="00230DE8"/>
    <w:rsid w:val="00230FA2"/>
    <w:rsid w:val="00231268"/>
    <w:rsid w:val="00232A05"/>
    <w:rsid w:val="00233D4D"/>
    <w:rsid w:val="0023443E"/>
    <w:rsid w:val="00234902"/>
    <w:rsid w:val="00235857"/>
    <w:rsid w:val="00236B99"/>
    <w:rsid w:val="00237066"/>
    <w:rsid w:val="00237CC5"/>
    <w:rsid w:val="00240136"/>
    <w:rsid w:val="002402CA"/>
    <w:rsid w:val="00240CF4"/>
    <w:rsid w:val="002417C5"/>
    <w:rsid w:val="00242535"/>
    <w:rsid w:val="002427AE"/>
    <w:rsid w:val="00243419"/>
    <w:rsid w:val="00245A6C"/>
    <w:rsid w:val="00245B04"/>
    <w:rsid w:val="00247F1B"/>
    <w:rsid w:val="002503CE"/>
    <w:rsid w:val="0025102C"/>
    <w:rsid w:val="0025137D"/>
    <w:rsid w:val="00252FF6"/>
    <w:rsid w:val="00253ECF"/>
    <w:rsid w:val="00253F71"/>
    <w:rsid w:val="00256550"/>
    <w:rsid w:val="0025757E"/>
    <w:rsid w:val="00257D9D"/>
    <w:rsid w:val="00257EFB"/>
    <w:rsid w:val="00260688"/>
    <w:rsid w:val="00260976"/>
    <w:rsid w:val="00260EF0"/>
    <w:rsid w:val="002611D1"/>
    <w:rsid w:val="0026475B"/>
    <w:rsid w:val="0026489F"/>
    <w:rsid w:val="00265023"/>
    <w:rsid w:val="002650CF"/>
    <w:rsid w:val="00265406"/>
    <w:rsid w:val="00265A3D"/>
    <w:rsid w:val="002662BE"/>
    <w:rsid w:val="002668AA"/>
    <w:rsid w:val="0026780C"/>
    <w:rsid w:val="002679BB"/>
    <w:rsid w:val="0027004E"/>
    <w:rsid w:val="00270FD9"/>
    <w:rsid w:val="002717A8"/>
    <w:rsid w:val="0027226D"/>
    <w:rsid w:val="002723A7"/>
    <w:rsid w:val="002723D9"/>
    <w:rsid w:val="00273280"/>
    <w:rsid w:val="00273D6D"/>
    <w:rsid w:val="0027442C"/>
    <w:rsid w:val="00274EBC"/>
    <w:rsid w:val="00275609"/>
    <w:rsid w:val="0027672F"/>
    <w:rsid w:val="0027697B"/>
    <w:rsid w:val="0027775D"/>
    <w:rsid w:val="00280105"/>
    <w:rsid w:val="0028233F"/>
    <w:rsid w:val="00282488"/>
    <w:rsid w:val="00282B2B"/>
    <w:rsid w:val="00282DBE"/>
    <w:rsid w:val="00283704"/>
    <w:rsid w:val="00283DB5"/>
    <w:rsid w:val="002843B8"/>
    <w:rsid w:val="00284B2C"/>
    <w:rsid w:val="00285B0F"/>
    <w:rsid w:val="00287A18"/>
    <w:rsid w:val="00290CF1"/>
    <w:rsid w:val="002916F7"/>
    <w:rsid w:val="00292EC3"/>
    <w:rsid w:val="00294586"/>
    <w:rsid w:val="00294DE0"/>
    <w:rsid w:val="00296127"/>
    <w:rsid w:val="00296B08"/>
    <w:rsid w:val="002977E4"/>
    <w:rsid w:val="00297AC4"/>
    <w:rsid w:val="002A046A"/>
    <w:rsid w:val="002A0CAC"/>
    <w:rsid w:val="002A0D49"/>
    <w:rsid w:val="002A10A8"/>
    <w:rsid w:val="002A1639"/>
    <w:rsid w:val="002A1B2B"/>
    <w:rsid w:val="002A1CC2"/>
    <w:rsid w:val="002A1DC4"/>
    <w:rsid w:val="002A235B"/>
    <w:rsid w:val="002A2BD6"/>
    <w:rsid w:val="002A2CED"/>
    <w:rsid w:val="002A4910"/>
    <w:rsid w:val="002A5C73"/>
    <w:rsid w:val="002A68B8"/>
    <w:rsid w:val="002B0705"/>
    <w:rsid w:val="002B0DED"/>
    <w:rsid w:val="002B10AE"/>
    <w:rsid w:val="002B318C"/>
    <w:rsid w:val="002B3824"/>
    <w:rsid w:val="002B5129"/>
    <w:rsid w:val="002B552A"/>
    <w:rsid w:val="002B74C5"/>
    <w:rsid w:val="002B77D8"/>
    <w:rsid w:val="002B7CC9"/>
    <w:rsid w:val="002C010C"/>
    <w:rsid w:val="002C1A52"/>
    <w:rsid w:val="002C1FBF"/>
    <w:rsid w:val="002C25C6"/>
    <w:rsid w:val="002C2DFD"/>
    <w:rsid w:val="002C454A"/>
    <w:rsid w:val="002C4737"/>
    <w:rsid w:val="002C47B8"/>
    <w:rsid w:val="002C4845"/>
    <w:rsid w:val="002C4A81"/>
    <w:rsid w:val="002C6888"/>
    <w:rsid w:val="002C78FB"/>
    <w:rsid w:val="002C7BD3"/>
    <w:rsid w:val="002D0814"/>
    <w:rsid w:val="002D0F81"/>
    <w:rsid w:val="002D170B"/>
    <w:rsid w:val="002D175D"/>
    <w:rsid w:val="002D2E80"/>
    <w:rsid w:val="002D3579"/>
    <w:rsid w:val="002D3B0F"/>
    <w:rsid w:val="002D4073"/>
    <w:rsid w:val="002D447A"/>
    <w:rsid w:val="002D4C76"/>
    <w:rsid w:val="002D4CDE"/>
    <w:rsid w:val="002D5187"/>
    <w:rsid w:val="002D5865"/>
    <w:rsid w:val="002D6027"/>
    <w:rsid w:val="002D6F60"/>
    <w:rsid w:val="002D77A7"/>
    <w:rsid w:val="002D7BA6"/>
    <w:rsid w:val="002E294A"/>
    <w:rsid w:val="002E3693"/>
    <w:rsid w:val="002E4D6D"/>
    <w:rsid w:val="002E6CB0"/>
    <w:rsid w:val="002F03B5"/>
    <w:rsid w:val="002F184C"/>
    <w:rsid w:val="002F19E7"/>
    <w:rsid w:val="002F2166"/>
    <w:rsid w:val="002F323A"/>
    <w:rsid w:val="002F3B70"/>
    <w:rsid w:val="002F47D9"/>
    <w:rsid w:val="002F5002"/>
    <w:rsid w:val="002F567B"/>
    <w:rsid w:val="002F579B"/>
    <w:rsid w:val="002F58BF"/>
    <w:rsid w:val="002F5EEC"/>
    <w:rsid w:val="002F6AB2"/>
    <w:rsid w:val="002F707E"/>
    <w:rsid w:val="002F7C7C"/>
    <w:rsid w:val="002F7DB2"/>
    <w:rsid w:val="003004B8"/>
    <w:rsid w:val="003022A7"/>
    <w:rsid w:val="00303173"/>
    <w:rsid w:val="00303D85"/>
    <w:rsid w:val="00303F02"/>
    <w:rsid w:val="0030680B"/>
    <w:rsid w:val="00307512"/>
    <w:rsid w:val="00307F4D"/>
    <w:rsid w:val="0031098B"/>
    <w:rsid w:val="00311A9D"/>
    <w:rsid w:val="00312994"/>
    <w:rsid w:val="00313CA3"/>
    <w:rsid w:val="00314EC3"/>
    <w:rsid w:val="0031558E"/>
    <w:rsid w:val="00315780"/>
    <w:rsid w:val="00315B94"/>
    <w:rsid w:val="003165E5"/>
    <w:rsid w:val="003201BC"/>
    <w:rsid w:val="00320293"/>
    <w:rsid w:val="003212E4"/>
    <w:rsid w:val="003217C9"/>
    <w:rsid w:val="00321CA6"/>
    <w:rsid w:val="00322DF3"/>
    <w:rsid w:val="00325C96"/>
    <w:rsid w:val="00326769"/>
    <w:rsid w:val="00327AC3"/>
    <w:rsid w:val="00327BFC"/>
    <w:rsid w:val="00330832"/>
    <w:rsid w:val="00330C13"/>
    <w:rsid w:val="00331520"/>
    <w:rsid w:val="00331B5C"/>
    <w:rsid w:val="00331C0E"/>
    <w:rsid w:val="00331D9F"/>
    <w:rsid w:val="003324D9"/>
    <w:rsid w:val="00332574"/>
    <w:rsid w:val="0033273E"/>
    <w:rsid w:val="0033276A"/>
    <w:rsid w:val="0033283B"/>
    <w:rsid w:val="00333C49"/>
    <w:rsid w:val="00336033"/>
    <w:rsid w:val="00337362"/>
    <w:rsid w:val="00337648"/>
    <w:rsid w:val="00340752"/>
    <w:rsid w:val="00340909"/>
    <w:rsid w:val="003409C9"/>
    <w:rsid w:val="00341583"/>
    <w:rsid w:val="00341F7C"/>
    <w:rsid w:val="00344581"/>
    <w:rsid w:val="00344DF2"/>
    <w:rsid w:val="003454A9"/>
    <w:rsid w:val="0034655C"/>
    <w:rsid w:val="00346A8A"/>
    <w:rsid w:val="00346FFA"/>
    <w:rsid w:val="00347594"/>
    <w:rsid w:val="00350496"/>
    <w:rsid w:val="00350CFE"/>
    <w:rsid w:val="0035139C"/>
    <w:rsid w:val="003524FD"/>
    <w:rsid w:val="00354DDA"/>
    <w:rsid w:val="003561B8"/>
    <w:rsid w:val="003568F4"/>
    <w:rsid w:val="00357182"/>
    <w:rsid w:val="00357B8D"/>
    <w:rsid w:val="00357E66"/>
    <w:rsid w:val="00360100"/>
    <w:rsid w:val="00360197"/>
    <w:rsid w:val="00361C27"/>
    <w:rsid w:val="003625F1"/>
    <w:rsid w:val="003634DC"/>
    <w:rsid w:val="003638CF"/>
    <w:rsid w:val="00363C84"/>
    <w:rsid w:val="00364D14"/>
    <w:rsid w:val="00365311"/>
    <w:rsid w:val="003655B6"/>
    <w:rsid w:val="00365E46"/>
    <w:rsid w:val="00366100"/>
    <w:rsid w:val="003667BB"/>
    <w:rsid w:val="00366F41"/>
    <w:rsid w:val="00375E12"/>
    <w:rsid w:val="00376523"/>
    <w:rsid w:val="0037726C"/>
    <w:rsid w:val="00377697"/>
    <w:rsid w:val="00377A53"/>
    <w:rsid w:val="003804E7"/>
    <w:rsid w:val="003809F3"/>
    <w:rsid w:val="0038117E"/>
    <w:rsid w:val="0038135E"/>
    <w:rsid w:val="003813A6"/>
    <w:rsid w:val="00381900"/>
    <w:rsid w:val="00381B03"/>
    <w:rsid w:val="0038259A"/>
    <w:rsid w:val="00382F01"/>
    <w:rsid w:val="00384DC2"/>
    <w:rsid w:val="00387C29"/>
    <w:rsid w:val="00387DAD"/>
    <w:rsid w:val="00390732"/>
    <w:rsid w:val="00391CC7"/>
    <w:rsid w:val="0039257B"/>
    <w:rsid w:val="003935B1"/>
    <w:rsid w:val="0039441A"/>
    <w:rsid w:val="00395C18"/>
    <w:rsid w:val="003965DA"/>
    <w:rsid w:val="00396D7E"/>
    <w:rsid w:val="00396FDF"/>
    <w:rsid w:val="00397760"/>
    <w:rsid w:val="003A0325"/>
    <w:rsid w:val="003A0776"/>
    <w:rsid w:val="003A0C23"/>
    <w:rsid w:val="003A0F73"/>
    <w:rsid w:val="003A1150"/>
    <w:rsid w:val="003A1E5E"/>
    <w:rsid w:val="003A5C77"/>
    <w:rsid w:val="003A5EB6"/>
    <w:rsid w:val="003A6A2F"/>
    <w:rsid w:val="003A6F63"/>
    <w:rsid w:val="003A785D"/>
    <w:rsid w:val="003A7A69"/>
    <w:rsid w:val="003B04DA"/>
    <w:rsid w:val="003B0E7A"/>
    <w:rsid w:val="003B15C8"/>
    <w:rsid w:val="003B17BB"/>
    <w:rsid w:val="003B1992"/>
    <w:rsid w:val="003B1A29"/>
    <w:rsid w:val="003B1C22"/>
    <w:rsid w:val="003B1D25"/>
    <w:rsid w:val="003B2900"/>
    <w:rsid w:val="003B2B30"/>
    <w:rsid w:val="003B2CAA"/>
    <w:rsid w:val="003B30D8"/>
    <w:rsid w:val="003B3299"/>
    <w:rsid w:val="003B436A"/>
    <w:rsid w:val="003B450F"/>
    <w:rsid w:val="003B48D5"/>
    <w:rsid w:val="003B4F8C"/>
    <w:rsid w:val="003B5512"/>
    <w:rsid w:val="003B62EC"/>
    <w:rsid w:val="003B6749"/>
    <w:rsid w:val="003B6844"/>
    <w:rsid w:val="003B75FC"/>
    <w:rsid w:val="003B7F5E"/>
    <w:rsid w:val="003C0B90"/>
    <w:rsid w:val="003C1215"/>
    <w:rsid w:val="003C14C9"/>
    <w:rsid w:val="003C15EF"/>
    <w:rsid w:val="003C1D23"/>
    <w:rsid w:val="003C3A57"/>
    <w:rsid w:val="003C4817"/>
    <w:rsid w:val="003C5E7B"/>
    <w:rsid w:val="003C6A22"/>
    <w:rsid w:val="003C7870"/>
    <w:rsid w:val="003C79AC"/>
    <w:rsid w:val="003D1EDB"/>
    <w:rsid w:val="003D4359"/>
    <w:rsid w:val="003D4739"/>
    <w:rsid w:val="003D4D5D"/>
    <w:rsid w:val="003D56FD"/>
    <w:rsid w:val="003D75A1"/>
    <w:rsid w:val="003D78F3"/>
    <w:rsid w:val="003D7D58"/>
    <w:rsid w:val="003E0266"/>
    <w:rsid w:val="003E0C4A"/>
    <w:rsid w:val="003E221F"/>
    <w:rsid w:val="003E3296"/>
    <w:rsid w:val="003E3C65"/>
    <w:rsid w:val="003E3F0E"/>
    <w:rsid w:val="003E4749"/>
    <w:rsid w:val="003E4CC0"/>
    <w:rsid w:val="003E51DE"/>
    <w:rsid w:val="003E5D3F"/>
    <w:rsid w:val="003E60D1"/>
    <w:rsid w:val="003E6360"/>
    <w:rsid w:val="003E719B"/>
    <w:rsid w:val="003E757E"/>
    <w:rsid w:val="003F0052"/>
    <w:rsid w:val="003F0CAE"/>
    <w:rsid w:val="003F0EA8"/>
    <w:rsid w:val="003F250B"/>
    <w:rsid w:val="003F3687"/>
    <w:rsid w:val="003F5183"/>
    <w:rsid w:val="003F56BD"/>
    <w:rsid w:val="003F5A35"/>
    <w:rsid w:val="003F7085"/>
    <w:rsid w:val="0040060E"/>
    <w:rsid w:val="00400C11"/>
    <w:rsid w:val="004010A8"/>
    <w:rsid w:val="00401DED"/>
    <w:rsid w:val="00402680"/>
    <w:rsid w:val="00402C40"/>
    <w:rsid w:val="00404546"/>
    <w:rsid w:val="00406097"/>
    <w:rsid w:val="00406C7B"/>
    <w:rsid w:val="00407182"/>
    <w:rsid w:val="004078E5"/>
    <w:rsid w:val="00407FE4"/>
    <w:rsid w:val="00412F68"/>
    <w:rsid w:val="0041311D"/>
    <w:rsid w:val="00413CAA"/>
    <w:rsid w:val="00413FFD"/>
    <w:rsid w:val="00415784"/>
    <w:rsid w:val="00415806"/>
    <w:rsid w:val="004159BE"/>
    <w:rsid w:val="004168B3"/>
    <w:rsid w:val="0041784C"/>
    <w:rsid w:val="00417DAC"/>
    <w:rsid w:val="00417E13"/>
    <w:rsid w:val="00420CBC"/>
    <w:rsid w:val="00421432"/>
    <w:rsid w:val="00421732"/>
    <w:rsid w:val="00421CD5"/>
    <w:rsid w:val="00421E9D"/>
    <w:rsid w:val="00422784"/>
    <w:rsid w:val="00423EE9"/>
    <w:rsid w:val="004258FE"/>
    <w:rsid w:val="00425998"/>
    <w:rsid w:val="00425EC2"/>
    <w:rsid w:val="00427187"/>
    <w:rsid w:val="00427696"/>
    <w:rsid w:val="00427FB8"/>
    <w:rsid w:val="004306A4"/>
    <w:rsid w:val="00431253"/>
    <w:rsid w:val="00432066"/>
    <w:rsid w:val="00435D37"/>
    <w:rsid w:val="00436469"/>
    <w:rsid w:val="00436FB4"/>
    <w:rsid w:val="004379FA"/>
    <w:rsid w:val="0044041E"/>
    <w:rsid w:val="00442E20"/>
    <w:rsid w:val="0044465C"/>
    <w:rsid w:val="004453B9"/>
    <w:rsid w:val="0044550D"/>
    <w:rsid w:val="00445736"/>
    <w:rsid w:val="00446DA9"/>
    <w:rsid w:val="004471B9"/>
    <w:rsid w:val="00447221"/>
    <w:rsid w:val="004509F6"/>
    <w:rsid w:val="0045207A"/>
    <w:rsid w:val="00452E5F"/>
    <w:rsid w:val="00453CE3"/>
    <w:rsid w:val="00454093"/>
    <w:rsid w:val="00454C7D"/>
    <w:rsid w:val="00455227"/>
    <w:rsid w:val="004553F5"/>
    <w:rsid w:val="00455A56"/>
    <w:rsid w:val="00456193"/>
    <w:rsid w:val="00456F4F"/>
    <w:rsid w:val="004574D9"/>
    <w:rsid w:val="0045758B"/>
    <w:rsid w:val="00461324"/>
    <w:rsid w:val="0046148B"/>
    <w:rsid w:val="00461657"/>
    <w:rsid w:val="00461995"/>
    <w:rsid w:val="00463225"/>
    <w:rsid w:val="004634E4"/>
    <w:rsid w:val="00463506"/>
    <w:rsid w:val="004639A5"/>
    <w:rsid w:val="004655E7"/>
    <w:rsid w:val="0046659C"/>
    <w:rsid w:val="00466A02"/>
    <w:rsid w:val="00466E96"/>
    <w:rsid w:val="00466F15"/>
    <w:rsid w:val="00467156"/>
    <w:rsid w:val="00467511"/>
    <w:rsid w:val="0047022C"/>
    <w:rsid w:val="00470C83"/>
    <w:rsid w:val="00470C90"/>
    <w:rsid w:val="00471E2A"/>
    <w:rsid w:val="004725CB"/>
    <w:rsid w:val="0047278D"/>
    <w:rsid w:val="00472CF3"/>
    <w:rsid w:val="004732BC"/>
    <w:rsid w:val="00475763"/>
    <w:rsid w:val="00475BE2"/>
    <w:rsid w:val="00480082"/>
    <w:rsid w:val="00483B9D"/>
    <w:rsid w:val="0048470D"/>
    <w:rsid w:val="004848E8"/>
    <w:rsid w:val="00484EA7"/>
    <w:rsid w:val="004864AA"/>
    <w:rsid w:val="004865CE"/>
    <w:rsid w:val="004868F5"/>
    <w:rsid w:val="0048699B"/>
    <w:rsid w:val="00487296"/>
    <w:rsid w:val="0049070F"/>
    <w:rsid w:val="00491368"/>
    <w:rsid w:val="0049250B"/>
    <w:rsid w:val="00492CE5"/>
    <w:rsid w:val="004932C1"/>
    <w:rsid w:val="00493B63"/>
    <w:rsid w:val="00493F77"/>
    <w:rsid w:val="004940E0"/>
    <w:rsid w:val="00496006"/>
    <w:rsid w:val="00496861"/>
    <w:rsid w:val="004A1113"/>
    <w:rsid w:val="004A2665"/>
    <w:rsid w:val="004A3449"/>
    <w:rsid w:val="004A3489"/>
    <w:rsid w:val="004A350C"/>
    <w:rsid w:val="004A382B"/>
    <w:rsid w:val="004A3894"/>
    <w:rsid w:val="004A38D1"/>
    <w:rsid w:val="004A3B47"/>
    <w:rsid w:val="004A55B1"/>
    <w:rsid w:val="004A56BE"/>
    <w:rsid w:val="004A5717"/>
    <w:rsid w:val="004A61E8"/>
    <w:rsid w:val="004A62DA"/>
    <w:rsid w:val="004B1C2A"/>
    <w:rsid w:val="004B1ECF"/>
    <w:rsid w:val="004B378C"/>
    <w:rsid w:val="004B41B2"/>
    <w:rsid w:val="004B533B"/>
    <w:rsid w:val="004B5F63"/>
    <w:rsid w:val="004B7800"/>
    <w:rsid w:val="004B7883"/>
    <w:rsid w:val="004B7C4B"/>
    <w:rsid w:val="004C0135"/>
    <w:rsid w:val="004C0176"/>
    <w:rsid w:val="004C0541"/>
    <w:rsid w:val="004C0F79"/>
    <w:rsid w:val="004C16F3"/>
    <w:rsid w:val="004C1D3E"/>
    <w:rsid w:val="004C206D"/>
    <w:rsid w:val="004C2EA5"/>
    <w:rsid w:val="004C373F"/>
    <w:rsid w:val="004C3C31"/>
    <w:rsid w:val="004C659C"/>
    <w:rsid w:val="004D49A0"/>
    <w:rsid w:val="004D4E0F"/>
    <w:rsid w:val="004D6472"/>
    <w:rsid w:val="004D7775"/>
    <w:rsid w:val="004E02D3"/>
    <w:rsid w:val="004E0DE7"/>
    <w:rsid w:val="004E12DB"/>
    <w:rsid w:val="004E28B9"/>
    <w:rsid w:val="004E4063"/>
    <w:rsid w:val="004E40DA"/>
    <w:rsid w:val="004E475F"/>
    <w:rsid w:val="004E5F03"/>
    <w:rsid w:val="004E6169"/>
    <w:rsid w:val="004E6C21"/>
    <w:rsid w:val="004E6F45"/>
    <w:rsid w:val="004E7335"/>
    <w:rsid w:val="004E7676"/>
    <w:rsid w:val="004F17AF"/>
    <w:rsid w:val="004F2797"/>
    <w:rsid w:val="004F288B"/>
    <w:rsid w:val="004F31D0"/>
    <w:rsid w:val="004F3817"/>
    <w:rsid w:val="004F4CFC"/>
    <w:rsid w:val="004F50B8"/>
    <w:rsid w:val="004F5DA8"/>
    <w:rsid w:val="004F62C2"/>
    <w:rsid w:val="004F731B"/>
    <w:rsid w:val="004F7808"/>
    <w:rsid w:val="004F7D2D"/>
    <w:rsid w:val="004F7F54"/>
    <w:rsid w:val="004F7F71"/>
    <w:rsid w:val="005025EC"/>
    <w:rsid w:val="005027D6"/>
    <w:rsid w:val="0050365D"/>
    <w:rsid w:val="005065E6"/>
    <w:rsid w:val="005070CF"/>
    <w:rsid w:val="005078B9"/>
    <w:rsid w:val="00507D4D"/>
    <w:rsid w:val="00511F1F"/>
    <w:rsid w:val="0051201B"/>
    <w:rsid w:val="0051345D"/>
    <w:rsid w:val="005157FF"/>
    <w:rsid w:val="005161CB"/>
    <w:rsid w:val="00516264"/>
    <w:rsid w:val="00516511"/>
    <w:rsid w:val="00517175"/>
    <w:rsid w:val="00517B19"/>
    <w:rsid w:val="00521DE6"/>
    <w:rsid w:val="005221F4"/>
    <w:rsid w:val="00522282"/>
    <w:rsid w:val="00524587"/>
    <w:rsid w:val="0052511E"/>
    <w:rsid w:val="0052531F"/>
    <w:rsid w:val="005253D1"/>
    <w:rsid w:val="005264EC"/>
    <w:rsid w:val="00526611"/>
    <w:rsid w:val="00526AFB"/>
    <w:rsid w:val="0053016A"/>
    <w:rsid w:val="005309A7"/>
    <w:rsid w:val="00530AE6"/>
    <w:rsid w:val="00531684"/>
    <w:rsid w:val="00532B88"/>
    <w:rsid w:val="005331BD"/>
    <w:rsid w:val="0053330B"/>
    <w:rsid w:val="005337B0"/>
    <w:rsid w:val="00533C4D"/>
    <w:rsid w:val="005340BA"/>
    <w:rsid w:val="005343F8"/>
    <w:rsid w:val="00534ED3"/>
    <w:rsid w:val="0053502A"/>
    <w:rsid w:val="0053621B"/>
    <w:rsid w:val="00536525"/>
    <w:rsid w:val="0053722D"/>
    <w:rsid w:val="005374C9"/>
    <w:rsid w:val="00540842"/>
    <w:rsid w:val="00540D55"/>
    <w:rsid w:val="00541131"/>
    <w:rsid w:val="00541453"/>
    <w:rsid w:val="00541D70"/>
    <w:rsid w:val="005426C0"/>
    <w:rsid w:val="005429A2"/>
    <w:rsid w:val="005436E2"/>
    <w:rsid w:val="00543A1F"/>
    <w:rsid w:val="00543F14"/>
    <w:rsid w:val="00543F2D"/>
    <w:rsid w:val="00545372"/>
    <w:rsid w:val="005468F5"/>
    <w:rsid w:val="00546967"/>
    <w:rsid w:val="00547212"/>
    <w:rsid w:val="005479C8"/>
    <w:rsid w:val="00547B34"/>
    <w:rsid w:val="00547C53"/>
    <w:rsid w:val="005523CF"/>
    <w:rsid w:val="00552402"/>
    <w:rsid w:val="0055364A"/>
    <w:rsid w:val="00553E61"/>
    <w:rsid w:val="0055409D"/>
    <w:rsid w:val="00554387"/>
    <w:rsid w:val="00555066"/>
    <w:rsid w:val="0055507E"/>
    <w:rsid w:val="00555A5E"/>
    <w:rsid w:val="005562D6"/>
    <w:rsid w:val="005568D7"/>
    <w:rsid w:val="0055713F"/>
    <w:rsid w:val="00557DB0"/>
    <w:rsid w:val="00560113"/>
    <w:rsid w:val="00560529"/>
    <w:rsid w:val="00560667"/>
    <w:rsid w:val="00561992"/>
    <w:rsid w:val="00562086"/>
    <w:rsid w:val="005636A8"/>
    <w:rsid w:val="00564436"/>
    <w:rsid w:val="005644BB"/>
    <w:rsid w:val="0056509E"/>
    <w:rsid w:val="00565662"/>
    <w:rsid w:val="00566BFA"/>
    <w:rsid w:val="005700F4"/>
    <w:rsid w:val="00570C9B"/>
    <w:rsid w:val="00570EEF"/>
    <w:rsid w:val="005715D6"/>
    <w:rsid w:val="00571A37"/>
    <w:rsid w:val="0057438A"/>
    <w:rsid w:val="00575B7D"/>
    <w:rsid w:val="00575E14"/>
    <w:rsid w:val="00575E37"/>
    <w:rsid w:val="005764FB"/>
    <w:rsid w:val="00580172"/>
    <w:rsid w:val="00580203"/>
    <w:rsid w:val="00580859"/>
    <w:rsid w:val="00581749"/>
    <w:rsid w:val="005818A8"/>
    <w:rsid w:val="00581D4E"/>
    <w:rsid w:val="005829D9"/>
    <w:rsid w:val="00583591"/>
    <w:rsid w:val="005838F0"/>
    <w:rsid w:val="0058458E"/>
    <w:rsid w:val="00584669"/>
    <w:rsid w:val="005852DA"/>
    <w:rsid w:val="005858DC"/>
    <w:rsid w:val="00585B6B"/>
    <w:rsid w:val="00585F7B"/>
    <w:rsid w:val="005874DD"/>
    <w:rsid w:val="0058776D"/>
    <w:rsid w:val="00590ABD"/>
    <w:rsid w:val="00590B7B"/>
    <w:rsid w:val="005916D5"/>
    <w:rsid w:val="00591720"/>
    <w:rsid w:val="00592DF3"/>
    <w:rsid w:val="00593B25"/>
    <w:rsid w:val="00595DA2"/>
    <w:rsid w:val="00596079"/>
    <w:rsid w:val="005966E6"/>
    <w:rsid w:val="005A0061"/>
    <w:rsid w:val="005A054F"/>
    <w:rsid w:val="005A0B3D"/>
    <w:rsid w:val="005A13E6"/>
    <w:rsid w:val="005A17DE"/>
    <w:rsid w:val="005A1C61"/>
    <w:rsid w:val="005A2BD0"/>
    <w:rsid w:val="005A47F5"/>
    <w:rsid w:val="005A4AB8"/>
    <w:rsid w:val="005A5064"/>
    <w:rsid w:val="005A5229"/>
    <w:rsid w:val="005B0DB1"/>
    <w:rsid w:val="005B18F4"/>
    <w:rsid w:val="005B25F8"/>
    <w:rsid w:val="005B2BF5"/>
    <w:rsid w:val="005B32A9"/>
    <w:rsid w:val="005B5CB7"/>
    <w:rsid w:val="005B5F21"/>
    <w:rsid w:val="005B7040"/>
    <w:rsid w:val="005C19AB"/>
    <w:rsid w:val="005C2D8D"/>
    <w:rsid w:val="005C363C"/>
    <w:rsid w:val="005C3727"/>
    <w:rsid w:val="005C3915"/>
    <w:rsid w:val="005C3D3E"/>
    <w:rsid w:val="005C4CBE"/>
    <w:rsid w:val="005C4DBD"/>
    <w:rsid w:val="005C4E87"/>
    <w:rsid w:val="005C5F38"/>
    <w:rsid w:val="005D07D1"/>
    <w:rsid w:val="005D0E14"/>
    <w:rsid w:val="005D2F3D"/>
    <w:rsid w:val="005D48A0"/>
    <w:rsid w:val="005D4BC4"/>
    <w:rsid w:val="005D5D14"/>
    <w:rsid w:val="005D5E2D"/>
    <w:rsid w:val="005D6EEB"/>
    <w:rsid w:val="005D751B"/>
    <w:rsid w:val="005D7FE7"/>
    <w:rsid w:val="005E0358"/>
    <w:rsid w:val="005E038B"/>
    <w:rsid w:val="005E150E"/>
    <w:rsid w:val="005E199C"/>
    <w:rsid w:val="005E2852"/>
    <w:rsid w:val="005E2B06"/>
    <w:rsid w:val="005E2EE9"/>
    <w:rsid w:val="005E35C9"/>
    <w:rsid w:val="005E4CD1"/>
    <w:rsid w:val="005E55DD"/>
    <w:rsid w:val="005E5941"/>
    <w:rsid w:val="005E6D35"/>
    <w:rsid w:val="005F060E"/>
    <w:rsid w:val="005F13D5"/>
    <w:rsid w:val="005F38AB"/>
    <w:rsid w:val="005F50EA"/>
    <w:rsid w:val="005F568D"/>
    <w:rsid w:val="005F66B5"/>
    <w:rsid w:val="006006C6"/>
    <w:rsid w:val="0060487F"/>
    <w:rsid w:val="0060509D"/>
    <w:rsid w:val="006050EA"/>
    <w:rsid w:val="00605707"/>
    <w:rsid w:val="0060648E"/>
    <w:rsid w:val="006070E0"/>
    <w:rsid w:val="006071F2"/>
    <w:rsid w:val="00607217"/>
    <w:rsid w:val="00607500"/>
    <w:rsid w:val="00607541"/>
    <w:rsid w:val="0061084D"/>
    <w:rsid w:val="00610DDD"/>
    <w:rsid w:val="006113DD"/>
    <w:rsid w:val="00611BC2"/>
    <w:rsid w:val="006127E9"/>
    <w:rsid w:val="00612A53"/>
    <w:rsid w:val="00612A74"/>
    <w:rsid w:val="00612DDA"/>
    <w:rsid w:val="00612F5E"/>
    <w:rsid w:val="00613676"/>
    <w:rsid w:val="006139C9"/>
    <w:rsid w:val="006142D5"/>
    <w:rsid w:val="006152FB"/>
    <w:rsid w:val="0061569F"/>
    <w:rsid w:val="00616B6E"/>
    <w:rsid w:val="00617CA0"/>
    <w:rsid w:val="00620ACF"/>
    <w:rsid w:val="00620FA4"/>
    <w:rsid w:val="0062188F"/>
    <w:rsid w:val="00621B53"/>
    <w:rsid w:val="0062271A"/>
    <w:rsid w:val="00622F10"/>
    <w:rsid w:val="00622FAC"/>
    <w:rsid w:val="00623BC4"/>
    <w:rsid w:val="00624C12"/>
    <w:rsid w:val="00630010"/>
    <w:rsid w:val="006304FD"/>
    <w:rsid w:val="00632692"/>
    <w:rsid w:val="00634B74"/>
    <w:rsid w:val="006357BA"/>
    <w:rsid w:val="0063610A"/>
    <w:rsid w:val="006364A1"/>
    <w:rsid w:val="00642A13"/>
    <w:rsid w:val="00642F40"/>
    <w:rsid w:val="006435D8"/>
    <w:rsid w:val="00645ED4"/>
    <w:rsid w:val="00647463"/>
    <w:rsid w:val="00647B12"/>
    <w:rsid w:val="006509EE"/>
    <w:rsid w:val="00650AC3"/>
    <w:rsid w:val="00650FF3"/>
    <w:rsid w:val="00651027"/>
    <w:rsid w:val="0065108A"/>
    <w:rsid w:val="006526F3"/>
    <w:rsid w:val="006534C5"/>
    <w:rsid w:val="0065398C"/>
    <w:rsid w:val="00653CF3"/>
    <w:rsid w:val="0065416C"/>
    <w:rsid w:val="00654A8A"/>
    <w:rsid w:val="0065518C"/>
    <w:rsid w:val="0065597E"/>
    <w:rsid w:val="00655E97"/>
    <w:rsid w:val="0065775B"/>
    <w:rsid w:val="00657F58"/>
    <w:rsid w:val="00661339"/>
    <w:rsid w:val="00661C7E"/>
    <w:rsid w:val="00661E40"/>
    <w:rsid w:val="00662030"/>
    <w:rsid w:val="00663690"/>
    <w:rsid w:val="00664211"/>
    <w:rsid w:val="00664DEB"/>
    <w:rsid w:val="00665DCB"/>
    <w:rsid w:val="00666EFC"/>
    <w:rsid w:val="0066756D"/>
    <w:rsid w:val="00670373"/>
    <w:rsid w:val="006705D4"/>
    <w:rsid w:val="00670C5E"/>
    <w:rsid w:val="00670C6E"/>
    <w:rsid w:val="00671200"/>
    <w:rsid w:val="00671844"/>
    <w:rsid w:val="00671961"/>
    <w:rsid w:val="006719B2"/>
    <w:rsid w:val="006723F0"/>
    <w:rsid w:val="00672DCB"/>
    <w:rsid w:val="006751BF"/>
    <w:rsid w:val="006752C1"/>
    <w:rsid w:val="006756E9"/>
    <w:rsid w:val="006759B4"/>
    <w:rsid w:val="00675DCF"/>
    <w:rsid w:val="006760A4"/>
    <w:rsid w:val="00676256"/>
    <w:rsid w:val="00676A4B"/>
    <w:rsid w:val="00676BD4"/>
    <w:rsid w:val="00676C8B"/>
    <w:rsid w:val="0067730D"/>
    <w:rsid w:val="00677E65"/>
    <w:rsid w:val="006807FE"/>
    <w:rsid w:val="00680A78"/>
    <w:rsid w:val="00681351"/>
    <w:rsid w:val="006817D4"/>
    <w:rsid w:val="00681A9E"/>
    <w:rsid w:val="00682718"/>
    <w:rsid w:val="00684818"/>
    <w:rsid w:val="00684902"/>
    <w:rsid w:val="00685393"/>
    <w:rsid w:val="006900D2"/>
    <w:rsid w:val="00690A2B"/>
    <w:rsid w:val="00690D87"/>
    <w:rsid w:val="00690EA9"/>
    <w:rsid w:val="006910F4"/>
    <w:rsid w:val="00692810"/>
    <w:rsid w:val="0069434B"/>
    <w:rsid w:val="00694445"/>
    <w:rsid w:val="00694991"/>
    <w:rsid w:val="00695141"/>
    <w:rsid w:val="00695A2D"/>
    <w:rsid w:val="00695AC5"/>
    <w:rsid w:val="006966E3"/>
    <w:rsid w:val="00696D67"/>
    <w:rsid w:val="006971AF"/>
    <w:rsid w:val="00697A91"/>
    <w:rsid w:val="006A0B4A"/>
    <w:rsid w:val="006A144B"/>
    <w:rsid w:val="006A174E"/>
    <w:rsid w:val="006A1C8D"/>
    <w:rsid w:val="006A290B"/>
    <w:rsid w:val="006A469E"/>
    <w:rsid w:val="006A478E"/>
    <w:rsid w:val="006A4801"/>
    <w:rsid w:val="006A5DE6"/>
    <w:rsid w:val="006A5F7F"/>
    <w:rsid w:val="006A69AD"/>
    <w:rsid w:val="006A6C58"/>
    <w:rsid w:val="006A6FB2"/>
    <w:rsid w:val="006A7052"/>
    <w:rsid w:val="006B159D"/>
    <w:rsid w:val="006B21AB"/>
    <w:rsid w:val="006B22E5"/>
    <w:rsid w:val="006B2866"/>
    <w:rsid w:val="006B325D"/>
    <w:rsid w:val="006B3579"/>
    <w:rsid w:val="006B4656"/>
    <w:rsid w:val="006B4777"/>
    <w:rsid w:val="006B48BD"/>
    <w:rsid w:val="006B5211"/>
    <w:rsid w:val="006B5863"/>
    <w:rsid w:val="006B729D"/>
    <w:rsid w:val="006B7725"/>
    <w:rsid w:val="006C1458"/>
    <w:rsid w:val="006C15C6"/>
    <w:rsid w:val="006C1751"/>
    <w:rsid w:val="006C1C26"/>
    <w:rsid w:val="006C27EC"/>
    <w:rsid w:val="006C28CF"/>
    <w:rsid w:val="006C2906"/>
    <w:rsid w:val="006C2EF6"/>
    <w:rsid w:val="006C3C84"/>
    <w:rsid w:val="006C4E28"/>
    <w:rsid w:val="006C5096"/>
    <w:rsid w:val="006C5F17"/>
    <w:rsid w:val="006C6303"/>
    <w:rsid w:val="006C6B7E"/>
    <w:rsid w:val="006C6BF9"/>
    <w:rsid w:val="006C6C06"/>
    <w:rsid w:val="006C6CA3"/>
    <w:rsid w:val="006C7BA4"/>
    <w:rsid w:val="006C7EA3"/>
    <w:rsid w:val="006D1A57"/>
    <w:rsid w:val="006D1BC2"/>
    <w:rsid w:val="006D2608"/>
    <w:rsid w:val="006D2A9C"/>
    <w:rsid w:val="006D2B20"/>
    <w:rsid w:val="006D2D6C"/>
    <w:rsid w:val="006D3720"/>
    <w:rsid w:val="006D3727"/>
    <w:rsid w:val="006D3763"/>
    <w:rsid w:val="006D4A5C"/>
    <w:rsid w:val="006D53D7"/>
    <w:rsid w:val="006D5B24"/>
    <w:rsid w:val="006D6988"/>
    <w:rsid w:val="006D7398"/>
    <w:rsid w:val="006D74DB"/>
    <w:rsid w:val="006E11AC"/>
    <w:rsid w:val="006E11E0"/>
    <w:rsid w:val="006E4128"/>
    <w:rsid w:val="006E4746"/>
    <w:rsid w:val="006E4A03"/>
    <w:rsid w:val="006E4B91"/>
    <w:rsid w:val="006E5637"/>
    <w:rsid w:val="006E6751"/>
    <w:rsid w:val="006E7282"/>
    <w:rsid w:val="006F0752"/>
    <w:rsid w:val="006F1525"/>
    <w:rsid w:val="006F1AFE"/>
    <w:rsid w:val="006F2861"/>
    <w:rsid w:val="006F4259"/>
    <w:rsid w:val="006F4309"/>
    <w:rsid w:val="006F4C84"/>
    <w:rsid w:val="006F5E1B"/>
    <w:rsid w:val="006F6B2B"/>
    <w:rsid w:val="006F6D5E"/>
    <w:rsid w:val="006F7123"/>
    <w:rsid w:val="006F7C03"/>
    <w:rsid w:val="00701093"/>
    <w:rsid w:val="007027D1"/>
    <w:rsid w:val="00703B0B"/>
    <w:rsid w:val="00703D19"/>
    <w:rsid w:val="00705089"/>
    <w:rsid w:val="007055C9"/>
    <w:rsid w:val="00705D44"/>
    <w:rsid w:val="007067B2"/>
    <w:rsid w:val="00706A33"/>
    <w:rsid w:val="00706CF0"/>
    <w:rsid w:val="00707E96"/>
    <w:rsid w:val="007107A8"/>
    <w:rsid w:val="00710BC7"/>
    <w:rsid w:val="00711947"/>
    <w:rsid w:val="00712271"/>
    <w:rsid w:val="00712C9A"/>
    <w:rsid w:val="00712CC4"/>
    <w:rsid w:val="00713AA0"/>
    <w:rsid w:val="00715429"/>
    <w:rsid w:val="00715597"/>
    <w:rsid w:val="00715DEB"/>
    <w:rsid w:val="00716A7D"/>
    <w:rsid w:val="00716B14"/>
    <w:rsid w:val="0071757A"/>
    <w:rsid w:val="00717FE8"/>
    <w:rsid w:val="00720A33"/>
    <w:rsid w:val="00721DCD"/>
    <w:rsid w:val="007227E1"/>
    <w:rsid w:val="00722A4C"/>
    <w:rsid w:val="007234B4"/>
    <w:rsid w:val="00725D07"/>
    <w:rsid w:val="00725E16"/>
    <w:rsid w:val="00727967"/>
    <w:rsid w:val="00727BED"/>
    <w:rsid w:val="007307C9"/>
    <w:rsid w:val="0073095F"/>
    <w:rsid w:val="007319C8"/>
    <w:rsid w:val="00731BF4"/>
    <w:rsid w:val="007326D7"/>
    <w:rsid w:val="007335DB"/>
    <w:rsid w:val="00733BCB"/>
    <w:rsid w:val="0073431B"/>
    <w:rsid w:val="00734688"/>
    <w:rsid w:val="00734729"/>
    <w:rsid w:val="00736A98"/>
    <w:rsid w:val="00736C15"/>
    <w:rsid w:val="00736E76"/>
    <w:rsid w:val="0073706D"/>
    <w:rsid w:val="007375FD"/>
    <w:rsid w:val="00737DB4"/>
    <w:rsid w:val="007406F2"/>
    <w:rsid w:val="007409AF"/>
    <w:rsid w:val="00742C04"/>
    <w:rsid w:val="00743684"/>
    <w:rsid w:val="007452A1"/>
    <w:rsid w:val="00745BCE"/>
    <w:rsid w:val="00745F91"/>
    <w:rsid w:val="00746132"/>
    <w:rsid w:val="007469F9"/>
    <w:rsid w:val="00746E03"/>
    <w:rsid w:val="00747828"/>
    <w:rsid w:val="00750866"/>
    <w:rsid w:val="00750F18"/>
    <w:rsid w:val="007515DA"/>
    <w:rsid w:val="007534AA"/>
    <w:rsid w:val="00753C0A"/>
    <w:rsid w:val="00753E85"/>
    <w:rsid w:val="007548EE"/>
    <w:rsid w:val="00754D46"/>
    <w:rsid w:val="00754F86"/>
    <w:rsid w:val="0075551E"/>
    <w:rsid w:val="00755DB9"/>
    <w:rsid w:val="00755FB7"/>
    <w:rsid w:val="0075626E"/>
    <w:rsid w:val="00756761"/>
    <w:rsid w:val="00756F11"/>
    <w:rsid w:val="00756F80"/>
    <w:rsid w:val="007579F4"/>
    <w:rsid w:val="00757A6C"/>
    <w:rsid w:val="00760D2A"/>
    <w:rsid w:val="0076100C"/>
    <w:rsid w:val="00761287"/>
    <w:rsid w:val="0076182F"/>
    <w:rsid w:val="007618B8"/>
    <w:rsid w:val="00762622"/>
    <w:rsid w:val="0076413B"/>
    <w:rsid w:val="00764D09"/>
    <w:rsid w:val="007652FD"/>
    <w:rsid w:val="0076645A"/>
    <w:rsid w:val="007675AF"/>
    <w:rsid w:val="00770772"/>
    <w:rsid w:val="00771538"/>
    <w:rsid w:val="00771D94"/>
    <w:rsid w:val="007720D7"/>
    <w:rsid w:val="007722BC"/>
    <w:rsid w:val="00772523"/>
    <w:rsid w:val="00772A01"/>
    <w:rsid w:val="00772F45"/>
    <w:rsid w:val="00773C65"/>
    <w:rsid w:val="00775529"/>
    <w:rsid w:val="007759BD"/>
    <w:rsid w:val="00776710"/>
    <w:rsid w:val="00776A67"/>
    <w:rsid w:val="00776DE5"/>
    <w:rsid w:val="00777134"/>
    <w:rsid w:val="00781377"/>
    <w:rsid w:val="00781FAF"/>
    <w:rsid w:val="00783810"/>
    <w:rsid w:val="00783A9F"/>
    <w:rsid w:val="00784166"/>
    <w:rsid w:val="0078476D"/>
    <w:rsid w:val="007847FB"/>
    <w:rsid w:val="00784B89"/>
    <w:rsid w:val="00784BF8"/>
    <w:rsid w:val="00784DAE"/>
    <w:rsid w:val="00784E09"/>
    <w:rsid w:val="00785339"/>
    <w:rsid w:val="00786F50"/>
    <w:rsid w:val="00787851"/>
    <w:rsid w:val="00787A25"/>
    <w:rsid w:val="00787E88"/>
    <w:rsid w:val="0079169B"/>
    <w:rsid w:val="00791DC2"/>
    <w:rsid w:val="00793A27"/>
    <w:rsid w:val="00793F4D"/>
    <w:rsid w:val="007941BB"/>
    <w:rsid w:val="007946DB"/>
    <w:rsid w:val="00794B8C"/>
    <w:rsid w:val="00796ED1"/>
    <w:rsid w:val="007978AC"/>
    <w:rsid w:val="00797B66"/>
    <w:rsid w:val="00797B6A"/>
    <w:rsid w:val="00797BA2"/>
    <w:rsid w:val="007A0816"/>
    <w:rsid w:val="007A1882"/>
    <w:rsid w:val="007A1CFE"/>
    <w:rsid w:val="007A2091"/>
    <w:rsid w:val="007A2838"/>
    <w:rsid w:val="007A299E"/>
    <w:rsid w:val="007A2D7A"/>
    <w:rsid w:val="007A33EE"/>
    <w:rsid w:val="007A3B09"/>
    <w:rsid w:val="007A5A5D"/>
    <w:rsid w:val="007A67CB"/>
    <w:rsid w:val="007A6A82"/>
    <w:rsid w:val="007A73EE"/>
    <w:rsid w:val="007A7E1A"/>
    <w:rsid w:val="007B0888"/>
    <w:rsid w:val="007B0B93"/>
    <w:rsid w:val="007B0DD9"/>
    <w:rsid w:val="007B0E60"/>
    <w:rsid w:val="007B41C4"/>
    <w:rsid w:val="007B5A1B"/>
    <w:rsid w:val="007B5C2E"/>
    <w:rsid w:val="007B7DBE"/>
    <w:rsid w:val="007B7EED"/>
    <w:rsid w:val="007C0AE4"/>
    <w:rsid w:val="007C1EE8"/>
    <w:rsid w:val="007C2107"/>
    <w:rsid w:val="007C2827"/>
    <w:rsid w:val="007C2B1C"/>
    <w:rsid w:val="007C43BE"/>
    <w:rsid w:val="007C49FF"/>
    <w:rsid w:val="007C5F96"/>
    <w:rsid w:val="007C601C"/>
    <w:rsid w:val="007C7AE8"/>
    <w:rsid w:val="007D0106"/>
    <w:rsid w:val="007D033B"/>
    <w:rsid w:val="007D0956"/>
    <w:rsid w:val="007D39CD"/>
    <w:rsid w:val="007D410B"/>
    <w:rsid w:val="007D48C4"/>
    <w:rsid w:val="007D4C9D"/>
    <w:rsid w:val="007D4EE7"/>
    <w:rsid w:val="007D5AB1"/>
    <w:rsid w:val="007D6AA1"/>
    <w:rsid w:val="007D78E3"/>
    <w:rsid w:val="007E01F2"/>
    <w:rsid w:val="007E0203"/>
    <w:rsid w:val="007E056C"/>
    <w:rsid w:val="007E0761"/>
    <w:rsid w:val="007E081D"/>
    <w:rsid w:val="007E1AB8"/>
    <w:rsid w:val="007E26A8"/>
    <w:rsid w:val="007E293C"/>
    <w:rsid w:val="007E36EB"/>
    <w:rsid w:val="007E380A"/>
    <w:rsid w:val="007E5CC1"/>
    <w:rsid w:val="007E7DDD"/>
    <w:rsid w:val="007F182C"/>
    <w:rsid w:val="007F2376"/>
    <w:rsid w:val="007F33E9"/>
    <w:rsid w:val="007F388B"/>
    <w:rsid w:val="007F4571"/>
    <w:rsid w:val="007F4D55"/>
    <w:rsid w:val="007F589D"/>
    <w:rsid w:val="007F5FD8"/>
    <w:rsid w:val="007F61AF"/>
    <w:rsid w:val="007F775F"/>
    <w:rsid w:val="007F7F34"/>
    <w:rsid w:val="0080031F"/>
    <w:rsid w:val="00801411"/>
    <w:rsid w:val="00801DB8"/>
    <w:rsid w:val="0080291E"/>
    <w:rsid w:val="00802B7F"/>
    <w:rsid w:val="00804F0B"/>
    <w:rsid w:val="00805844"/>
    <w:rsid w:val="00805AF2"/>
    <w:rsid w:val="00805F78"/>
    <w:rsid w:val="00806B4B"/>
    <w:rsid w:val="00810837"/>
    <w:rsid w:val="00810CC6"/>
    <w:rsid w:val="00810CDD"/>
    <w:rsid w:val="00811332"/>
    <w:rsid w:val="0081184B"/>
    <w:rsid w:val="00811943"/>
    <w:rsid w:val="00811DF5"/>
    <w:rsid w:val="00812862"/>
    <w:rsid w:val="00812E0B"/>
    <w:rsid w:val="00813346"/>
    <w:rsid w:val="00813F13"/>
    <w:rsid w:val="00814063"/>
    <w:rsid w:val="00814309"/>
    <w:rsid w:val="00815A2F"/>
    <w:rsid w:val="00815E6D"/>
    <w:rsid w:val="00817A6A"/>
    <w:rsid w:val="0082070B"/>
    <w:rsid w:val="0082084A"/>
    <w:rsid w:val="00822F67"/>
    <w:rsid w:val="008239BC"/>
    <w:rsid w:val="008251C2"/>
    <w:rsid w:val="0082570B"/>
    <w:rsid w:val="008269CE"/>
    <w:rsid w:val="0082721B"/>
    <w:rsid w:val="0083011C"/>
    <w:rsid w:val="008312F3"/>
    <w:rsid w:val="008343BA"/>
    <w:rsid w:val="00834A2C"/>
    <w:rsid w:val="0083553F"/>
    <w:rsid w:val="008355A8"/>
    <w:rsid w:val="00835BC9"/>
    <w:rsid w:val="00836A00"/>
    <w:rsid w:val="00840621"/>
    <w:rsid w:val="00841315"/>
    <w:rsid w:val="00842AFE"/>
    <w:rsid w:val="00842C5E"/>
    <w:rsid w:val="00842FB5"/>
    <w:rsid w:val="00843DFF"/>
    <w:rsid w:val="00844116"/>
    <w:rsid w:val="00844B4B"/>
    <w:rsid w:val="00845320"/>
    <w:rsid w:val="00845675"/>
    <w:rsid w:val="0084680E"/>
    <w:rsid w:val="00846DA4"/>
    <w:rsid w:val="00847B5B"/>
    <w:rsid w:val="00847C9F"/>
    <w:rsid w:val="00847EBF"/>
    <w:rsid w:val="0085098F"/>
    <w:rsid w:val="0085138D"/>
    <w:rsid w:val="00854098"/>
    <w:rsid w:val="00855ED0"/>
    <w:rsid w:val="00856102"/>
    <w:rsid w:val="0085673A"/>
    <w:rsid w:val="00856B6A"/>
    <w:rsid w:val="00856DE2"/>
    <w:rsid w:val="008573C7"/>
    <w:rsid w:val="00857B59"/>
    <w:rsid w:val="00860BDB"/>
    <w:rsid w:val="00861096"/>
    <w:rsid w:val="008617B7"/>
    <w:rsid w:val="00861D85"/>
    <w:rsid w:val="00861F52"/>
    <w:rsid w:val="00862A4F"/>
    <w:rsid w:val="00863019"/>
    <w:rsid w:val="00864891"/>
    <w:rsid w:val="00864D7E"/>
    <w:rsid w:val="008654E2"/>
    <w:rsid w:val="008656F4"/>
    <w:rsid w:val="00865ABB"/>
    <w:rsid w:val="00866008"/>
    <w:rsid w:val="00870795"/>
    <w:rsid w:val="00871ED5"/>
    <w:rsid w:val="008722E4"/>
    <w:rsid w:val="00873808"/>
    <w:rsid w:val="00873FD5"/>
    <w:rsid w:val="00874F31"/>
    <w:rsid w:val="0087527E"/>
    <w:rsid w:val="00875C4F"/>
    <w:rsid w:val="00876420"/>
    <w:rsid w:val="008770B1"/>
    <w:rsid w:val="00877642"/>
    <w:rsid w:val="00877FE9"/>
    <w:rsid w:val="00880646"/>
    <w:rsid w:val="00881C0B"/>
    <w:rsid w:val="00881E8E"/>
    <w:rsid w:val="00882650"/>
    <w:rsid w:val="00883754"/>
    <w:rsid w:val="008842AB"/>
    <w:rsid w:val="008844C7"/>
    <w:rsid w:val="008855BC"/>
    <w:rsid w:val="00886294"/>
    <w:rsid w:val="00886302"/>
    <w:rsid w:val="00886930"/>
    <w:rsid w:val="00886A95"/>
    <w:rsid w:val="00886F12"/>
    <w:rsid w:val="008902D3"/>
    <w:rsid w:val="00890A93"/>
    <w:rsid w:val="0089194A"/>
    <w:rsid w:val="0089243B"/>
    <w:rsid w:val="00892AFB"/>
    <w:rsid w:val="0089368B"/>
    <w:rsid w:val="00893A0A"/>
    <w:rsid w:val="0089561D"/>
    <w:rsid w:val="0089702D"/>
    <w:rsid w:val="00897403"/>
    <w:rsid w:val="008A1B88"/>
    <w:rsid w:val="008A1D16"/>
    <w:rsid w:val="008A1FE3"/>
    <w:rsid w:val="008A20BC"/>
    <w:rsid w:val="008A280E"/>
    <w:rsid w:val="008A30DD"/>
    <w:rsid w:val="008A31C0"/>
    <w:rsid w:val="008A3BC7"/>
    <w:rsid w:val="008A3F44"/>
    <w:rsid w:val="008A466B"/>
    <w:rsid w:val="008A68EC"/>
    <w:rsid w:val="008A73B0"/>
    <w:rsid w:val="008B285E"/>
    <w:rsid w:val="008B2B3C"/>
    <w:rsid w:val="008B4A2E"/>
    <w:rsid w:val="008B58DE"/>
    <w:rsid w:val="008B599F"/>
    <w:rsid w:val="008B6202"/>
    <w:rsid w:val="008B665D"/>
    <w:rsid w:val="008B6D0D"/>
    <w:rsid w:val="008B6F16"/>
    <w:rsid w:val="008C01EB"/>
    <w:rsid w:val="008C15C8"/>
    <w:rsid w:val="008C215C"/>
    <w:rsid w:val="008C2299"/>
    <w:rsid w:val="008C2443"/>
    <w:rsid w:val="008C2CD3"/>
    <w:rsid w:val="008C34B7"/>
    <w:rsid w:val="008C3941"/>
    <w:rsid w:val="008C4151"/>
    <w:rsid w:val="008C5163"/>
    <w:rsid w:val="008C5984"/>
    <w:rsid w:val="008C5E67"/>
    <w:rsid w:val="008C7C7F"/>
    <w:rsid w:val="008D0308"/>
    <w:rsid w:val="008D0998"/>
    <w:rsid w:val="008D1539"/>
    <w:rsid w:val="008D20A3"/>
    <w:rsid w:val="008D27EB"/>
    <w:rsid w:val="008D2C8B"/>
    <w:rsid w:val="008D30AF"/>
    <w:rsid w:val="008D3CDF"/>
    <w:rsid w:val="008D4618"/>
    <w:rsid w:val="008D5823"/>
    <w:rsid w:val="008D644F"/>
    <w:rsid w:val="008D6A5D"/>
    <w:rsid w:val="008D6E5C"/>
    <w:rsid w:val="008D6E96"/>
    <w:rsid w:val="008D6F6A"/>
    <w:rsid w:val="008D6F78"/>
    <w:rsid w:val="008D76BE"/>
    <w:rsid w:val="008E0886"/>
    <w:rsid w:val="008E0E90"/>
    <w:rsid w:val="008E10D6"/>
    <w:rsid w:val="008E27E6"/>
    <w:rsid w:val="008E2B58"/>
    <w:rsid w:val="008E33EA"/>
    <w:rsid w:val="008E3805"/>
    <w:rsid w:val="008E3D20"/>
    <w:rsid w:val="008E4582"/>
    <w:rsid w:val="008E462B"/>
    <w:rsid w:val="008E5901"/>
    <w:rsid w:val="008E5EDA"/>
    <w:rsid w:val="008E636B"/>
    <w:rsid w:val="008E6D00"/>
    <w:rsid w:val="008E6EC2"/>
    <w:rsid w:val="008E6F6E"/>
    <w:rsid w:val="008E7183"/>
    <w:rsid w:val="008E77D5"/>
    <w:rsid w:val="008F0415"/>
    <w:rsid w:val="008F0BE5"/>
    <w:rsid w:val="008F195C"/>
    <w:rsid w:val="008F34CB"/>
    <w:rsid w:val="008F3986"/>
    <w:rsid w:val="008F4F59"/>
    <w:rsid w:val="008F56AC"/>
    <w:rsid w:val="008F6653"/>
    <w:rsid w:val="008F6C10"/>
    <w:rsid w:val="008F71E6"/>
    <w:rsid w:val="008F7755"/>
    <w:rsid w:val="00900139"/>
    <w:rsid w:val="009008A2"/>
    <w:rsid w:val="00900B2B"/>
    <w:rsid w:val="00900F62"/>
    <w:rsid w:val="009019D1"/>
    <w:rsid w:val="0090210D"/>
    <w:rsid w:val="0090227C"/>
    <w:rsid w:val="00902289"/>
    <w:rsid w:val="009022BB"/>
    <w:rsid w:val="00902FD4"/>
    <w:rsid w:val="009045B3"/>
    <w:rsid w:val="0090493D"/>
    <w:rsid w:val="00904C72"/>
    <w:rsid w:val="00904D4B"/>
    <w:rsid w:val="00904F52"/>
    <w:rsid w:val="009050F4"/>
    <w:rsid w:val="00905430"/>
    <w:rsid w:val="00905BF5"/>
    <w:rsid w:val="00905F6A"/>
    <w:rsid w:val="00907FE0"/>
    <w:rsid w:val="00910CBD"/>
    <w:rsid w:val="0091144B"/>
    <w:rsid w:val="00912260"/>
    <w:rsid w:val="009126D6"/>
    <w:rsid w:val="00912ADF"/>
    <w:rsid w:val="00912CF8"/>
    <w:rsid w:val="00914124"/>
    <w:rsid w:val="00915488"/>
    <w:rsid w:val="00915576"/>
    <w:rsid w:val="00915B6A"/>
    <w:rsid w:val="0091631F"/>
    <w:rsid w:val="00916A0F"/>
    <w:rsid w:val="00917A7F"/>
    <w:rsid w:val="00920528"/>
    <w:rsid w:val="00922BF8"/>
    <w:rsid w:val="0092368D"/>
    <w:rsid w:val="0092378E"/>
    <w:rsid w:val="0092403C"/>
    <w:rsid w:val="009241C9"/>
    <w:rsid w:val="00924234"/>
    <w:rsid w:val="0092474C"/>
    <w:rsid w:val="00925116"/>
    <w:rsid w:val="00925448"/>
    <w:rsid w:val="00925536"/>
    <w:rsid w:val="00925FF2"/>
    <w:rsid w:val="009271A2"/>
    <w:rsid w:val="009309A2"/>
    <w:rsid w:val="009329C9"/>
    <w:rsid w:val="00933305"/>
    <w:rsid w:val="0093378D"/>
    <w:rsid w:val="0093484E"/>
    <w:rsid w:val="00935A48"/>
    <w:rsid w:val="00937C0F"/>
    <w:rsid w:val="00940467"/>
    <w:rsid w:val="009404CE"/>
    <w:rsid w:val="00940D56"/>
    <w:rsid w:val="00941319"/>
    <w:rsid w:val="00941C71"/>
    <w:rsid w:val="00941E99"/>
    <w:rsid w:val="0094299F"/>
    <w:rsid w:val="00942C49"/>
    <w:rsid w:val="009472A1"/>
    <w:rsid w:val="00947A04"/>
    <w:rsid w:val="00947B02"/>
    <w:rsid w:val="00947E4E"/>
    <w:rsid w:val="009508FA"/>
    <w:rsid w:val="009519B0"/>
    <w:rsid w:val="00951A56"/>
    <w:rsid w:val="009543FD"/>
    <w:rsid w:val="009545F5"/>
    <w:rsid w:val="00954BAD"/>
    <w:rsid w:val="009553DE"/>
    <w:rsid w:val="00955421"/>
    <w:rsid w:val="0095549B"/>
    <w:rsid w:val="00956F1D"/>
    <w:rsid w:val="0095708D"/>
    <w:rsid w:val="009570EC"/>
    <w:rsid w:val="009571D8"/>
    <w:rsid w:val="00957325"/>
    <w:rsid w:val="00960DB5"/>
    <w:rsid w:val="009611F6"/>
    <w:rsid w:val="00961D65"/>
    <w:rsid w:val="00961F4C"/>
    <w:rsid w:val="00962311"/>
    <w:rsid w:val="00962341"/>
    <w:rsid w:val="00962426"/>
    <w:rsid w:val="009636C3"/>
    <w:rsid w:val="009637F1"/>
    <w:rsid w:val="009647DB"/>
    <w:rsid w:val="00965B35"/>
    <w:rsid w:val="00965C70"/>
    <w:rsid w:val="00965E55"/>
    <w:rsid w:val="00965FCD"/>
    <w:rsid w:val="009667E4"/>
    <w:rsid w:val="00966C86"/>
    <w:rsid w:val="00966CC3"/>
    <w:rsid w:val="009674E4"/>
    <w:rsid w:val="00967750"/>
    <w:rsid w:val="009707F3"/>
    <w:rsid w:val="00970817"/>
    <w:rsid w:val="009729C4"/>
    <w:rsid w:val="00972CD2"/>
    <w:rsid w:val="00972F5D"/>
    <w:rsid w:val="00973022"/>
    <w:rsid w:val="0097377E"/>
    <w:rsid w:val="00974320"/>
    <w:rsid w:val="00974AD2"/>
    <w:rsid w:val="00974F42"/>
    <w:rsid w:val="00975511"/>
    <w:rsid w:val="00976263"/>
    <w:rsid w:val="00980D4F"/>
    <w:rsid w:val="0098296F"/>
    <w:rsid w:val="00982E62"/>
    <w:rsid w:val="009836D7"/>
    <w:rsid w:val="0098375C"/>
    <w:rsid w:val="009842D5"/>
    <w:rsid w:val="00984FFD"/>
    <w:rsid w:val="009851E4"/>
    <w:rsid w:val="0098562F"/>
    <w:rsid w:val="00985BF6"/>
    <w:rsid w:val="00985C9B"/>
    <w:rsid w:val="009860B5"/>
    <w:rsid w:val="009869DC"/>
    <w:rsid w:val="009869F0"/>
    <w:rsid w:val="00991897"/>
    <w:rsid w:val="00992420"/>
    <w:rsid w:val="00992B90"/>
    <w:rsid w:val="00993C8B"/>
    <w:rsid w:val="00993E5A"/>
    <w:rsid w:val="00994161"/>
    <w:rsid w:val="0099417D"/>
    <w:rsid w:val="00994D96"/>
    <w:rsid w:val="009960CD"/>
    <w:rsid w:val="00997454"/>
    <w:rsid w:val="009A0736"/>
    <w:rsid w:val="009A1376"/>
    <w:rsid w:val="009A24E1"/>
    <w:rsid w:val="009A2EA5"/>
    <w:rsid w:val="009A4C61"/>
    <w:rsid w:val="009A4CA6"/>
    <w:rsid w:val="009A5015"/>
    <w:rsid w:val="009A5640"/>
    <w:rsid w:val="009A63D0"/>
    <w:rsid w:val="009A6AC7"/>
    <w:rsid w:val="009A6D2F"/>
    <w:rsid w:val="009A74A7"/>
    <w:rsid w:val="009A792A"/>
    <w:rsid w:val="009A7E4A"/>
    <w:rsid w:val="009B07AA"/>
    <w:rsid w:val="009B1049"/>
    <w:rsid w:val="009B159E"/>
    <w:rsid w:val="009B1B81"/>
    <w:rsid w:val="009B1C0A"/>
    <w:rsid w:val="009B320B"/>
    <w:rsid w:val="009B37AE"/>
    <w:rsid w:val="009B5779"/>
    <w:rsid w:val="009B65AF"/>
    <w:rsid w:val="009B6603"/>
    <w:rsid w:val="009B6985"/>
    <w:rsid w:val="009C0493"/>
    <w:rsid w:val="009C162D"/>
    <w:rsid w:val="009C1D43"/>
    <w:rsid w:val="009C406B"/>
    <w:rsid w:val="009C41DE"/>
    <w:rsid w:val="009C42D7"/>
    <w:rsid w:val="009C4D32"/>
    <w:rsid w:val="009C4EAF"/>
    <w:rsid w:val="009C5011"/>
    <w:rsid w:val="009C5462"/>
    <w:rsid w:val="009C62C0"/>
    <w:rsid w:val="009C6D28"/>
    <w:rsid w:val="009C6DF3"/>
    <w:rsid w:val="009C7459"/>
    <w:rsid w:val="009C756D"/>
    <w:rsid w:val="009D04AF"/>
    <w:rsid w:val="009D198A"/>
    <w:rsid w:val="009D2F97"/>
    <w:rsid w:val="009D36B4"/>
    <w:rsid w:val="009D3AEA"/>
    <w:rsid w:val="009D3E8D"/>
    <w:rsid w:val="009D45FA"/>
    <w:rsid w:val="009D64D9"/>
    <w:rsid w:val="009D6D64"/>
    <w:rsid w:val="009D7885"/>
    <w:rsid w:val="009E04A3"/>
    <w:rsid w:val="009E21B0"/>
    <w:rsid w:val="009E36CD"/>
    <w:rsid w:val="009E3E79"/>
    <w:rsid w:val="009E510B"/>
    <w:rsid w:val="009E51BC"/>
    <w:rsid w:val="009E58AC"/>
    <w:rsid w:val="009E5D48"/>
    <w:rsid w:val="009E6747"/>
    <w:rsid w:val="009E70C1"/>
    <w:rsid w:val="009E7177"/>
    <w:rsid w:val="009F0EB0"/>
    <w:rsid w:val="009F1090"/>
    <w:rsid w:val="009F150B"/>
    <w:rsid w:val="009F17D9"/>
    <w:rsid w:val="009F18E0"/>
    <w:rsid w:val="009F2C2B"/>
    <w:rsid w:val="009F3035"/>
    <w:rsid w:val="009F3089"/>
    <w:rsid w:val="009F327D"/>
    <w:rsid w:val="009F35DF"/>
    <w:rsid w:val="009F3C6F"/>
    <w:rsid w:val="009F3CF9"/>
    <w:rsid w:val="009F3DA9"/>
    <w:rsid w:val="009F4195"/>
    <w:rsid w:val="009F4E29"/>
    <w:rsid w:val="009F74C6"/>
    <w:rsid w:val="00A00218"/>
    <w:rsid w:val="00A0022E"/>
    <w:rsid w:val="00A0035B"/>
    <w:rsid w:val="00A01261"/>
    <w:rsid w:val="00A0226B"/>
    <w:rsid w:val="00A040F6"/>
    <w:rsid w:val="00A060B3"/>
    <w:rsid w:val="00A06C70"/>
    <w:rsid w:val="00A06E10"/>
    <w:rsid w:val="00A07539"/>
    <w:rsid w:val="00A105A7"/>
    <w:rsid w:val="00A10CF5"/>
    <w:rsid w:val="00A119B4"/>
    <w:rsid w:val="00A119F1"/>
    <w:rsid w:val="00A11CDE"/>
    <w:rsid w:val="00A11E17"/>
    <w:rsid w:val="00A145D0"/>
    <w:rsid w:val="00A14996"/>
    <w:rsid w:val="00A16685"/>
    <w:rsid w:val="00A16C9B"/>
    <w:rsid w:val="00A17447"/>
    <w:rsid w:val="00A178C8"/>
    <w:rsid w:val="00A20571"/>
    <w:rsid w:val="00A2097F"/>
    <w:rsid w:val="00A209F6"/>
    <w:rsid w:val="00A20D1B"/>
    <w:rsid w:val="00A22776"/>
    <w:rsid w:val="00A22911"/>
    <w:rsid w:val="00A22FCE"/>
    <w:rsid w:val="00A233F2"/>
    <w:rsid w:val="00A23A9A"/>
    <w:rsid w:val="00A23C7E"/>
    <w:rsid w:val="00A2480A"/>
    <w:rsid w:val="00A24849"/>
    <w:rsid w:val="00A2559B"/>
    <w:rsid w:val="00A25D5F"/>
    <w:rsid w:val="00A3033D"/>
    <w:rsid w:val="00A30660"/>
    <w:rsid w:val="00A30E95"/>
    <w:rsid w:val="00A3121D"/>
    <w:rsid w:val="00A319E4"/>
    <w:rsid w:val="00A324F2"/>
    <w:rsid w:val="00A32588"/>
    <w:rsid w:val="00A33860"/>
    <w:rsid w:val="00A34BB6"/>
    <w:rsid w:val="00A34E49"/>
    <w:rsid w:val="00A34E8F"/>
    <w:rsid w:val="00A34E9D"/>
    <w:rsid w:val="00A35125"/>
    <w:rsid w:val="00A3560C"/>
    <w:rsid w:val="00A35630"/>
    <w:rsid w:val="00A358F6"/>
    <w:rsid w:val="00A35C10"/>
    <w:rsid w:val="00A360C2"/>
    <w:rsid w:val="00A36406"/>
    <w:rsid w:val="00A36F39"/>
    <w:rsid w:val="00A37526"/>
    <w:rsid w:val="00A3777A"/>
    <w:rsid w:val="00A40D24"/>
    <w:rsid w:val="00A4133A"/>
    <w:rsid w:val="00A419CE"/>
    <w:rsid w:val="00A423C3"/>
    <w:rsid w:val="00A429F2"/>
    <w:rsid w:val="00A4482B"/>
    <w:rsid w:val="00A44F75"/>
    <w:rsid w:val="00A451E5"/>
    <w:rsid w:val="00A45934"/>
    <w:rsid w:val="00A45F99"/>
    <w:rsid w:val="00A468B1"/>
    <w:rsid w:val="00A4692E"/>
    <w:rsid w:val="00A4692F"/>
    <w:rsid w:val="00A46C9C"/>
    <w:rsid w:val="00A46DEF"/>
    <w:rsid w:val="00A478AD"/>
    <w:rsid w:val="00A524E5"/>
    <w:rsid w:val="00A52BC0"/>
    <w:rsid w:val="00A52EA8"/>
    <w:rsid w:val="00A5443B"/>
    <w:rsid w:val="00A55077"/>
    <w:rsid w:val="00A55764"/>
    <w:rsid w:val="00A55823"/>
    <w:rsid w:val="00A559ED"/>
    <w:rsid w:val="00A55A6E"/>
    <w:rsid w:val="00A55AB0"/>
    <w:rsid w:val="00A5642C"/>
    <w:rsid w:val="00A56F16"/>
    <w:rsid w:val="00A57868"/>
    <w:rsid w:val="00A57AE3"/>
    <w:rsid w:val="00A57CDB"/>
    <w:rsid w:val="00A6119A"/>
    <w:rsid w:val="00A6220E"/>
    <w:rsid w:val="00A62711"/>
    <w:rsid w:val="00A63167"/>
    <w:rsid w:val="00A63DB2"/>
    <w:rsid w:val="00A66869"/>
    <w:rsid w:val="00A66994"/>
    <w:rsid w:val="00A66BEC"/>
    <w:rsid w:val="00A67103"/>
    <w:rsid w:val="00A67F78"/>
    <w:rsid w:val="00A719D1"/>
    <w:rsid w:val="00A71AEE"/>
    <w:rsid w:val="00A72B22"/>
    <w:rsid w:val="00A73828"/>
    <w:rsid w:val="00A73F8B"/>
    <w:rsid w:val="00A74590"/>
    <w:rsid w:val="00A75004"/>
    <w:rsid w:val="00A76BD3"/>
    <w:rsid w:val="00A80523"/>
    <w:rsid w:val="00A8105B"/>
    <w:rsid w:val="00A8196A"/>
    <w:rsid w:val="00A81A72"/>
    <w:rsid w:val="00A81DD8"/>
    <w:rsid w:val="00A82E03"/>
    <w:rsid w:val="00A84EF6"/>
    <w:rsid w:val="00A85320"/>
    <w:rsid w:val="00A85322"/>
    <w:rsid w:val="00A862EE"/>
    <w:rsid w:val="00A86AE2"/>
    <w:rsid w:val="00A87A73"/>
    <w:rsid w:val="00A90134"/>
    <w:rsid w:val="00A919D2"/>
    <w:rsid w:val="00A91C99"/>
    <w:rsid w:val="00A92A57"/>
    <w:rsid w:val="00A92C88"/>
    <w:rsid w:val="00A93193"/>
    <w:rsid w:val="00A94105"/>
    <w:rsid w:val="00A9414F"/>
    <w:rsid w:val="00A94444"/>
    <w:rsid w:val="00A944B7"/>
    <w:rsid w:val="00A95390"/>
    <w:rsid w:val="00A95F41"/>
    <w:rsid w:val="00A96249"/>
    <w:rsid w:val="00A965E6"/>
    <w:rsid w:val="00A96B95"/>
    <w:rsid w:val="00A975A4"/>
    <w:rsid w:val="00AA1568"/>
    <w:rsid w:val="00AA15ED"/>
    <w:rsid w:val="00AA4229"/>
    <w:rsid w:val="00AA4C9B"/>
    <w:rsid w:val="00AA53FC"/>
    <w:rsid w:val="00AA57C2"/>
    <w:rsid w:val="00AA6286"/>
    <w:rsid w:val="00AA6372"/>
    <w:rsid w:val="00AA728A"/>
    <w:rsid w:val="00AB08DE"/>
    <w:rsid w:val="00AB1AAD"/>
    <w:rsid w:val="00AB356D"/>
    <w:rsid w:val="00AB3700"/>
    <w:rsid w:val="00AB47EB"/>
    <w:rsid w:val="00AB4C24"/>
    <w:rsid w:val="00AB4C79"/>
    <w:rsid w:val="00AB517A"/>
    <w:rsid w:val="00AB7198"/>
    <w:rsid w:val="00AC28E1"/>
    <w:rsid w:val="00AC2EF2"/>
    <w:rsid w:val="00AC32CE"/>
    <w:rsid w:val="00AC33D0"/>
    <w:rsid w:val="00AC41A8"/>
    <w:rsid w:val="00AC4D78"/>
    <w:rsid w:val="00AC4E44"/>
    <w:rsid w:val="00AC5FC3"/>
    <w:rsid w:val="00AC7151"/>
    <w:rsid w:val="00AC717C"/>
    <w:rsid w:val="00AC7CE7"/>
    <w:rsid w:val="00AD02E0"/>
    <w:rsid w:val="00AD0474"/>
    <w:rsid w:val="00AD0892"/>
    <w:rsid w:val="00AD0FC1"/>
    <w:rsid w:val="00AD1B16"/>
    <w:rsid w:val="00AD1CF2"/>
    <w:rsid w:val="00AD2C28"/>
    <w:rsid w:val="00AD308A"/>
    <w:rsid w:val="00AD314C"/>
    <w:rsid w:val="00AD4978"/>
    <w:rsid w:val="00AD5FD2"/>
    <w:rsid w:val="00AD677F"/>
    <w:rsid w:val="00AD69AC"/>
    <w:rsid w:val="00AD6C85"/>
    <w:rsid w:val="00AD6E0C"/>
    <w:rsid w:val="00AD71D3"/>
    <w:rsid w:val="00AD725A"/>
    <w:rsid w:val="00AD7672"/>
    <w:rsid w:val="00AE1A52"/>
    <w:rsid w:val="00AE2ACA"/>
    <w:rsid w:val="00AE2C4C"/>
    <w:rsid w:val="00AE2FC9"/>
    <w:rsid w:val="00AE3B29"/>
    <w:rsid w:val="00AE3EC8"/>
    <w:rsid w:val="00AE46D2"/>
    <w:rsid w:val="00AE745C"/>
    <w:rsid w:val="00AF16EF"/>
    <w:rsid w:val="00AF29C0"/>
    <w:rsid w:val="00AF2A35"/>
    <w:rsid w:val="00AF39C0"/>
    <w:rsid w:val="00AF3F13"/>
    <w:rsid w:val="00AF62DF"/>
    <w:rsid w:val="00AF6471"/>
    <w:rsid w:val="00AF71DC"/>
    <w:rsid w:val="00AF7CF3"/>
    <w:rsid w:val="00B012FF"/>
    <w:rsid w:val="00B022B2"/>
    <w:rsid w:val="00B02D66"/>
    <w:rsid w:val="00B03435"/>
    <w:rsid w:val="00B039A4"/>
    <w:rsid w:val="00B0449D"/>
    <w:rsid w:val="00B063C0"/>
    <w:rsid w:val="00B06824"/>
    <w:rsid w:val="00B10371"/>
    <w:rsid w:val="00B12463"/>
    <w:rsid w:val="00B12E31"/>
    <w:rsid w:val="00B12FFF"/>
    <w:rsid w:val="00B13932"/>
    <w:rsid w:val="00B1410C"/>
    <w:rsid w:val="00B144B8"/>
    <w:rsid w:val="00B14CA8"/>
    <w:rsid w:val="00B15B7B"/>
    <w:rsid w:val="00B16A6B"/>
    <w:rsid w:val="00B1724F"/>
    <w:rsid w:val="00B20DEE"/>
    <w:rsid w:val="00B215A7"/>
    <w:rsid w:val="00B21B23"/>
    <w:rsid w:val="00B22227"/>
    <w:rsid w:val="00B2229B"/>
    <w:rsid w:val="00B2262C"/>
    <w:rsid w:val="00B2447D"/>
    <w:rsid w:val="00B2654F"/>
    <w:rsid w:val="00B27D61"/>
    <w:rsid w:val="00B30BC0"/>
    <w:rsid w:val="00B3132A"/>
    <w:rsid w:val="00B31F68"/>
    <w:rsid w:val="00B336D1"/>
    <w:rsid w:val="00B355D6"/>
    <w:rsid w:val="00B36D48"/>
    <w:rsid w:val="00B40133"/>
    <w:rsid w:val="00B41E7A"/>
    <w:rsid w:val="00B42AAB"/>
    <w:rsid w:val="00B4327B"/>
    <w:rsid w:val="00B434CF"/>
    <w:rsid w:val="00B43B1F"/>
    <w:rsid w:val="00B44688"/>
    <w:rsid w:val="00B45BDC"/>
    <w:rsid w:val="00B46ABF"/>
    <w:rsid w:val="00B47CAB"/>
    <w:rsid w:val="00B50021"/>
    <w:rsid w:val="00B507D3"/>
    <w:rsid w:val="00B50CF4"/>
    <w:rsid w:val="00B5154B"/>
    <w:rsid w:val="00B51806"/>
    <w:rsid w:val="00B52271"/>
    <w:rsid w:val="00B5329A"/>
    <w:rsid w:val="00B53433"/>
    <w:rsid w:val="00B554D3"/>
    <w:rsid w:val="00B5629A"/>
    <w:rsid w:val="00B57358"/>
    <w:rsid w:val="00B57E89"/>
    <w:rsid w:val="00B600D9"/>
    <w:rsid w:val="00B603E6"/>
    <w:rsid w:val="00B62D9E"/>
    <w:rsid w:val="00B6394D"/>
    <w:rsid w:val="00B63FBA"/>
    <w:rsid w:val="00B6519A"/>
    <w:rsid w:val="00B663B8"/>
    <w:rsid w:val="00B669C4"/>
    <w:rsid w:val="00B66E0F"/>
    <w:rsid w:val="00B67014"/>
    <w:rsid w:val="00B71665"/>
    <w:rsid w:val="00B71C0B"/>
    <w:rsid w:val="00B72332"/>
    <w:rsid w:val="00B72446"/>
    <w:rsid w:val="00B73FD4"/>
    <w:rsid w:val="00B74693"/>
    <w:rsid w:val="00B74947"/>
    <w:rsid w:val="00B7591E"/>
    <w:rsid w:val="00B75991"/>
    <w:rsid w:val="00B76838"/>
    <w:rsid w:val="00B77D13"/>
    <w:rsid w:val="00B801BF"/>
    <w:rsid w:val="00B810E2"/>
    <w:rsid w:val="00B81BD0"/>
    <w:rsid w:val="00B820AC"/>
    <w:rsid w:val="00B82794"/>
    <w:rsid w:val="00B82B9C"/>
    <w:rsid w:val="00B82F96"/>
    <w:rsid w:val="00B84CCB"/>
    <w:rsid w:val="00B862AF"/>
    <w:rsid w:val="00B86637"/>
    <w:rsid w:val="00B86906"/>
    <w:rsid w:val="00B86E20"/>
    <w:rsid w:val="00B87E79"/>
    <w:rsid w:val="00B90D97"/>
    <w:rsid w:val="00B91241"/>
    <w:rsid w:val="00B91D36"/>
    <w:rsid w:val="00B92746"/>
    <w:rsid w:val="00B92D47"/>
    <w:rsid w:val="00B96894"/>
    <w:rsid w:val="00B969AC"/>
    <w:rsid w:val="00B9719C"/>
    <w:rsid w:val="00BA06C1"/>
    <w:rsid w:val="00BA0B65"/>
    <w:rsid w:val="00BA1E04"/>
    <w:rsid w:val="00BA1F78"/>
    <w:rsid w:val="00BA2E14"/>
    <w:rsid w:val="00BA54D0"/>
    <w:rsid w:val="00BA6C18"/>
    <w:rsid w:val="00BA6F69"/>
    <w:rsid w:val="00BA6FEF"/>
    <w:rsid w:val="00BB058C"/>
    <w:rsid w:val="00BB24C2"/>
    <w:rsid w:val="00BB2CF5"/>
    <w:rsid w:val="00BB30FF"/>
    <w:rsid w:val="00BB360B"/>
    <w:rsid w:val="00BB40F6"/>
    <w:rsid w:val="00BB4C6C"/>
    <w:rsid w:val="00BB573E"/>
    <w:rsid w:val="00BB5FE7"/>
    <w:rsid w:val="00BB60B2"/>
    <w:rsid w:val="00BB68A6"/>
    <w:rsid w:val="00BB6C77"/>
    <w:rsid w:val="00BB7001"/>
    <w:rsid w:val="00BB785F"/>
    <w:rsid w:val="00BB7878"/>
    <w:rsid w:val="00BB7D3F"/>
    <w:rsid w:val="00BB7F73"/>
    <w:rsid w:val="00BC05DD"/>
    <w:rsid w:val="00BC1BBF"/>
    <w:rsid w:val="00BC2E39"/>
    <w:rsid w:val="00BC3FB6"/>
    <w:rsid w:val="00BC4BB9"/>
    <w:rsid w:val="00BC5779"/>
    <w:rsid w:val="00BC6076"/>
    <w:rsid w:val="00BC6DA1"/>
    <w:rsid w:val="00BC6E86"/>
    <w:rsid w:val="00BC73F7"/>
    <w:rsid w:val="00BC76FE"/>
    <w:rsid w:val="00BD0C9A"/>
    <w:rsid w:val="00BD0F4E"/>
    <w:rsid w:val="00BD18F0"/>
    <w:rsid w:val="00BD2B67"/>
    <w:rsid w:val="00BD30D2"/>
    <w:rsid w:val="00BE1624"/>
    <w:rsid w:val="00BE20AC"/>
    <w:rsid w:val="00BE2ABD"/>
    <w:rsid w:val="00BE2E1E"/>
    <w:rsid w:val="00BE3C50"/>
    <w:rsid w:val="00BE3FF4"/>
    <w:rsid w:val="00BE47BD"/>
    <w:rsid w:val="00BE5B52"/>
    <w:rsid w:val="00BE6311"/>
    <w:rsid w:val="00BE6BEE"/>
    <w:rsid w:val="00BE6E6D"/>
    <w:rsid w:val="00BF0ACC"/>
    <w:rsid w:val="00BF0C5D"/>
    <w:rsid w:val="00BF1440"/>
    <w:rsid w:val="00BF1786"/>
    <w:rsid w:val="00BF1A0B"/>
    <w:rsid w:val="00BF1CB0"/>
    <w:rsid w:val="00BF1F70"/>
    <w:rsid w:val="00BF2B93"/>
    <w:rsid w:val="00BF2DC6"/>
    <w:rsid w:val="00BF301B"/>
    <w:rsid w:val="00BF3436"/>
    <w:rsid w:val="00BF43FA"/>
    <w:rsid w:val="00BF6AAD"/>
    <w:rsid w:val="00BF7150"/>
    <w:rsid w:val="00BF72CE"/>
    <w:rsid w:val="00C00142"/>
    <w:rsid w:val="00C00FED"/>
    <w:rsid w:val="00C0135E"/>
    <w:rsid w:val="00C01F4F"/>
    <w:rsid w:val="00C025D3"/>
    <w:rsid w:val="00C06AB7"/>
    <w:rsid w:val="00C07170"/>
    <w:rsid w:val="00C077DA"/>
    <w:rsid w:val="00C0788A"/>
    <w:rsid w:val="00C07EBB"/>
    <w:rsid w:val="00C11266"/>
    <w:rsid w:val="00C123A0"/>
    <w:rsid w:val="00C12BC9"/>
    <w:rsid w:val="00C131FA"/>
    <w:rsid w:val="00C13F58"/>
    <w:rsid w:val="00C14571"/>
    <w:rsid w:val="00C1491F"/>
    <w:rsid w:val="00C14ED8"/>
    <w:rsid w:val="00C15137"/>
    <w:rsid w:val="00C15748"/>
    <w:rsid w:val="00C157D1"/>
    <w:rsid w:val="00C15E22"/>
    <w:rsid w:val="00C15F7A"/>
    <w:rsid w:val="00C16FE2"/>
    <w:rsid w:val="00C20050"/>
    <w:rsid w:val="00C20226"/>
    <w:rsid w:val="00C20BFE"/>
    <w:rsid w:val="00C20E5A"/>
    <w:rsid w:val="00C22E55"/>
    <w:rsid w:val="00C23729"/>
    <w:rsid w:val="00C237D7"/>
    <w:rsid w:val="00C25367"/>
    <w:rsid w:val="00C26844"/>
    <w:rsid w:val="00C2734A"/>
    <w:rsid w:val="00C309B8"/>
    <w:rsid w:val="00C31ABA"/>
    <w:rsid w:val="00C31D0E"/>
    <w:rsid w:val="00C321B7"/>
    <w:rsid w:val="00C32335"/>
    <w:rsid w:val="00C32B54"/>
    <w:rsid w:val="00C32DED"/>
    <w:rsid w:val="00C34184"/>
    <w:rsid w:val="00C34787"/>
    <w:rsid w:val="00C34A4A"/>
    <w:rsid w:val="00C34AC1"/>
    <w:rsid w:val="00C35CAA"/>
    <w:rsid w:val="00C36610"/>
    <w:rsid w:val="00C37756"/>
    <w:rsid w:val="00C37AF3"/>
    <w:rsid w:val="00C37B69"/>
    <w:rsid w:val="00C40651"/>
    <w:rsid w:val="00C40CFD"/>
    <w:rsid w:val="00C411FB"/>
    <w:rsid w:val="00C41B46"/>
    <w:rsid w:val="00C41BAB"/>
    <w:rsid w:val="00C41D78"/>
    <w:rsid w:val="00C41E50"/>
    <w:rsid w:val="00C42122"/>
    <w:rsid w:val="00C427B1"/>
    <w:rsid w:val="00C42838"/>
    <w:rsid w:val="00C43371"/>
    <w:rsid w:val="00C45B6B"/>
    <w:rsid w:val="00C4601D"/>
    <w:rsid w:val="00C46235"/>
    <w:rsid w:val="00C47275"/>
    <w:rsid w:val="00C479E2"/>
    <w:rsid w:val="00C50494"/>
    <w:rsid w:val="00C51BC7"/>
    <w:rsid w:val="00C53291"/>
    <w:rsid w:val="00C535A6"/>
    <w:rsid w:val="00C53A70"/>
    <w:rsid w:val="00C549E0"/>
    <w:rsid w:val="00C565D2"/>
    <w:rsid w:val="00C56A3A"/>
    <w:rsid w:val="00C576EA"/>
    <w:rsid w:val="00C57CD2"/>
    <w:rsid w:val="00C603DE"/>
    <w:rsid w:val="00C6164F"/>
    <w:rsid w:val="00C62171"/>
    <w:rsid w:val="00C6348A"/>
    <w:rsid w:val="00C63916"/>
    <w:rsid w:val="00C63D3F"/>
    <w:rsid w:val="00C63FC1"/>
    <w:rsid w:val="00C6406C"/>
    <w:rsid w:val="00C64636"/>
    <w:rsid w:val="00C646AC"/>
    <w:rsid w:val="00C64C5D"/>
    <w:rsid w:val="00C652CE"/>
    <w:rsid w:val="00C6630B"/>
    <w:rsid w:val="00C663B6"/>
    <w:rsid w:val="00C672D1"/>
    <w:rsid w:val="00C701AF"/>
    <w:rsid w:val="00C7054F"/>
    <w:rsid w:val="00C70D2D"/>
    <w:rsid w:val="00C72651"/>
    <w:rsid w:val="00C72C89"/>
    <w:rsid w:val="00C73B10"/>
    <w:rsid w:val="00C74B05"/>
    <w:rsid w:val="00C75A66"/>
    <w:rsid w:val="00C75F0D"/>
    <w:rsid w:val="00C75F73"/>
    <w:rsid w:val="00C7630E"/>
    <w:rsid w:val="00C77503"/>
    <w:rsid w:val="00C80520"/>
    <w:rsid w:val="00C80EF3"/>
    <w:rsid w:val="00C81007"/>
    <w:rsid w:val="00C810AD"/>
    <w:rsid w:val="00C83BDD"/>
    <w:rsid w:val="00C84A12"/>
    <w:rsid w:val="00C84D6D"/>
    <w:rsid w:val="00C85EA2"/>
    <w:rsid w:val="00C86D66"/>
    <w:rsid w:val="00C87E02"/>
    <w:rsid w:val="00C90367"/>
    <w:rsid w:val="00C907BB"/>
    <w:rsid w:val="00C909BF"/>
    <w:rsid w:val="00C9152B"/>
    <w:rsid w:val="00C91FD4"/>
    <w:rsid w:val="00C9246F"/>
    <w:rsid w:val="00C9290A"/>
    <w:rsid w:val="00C93342"/>
    <w:rsid w:val="00C93695"/>
    <w:rsid w:val="00C93D87"/>
    <w:rsid w:val="00C93DA1"/>
    <w:rsid w:val="00C94C39"/>
    <w:rsid w:val="00C961DD"/>
    <w:rsid w:val="00C9626E"/>
    <w:rsid w:val="00C97975"/>
    <w:rsid w:val="00CA1C2A"/>
    <w:rsid w:val="00CA211C"/>
    <w:rsid w:val="00CA2C46"/>
    <w:rsid w:val="00CA2DC5"/>
    <w:rsid w:val="00CA3070"/>
    <w:rsid w:val="00CA3FDD"/>
    <w:rsid w:val="00CA4127"/>
    <w:rsid w:val="00CA44ED"/>
    <w:rsid w:val="00CA5469"/>
    <w:rsid w:val="00CA621E"/>
    <w:rsid w:val="00CA6A3E"/>
    <w:rsid w:val="00CA6E7C"/>
    <w:rsid w:val="00CA7058"/>
    <w:rsid w:val="00CA7C68"/>
    <w:rsid w:val="00CA7C77"/>
    <w:rsid w:val="00CB0013"/>
    <w:rsid w:val="00CB01AB"/>
    <w:rsid w:val="00CB04AC"/>
    <w:rsid w:val="00CB0D35"/>
    <w:rsid w:val="00CB1B20"/>
    <w:rsid w:val="00CB1EA7"/>
    <w:rsid w:val="00CB25D4"/>
    <w:rsid w:val="00CB2C84"/>
    <w:rsid w:val="00CB311F"/>
    <w:rsid w:val="00CB3B77"/>
    <w:rsid w:val="00CB407D"/>
    <w:rsid w:val="00CB4560"/>
    <w:rsid w:val="00CB47DE"/>
    <w:rsid w:val="00CB776C"/>
    <w:rsid w:val="00CB7966"/>
    <w:rsid w:val="00CC16C7"/>
    <w:rsid w:val="00CC199B"/>
    <w:rsid w:val="00CC2AAE"/>
    <w:rsid w:val="00CC504A"/>
    <w:rsid w:val="00CC51BF"/>
    <w:rsid w:val="00CC53C4"/>
    <w:rsid w:val="00CC577F"/>
    <w:rsid w:val="00CC67DD"/>
    <w:rsid w:val="00CC6A54"/>
    <w:rsid w:val="00CC6EAC"/>
    <w:rsid w:val="00CC7595"/>
    <w:rsid w:val="00CC7811"/>
    <w:rsid w:val="00CD019B"/>
    <w:rsid w:val="00CD0FEF"/>
    <w:rsid w:val="00CD1303"/>
    <w:rsid w:val="00CD16E6"/>
    <w:rsid w:val="00CD1F78"/>
    <w:rsid w:val="00CD3371"/>
    <w:rsid w:val="00CD4B5D"/>
    <w:rsid w:val="00CD68CA"/>
    <w:rsid w:val="00CD699F"/>
    <w:rsid w:val="00CD707C"/>
    <w:rsid w:val="00CD769F"/>
    <w:rsid w:val="00CE0770"/>
    <w:rsid w:val="00CE0D08"/>
    <w:rsid w:val="00CE1254"/>
    <w:rsid w:val="00CE3C0D"/>
    <w:rsid w:val="00CE518B"/>
    <w:rsid w:val="00CE69B5"/>
    <w:rsid w:val="00CE6CFC"/>
    <w:rsid w:val="00CE7444"/>
    <w:rsid w:val="00CF0291"/>
    <w:rsid w:val="00CF0D75"/>
    <w:rsid w:val="00CF162C"/>
    <w:rsid w:val="00CF1DF9"/>
    <w:rsid w:val="00CF2BBA"/>
    <w:rsid w:val="00CF3173"/>
    <w:rsid w:val="00CF4858"/>
    <w:rsid w:val="00CF4E1E"/>
    <w:rsid w:val="00CF586D"/>
    <w:rsid w:val="00CF5FA3"/>
    <w:rsid w:val="00CF7392"/>
    <w:rsid w:val="00CF76B6"/>
    <w:rsid w:val="00D00156"/>
    <w:rsid w:val="00D004D6"/>
    <w:rsid w:val="00D0057C"/>
    <w:rsid w:val="00D00D24"/>
    <w:rsid w:val="00D0131E"/>
    <w:rsid w:val="00D01C27"/>
    <w:rsid w:val="00D01E6B"/>
    <w:rsid w:val="00D02C61"/>
    <w:rsid w:val="00D0344E"/>
    <w:rsid w:val="00D0409E"/>
    <w:rsid w:val="00D04EE0"/>
    <w:rsid w:val="00D0655B"/>
    <w:rsid w:val="00D06D66"/>
    <w:rsid w:val="00D0711F"/>
    <w:rsid w:val="00D10F1E"/>
    <w:rsid w:val="00D134CD"/>
    <w:rsid w:val="00D14D13"/>
    <w:rsid w:val="00D15C59"/>
    <w:rsid w:val="00D17067"/>
    <w:rsid w:val="00D17EA4"/>
    <w:rsid w:val="00D20419"/>
    <w:rsid w:val="00D20CDA"/>
    <w:rsid w:val="00D21899"/>
    <w:rsid w:val="00D222E7"/>
    <w:rsid w:val="00D2271A"/>
    <w:rsid w:val="00D253F6"/>
    <w:rsid w:val="00D259D6"/>
    <w:rsid w:val="00D26913"/>
    <w:rsid w:val="00D26B12"/>
    <w:rsid w:val="00D26EB8"/>
    <w:rsid w:val="00D27200"/>
    <w:rsid w:val="00D30045"/>
    <w:rsid w:val="00D31577"/>
    <w:rsid w:val="00D31748"/>
    <w:rsid w:val="00D3212B"/>
    <w:rsid w:val="00D32131"/>
    <w:rsid w:val="00D322B0"/>
    <w:rsid w:val="00D32FC1"/>
    <w:rsid w:val="00D330DB"/>
    <w:rsid w:val="00D333BF"/>
    <w:rsid w:val="00D33EDE"/>
    <w:rsid w:val="00D3402D"/>
    <w:rsid w:val="00D34181"/>
    <w:rsid w:val="00D34827"/>
    <w:rsid w:val="00D35983"/>
    <w:rsid w:val="00D3631D"/>
    <w:rsid w:val="00D36486"/>
    <w:rsid w:val="00D3717C"/>
    <w:rsid w:val="00D4058D"/>
    <w:rsid w:val="00D40A23"/>
    <w:rsid w:val="00D41AE3"/>
    <w:rsid w:val="00D44ED9"/>
    <w:rsid w:val="00D45256"/>
    <w:rsid w:val="00D47D6A"/>
    <w:rsid w:val="00D501DA"/>
    <w:rsid w:val="00D506A3"/>
    <w:rsid w:val="00D50FD4"/>
    <w:rsid w:val="00D51C00"/>
    <w:rsid w:val="00D51E0A"/>
    <w:rsid w:val="00D524A2"/>
    <w:rsid w:val="00D526DB"/>
    <w:rsid w:val="00D527AF"/>
    <w:rsid w:val="00D52AB9"/>
    <w:rsid w:val="00D5331F"/>
    <w:rsid w:val="00D5378F"/>
    <w:rsid w:val="00D53E29"/>
    <w:rsid w:val="00D542E5"/>
    <w:rsid w:val="00D55775"/>
    <w:rsid w:val="00D55D3B"/>
    <w:rsid w:val="00D564C8"/>
    <w:rsid w:val="00D5705A"/>
    <w:rsid w:val="00D5714E"/>
    <w:rsid w:val="00D57413"/>
    <w:rsid w:val="00D60D35"/>
    <w:rsid w:val="00D61282"/>
    <w:rsid w:val="00D61692"/>
    <w:rsid w:val="00D61837"/>
    <w:rsid w:val="00D61B63"/>
    <w:rsid w:val="00D61E86"/>
    <w:rsid w:val="00D62029"/>
    <w:rsid w:val="00D6202D"/>
    <w:rsid w:val="00D621B2"/>
    <w:rsid w:val="00D63E78"/>
    <w:rsid w:val="00D64D69"/>
    <w:rsid w:val="00D64F6E"/>
    <w:rsid w:val="00D64FD3"/>
    <w:rsid w:val="00D66F3C"/>
    <w:rsid w:val="00D67D95"/>
    <w:rsid w:val="00D710FD"/>
    <w:rsid w:val="00D71690"/>
    <w:rsid w:val="00D719A0"/>
    <w:rsid w:val="00D733AC"/>
    <w:rsid w:val="00D737CD"/>
    <w:rsid w:val="00D73AA8"/>
    <w:rsid w:val="00D75F50"/>
    <w:rsid w:val="00D765A3"/>
    <w:rsid w:val="00D76A94"/>
    <w:rsid w:val="00D7718A"/>
    <w:rsid w:val="00D778E1"/>
    <w:rsid w:val="00D77F3E"/>
    <w:rsid w:val="00D800B5"/>
    <w:rsid w:val="00D803C1"/>
    <w:rsid w:val="00D80FC5"/>
    <w:rsid w:val="00D834E8"/>
    <w:rsid w:val="00D848EE"/>
    <w:rsid w:val="00D85C94"/>
    <w:rsid w:val="00D85F1E"/>
    <w:rsid w:val="00D8651E"/>
    <w:rsid w:val="00D90D26"/>
    <w:rsid w:val="00D91904"/>
    <w:rsid w:val="00D928AF"/>
    <w:rsid w:val="00D92C91"/>
    <w:rsid w:val="00D943CE"/>
    <w:rsid w:val="00D94466"/>
    <w:rsid w:val="00D96335"/>
    <w:rsid w:val="00D965EE"/>
    <w:rsid w:val="00D96B77"/>
    <w:rsid w:val="00D96CD3"/>
    <w:rsid w:val="00D97C9E"/>
    <w:rsid w:val="00DA1A1F"/>
    <w:rsid w:val="00DA2655"/>
    <w:rsid w:val="00DA2F0A"/>
    <w:rsid w:val="00DA35C2"/>
    <w:rsid w:val="00DA372E"/>
    <w:rsid w:val="00DA3BC4"/>
    <w:rsid w:val="00DA40A3"/>
    <w:rsid w:val="00DA6330"/>
    <w:rsid w:val="00DB0D61"/>
    <w:rsid w:val="00DB2EE2"/>
    <w:rsid w:val="00DB3E5E"/>
    <w:rsid w:val="00DB3FE3"/>
    <w:rsid w:val="00DB4049"/>
    <w:rsid w:val="00DB4A28"/>
    <w:rsid w:val="00DB51B0"/>
    <w:rsid w:val="00DB55E7"/>
    <w:rsid w:val="00DB560E"/>
    <w:rsid w:val="00DB561E"/>
    <w:rsid w:val="00DB67E3"/>
    <w:rsid w:val="00DB6B8F"/>
    <w:rsid w:val="00DB6DB6"/>
    <w:rsid w:val="00DB721D"/>
    <w:rsid w:val="00DB7C5D"/>
    <w:rsid w:val="00DC006E"/>
    <w:rsid w:val="00DC0241"/>
    <w:rsid w:val="00DC04AD"/>
    <w:rsid w:val="00DC1184"/>
    <w:rsid w:val="00DC19DD"/>
    <w:rsid w:val="00DC3690"/>
    <w:rsid w:val="00DC3FF1"/>
    <w:rsid w:val="00DC47F3"/>
    <w:rsid w:val="00DC48C0"/>
    <w:rsid w:val="00DC4AD1"/>
    <w:rsid w:val="00DC4EE0"/>
    <w:rsid w:val="00DC6634"/>
    <w:rsid w:val="00DC718F"/>
    <w:rsid w:val="00DC74BC"/>
    <w:rsid w:val="00DC7E28"/>
    <w:rsid w:val="00DD0300"/>
    <w:rsid w:val="00DD1016"/>
    <w:rsid w:val="00DD1A3B"/>
    <w:rsid w:val="00DD230D"/>
    <w:rsid w:val="00DD2925"/>
    <w:rsid w:val="00DD2C83"/>
    <w:rsid w:val="00DD351E"/>
    <w:rsid w:val="00DD5A8F"/>
    <w:rsid w:val="00DD6AB8"/>
    <w:rsid w:val="00DD6B2D"/>
    <w:rsid w:val="00DD756A"/>
    <w:rsid w:val="00DD75DD"/>
    <w:rsid w:val="00DE0595"/>
    <w:rsid w:val="00DE1A7C"/>
    <w:rsid w:val="00DE2A1F"/>
    <w:rsid w:val="00DE2C31"/>
    <w:rsid w:val="00DE4794"/>
    <w:rsid w:val="00DE47FC"/>
    <w:rsid w:val="00DE495F"/>
    <w:rsid w:val="00DE4B55"/>
    <w:rsid w:val="00DE587D"/>
    <w:rsid w:val="00DE63E8"/>
    <w:rsid w:val="00DE7609"/>
    <w:rsid w:val="00DF1409"/>
    <w:rsid w:val="00DF1C86"/>
    <w:rsid w:val="00DF1ED1"/>
    <w:rsid w:val="00DF228E"/>
    <w:rsid w:val="00DF2695"/>
    <w:rsid w:val="00DF27B1"/>
    <w:rsid w:val="00DF2AA3"/>
    <w:rsid w:val="00DF2C31"/>
    <w:rsid w:val="00DF4F9D"/>
    <w:rsid w:val="00DF5B2A"/>
    <w:rsid w:val="00DF698C"/>
    <w:rsid w:val="00DF6B9D"/>
    <w:rsid w:val="00E00EA3"/>
    <w:rsid w:val="00E00EAA"/>
    <w:rsid w:val="00E01B04"/>
    <w:rsid w:val="00E01F45"/>
    <w:rsid w:val="00E0269D"/>
    <w:rsid w:val="00E0276A"/>
    <w:rsid w:val="00E02E82"/>
    <w:rsid w:val="00E03367"/>
    <w:rsid w:val="00E03F48"/>
    <w:rsid w:val="00E04E50"/>
    <w:rsid w:val="00E0598B"/>
    <w:rsid w:val="00E05C49"/>
    <w:rsid w:val="00E06824"/>
    <w:rsid w:val="00E06855"/>
    <w:rsid w:val="00E0706D"/>
    <w:rsid w:val="00E072B7"/>
    <w:rsid w:val="00E074E4"/>
    <w:rsid w:val="00E07C08"/>
    <w:rsid w:val="00E10677"/>
    <w:rsid w:val="00E1390E"/>
    <w:rsid w:val="00E139E6"/>
    <w:rsid w:val="00E143F2"/>
    <w:rsid w:val="00E146CB"/>
    <w:rsid w:val="00E14901"/>
    <w:rsid w:val="00E157D0"/>
    <w:rsid w:val="00E16763"/>
    <w:rsid w:val="00E20800"/>
    <w:rsid w:val="00E2133B"/>
    <w:rsid w:val="00E22571"/>
    <w:rsid w:val="00E2307A"/>
    <w:rsid w:val="00E2362B"/>
    <w:rsid w:val="00E237D9"/>
    <w:rsid w:val="00E249A9"/>
    <w:rsid w:val="00E25472"/>
    <w:rsid w:val="00E27F19"/>
    <w:rsid w:val="00E30184"/>
    <w:rsid w:val="00E301CE"/>
    <w:rsid w:val="00E3083C"/>
    <w:rsid w:val="00E30F05"/>
    <w:rsid w:val="00E31062"/>
    <w:rsid w:val="00E313FC"/>
    <w:rsid w:val="00E318AD"/>
    <w:rsid w:val="00E32169"/>
    <w:rsid w:val="00E32881"/>
    <w:rsid w:val="00E328B1"/>
    <w:rsid w:val="00E34692"/>
    <w:rsid w:val="00E34A15"/>
    <w:rsid w:val="00E35767"/>
    <w:rsid w:val="00E35972"/>
    <w:rsid w:val="00E35BCC"/>
    <w:rsid w:val="00E36E18"/>
    <w:rsid w:val="00E37149"/>
    <w:rsid w:val="00E37A47"/>
    <w:rsid w:val="00E40915"/>
    <w:rsid w:val="00E41355"/>
    <w:rsid w:val="00E42290"/>
    <w:rsid w:val="00E43D7A"/>
    <w:rsid w:val="00E44BCC"/>
    <w:rsid w:val="00E44FC4"/>
    <w:rsid w:val="00E453FC"/>
    <w:rsid w:val="00E456CD"/>
    <w:rsid w:val="00E461A4"/>
    <w:rsid w:val="00E46823"/>
    <w:rsid w:val="00E4745C"/>
    <w:rsid w:val="00E474C1"/>
    <w:rsid w:val="00E50BCF"/>
    <w:rsid w:val="00E51282"/>
    <w:rsid w:val="00E523EF"/>
    <w:rsid w:val="00E527EE"/>
    <w:rsid w:val="00E53719"/>
    <w:rsid w:val="00E5473E"/>
    <w:rsid w:val="00E54993"/>
    <w:rsid w:val="00E54D5C"/>
    <w:rsid w:val="00E54F87"/>
    <w:rsid w:val="00E565C1"/>
    <w:rsid w:val="00E56648"/>
    <w:rsid w:val="00E56972"/>
    <w:rsid w:val="00E56E69"/>
    <w:rsid w:val="00E57610"/>
    <w:rsid w:val="00E57695"/>
    <w:rsid w:val="00E57725"/>
    <w:rsid w:val="00E57C4B"/>
    <w:rsid w:val="00E610DC"/>
    <w:rsid w:val="00E62908"/>
    <w:rsid w:val="00E63CB1"/>
    <w:rsid w:val="00E64520"/>
    <w:rsid w:val="00E64AA5"/>
    <w:rsid w:val="00E64E93"/>
    <w:rsid w:val="00E65897"/>
    <w:rsid w:val="00E660EE"/>
    <w:rsid w:val="00E671BD"/>
    <w:rsid w:val="00E72541"/>
    <w:rsid w:val="00E72808"/>
    <w:rsid w:val="00E72ABE"/>
    <w:rsid w:val="00E72F93"/>
    <w:rsid w:val="00E734B7"/>
    <w:rsid w:val="00E73E27"/>
    <w:rsid w:val="00E75796"/>
    <w:rsid w:val="00E802C5"/>
    <w:rsid w:val="00E8093F"/>
    <w:rsid w:val="00E81A2E"/>
    <w:rsid w:val="00E82901"/>
    <w:rsid w:val="00E82AAA"/>
    <w:rsid w:val="00E82C42"/>
    <w:rsid w:val="00E83DA8"/>
    <w:rsid w:val="00E83E92"/>
    <w:rsid w:val="00E842DE"/>
    <w:rsid w:val="00E84A41"/>
    <w:rsid w:val="00E8523D"/>
    <w:rsid w:val="00E85243"/>
    <w:rsid w:val="00E85E7A"/>
    <w:rsid w:val="00E86C6C"/>
    <w:rsid w:val="00E86FF2"/>
    <w:rsid w:val="00E87BA7"/>
    <w:rsid w:val="00E9031B"/>
    <w:rsid w:val="00E9050A"/>
    <w:rsid w:val="00E90B13"/>
    <w:rsid w:val="00E9108B"/>
    <w:rsid w:val="00E91311"/>
    <w:rsid w:val="00E91ED3"/>
    <w:rsid w:val="00E92380"/>
    <w:rsid w:val="00E95A95"/>
    <w:rsid w:val="00E95F4E"/>
    <w:rsid w:val="00E979C0"/>
    <w:rsid w:val="00EA0BE5"/>
    <w:rsid w:val="00EA1B4B"/>
    <w:rsid w:val="00EA262B"/>
    <w:rsid w:val="00EA2D02"/>
    <w:rsid w:val="00EA2FB5"/>
    <w:rsid w:val="00EA36C4"/>
    <w:rsid w:val="00EA43D5"/>
    <w:rsid w:val="00EA5738"/>
    <w:rsid w:val="00EA5E4B"/>
    <w:rsid w:val="00EA60A7"/>
    <w:rsid w:val="00EB250E"/>
    <w:rsid w:val="00EB2AA8"/>
    <w:rsid w:val="00EB32D7"/>
    <w:rsid w:val="00EB3658"/>
    <w:rsid w:val="00EB39B5"/>
    <w:rsid w:val="00EB39E1"/>
    <w:rsid w:val="00EB405A"/>
    <w:rsid w:val="00EB54F9"/>
    <w:rsid w:val="00EB568C"/>
    <w:rsid w:val="00EB5F0E"/>
    <w:rsid w:val="00EB6068"/>
    <w:rsid w:val="00EB64B9"/>
    <w:rsid w:val="00EB7CD3"/>
    <w:rsid w:val="00EC0C1D"/>
    <w:rsid w:val="00EC0D33"/>
    <w:rsid w:val="00EC1003"/>
    <w:rsid w:val="00EC128A"/>
    <w:rsid w:val="00EC3691"/>
    <w:rsid w:val="00EC3842"/>
    <w:rsid w:val="00EC3B14"/>
    <w:rsid w:val="00EC4680"/>
    <w:rsid w:val="00EC6854"/>
    <w:rsid w:val="00EC70BD"/>
    <w:rsid w:val="00ED05BC"/>
    <w:rsid w:val="00ED0E4C"/>
    <w:rsid w:val="00ED21BB"/>
    <w:rsid w:val="00ED2422"/>
    <w:rsid w:val="00ED2988"/>
    <w:rsid w:val="00ED301D"/>
    <w:rsid w:val="00ED3980"/>
    <w:rsid w:val="00ED3FE9"/>
    <w:rsid w:val="00ED4AD3"/>
    <w:rsid w:val="00ED4E43"/>
    <w:rsid w:val="00ED63EC"/>
    <w:rsid w:val="00ED66A9"/>
    <w:rsid w:val="00ED69B4"/>
    <w:rsid w:val="00ED7615"/>
    <w:rsid w:val="00EE0167"/>
    <w:rsid w:val="00EE0860"/>
    <w:rsid w:val="00EE096D"/>
    <w:rsid w:val="00EE0F98"/>
    <w:rsid w:val="00EE2019"/>
    <w:rsid w:val="00EE219A"/>
    <w:rsid w:val="00EE2426"/>
    <w:rsid w:val="00EE337A"/>
    <w:rsid w:val="00EE400A"/>
    <w:rsid w:val="00EE4F3A"/>
    <w:rsid w:val="00EE5F9C"/>
    <w:rsid w:val="00EE725A"/>
    <w:rsid w:val="00EE7773"/>
    <w:rsid w:val="00EF0EF4"/>
    <w:rsid w:val="00EF10E3"/>
    <w:rsid w:val="00EF3CD5"/>
    <w:rsid w:val="00EF4511"/>
    <w:rsid w:val="00EF490F"/>
    <w:rsid w:val="00EF5EA4"/>
    <w:rsid w:val="00EF668F"/>
    <w:rsid w:val="00EF6766"/>
    <w:rsid w:val="00EF6D1A"/>
    <w:rsid w:val="00EF737D"/>
    <w:rsid w:val="00F004F6"/>
    <w:rsid w:val="00F00B04"/>
    <w:rsid w:val="00F01200"/>
    <w:rsid w:val="00F01A24"/>
    <w:rsid w:val="00F02C33"/>
    <w:rsid w:val="00F032DD"/>
    <w:rsid w:val="00F03604"/>
    <w:rsid w:val="00F037C2"/>
    <w:rsid w:val="00F03B06"/>
    <w:rsid w:val="00F03CCF"/>
    <w:rsid w:val="00F04386"/>
    <w:rsid w:val="00F048C2"/>
    <w:rsid w:val="00F04AF5"/>
    <w:rsid w:val="00F053FC"/>
    <w:rsid w:val="00F05610"/>
    <w:rsid w:val="00F063AE"/>
    <w:rsid w:val="00F064DC"/>
    <w:rsid w:val="00F076BD"/>
    <w:rsid w:val="00F10750"/>
    <w:rsid w:val="00F10EBC"/>
    <w:rsid w:val="00F1178A"/>
    <w:rsid w:val="00F11F0D"/>
    <w:rsid w:val="00F1270D"/>
    <w:rsid w:val="00F13923"/>
    <w:rsid w:val="00F13EE1"/>
    <w:rsid w:val="00F1493B"/>
    <w:rsid w:val="00F166B1"/>
    <w:rsid w:val="00F16D4D"/>
    <w:rsid w:val="00F16DB0"/>
    <w:rsid w:val="00F176FB"/>
    <w:rsid w:val="00F17E2E"/>
    <w:rsid w:val="00F20B19"/>
    <w:rsid w:val="00F21847"/>
    <w:rsid w:val="00F21D60"/>
    <w:rsid w:val="00F22301"/>
    <w:rsid w:val="00F231BA"/>
    <w:rsid w:val="00F2366D"/>
    <w:rsid w:val="00F24232"/>
    <w:rsid w:val="00F24992"/>
    <w:rsid w:val="00F24A0A"/>
    <w:rsid w:val="00F25012"/>
    <w:rsid w:val="00F2525E"/>
    <w:rsid w:val="00F26EE8"/>
    <w:rsid w:val="00F27924"/>
    <w:rsid w:val="00F3219F"/>
    <w:rsid w:val="00F32946"/>
    <w:rsid w:val="00F32E78"/>
    <w:rsid w:val="00F34299"/>
    <w:rsid w:val="00F36375"/>
    <w:rsid w:val="00F37681"/>
    <w:rsid w:val="00F37E59"/>
    <w:rsid w:val="00F37F75"/>
    <w:rsid w:val="00F40003"/>
    <w:rsid w:val="00F409E5"/>
    <w:rsid w:val="00F41321"/>
    <w:rsid w:val="00F4195C"/>
    <w:rsid w:val="00F41ABF"/>
    <w:rsid w:val="00F43051"/>
    <w:rsid w:val="00F44108"/>
    <w:rsid w:val="00F45FFE"/>
    <w:rsid w:val="00F4794F"/>
    <w:rsid w:val="00F500C1"/>
    <w:rsid w:val="00F52271"/>
    <w:rsid w:val="00F52987"/>
    <w:rsid w:val="00F54342"/>
    <w:rsid w:val="00F54BF8"/>
    <w:rsid w:val="00F54EEB"/>
    <w:rsid w:val="00F550CB"/>
    <w:rsid w:val="00F55573"/>
    <w:rsid w:val="00F55921"/>
    <w:rsid w:val="00F5720E"/>
    <w:rsid w:val="00F5737B"/>
    <w:rsid w:val="00F61509"/>
    <w:rsid w:val="00F619FF"/>
    <w:rsid w:val="00F6365F"/>
    <w:rsid w:val="00F63D6B"/>
    <w:rsid w:val="00F65299"/>
    <w:rsid w:val="00F653CD"/>
    <w:rsid w:val="00F658A6"/>
    <w:rsid w:val="00F65D2D"/>
    <w:rsid w:val="00F6620F"/>
    <w:rsid w:val="00F664A5"/>
    <w:rsid w:val="00F6696A"/>
    <w:rsid w:val="00F67252"/>
    <w:rsid w:val="00F67463"/>
    <w:rsid w:val="00F6756A"/>
    <w:rsid w:val="00F70CC9"/>
    <w:rsid w:val="00F72EE3"/>
    <w:rsid w:val="00F737D1"/>
    <w:rsid w:val="00F737F3"/>
    <w:rsid w:val="00F73FC6"/>
    <w:rsid w:val="00F74097"/>
    <w:rsid w:val="00F743B0"/>
    <w:rsid w:val="00F76762"/>
    <w:rsid w:val="00F80192"/>
    <w:rsid w:val="00F8076B"/>
    <w:rsid w:val="00F8107E"/>
    <w:rsid w:val="00F81AF7"/>
    <w:rsid w:val="00F81F17"/>
    <w:rsid w:val="00F8300B"/>
    <w:rsid w:val="00F838C5"/>
    <w:rsid w:val="00F83B3C"/>
    <w:rsid w:val="00F84966"/>
    <w:rsid w:val="00F84CEA"/>
    <w:rsid w:val="00F86085"/>
    <w:rsid w:val="00F8680A"/>
    <w:rsid w:val="00F911BE"/>
    <w:rsid w:val="00F9185B"/>
    <w:rsid w:val="00F91A17"/>
    <w:rsid w:val="00F91DF0"/>
    <w:rsid w:val="00F92862"/>
    <w:rsid w:val="00F92BD8"/>
    <w:rsid w:val="00F92E4D"/>
    <w:rsid w:val="00F92EB4"/>
    <w:rsid w:val="00F92FB6"/>
    <w:rsid w:val="00F93E6F"/>
    <w:rsid w:val="00F943E3"/>
    <w:rsid w:val="00F94653"/>
    <w:rsid w:val="00F967FC"/>
    <w:rsid w:val="00F96C7B"/>
    <w:rsid w:val="00F96E71"/>
    <w:rsid w:val="00FA053C"/>
    <w:rsid w:val="00FA0AE5"/>
    <w:rsid w:val="00FA1BE2"/>
    <w:rsid w:val="00FA2AA4"/>
    <w:rsid w:val="00FA3278"/>
    <w:rsid w:val="00FA3780"/>
    <w:rsid w:val="00FA3E67"/>
    <w:rsid w:val="00FB03D2"/>
    <w:rsid w:val="00FB0828"/>
    <w:rsid w:val="00FB33C7"/>
    <w:rsid w:val="00FB33D1"/>
    <w:rsid w:val="00FB3CC6"/>
    <w:rsid w:val="00FB495F"/>
    <w:rsid w:val="00FB54D1"/>
    <w:rsid w:val="00FB55B2"/>
    <w:rsid w:val="00FB6971"/>
    <w:rsid w:val="00FB6B92"/>
    <w:rsid w:val="00FB73F7"/>
    <w:rsid w:val="00FC02E2"/>
    <w:rsid w:val="00FC1555"/>
    <w:rsid w:val="00FC1EDA"/>
    <w:rsid w:val="00FC2E1D"/>
    <w:rsid w:val="00FC39C8"/>
    <w:rsid w:val="00FC3AFD"/>
    <w:rsid w:val="00FC4259"/>
    <w:rsid w:val="00FC6E75"/>
    <w:rsid w:val="00FD004E"/>
    <w:rsid w:val="00FD0116"/>
    <w:rsid w:val="00FD0297"/>
    <w:rsid w:val="00FD06B2"/>
    <w:rsid w:val="00FD0AB9"/>
    <w:rsid w:val="00FD1DE9"/>
    <w:rsid w:val="00FD2C51"/>
    <w:rsid w:val="00FD2F04"/>
    <w:rsid w:val="00FD40CE"/>
    <w:rsid w:val="00FD41E4"/>
    <w:rsid w:val="00FD4282"/>
    <w:rsid w:val="00FD6D73"/>
    <w:rsid w:val="00FE0243"/>
    <w:rsid w:val="00FE097A"/>
    <w:rsid w:val="00FE138A"/>
    <w:rsid w:val="00FE28DC"/>
    <w:rsid w:val="00FE3405"/>
    <w:rsid w:val="00FE4291"/>
    <w:rsid w:val="00FE4F9D"/>
    <w:rsid w:val="00FE5A47"/>
    <w:rsid w:val="00FE5CB3"/>
    <w:rsid w:val="00FE6153"/>
    <w:rsid w:val="00FE641C"/>
    <w:rsid w:val="00FE6A48"/>
    <w:rsid w:val="00FE7290"/>
    <w:rsid w:val="00FE76FA"/>
    <w:rsid w:val="00FF0188"/>
    <w:rsid w:val="00FF13A2"/>
    <w:rsid w:val="00FF1463"/>
    <w:rsid w:val="00FF1471"/>
    <w:rsid w:val="00FF2BA5"/>
    <w:rsid w:val="00FF2D0B"/>
    <w:rsid w:val="00FF390E"/>
    <w:rsid w:val="00FF3DED"/>
    <w:rsid w:val="00FF5BDC"/>
    <w:rsid w:val="00FF5D0A"/>
    <w:rsid w:val="00FF614F"/>
    <w:rsid w:val="00FF6A0C"/>
    <w:rsid w:val="00FF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nhideWhenUsed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61692"/>
    <w:rPr>
      <w:rFonts w:eastAsia="PMingLiU" w:cs="Calibri"/>
      <w:lang w:eastAsia="zh-TW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D61692"/>
    <w:rPr>
      <w:rFonts w:eastAsia="PMingLiU" w:cs="Calibri"/>
      <w:sz w:val="22"/>
      <w:szCs w:val="22"/>
      <w:lang w:val="en-US" w:eastAsia="zh-TW" w:bidi="ar-SA"/>
    </w:rPr>
  </w:style>
  <w:style w:type="paragraph" w:styleId="ListParagraph">
    <w:name w:val="List Paragraph"/>
    <w:basedOn w:val="Normal"/>
    <w:uiPriority w:val="99"/>
    <w:qFormat/>
    <w:rsid w:val="00D61692"/>
    <w:pPr>
      <w:ind w:left="720"/>
    </w:pPr>
    <w:rPr>
      <w:rFonts w:eastAsia="PMingLiU" w:cs="Calibri"/>
      <w:lang w:eastAsia="zh-TW"/>
    </w:rPr>
  </w:style>
  <w:style w:type="paragraph" w:styleId="Caption">
    <w:name w:val="caption"/>
    <w:basedOn w:val="Normal"/>
    <w:next w:val="Normal"/>
    <w:link w:val="CaptionChar"/>
    <w:uiPriority w:val="99"/>
    <w:qFormat/>
    <w:rsid w:val="00D61692"/>
    <w:rPr>
      <w:rFonts w:eastAsia="PMingLiU" w:cs="Calibr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D61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6169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5C49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0421A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21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421A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21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421A3"/>
    <w:rPr>
      <w:rFonts w:cs="Times New Roman"/>
      <w:b/>
      <w:bCs/>
      <w:sz w:val="20"/>
      <w:szCs w:val="20"/>
    </w:rPr>
  </w:style>
  <w:style w:type="paragraph" w:customStyle="1" w:styleId="xmsonormal">
    <w:name w:val="x_msonormal"/>
    <w:basedOn w:val="Normal"/>
    <w:uiPriority w:val="99"/>
    <w:rsid w:val="006944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5FC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5F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5FCD"/>
    <w:rPr>
      <w:rFonts w:cs="Times New Roman"/>
    </w:rPr>
  </w:style>
  <w:style w:type="paragraph" w:customStyle="1" w:styleId="msonospacing0">
    <w:name w:val="msonospacing"/>
    <w:uiPriority w:val="99"/>
    <w:rsid w:val="0055364A"/>
    <w:rPr>
      <w:rFonts w:ascii="PMingLiU" w:eastAsia="PMingLiU" w:hAnsi="Times New Roman"/>
      <w:lang w:eastAsia="zh-TW"/>
    </w:rPr>
  </w:style>
  <w:style w:type="table" w:styleId="TableGrid">
    <w:name w:val="Table Grid"/>
    <w:basedOn w:val="TableNormal"/>
    <w:uiPriority w:val="99"/>
    <w:rsid w:val="00CD130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84DC2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val="sr-Latn-CS" w:eastAsia="sr-Latn-CS"/>
    </w:rPr>
  </w:style>
  <w:style w:type="character" w:customStyle="1" w:styleId="CaptionChar">
    <w:name w:val="Caption Char"/>
    <w:basedOn w:val="DefaultParagraphFont"/>
    <w:link w:val="Caption"/>
    <w:uiPriority w:val="99"/>
    <w:locked/>
    <w:rsid w:val="005253D1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FootnoteText">
    <w:name w:val="footnote text"/>
    <w:basedOn w:val="Normal"/>
    <w:link w:val="FootnoteTextChar"/>
    <w:uiPriority w:val="99"/>
    <w:semiHidden/>
    <w:rsid w:val="007F61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7F61AF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7F61AF"/>
    <w:rPr>
      <w:rFonts w:cs="Times New Roman"/>
      <w:vertAlign w:val="superscript"/>
    </w:rPr>
  </w:style>
  <w:style w:type="paragraph" w:styleId="DocumentMap">
    <w:name w:val="Document Map"/>
    <w:basedOn w:val="Normal"/>
    <w:link w:val="DocumentMapChar"/>
    <w:uiPriority w:val="99"/>
    <w:semiHidden/>
    <w:rsid w:val="0002564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6630B"/>
    <w:rPr>
      <w:rFonts w:ascii="Times New Roman" w:hAnsi="Times New Roman" w:cs="Times New Roman"/>
      <w:sz w:val="2"/>
    </w:rPr>
  </w:style>
  <w:style w:type="character" w:styleId="Hyperlink">
    <w:name w:val="Hyperlink"/>
    <w:basedOn w:val="DefaultParagraphFont"/>
    <w:uiPriority w:val="99"/>
    <w:rsid w:val="00034D42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497A"/>
    <w:rPr>
      <w:color w:val="800080"/>
      <w:u w:val="single"/>
    </w:rPr>
  </w:style>
  <w:style w:type="paragraph" w:customStyle="1" w:styleId="xl170">
    <w:name w:val="xl170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171">
    <w:name w:val="xl171"/>
    <w:basedOn w:val="Normal"/>
    <w:rsid w:val="0003497A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172">
    <w:name w:val="xl17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173">
    <w:name w:val="xl17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4">
    <w:name w:val="xl17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5">
    <w:name w:val="xl17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6">
    <w:name w:val="xl17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7">
    <w:name w:val="xl17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8">
    <w:name w:val="xl17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79">
    <w:name w:val="xl17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0">
    <w:name w:val="xl18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1">
    <w:name w:val="xl18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2">
    <w:name w:val="xl18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3">
    <w:name w:val="xl18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4">
    <w:name w:val="xl18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5">
    <w:name w:val="xl18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6">
    <w:name w:val="xl18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7">
    <w:name w:val="xl18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88">
    <w:name w:val="xl18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189">
    <w:name w:val="xl18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0">
    <w:name w:val="xl19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1">
    <w:name w:val="xl19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2">
    <w:name w:val="xl19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3">
    <w:name w:val="xl19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4">
    <w:name w:val="xl19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5">
    <w:name w:val="xl19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6">
    <w:name w:val="xl19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7">
    <w:name w:val="xl19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8">
    <w:name w:val="xl19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199">
    <w:name w:val="xl19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00">
    <w:name w:val="xl20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1">
    <w:name w:val="xl20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2">
    <w:name w:val="xl20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3">
    <w:name w:val="xl20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4">
    <w:name w:val="xl20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5">
    <w:name w:val="xl20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6">
    <w:name w:val="xl206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7">
    <w:name w:val="xl20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08">
    <w:name w:val="xl208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09">
    <w:name w:val="xl209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10">
    <w:name w:val="xl210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1">
    <w:name w:val="xl211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2">
    <w:name w:val="xl212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3">
    <w:name w:val="xl213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4">
    <w:name w:val="xl214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5">
    <w:name w:val="xl215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6">
    <w:name w:val="xl216"/>
    <w:basedOn w:val="Normal"/>
    <w:rsid w:val="0003497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17">
    <w:name w:val="xl217"/>
    <w:basedOn w:val="Normal"/>
    <w:rsid w:val="0003497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character" w:customStyle="1" w:styleId="hps">
    <w:name w:val="hps"/>
    <w:basedOn w:val="DefaultParagraphFont"/>
    <w:rsid w:val="00172816"/>
  </w:style>
  <w:style w:type="character" w:customStyle="1" w:styleId="atn">
    <w:name w:val="atn"/>
    <w:basedOn w:val="DefaultParagraphFont"/>
    <w:rsid w:val="00172816"/>
  </w:style>
  <w:style w:type="paragraph" w:customStyle="1" w:styleId="xl230">
    <w:name w:val="xl230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31">
    <w:name w:val="xl231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32">
    <w:name w:val="xl23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3">
    <w:name w:val="xl233"/>
    <w:basedOn w:val="Normal"/>
    <w:rsid w:val="00842C5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4">
    <w:name w:val="xl234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5">
    <w:name w:val="xl23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6">
    <w:name w:val="xl236"/>
    <w:basedOn w:val="Normal"/>
    <w:rsid w:val="00842C5E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8"/>
      <w:szCs w:val="18"/>
      <w:lang w:val="sr-Latn-CS" w:eastAsia="sr-Latn-CS"/>
    </w:rPr>
  </w:style>
  <w:style w:type="paragraph" w:customStyle="1" w:styleId="xl237">
    <w:name w:val="xl237"/>
    <w:basedOn w:val="Normal"/>
    <w:rsid w:val="00842C5E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38">
    <w:name w:val="xl23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39">
    <w:name w:val="xl23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0">
    <w:name w:val="xl24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1">
    <w:name w:val="xl24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2">
    <w:name w:val="xl24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3">
    <w:name w:val="xl24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4">
    <w:name w:val="xl24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5">
    <w:name w:val="xl24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6">
    <w:name w:val="xl24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7">
    <w:name w:val="xl24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8">
    <w:name w:val="xl24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49">
    <w:name w:val="xl24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0">
    <w:name w:val="xl25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1">
    <w:name w:val="xl25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2">
    <w:name w:val="xl25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6"/>
      <w:szCs w:val="16"/>
      <w:lang w:val="sr-Latn-CS" w:eastAsia="sr-Latn-CS"/>
    </w:rPr>
  </w:style>
  <w:style w:type="paragraph" w:customStyle="1" w:styleId="xl253">
    <w:name w:val="xl25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4">
    <w:name w:val="xl25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5">
    <w:name w:val="xl25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6">
    <w:name w:val="xl25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7">
    <w:name w:val="xl25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8">
    <w:name w:val="xl25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59">
    <w:name w:val="xl25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0">
    <w:name w:val="xl26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1">
    <w:name w:val="xl26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2">
    <w:name w:val="xl26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3">
    <w:name w:val="xl26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64">
    <w:name w:val="xl26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5">
    <w:name w:val="xl26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66">
    <w:name w:val="xl26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7">
    <w:name w:val="xl26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8">
    <w:name w:val="xl26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69">
    <w:name w:val="xl269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0">
    <w:name w:val="xl27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1">
    <w:name w:val="xl27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2">
    <w:name w:val="xl27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273">
    <w:name w:val="xl27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4">
    <w:name w:val="xl27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5">
    <w:name w:val="xl275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6">
    <w:name w:val="xl276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7">
    <w:name w:val="xl277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8">
    <w:name w:val="xl278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79">
    <w:name w:val="xl279"/>
    <w:basedOn w:val="Normal"/>
    <w:rsid w:val="00842C5E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80">
    <w:name w:val="xl280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1">
    <w:name w:val="xl281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2">
    <w:name w:val="xl282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3">
    <w:name w:val="xl283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4">
    <w:name w:val="xl284"/>
    <w:basedOn w:val="Normal"/>
    <w:rsid w:val="00842C5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5">
    <w:name w:val="xl285"/>
    <w:basedOn w:val="Normal"/>
    <w:rsid w:val="00842C5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6">
    <w:name w:val="xl286"/>
    <w:basedOn w:val="Normal"/>
    <w:rsid w:val="00842C5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7">
    <w:name w:val="xl28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8">
    <w:name w:val="xl28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89">
    <w:name w:val="xl28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0">
    <w:name w:val="xl290"/>
    <w:basedOn w:val="Normal"/>
    <w:rsid w:val="00CE3C0D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291">
    <w:name w:val="xl291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2">
    <w:name w:val="xl292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3">
    <w:name w:val="xl293"/>
    <w:basedOn w:val="Normal"/>
    <w:rsid w:val="00CE3C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4">
    <w:name w:val="xl294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18"/>
      <w:szCs w:val="18"/>
      <w:lang w:val="sr-Latn-CS" w:eastAsia="sr-Latn-CS"/>
    </w:rPr>
  </w:style>
  <w:style w:type="paragraph" w:customStyle="1" w:styleId="xl295">
    <w:name w:val="xl295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296">
    <w:name w:val="xl296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7">
    <w:name w:val="xl297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8">
    <w:name w:val="xl298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299">
    <w:name w:val="xl299"/>
    <w:basedOn w:val="Normal"/>
    <w:rsid w:val="00CE3C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0">
    <w:name w:val="xl300"/>
    <w:basedOn w:val="Normal"/>
    <w:rsid w:val="00CE3C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1">
    <w:name w:val="xl301"/>
    <w:basedOn w:val="Normal"/>
    <w:rsid w:val="00CE3C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2">
    <w:name w:val="xl30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3">
    <w:name w:val="xl30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4">
    <w:name w:val="xl30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5">
    <w:name w:val="xl30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6">
    <w:name w:val="xl30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7">
    <w:name w:val="xl30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8">
    <w:name w:val="xl30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09">
    <w:name w:val="xl30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0">
    <w:name w:val="xl31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1">
    <w:name w:val="xl31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2">
    <w:name w:val="xl31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3">
    <w:name w:val="xl31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8"/>
      <w:szCs w:val="18"/>
      <w:lang w:val="sr-Latn-CS" w:eastAsia="sr-Latn-CS"/>
    </w:rPr>
  </w:style>
  <w:style w:type="paragraph" w:customStyle="1" w:styleId="xl314">
    <w:name w:val="xl31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5">
    <w:name w:val="xl31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16">
    <w:name w:val="xl31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7">
    <w:name w:val="xl31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8">
    <w:name w:val="xl31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19">
    <w:name w:val="xl31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0">
    <w:name w:val="xl32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1">
    <w:name w:val="xl32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2">
    <w:name w:val="xl32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23">
    <w:name w:val="xl323"/>
    <w:basedOn w:val="Normal"/>
    <w:rsid w:val="00052BB7"/>
    <w:pPr>
      <w:spacing w:before="100" w:beforeAutospacing="1" w:after="100" w:afterAutospacing="1" w:line="240" w:lineRule="auto"/>
    </w:pPr>
    <w:rPr>
      <w:rFonts w:cs="Calibri"/>
      <w:color w:val="000000"/>
      <w:sz w:val="24"/>
      <w:szCs w:val="24"/>
      <w:lang w:val="sr-Latn-CS" w:eastAsia="sr-Latn-CS"/>
    </w:rPr>
  </w:style>
  <w:style w:type="paragraph" w:customStyle="1" w:styleId="xl324">
    <w:name w:val="xl324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5">
    <w:name w:val="xl325"/>
    <w:basedOn w:val="Normal"/>
    <w:rsid w:val="00052B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b/>
      <w:bCs/>
      <w:sz w:val="16"/>
      <w:szCs w:val="16"/>
      <w:lang w:val="sr-Latn-CS" w:eastAsia="sr-Latn-CS"/>
    </w:rPr>
  </w:style>
  <w:style w:type="paragraph" w:customStyle="1" w:styleId="xl326">
    <w:name w:val="xl32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7">
    <w:name w:val="xl32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28">
    <w:name w:val="xl328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29">
    <w:name w:val="xl32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color w:val="993300"/>
      <w:sz w:val="14"/>
      <w:szCs w:val="14"/>
      <w:lang w:val="sr-Latn-CS" w:eastAsia="sr-Latn-CS"/>
    </w:rPr>
  </w:style>
  <w:style w:type="paragraph" w:customStyle="1" w:styleId="xl330">
    <w:name w:val="xl33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1">
    <w:name w:val="xl331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32">
    <w:name w:val="xl33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3">
    <w:name w:val="xl33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4">
    <w:name w:val="xl33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5">
    <w:name w:val="xl33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6">
    <w:name w:val="xl33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7">
    <w:name w:val="xl33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8">
    <w:name w:val="xl33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39">
    <w:name w:val="xl33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0">
    <w:name w:val="xl340"/>
    <w:basedOn w:val="Normal"/>
    <w:rsid w:val="00052BB7"/>
    <w:pPr>
      <w:pBdr>
        <w:top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top"/>
    </w:pPr>
    <w:rPr>
      <w:rFonts w:cs="Calibri"/>
      <w:b/>
      <w:bCs/>
      <w:color w:val="FF0000"/>
      <w:sz w:val="14"/>
      <w:szCs w:val="14"/>
      <w:lang w:val="sr-Latn-CS" w:eastAsia="sr-Latn-CS"/>
    </w:rPr>
  </w:style>
  <w:style w:type="paragraph" w:customStyle="1" w:styleId="xl341">
    <w:name w:val="xl34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2">
    <w:name w:val="xl34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3">
    <w:name w:val="xl34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4">
    <w:name w:val="xl34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5">
    <w:name w:val="xl34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6">
    <w:name w:val="xl34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7">
    <w:name w:val="xl34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8">
    <w:name w:val="xl34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49">
    <w:name w:val="xl34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0">
    <w:name w:val="xl35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1">
    <w:name w:val="xl35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2">
    <w:name w:val="xl35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3">
    <w:name w:val="xl353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4">
    <w:name w:val="xl354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5">
    <w:name w:val="xl35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6">
    <w:name w:val="xl35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7">
    <w:name w:val="xl35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58">
    <w:name w:val="xl358"/>
    <w:basedOn w:val="Normal"/>
    <w:rsid w:val="00052BB7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cs="Calibri"/>
      <w:b/>
      <w:bCs/>
      <w:sz w:val="14"/>
      <w:szCs w:val="14"/>
      <w:lang w:val="sr-Latn-CS" w:eastAsia="sr-Latn-CS"/>
    </w:rPr>
  </w:style>
  <w:style w:type="paragraph" w:customStyle="1" w:styleId="xl359">
    <w:name w:val="xl359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0">
    <w:name w:val="xl360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1">
    <w:name w:val="xl361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2">
    <w:name w:val="xl362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3">
    <w:name w:val="xl363"/>
    <w:basedOn w:val="Normal"/>
    <w:rsid w:val="00052BB7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4">
    <w:name w:val="xl364"/>
    <w:basedOn w:val="Normal"/>
    <w:rsid w:val="00052B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5">
    <w:name w:val="xl365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6">
    <w:name w:val="xl366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4"/>
      <w:szCs w:val="14"/>
      <w:lang w:val="sr-Latn-CS" w:eastAsia="sr-Latn-CS"/>
    </w:rPr>
  </w:style>
  <w:style w:type="paragraph" w:customStyle="1" w:styleId="xl367">
    <w:name w:val="xl367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paragraph" w:customStyle="1" w:styleId="xl368">
    <w:name w:val="xl368"/>
    <w:basedOn w:val="Normal"/>
    <w:rsid w:val="00052B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Calibri"/>
      <w:sz w:val="16"/>
      <w:szCs w:val="16"/>
      <w:lang w:val="sr-Latn-CS" w:eastAsia="sr-Latn-CS"/>
    </w:rPr>
  </w:style>
  <w:style w:type="table" w:customStyle="1" w:styleId="LightShading-Accent11">
    <w:name w:val="Light Shading - Accent 11"/>
    <w:basedOn w:val="TableNormal"/>
    <w:uiPriority w:val="60"/>
    <w:rsid w:val="004F731B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76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8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19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191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238372">
                                      <w:marLeft w:val="4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2665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3605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Documents%20and%20Settings\radojka.martinovic\Desktop\mmi_sirovi%20podaci_2013%2002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Documents%20and%20Settings\olja.tomanovic\Desktop\mmi%202014-12.olja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vesna.obradovic\Dropbox\MINISTARSTVO%20FINANSIJA\SEP\02_MMI\MMI_2014_12\mmi%202014-1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arija.novosel\Desktop\mmi%202014-1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milanka.jovanovic\Desktop\SDI%20grafici\Jan-jun,%20jan-okt%202014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/>
            </a:pPr>
            <a:r>
              <a:rPr lang="sr-Latn-CS" sz="700"/>
              <a:t>Kamatne</a:t>
            </a:r>
            <a:r>
              <a:rPr lang="sr-Latn-CS" sz="700" baseline="0"/>
              <a:t> stope na 10- godišnje obveznice</a:t>
            </a:r>
          </a:p>
          <a:p>
            <a:pPr>
              <a:defRPr lang="sr-Latn-CS"/>
            </a:pPr>
            <a:endParaRPr lang="sr-Latn-CS"/>
          </a:p>
        </c:rich>
      </c:tx>
      <c:layout>
        <c:manualLayout>
          <c:xMode val="edge"/>
          <c:yMode val="edge"/>
          <c:x val="0.11249634144664752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0.26984434865900381"/>
          <c:y val="6.577212806026371E-2"/>
          <c:w val="0.66136398467432955"/>
          <c:h val="0.69120582623419391"/>
        </c:manualLayout>
      </c:layout>
      <c:barChart>
        <c:barDir val="bar"/>
        <c:grouping val="clustered"/>
        <c:ser>
          <c:idx val="0"/>
          <c:order val="0"/>
          <c:tx>
            <c:v>kraj 2013</c:v>
          </c:tx>
          <c:cat>
            <c:strRef>
              <c:f>Sheet1!$C$4:$C$8</c:f>
              <c:strCache>
                <c:ptCount val="5"/>
                <c:pt idx="0">
                  <c:v>Njemačka </c:v>
                </c:pt>
                <c:pt idx="1">
                  <c:v>Španija</c:v>
                </c:pt>
                <c:pt idx="2">
                  <c:v> Italija</c:v>
                </c:pt>
                <c:pt idx="3">
                  <c:v>Grčka</c:v>
                </c:pt>
                <c:pt idx="4">
                  <c:v>Portugal</c:v>
                </c:pt>
              </c:strCache>
            </c:strRef>
          </c:cat>
          <c:val>
            <c:numRef>
              <c:f>Sheet1!$D$4:$D$8</c:f>
              <c:numCache>
                <c:formatCode>General</c:formatCode>
                <c:ptCount val="5"/>
                <c:pt idx="0">
                  <c:v>1.9400000000000059</c:v>
                </c:pt>
                <c:pt idx="1">
                  <c:v>4.1399999999999997</c:v>
                </c:pt>
                <c:pt idx="2">
                  <c:v>4.09</c:v>
                </c:pt>
                <c:pt idx="3">
                  <c:v>8.57</c:v>
                </c:pt>
                <c:pt idx="4">
                  <c:v>6.04</c:v>
                </c:pt>
              </c:numCache>
            </c:numRef>
          </c:val>
        </c:ser>
        <c:ser>
          <c:idx val="1"/>
          <c:order val="1"/>
          <c:tx>
            <c:v>kraj 2014</c:v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srgbClr val="4F81BD"/>
              </a:solidFill>
            </a:ln>
          </c:spPr>
          <c:cat>
            <c:strRef>
              <c:f>Sheet1!$C$4:$C$8</c:f>
              <c:strCache>
                <c:ptCount val="5"/>
                <c:pt idx="0">
                  <c:v>Njemačka </c:v>
                </c:pt>
                <c:pt idx="1">
                  <c:v>Španija</c:v>
                </c:pt>
                <c:pt idx="2">
                  <c:v> Italija</c:v>
                </c:pt>
                <c:pt idx="3">
                  <c:v>Grčka</c:v>
                </c:pt>
                <c:pt idx="4">
                  <c:v>Portugal</c:v>
                </c:pt>
              </c:strCache>
            </c:strRef>
          </c:cat>
          <c:val>
            <c:numRef>
              <c:f>Sheet1!$E$4:$E$8</c:f>
              <c:numCache>
                <c:formatCode>0.00</c:formatCode>
                <c:ptCount val="5"/>
                <c:pt idx="0">
                  <c:v>0.54</c:v>
                </c:pt>
                <c:pt idx="1">
                  <c:v>1.61</c:v>
                </c:pt>
                <c:pt idx="2">
                  <c:v>1.8800000000000001</c:v>
                </c:pt>
                <c:pt idx="3">
                  <c:v>9.6</c:v>
                </c:pt>
                <c:pt idx="4">
                  <c:v>2.69</c:v>
                </c:pt>
              </c:numCache>
            </c:numRef>
          </c:val>
        </c:ser>
        <c:gapWidth val="40"/>
        <c:axId val="91142016"/>
        <c:axId val="91426816"/>
      </c:barChart>
      <c:catAx>
        <c:axId val="91142016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91426816"/>
        <c:crosses val="autoZero"/>
        <c:auto val="1"/>
        <c:lblAlgn val="ctr"/>
        <c:lblOffset val="100"/>
      </c:catAx>
      <c:valAx>
        <c:axId val="91426816"/>
        <c:scaling>
          <c:orientation val="minMax"/>
          <c:max val="10"/>
          <c:min val="0"/>
        </c:scaling>
        <c:axPos val="b"/>
        <c:majorGridlines>
          <c:spPr>
            <a:ln>
              <a:solidFill>
                <a:schemeClr val="accent1"/>
              </a:solidFill>
              <a:prstDash val="sysDot"/>
            </a:ln>
          </c:spPr>
        </c:majorGridlines>
        <c:numFmt formatCode="#,##0.0" sourceLinked="0"/>
        <c:tickLblPos val="nextTo"/>
        <c:txPr>
          <a:bodyPr/>
          <a:lstStyle/>
          <a:p>
            <a:pPr>
              <a:defRPr lang="sr-Latn-CS" sz="600"/>
            </a:pPr>
            <a:endParaRPr lang="en-US"/>
          </a:p>
        </c:txPr>
        <c:crossAx val="91142016"/>
        <c:crosses val="autoZero"/>
        <c:crossBetween val="between"/>
      </c:valAx>
    </c:plotArea>
    <c:legend>
      <c:legendPos val="b"/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en-US" sz="1000"/>
              <a:t>turizam</a:t>
            </a:r>
          </a:p>
        </c:rich>
      </c:tx>
      <c:layout>
        <c:manualLayout>
          <c:xMode val="edge"/>
          <c:yMode val="edge"/>
          <c:x val="0.39392857142858095"/>
          <c:y val="1.1199294532627866E-2"/>
        </c:manualLayout>
      </c:layout>
    </c:title>
    <c:plotArea>
      <c:layout>
        <c:manualLayout>
          <c:layoutTarget val="inner"/>
          <c:xMode val="edge"/>
          <c:yMode val="edge"/>
          <c:x val="0.17225440917107876"/>
          <c:y val="0.12434038800705458"/>
          <c:w val="0.74935052910052913"/>
          <c:h val="0.62692945326280569"/>
        </c:manualLayout>
      </c:layout>
      <c:lineChart>
        <c:grouping val="standard"/>
        <c:ser>
          <c:idx val="0"/>
          <c:order val="0"/>
          <c:tx>
            <c:strRef>
              <c:f>'Makroekonomski indikatori'!$C$17</c:f>
              <c:strCache>
                <c:ptCount val="1"/>
                <c:pt idx="0">
                  <c:v>Noćenja turista (stopa rasta)</c:v>
                </c:pt>
              </c:strCache>
            </c:strRef>
          </c:tx>
          <c:spPr>
            <a:ln>
              <a:solidFill>
                <a:srgbClr val="F319F8"/>
              </a:solidFill>
            </a:ln>
          </c:spPr>
          <c:marker>
            <c:symbol val="none"/>
          </c:marker>
          <c:cat>
            <c:strRef>
              <c:f>'Makroekonomski indikatori'!$AL$33:$AY$33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2014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'Makroekonomski indikatori'!$AL$17:$AY$17</c:f>
              <c:numCache>
                <c:formatCode>0.0</c:formatCode>
                <c:ptCount val="13"/>
                <c:pt idx="0">
                  <c:v>1.1000000000000001</c:v>
                </c:pt>
                <c:pt idx="1">
                  <c:v>22.1</c:v>
                </c:pt>
                <c:pt idx="2">
                  <c:v>2</c:v>
                </c:pt>
                <c:pt idx="3" formatCode="General">
                  <c:v>2.7</c:v>
                </c:pt>
                <c:pt idx="4" formatCode="General">
                  <c:v>5.3</c:v>
                </c:pt>
                <c:pt idx="5" formatCode="General">
                  <c:v>2.1</c:v>
                </c:pt>
                <c:pt idx="6" formatCode="General">
                  <c:v>-4.2</c:v>
                </c:pt>
                <c:pt idx="7" formatCode="General">
                  <c:v>-1.3</c:v>
                </c:pt>
                <c:pt idx="8" formatCode="General">
                  <c:v>0.9</c:v>
                </c:pt>
                <c:pt idx="9" formatCode="General">
                  <c:v>2.4</c:v>
                </c:pt>
                <c:pt idx="10" formatCode="General">
                  <c:v>1.9000000000000001</c:v>
                </c:pt>
                <c:pt idx="11" formatCode="General">
                  <c:v>4.2</c:v>
                </c:pt>
                <c:pt idx="12" formatCode="General">
                  <c:v>12.8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indikatori'!$C$18</c:f>
              <c:strCache>
                <c:ptCount val="1"/>
                <c:pt idx="0">
                  <c:v>Dolasci turista (stopa rasta)</c:v>
                </c:pt>
              </c:strCache>
            </c:strRef>
          </c:tx>
          <c:spPr>
            <a:ln>
              <a:solidFill>
                <a:srgbClr val="5E31DB"/>
              </a:solidFill>
            </a:ln>
          </c:spPr>
          <c:marker>
            <c:symbol val="none"/>
          </c:marker>
          <c:cat>
            <c:strRef>
              <c:f>'Makroekonomski indikatori'!$AL$33:$AY$33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2014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'Makroekonomski indikatori'!$AL$18:$AY$18</c:f>
              <c:numCache>
                <c:formatCode>0.0</c:formatCode>
                <c:ptCount val="13"/>
                <c:pt idx="0">
                  <c:v>6.8</c:v>
                </c:pt>
                <c:pt idx="1">
                  <c:v>13.8</c:v>
                </c:pt>
                <c:pt idx="2">
                  <c:v>2.9</c:v>
                </c:pt>
                <c:pt idx="3" formatCode="General">
                  <c:v>6.1</c:v>
                </c:pt>
                <c:pt idx="4" formatCode="General">
                  <c:v>-4.5</c:v>
                </c:pt>
                <c:pt idx="5" formatCode="General">
                  <c:v>11.1</c:v>
                </c:pt>
                <c:pt idx="6" formatCode="General">
                  <c:v>2.4</c:v>
                </c:pt>
                <c:pt idx="7" formatCode="General">
                  <c:v>-0.8</c:v>
                </c:pt>
                <c:pt idx="8" formatCode="General">
                  <c:v>-1.3</c:v>
                </c:pt>
                <c:pt idx="9" formatCode="General">
                  <c:v>2.5</c:v>
                </c:pt>
                <c:pt idx="10">
                  <c:v>2</c:v>
                </c:pt>
                <c:pt idx="11" formatCode="General">
                  <c:v>4.0999999999999996</c:v>
                </c:pt>
                <c:pt idx="12" formatCode="General">
                  <c:v>21.1</c:v>
                </c:pt>
              </c:numCache>
            </c:numRef>
          </c:val>
          <c:smooth val="1"/>
        </c:ser>
        <c:marker val="1"/>
        <c:axId val="93111040"/>
        <c:axId val="93112576"/>
      </c:lineChart>
      <c:catAx>
        <c:axId val="9311104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93112576"/>
        <c:crosses val="autoZero"/>
        <c:auto val="1"/>
        <c:lblAlgn val="ctr"/>
        <c:lblOffset val="100"/>
      </c:catAx>
      <c:valAx>
        <c:axId val="93112576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/>
            </a:pPr>
            <a:endParaRPr lang="en-US"/>
          </a:p>
        </c:txPr>
        <c:crossAx val="9311104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0622839506173182"/>
          <c:y val="0.75620815080580961"/>
          <c:w val="0.58754320987653375"/>
          <c:h val="0.21019380035021459"/>
        </c:manualLayout>
      </c:layout>
      <c:txPr>
        <a:bodyPr/>
        <a:lstStyle/>
        <a:p>
          <a:pPr>
            <a:defRPr lang="sr-Latn-CS"/>
          </a:pPr>
          <a:endParaRPr lang="en-US"/>
        </a:p>
      </c:txPr>
    </c:legend>
    <c:plotVisOnly val="1"/>
    <c:dispBlanksAs val="gap"/>
  </c:chart>
  <c:spPr>
    <a:ln>
      <a:noFill/>
    </a:ln>
  </c:spPr>
  <c:txPr>
    <a:bodyPr/>
    <a:lstStyle/>
    <a:p>
      <a:pPr>
        <a:defRPr sz="700"/>
      </a:pPr>
      <a:endParaRPr lang="en-U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lang="sr-Latn-CS" sz="1000"/>
            </a:pPr>
            <a:r>
              <a:rPr lang="sr-Latn-CS" sz="1000"/>
              <a:t>Inflacija</a:t>
            </a:r>
            <a:endParaRPr lang="en-US" sz="1000"/>
          </a:p>
        </c:rich>
      </c:tx>
      <c:layout>
        <c:manualLayout>
          <c:xMode val="edge"/>
          <c:yMode val="edge"/>
          <c:x val="0.38659303350970031"/>
          <c:y val="4.5025057583913897E-2"/>
        </c:manualLayout>
      </c:layout>
    </c:title>
    <c:plotArea>
      <c:layout>
        <c:manualLayout>
          <c:layoutTarget val="inner"/>
          <c:xMode val="edge"/>
          <c:yMode val="edge"/>
          <c:x val="0.1411763668430335"/>
          <c:y val="0.17634952311286944"/>
          <c:w val="0.81691446208112861"/>
          <c:h val="0.45332660340534964"/>
        </c:manualLayout>
      </c:layout>
      <c:lineChart>
        <c:grouping val="standard"/>
        <c:ser>
          <c:idx val="0"/>
          <c:order val="0"/>
          <c:tx>
            <c:strRef>
              <c:f>'Makroekonomski indikatori'!$C$23</c:f>
              <c:strCache>
                <c:ptCount val="1"/>
                <c:pt idx="0">
                  <c:v>CPI-godišnje stope rasta</c:v>
                </c:pt>
              </c:strCache>
            </c:strRef>
          </c:tx>
          <c:spPr>
            <a:ln>
              <a:solidFill>
                <a:srgbClr val="624AC8"/>
              </a:solidFill>
            </a:ln>
          </c:spPr>
          <c:marker>
            <c:symbol val="none"/>
          </c:marker>
          <c:cat>
            <c:strRef>
              <c:f>'Makroekonomski indikatori'!$AL$33:$AY$33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2014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'Makroekonomski indikatori'!$AL$23:$AY$23</c:f>
              <c:numCache>
                <c:formatCode>0.0</c:formatCode>
                <c:ptCount val="13"/>
                <c:pt idx="0">
                  <c:v>0</c:v>
                </c:pt>
                <c:pt idx="1">
                  <c:v>0.30000000000000032</c:v>
                </c:pt>
                <c:pt idx="2" formatCode="General">
                  <c:v>-0.4</c:v>
                </c:pt>
                <c:pt idx="3" formatCode="General">
                  <c:v>-0.60000000000000064</c:v>
                </c:pt>
                <c:pt idx="4" formatCode="General">
                  <c:v>-0.9</c:v>
                </c:pt>
                <c:pt idx="5" formatCode="General">
                  <c:v>-1.4</c:v>
                </c:pt>
                <c:pt idx="6" formatCode="General">
                  <c:v>-1.3</c:v>
                </c:pt>
                <c:pt idx="7" formatCode="General">
                  <c:v>-0.1</c:v>
                </c:pt>
                <c:pt idx="8" formatCode="General">
                  <c:v>-1.2</c:v>
                </c:pt>
                <c:pt idx="9" formatCode="General">
                  <c:v>-1.1000000000000001</c:v>
                </c:pt>
                <c:pt idx="10" formatCode="General">
                  <c:v>-0.70000000000000062</c:v>
                </c:pt>
                <c:pt idx="11" formatCode="General">
                  <c:v>-0.5</c:v>
                </c:pt>
                <c:pt idx="12">
                  <c:v>0</c:v>
                </c:pt>
              </c:numCache>
            </c:numRef>
          </c:val>
          <c:smooth val="1"/>
        </c:ser>
        <c:ser>
          <c:idx val="1"/>
          <c:order val="1"/>
          <c:tx>
            <c:strRef>
              <c:f>'Makroekonomski indikatori'!$C$26</c:f>
              <c:strCache>
                <c:ptCount val="1"/>
                <c:pt idx="0">
                  <c:v>HICP-godišnje stope rasta</c:v>
                </c:pt>
              </c:strCache>
            </c:strRef>
          </c:tx>
          <c:spPr>
            <a:ln>
              <a:solidFill>
                <a:srgbClr val="34DE3C"/>
              </a:solidFill>
            </a:ln>
          </c:spPr>
          <c:marker>
            <c:symbol val="none"/>
          </c:marker>
          <c:cat>
            <c:strRef>
              <c:f>'Makroekonomski indikatori'!$AL$33:$AY$33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2014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'Makroekonomski indikatori'!$AL$26:$AY$26</c:f>
              <c:numCache>
                <c:formatCode>#,##0.0</c:formatCode>
                <c:ptCount val="13"/>
                <c:pt idx="0">
                  <c:v>0</c:v>
                </c:pt>
                <c:pt idx="1">
                  <c:v>0.4</c:v>
                </c:pt>
                <c:pt idx="2" formatCode="General">
                  <c:v>0.1</c:v>
                </c:pt>
                <c:pt idx="3" formatCode="0.0">
                  <c:v>0</c:v>
                </c:pt>
                <c:pt idx="4" formatCode="General">
                  <c:v>-0.4</c:v>
                </c:pt>
                <c:pt idx="5" formatCode="General">
                  <c:v>-0.8</c:v>
                </c:pt>
                <c:pt idx="6" formatCode="General">
                  <c:v>-0.70000000000000062</c:v>
                </c:pt>
                <c:pt idx="7" formatCode="General">
                  <c:v>0.2</c:v>
                </c:pt>
                <c:pt idx="8" formatCode="General">
                  <c:v>-0.9</c:v>
                </c:pt>
                <c:pt idx="9" formatCode="General">
                  <c:v>-0.70000000000000062</c:v>
                </c:pt>
                <c:pt idx="10" formatCode="General">
                  <c:v>-0.9</c:v>
                </c:pt>
                <c:pt idx="11" formatCode="General">
                  <c:v>-0.8</c:v>
                </c:pt>
                <c:pt idx="12" formatCode="General">
                  <c:v>-0.30000000000000032</c:v>
                </c:pt>
              </c:numCache>
            </c:numRef>
          </c:val>
          <c:smooth val="1"/>
        </c:ser>
        <c:marker val="1"/>
        <c:axId val="94037888"/>
        <c:axId val="94039424"/>
      </c:lineChart>
      <c:catAx>
        <c:axId val="94037888"/>
        <c:scaling>
          <c:orientation val="minMax"/>
        </c:scaling>
        <c:axPos val="b"/>
        <c:numFmt formatCode="General" sourceLinked="0"/>
        <c:tickLblPos val="low"/>
        <c:txPr>
          <a:bodyPr/>
          <a:lstStyle/>
          <a:p>
            <a:pPr>
              <a:defRPr lang="sr-Latn-CS" sz="700"/>
            </a:pPr>
            <a:endParaRPr lang="en-US"/>
          </a:p>
        </c:txPr>
        <c:crossAx val="94039424"/>
        <c:crosses val="autoZero"/>
        <c:auto val="1"/>
        <c:lblAlgn val="ctr"/>
        <c:lblOffset val="100"/>
      </c:catAx>
      <c:valAx>
        <c:axId val="94039424"/>
        <c:scaling>
          <c:orientation val="minMax"/>
        </c:scaling>
        <c:axPos val="l"/>
        <c:numFmt formatCode="0.0" sourceLinked="1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940378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1774955908289712"/>
          <c:y val="0.78280176219796549"/>
          <c:w val="0.65969444444446346"/>
          <c:h val="0.21296934144834948"/>
        </c:manualLayout>
      </c:layout>
      <c:txPr>
        <a:bodyPr/>
        <a:lstStyle/>
        <a:p>
          <a:pPr>
            <a:defRPr lang="sr-Latn-CS" sz="7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22489989163319646"/>
          <c:y val="7.5757452510597664E-2"/>
          <c:w val="0.57290386776832869"/>
          <c:h val="0.70512943570189601"/>
        </c:manualLayout>
      </c:layout>
      <c:lineChart>
        <c:grouping val="standard"/>
        <c:ser>
          <c:idx val="0"/>
          <c:order val="0"/>
          <c:marker>
            <c:symbol val="none"/>
          </c:marker>
          <c:cat>
            <c:strRef>
              <c:f>'Makroekonomski indikatori'!$AL$9:$AX$9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2014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'Makroekonomski indikatori'!$AL$21:$AX$21</c:f>
              <c:numCache>
                <c:formatCode>#,##0</c:formatCode>
                <c:ptCount val="13"/>
                <c:pt idx="0">
                  <c:v>167607</c:v>
                </c:pt>
                <c:pt idx="1">
                  <c:v>167173</c:v>
                </c:pt>
                <c:pt idx="2">
                  <c:v>167616</c:v>
                </c:pt>
                <c:pt idx="3">
                  <c:v>168805</c:v>
                </c:pt>
                <c:pt idx="4">
                  <c:v>170177</c:v>
                </c:pt>
                <c:pt idx="5">
                  <c:v>172202</c:v>
                </c:pt>
                <c:pt idx="6">
                  <c:v>174917</c:v>
                </c:pt>
                <c:pt idx="7">
                  <c:v>179774</c:v>
                </c:pt>
                <c:pt idx="8">
                  <c:v>181408</c:v>
                </c:pt>
                <c:pt idx="9">
                  <c:v>178558</c:v>
                </c:pt>
                <c:pt idx="10">
                  <c:v>173942</c:v>
                </c:pt>
                <c:pt idx="11">
                  <c:v>172306</c:v>
                </c:pt>
                <c:pt idx="12">
                  <c:v>172273</c:v>
                </c:pt>
              </c:numCache>
            </c:numRef>
          </c:val>
        </c:ser>
        <c:marker val="1"/>
        <c:axId val="100080256"/>
        <c:axId val="100091008"/>
      </c:lineChart>
      <c:lineChart>
        <c:grouping val="standard"/>
        <c:ser>
          <c:idx val="1"/>
          <c:order val="1"/>
          <c:spPr>
            <a:ln>
              <a:solidFill>
                <a:schemeClr val="accent1">
                  <a:lumMod val="40000"/>
                  <a:lumOff val="60000"/>
                </a:schemeClr>
              </a:solidFill>
            </a:ln>
          </c:spPr>
          <c:marker>
            <c:symbol val="none"/>
          </c:marker>
          <c:cat>
            <c:strRef>
              <c:f>'Makroekonomski indikatori'!$AL$9:$AX$9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2014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'Makroekonomski indikatori'!$AL$22:$AX$22</c:f>
              <c:numCache>
                <c:formatCode>#,##0</c:formatCode>
                <c:ptCount val="13"/>
                <c:pt idx="0">
                  <c:v>34680</c:v>
                </c:pt>
                <c:pt idx="1">
                  <c:v>34514</c:v>
                </c:pt>
                <c:pt idx="2">
                  <c:v>34804</c:v>
                </c:pt>
                <c:pt idx="3">
                  <c:v>34664</c:v>
                </c:pt>
                <c:pt idx="4">
                  <c:v>34671</c:v>
                </c:pt>
                <c:pt idx="5">
                  <c:v>33906</c:v>
                </c:pt>
                <c:pt idx="6">
                  <c:v>32763</c:v>
                </c:pt>
                <c:pt idx="7">
                  <c:v>31548</c:v>
                </c:pt>
                <c:pt idx="8">
                  <c:v>31115</c:v>
                </c:pt>
                <c:pt idx="9">
                  <c:v>31163</c:v>
                </c:pt>
                <c:pt idx="10">
                  <c:v>31548</c:v>
                </c:pt>
                <c:pt idx="11">
                  <c:v>33744</c:v>
                </c:pt>
                <c:pt idx="12">
                  <c:v>34733</c:v>
                </c:pt>
              </c:numCache>
            </c:numRef>
          </c:val>
        </c:ser>
        <c:marker val="1"/>
        <c:axId val="100157312"/>
        <c:axId val="100092928"/>
      </c:lineChart>
      <c:catAx>
        <c:axId val="10008025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0091008"/>
        <c:crosses val="autoZero"/>
        <c:auto val="1"/>
        <c:lblAlgn val="ctr"/>
        <c:lblOffset val="100"/>
      </c:catAx>
      <c:valAx>
        <c:axId val="100091008"/>
        <c:scaling>
          <c:orientation val="minMax"/>
          <c:min val="164000"/>
        </c:scaling>
        <c:axPos val="l"/>
        <c:majorGridlines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0080256"/>
        <c:crosses val="autoZero"/>
        <c:crossBetween val="between"/>
        <c:dispUnits>
          <c:builtInUnit val="thousands"/>
        </c:dispUnits>
      </c:valAx>
      <c:valAx>
        <c:axId val="100092928"/>
        <c:scaling>
          <c:orientation val="maxMin"/>
          <c:max val="35000"/>
          <c:min val="27000"/>
        </c:scaling>
        <c:axPos val="r"/>
        <c:numFmt formatCode="#,##0.0" sourceLinked="0"/>
        <c:tickLblPos val="nextTo"/>
        <c:txPr>
          <a:bodyPr/>
          <a:lstStyle/>
          <a:p>
            <a:pPr>
              <a:defRPr lang="sr-Latn-CS" sz="700"/>
            </a:pPr>
            <a:endParaRPr lang="en-US"/>
          </a:p>
        </c:txPr>
        <c:crossAx val="100157312"/>
        <c:crosses val="max"/>
        <c:crossBetween val="between"/>
        <c:dispUnits>
          <c:builtInUnit val="thousands"/>
        </c:dispUnits>
      </c:valAx>
      <c:catAx>
        <c:axId val="100157312"/>
        <c:scaling>
          <c:orientation val="minMax"/>
        </c:scaling>
        <c:delete val="1"/>
        <c:axPos val="t"/>
        <c:numFmt formatCode="General" sourceLinked="1"/>
        <c:tickLblPos val="none"/>
        <c:crossAx val="100092928"/>
        <c:crosses val="autoZero"/>
        <c:auto val="1"/>
        <c:lblAlgn val="ctr"/>
        <c:lblOffset val="100"/>
      </c:catAx>
    </c:plotArea>
    <c:plotVisOnly val="1"/>
    <c:dispBlanksAs val="gap"/>
  </c:chart>
  <c:spPr>
    <a:ln>
      <a:noFill/>
    </a:ln>
  </c:spPr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plotArea>
      <c:layout>
        <c:manualLayout>
          <c:layoutTarget val="inner"/>
          <c:xMode val="edge"/>
          <c:yMode val="edge"/>
          <c:x val="0.12116885389326336"/>
          <c:y val="5.1400554097404488E-2"/>
          <c:w val="0.77713429571303583"/>
          <c:h val="0.76780475357248712"/>
        </c:manualLayout>
      </c:layout>
      <c:barChart>
        <c:barDir val="col"/>
        <c:grouping val="clustered"/>
        <c:ser>
          <c:idx val="2"/>
          <c:order val="2"/>
          <c:tx>
            <c:v>Deficit</c:v>
          </c:tx>
          <c:spPr>
            <a:solidFill>
              <a:schemeClr val="bg2"/>
            </a:solidFill>
            <a:ln>
              <a:solidFill>
                <a:srgbClr val="C00000"/>
              </a:solidFill>
            </a:ln>
          </c:spPr>
          <c:cat>
            <c:strRef>
              <c:f>'Fiskalni indikatori'!$Z$3:$AL$3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I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'Fiskalni indikatori'!$Z$17:$AL$17</c:f>
              <c:numCache>
                <c:formatCode>0.00,,</c:formatCode>
                <c:ptCount val="13"/>
                <c:pt idx="0">
                  <c:v>-4788039.1099999994</c:v>
                </c:pt>
                <c:pt idx="1">
                  <c:v>-6536324.8500000192</c:v>
                </c:pt>
                <c:pt idx="2">
                  <c:v>-32222840.860000052</c:v>
                </c:pt>
                <c:pt idx="3">
                  <c:v>-14546568.700000037</c:v>
                </c:pt>
                <c:pt idx="4">
                  <c:v>-11947454.769999959</c:v>
                </c:pt>
                <c:pt idx="5">
                  <c:v>-9998706.4700000435</c:v>
                </c:pt>
                <c:pt idx="6">
                  <c:v>-423016.80000001186</c:v>
                </c:pt>
                <c:pt idx="7">
                  <c:v>957344.19999995141</c:v>
                </c:pt>
                <c:pt idx="8">
                  <c:v>2790812.7800000161</c:v>
                </c:pt>
                <c:pt idx="9">
                  <c:v>30907644.609999999</c:v>
                </c:pt>
                <c:pt idx="10">
                  <c:v>-11135108.760000035</c:v>
                </c:pt>
                <c:pt idx="11">
                  <c:v>7858654.5200000107</c:v>
                </c:pt>
                <c:pt idx="12">
                  <c:v>-7227677.5700000124</c:v>
                </c:pt>
              </c:numCache>
            </c:numRef>
          </c:val>
        </c:ser>
        <c:axId val="145479168"/>
        <c:axId val="143508992"/>
      </c:barChart>
      <c:lineChart>
        <c:grouping val="standard"/>
        <c:ser>
          <c:idx val="0"/>
          <c:order val="0"/>
          <c:tx>
            <c:v>Prihodi</c:v>
          </c:tx>
          <c:spPr>
            <a:ln>
              <a:solidFill>
                <a:schemeClr val="tx2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'Fiskalni indikatori'!$Z$3:$AL$3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I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'Fiskalni indikatori'!$Z$4:$AL$4</c:f>
              <c:numCache>
                <c:formatCode>0.00,,</c:formatCode>
                <c:ptCount val="13"/>
                <c:pt idx="0">
                  <c:v>96518169.450000003</c:v>
                </c:pt>
                <c:pt idx="1">
                  <c:v>145120002.57999998</c:v>
                </c:pt>
                <c:pt idx="2">
                  <c:v>70782033.379999891</c:v>
                </c:pt>
                <c:pt idx="3">
                  <c:v>82127760.799999997</c:v>
                </c:pt>
                <c:pt idx="4">
                  <c:v>100708163.93000002</c:v>
                </c:pt>
                <c:pt idx="5">
                  <c:v>109084385.14999999</c:v>
                </c:pt>
                <c:pt idx="6">
                  <c:v>102078548.78</c:v>
                </c:pt>
                <c:pt idx="7">
                  <c:v>109841607.17999989</c:v>
                </c:pt>
                <c:pt idx="8">
                  <c:v>120720236.03</c:v>
                </c:pt>
                <c:pt idx="9">
                  <c:v>126556297.33</c:v>
                </c:pt>
                <c:pt idx="10">
                  <c:v>117901924.08</c:v>
                </c:pt>
                <c:pt idx="11">
                  <c:v>158210534.23999998</c:v>
                </c:pt>
                <c:pt idx="12">
                  <c:v>98496460.13000001</c:v>
                </c:pt>
              </c:numCache>
            </c:numRef>
          </c:val>
          <c:smooth val="1"/>
        </c:ser>
        <c:ser>
          <c:idx val="1"/>
          <c:order val="1"/>
          <c:tx>
            <c:v>Rashodi</c:v>
          </c:tx>
          <c:spPr>
            <a:ln>
              <a:solidFill>
                <a:srgbClr val="C00000"/>
              </a:solidFill>
              <a:prstDash val="sysDot"/>
            </a:ln>
          </c:spPr>
          <c:marker>
            <c:symbol val="none"/>
          </c:marker>
          <c:cat>
            <c:strRef>
              <c:f>'Fiskalni indikatori'!$Z$3:$AL$3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I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'Fiskalni indikatori'!$Z$10:$AL$10</c:f>
              <c:numCache>
                <c:formatCode>0.00,,</c:formatCode>
                <c:ptCount val="13"/>
                <c:pt idx="0">
                  <c:v>101306208.56</c:v>
                </c:pt>
                <c:pt idx="1">
                  <c:v>151656327.43000001</c:v>
                </c:pt>
                <c:pt idx="2">
                  <c:v>103004874.24000005</c:v>
                </c:pt>
                <c:pt idx="3">
                  <c:v>96674329.500000045</c:v>
                </c:pt>
                <c:pt idx="4">
                  <c:v>112655618.69999999</c:v>
                </c:pt>
                <c:pt idx="5">
                  <c:v>119083091.61999999</c:v>
                </c:pt>
                <c:pt idx="6">
                  <c:v>102501565.58000001</c:v>
                </c:pt>
                <c:pt idx="7">
                  <c:v>108884262.98000002</c:v>
                </c:pt>
                <c:pt idx="8">
                  <c:v>117929423.25</c:v>
                </c:pt>
                <c:pt idx="9">
                  <c:v>95648652.720000014</c:v>
                </c:pt>
                <c:pt idx="10">
                  <c:v>129037032.84000003</c:v>
                </c:pt>
                <c:pt idx="11">
                  <c:v>150351879.72000006</c:v>
                </c:pt>
                <c:pt idx="12">
                  <c:v>105724137.70000002</c:v>
                </c:pt>
              </c:numCache>
            </c:numRef>
          </c:val>
          <c:smooth val="1"/>
        </c:ser>
        <c:marker val="1"/>
        <c:axId val="101036800"/>
        <c:axId val="143507456"/>
      </c:lineChart>
      <c:catAx>
        <c:axId val="101036800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143507456"/>
        <c:crosses val="autoZero"/>
        <c:auto val="1"/>
        <c:lblAlgn val="ctr"/>
        <c:lblOffset val="100"/>
        <c:tickLblSkip val="3"/>
      </c:catAx>
      <c:valAx>
        <c:axId val="143507456"/>
        <c:scaling>
          <c:orientation val="minMax"/>
          <c:max val="180000000"/>
          <c:min val="0"/>
        </c:scaling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101036800"/>
        <c:crosses val="autoZero"/>
        <c:crossBetween val="between"/>
        <c:majorUnit val="30000000"/>
      </c:valAx>
      <c:valAx>
        <c:axId val="143508992"/>
        <c:scaling>
          <c:orientation val="minMax"/>
          <c:max val="60000000"/>
          <c:min val="-30000000"/>
        </c:scaling>
        <c:axPos val="r"/>
        <c:numFmt formatCode="0.00,,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145479168"/>
        <c:crosses val="max"/>
        <c:crossBetween val="between"/>
        <c:majorUnit val="20000000"/>
      </c:valAx>
      <c:catAx>
        <c:axId val="145479168"/>
        <c:scaling>
          <c:orientation val="minMax"/>
        </c:scaling>
        <c:delete val="1"/>
        <c:axPos val="b"/>
        <c:numFmt formatCode="General" sourceLinked="1"/>
        <c:tickLblPos val="none"/>
        <c:crossAx val="143508992"/>
        <c:crosses val="autoZero"/>
        <c:auto val="1"/>
        <c:lblAlgn val="ctr"/>
        <c:lblOffset val="100"/>
      </c:catAx>
    </c:plotArea>
    <c:legend>
      <c:legendPos val="r"/>
      <c:layout>
        <c:manualLayout>
          <c:xMode val="edge"/>
          <c:yMode val="edge"/>
          <c:x val="7.1789033127615823E-2"/>
          <c:y val="0.92534995625548278"/>
          <c:w val="0.77821096687238434"/>
          <c:h val="7.0596019247594094E-2"/>
        </c:manualLayout>
      </c:layout>
      <c:txPr>
        <a:bodyPr/>
        <a:lstStyle/>
        <a:p>
          <a:pPr>
            <a:defRPr lang="sr-Latn-C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8"/>
  <c:chart>
    <c:title>
      <c:tx>
        <c:rich>
          <a:bodyPr/>
          <a:lstStyle/>
          <a:p>
            <a:pPr>
              <a:defRPr lang="sr-Latn-CS" sz="1000"/>
            </a:pPr>
            <a:r>
              <a:rPr lang="x-none" sz="1000"/>
              <a:t>  Kamatne stope</a:t>
            </a:r>
            <a:endParaRPr lang="en-US" sz="1000"/>
          </a:p>
        </c:rich>
      </c:tx>
      <c:layout>
        <c:manualLayout>
          <c:xMode val="edge"/>
          <c:yMode val="edge"/>
          <c:x val="0.20917753643233841"/>
          <c:y val="4.307690220380269E-2"/>
        </c:manualLayout>
      </c:layout>
    </c:title>
    <c:plotArea>
      <c:layout/>
      <c:lineChart>
        <c:grouping val="standard"/>
        <c:ser>
          <c:idx val="1"/>
          <c:order val="1"/>
          <c:tx>
            <c:v>PPEPKS na depozite</c:v>
          </c:tx>
          <c:spPr>
            <a:ln w="38100">
              <a:solidFill>
                <a:srgbClr val="EA7CDA"/>
              </a:solidFill>
            </a:ln>
          </c:spPr>
          <c:marker>
            <c:symbol val="none"/>
          </c:marker>
          <c:cat>
            <c:strRef>
              <c:f>'[mmi 2014-12.xlsx]Database za makro'!$AO$9:$BA$9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I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'[mmi 2014-12.xlsx]Database za makro'!$AO$38:$BA$38</c:f>
              <c:numCache>
                <c:formatCode>0.00</c:formatCode>
                <c:ptCount val="13"/>
                <c:pt idx="0">
                  <c:v>2.6</c:v>
                </c:pt>
                <c:pt idx="1">
                  <c:v>2.5499999999999998</c:v>
                </c:pt>
                <c:pt idx="2">
                  <c:v>2.4099999999999997</c:v>
                </c:pt>
                <c:pt idx="3">
                  <c:v>2.4499999999999997</c:v>
                </c:pt>
                <c:pt idx="4">
                  <c:v>2.34</c:v>
                </c:pt>
                <c:pt idx="5">
                  <c:v>2.3099999999999987</c:v>
                </c:pt>
                <c:pt idx="6">
                  <c:v>2.25</c:v>
                </c:pt>
                <c:pt idx="7">
                  <c:v>2.19</c:v>
                </c:pt>
                <c:pt idx="8">
                  <c:v>2.08</c:v>
                </c:pt>
                <c:pt idx="9">
                  <c:v>2.0099999999999998</c:v>
                </c:pt>
                <c:pt idx="10">
                  <c:v>1.9600000000000113</c:v>
                </c:pt>
                <c:pt idx="11">
                  <c:v>1.9300000000000113</c:v>
                </c:pt>
                <c:pt idx="12">
                  <c:v>1.8900000000000001</c:v>
                </c:pt>
              </c:numCache>
            </c:numRef>
          </c:val>
          <c:smooth val="1"/>
        </c:ser>
        <c:marker val="1"/>
        <c:axId val="196516096"/>
        <c:axId val="196536192"/>
      </c:lineChart>
      <c:lineChart>
        <c:grouping val="standard"/>
        <c:ser>
          <c:idx val="0"/>
          <c:order val="0"/>
          <c:tx>
            <c:v>PPEAKS na kredite</c:v>
          </c:tx>
          <c:spPr>
            <a:ln w="38100">
              <a:solidFill>
                <a:srgbClr val="6F37D5"/>
              </a:solidFill>
            </a:ln>
          </c:spPr>
          <c:marker>
            <c:symbol val="none"/>
          </c:marker>
          <c:cat>
            <c:strRef>
              <c:f>'[mmi 2014-12.xlsx]Database za makro'!$AO$9:$BA$9</c:f>
              <c:strCache>
                <c:ptCount val="13"/>
                <c:pt idx="0">
                  <c:v>XI</c:v>
                </c:pt>
                <c:pt idx="1">
                  <c:v>XII</c:v>
                </c:pt>
                <c:pt idx="2">
                  <c:v>I</c:v>
                </c:pt>
                <c:pt idx="3">
                  <c:v>II</c:v>
                </c:pt>
                <c:pt idx="4">
                  <c:v>III</c:v>
                </c:pt>
                <c:pt idx="5">
                  <c:v>IV</c:v>
                </c:pt>
                <c:pt idx="6">
                  <c:v>V</c:v>
                </c:pt>
                <c:pt idx="7">
                  <c:v>VI</c:v>
                </c:pt>
                <c:pt idx="8">
                  <c:v>VII</c:v>
                </c:pt>
                <c:pt idx="9">
                  <c:v>VIII</c:v>
                </c:pt>
                <c:pt idx="10">
                  <c:v>IX</c:v>
                </c:pt>
                <c:pt idx="11">
                  <c:v>X</c:v>
                </c:pt>
                <c:pt idx="12">
                  <c:v>XI</c:v>
                </c:pt>
              </c:strCache>
            </c:strRef>
          </c:cat>
          <c:val>
            <c:numRef>
              <c:f>'[mmi 2014-12.xlsx]Database za makro'!$AO$37:$BA$37</c:f>
              <c:numCache>
                <c:formatCode>0.00</c:formatCode>
                <c:ptCount val="13"/>
                <c:pt idx="0">
                  <c:v>9.33</c:v>
                </c:pt>
                <c:pt idx="1">
                  <c:v>9.3600000000000048</c:v>
                </c:pt>
                <c:pt idx="2">
                  <c:v>9.4</c:v>
                </c:pt>
                <c:pt idx="3">
                  <c:v>9.42</c:v>
                </c:pt>
                <c:pt idx="4">
                  <c:v>9.42</c:v>
                </c:pt>
                <c:pt idx="5">
                  <c:v>9.4500000000000028</c:v>
                </c:pt>
                <c:pt idx="6">
                  <c:v>9.51</c:v>
                </c:pt>
                <c:pt idx="7">
                  <c:v>9.5400000000000009</c:v>
                </c:pt>
                <c:pt idx="8">
                  <c:v>9.5500000000000007</c:v>
                </c:pt>
                <c:pt idx="9">
                  <c:v>9.31</c:v>
                </c:pt>
                <c:pt idx="10">
                  <c:v>9.57</c:v>
                </c:pt>
                <c:pt idx="11">
                  <c:v>9.2800000000000011</c:v>
                </c:pt>
                <c:pt idx="12">
                  <c:v>9.2800000000000011</c:v>
                </c:pt>
              </c:numCache>
            </c:numRef>
          </c:val>
          <c:smooth val="1"/>
        </c:ser>
        <c:marker val="1"/>
        <c:axId val="99910784"/>
        <c:axId val="196537728"/>
      </c:lineChart>
      <c:catAx>
        <c:axId val="196516096"/>
        <c:scaling>
          <c:orientation val="minMax"/>
        </c:scaling>
        <c:axPos val="b"/>
        <c:numFmt formatCode="General" sourceLinked="0"/>
        <c:majorTickMark val="none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196536192"/>
        <c:crosses val="autoZero"/>
        <c:auto val="1"/>
        <c:lblAlgn val="ctr"/>
        <c:lblOffset val="100"/>
      </c:catAx>
      <c:valAx>
        <c:axId val="196536192"/>
        <c:scaling>
          <c:orientation val="minMax"/>
        </c:scaling>
        <c:axPos val="l"/>
        <c:numFmt formatCode="0.00" sourceLinked="1"/>
        <c:majorTickMark val="none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196516096"/>
        <c:crosses val="autoZero"/>
        <c:crossBetween val="between"/>
      </c:valAx>
      <c:valAx>
        <c:axId val="196537728"/>
        <c:scaling>
          <c:orientation val="minMax"/>
        </c:scaling>
        <c:axPos val="r"/>
        <c:numFmt formatCode="0.00" sourceLinked="1"/>
        <c:tickLblPos val="nextTo"/>
        <c:txPr>
          <a:bodyPr/>
          <a:lstStyle/>
          <a:p>
            <a:pPr>
              <a:defRPr lang="sr-Latn-CS" sz="800"/>
            </a:pPr>
            <a:endParaRPr lang="en-US"/>
          </a:p>
        </c:txPr>
        <c:crossAx val="99910784"/>
        <c:crosses val="max"/>
        <c:crossBetween val="between"/>
      </c:valAx>
      <c:catAx>
        <c:axId val="99910784"/>
        <c:scaling>
          <c:orientation val="minMax"/>
        </c:scaling>
        <c:delete val="1"/>
        <c:axPos val="b"/>
        <c:numFmt formatCode="General" sourceLinked="1"/>
        <c:tickLblPos val="none"/>
        <c:crossAx val="196537728"/>
        <c:crosses val="autoZero"/>
        <c:auto val="1"/>
        <c:lblAlgn val="ctr"/>
        <c:lblOffset val="100"/>
      </c:catAx>
    </c:plotArea>
    <c:legend>
      <c:legendPos val="b"/>
      <c:txPr>
        <a:bodyPr/>
        <a:lstStyle/>
        <a:p>
          <a:pPr>
            <a:defRPr lang="sr-Latn-CS" sz="8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 sz="1000"/>
            </a:pPr>
            <a:r>
              <a:rPr lang="en-US" sz="1000"/>
              <a:t>Struktura SDI</a:t>
            </a:r>
            <a:r>
              <a:rPr lang="en-US" sz="1000" baseline="0"/>
              <a:t> </a:t>
            </a:r>
            <a:r>
              <a:rPr lang="sr-Latn-CS" sz="1000" baseline="0"/>
              <a:t>(</a:t>
            </a:r>
            <a:r>
              <a:rPr lang="en-US" sz="800" baseline="0"/>
              <a:t>mil.</a:t>
            </a:r>
            <a:r>
              <a:rPr lang="sr-Latn-CS" sz="800" baseline="0"/>
              <a:t>€</a:t>
            </a:r>
            <a:r>
              <a:rPr lang="sr-Latn-CS" sz="1000" baseline="0"/>
              <a:t>)</a:t>
            </a:r>
            <a:endParaRPr lang="en-US" sz="1000"/>
          </a:p>
        </c:rich>
      </c:tx>
      <c:layout>
        <c:manualLayout>
          <c:xMode val="edge"/>
          <c:yMode val="edge"/>
          <c:x val="0.27829585537918872"/>
          <c:y val="4.5701570680628294E-2"/>
        </c:manualLayout>
      </c:layout>
    </c:title>
    <c:view3D>
      <c:perspective val="30"/>
    </c:view3D>
    <c:backWall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28086067019400579"/>
          <c:y val="0.23220913321698691"/>
          <c:w val="0.64126290463692037"/>
          <c:h val="0.54210960313102063"/>
        </c:manualLayout>
      </c:layout>
      <c:bar3DChart>
        <c:barDir val="col"/>
        <c:grouping val="clustered"/>
        <c:ser>
          <c:idx val="0"/>
          <c:order val="0"/>
          <c:tx>
            <c:strRef>
              <c:f>'SDI 2013-2014'!$W$29</c:f>
              <c:strCache>
                <c:ptCount val="1"/>
                <c:pt idx="0">
                  <c:v>jan.-nov.2013.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cat>
            <c:strRef>
              <c:f>'SDI 2013-2014'!$A$31:$A$34</c:f>
              <c:strCache>
                <c:ptCount val="4"/>
                <c:pt idx="0">
                  <c:v>Inv. u komp. i banke</c:v>
                </c:pt>
                <c:pt idx="1">
                  <c:v>Interkomp. dug</c:v>
                </c:pt>
                <c:pt idx="2">
                  <c:v>Nekretnine</c:v>
                </c:pt>
                <c:pt idx="3">
                  <c:v>Ostalo</c:v>
                </c:pt>
              </c:strCache>
            </c:strRef>
          </c:cat>
          <c:val>
            <c:numRef>
              <c:f>'SDI 2013-2014'!$W$31:$W$34</c:f>
              <c:numCache>
                <c:formatCode>#,##0.00</c:formatCode>
                <c:ptCount val="4"/>
                <c:pt idx="0">
                  <c:v>46807.7</c:v>
                </c:pt>
                <c:pt idx="1">
                  <c:v>167741.29999999999</c:v>
                </c:pt>
                <c:pt idx="2">
                  <c:v>180999.9</c:v>
                </c:pt>
                <c:pt idx="3">
                  <c:v>10739.5</c:v>
                </c:pt>
              </c:numCache>
            </c:numRef>
          </c:val>
        </c:ser>
        <c:ser>
          <c:idx val="1"/>
          <c:order val="1"/>
          <c:tx>
            <c:strRef>
              <c:f>'SDI 2013-2014'!$X$29</c:f>
              <c:strCache>
                <c:ptCount val="1"/>
                <c:pt idx="0">
                  <c:v>jan.- nov.2014.*</c:v>
                </c:pt>
              </c:strCache>
            </c:strRef>
          </c:tx>
          <c:spPr>
            <a:solidFill>
              <a:schemeClr val="accent1"/>
            </a:solidFill>
          </c:spPr>
          <c:cat>
            <c:strRef>
              <c:f>'SDI 2013-2014'!$A$31:$A$34</c:f>
              <c:strCache>
                <c:ptCount val="4"/>
                <c:pt idx="0">
                  <c:v>Inv. u komp. i banke</c:v>
                </c:pt>
                <c:pt idx="1">
                  <c:v>Interkomp. dug</c:v>
                </c:pt>
                <c:pt idx="2">
                  <c:v>Nekretnine</c:v>
                </c:pt>
                <c:pt idx="3">
                  <c:v>Ostalo</c:v>
                </c:pt>
              </c:strCache>
            </c:strRef>
          </c:cat>
          <c:val>
            <c:numRef>
              <c:f>'SDI 2013-2014'!$X$31:$X$34</c:f>
              <c:numCache>
                <c:formatCode>#,##0.00</c:formatCode>
                <c:ptCount val="4"/>
                <c:pt idx="0">
                  <c:v>72354</c:v>
                </c:pt>
                <c:pt idx="1">
                  <c:v>208308.6</c:v>
                </c:pt>
                <c:pt idx="2">
                  <c:v>159737.60000000001</c:v>
                </c:pt>
                <c:pt idx="3">
                  <c:v>6188.2</c:v>
                </c:pt>
              </c:numCache>
            </c:numRef>
          </c:val>
        </c:ser>
        <c:gapWidth val="40"/>
        <c:shape val="cylinder"/>
        <c:axId val="100145792"/>
        <c:axId val="100184448"/>
        <c:axId val="0"/>
      </c:bar3DChart>
      <c:catAx>
        <c:axId val="10014579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700"/>
            </a:pPr>
            <a:endParaRPr lang="en-US"/>
          </a:p>
        </c:txPr>
        <c:crossAx val="100184448"/>
        <c:crosses val="autoZero"/>
        <c:auto val="1"/>
        <c:lblAlgn val="ctr"/>
        <c:lblOffset val="100"/>
      </c:catAx>
      <c:valAx>
        <c:axId val="100184448"/>
        <c:scaling>
          <c:orientation val="minMax"/>
        </c:scaling>
        <c:axPos val="l"/>
        <c:numFmt formatCode="#,##0.00" sourceLinked="1"/>
        <c:tickLblPos val="nextTo"/>
        <c:txPr>
          <a:bodyPr/>
          <a:lstStyle/>
          <a:p>
            <a:pPr>
              <a:defRPr sz="700"/>
            </a:pPr>
            <a:endParaRPr lang="en-US"/>
          </a:p>
        </c:txPr>
        <c:crossAx val="100145792"/>
        <c:crosses val="autoZero"/>
        <c:crossBetween val="between"/>
        <c:dispUnits>
          <c:builtInUnit val="thousands"/>
        </c:dispUnits>
      </c:valAx>
      <c:spPr>
        <a:ln>
          <a:noFill/>
        </a:ln>
      </c:spPr>
    </c:plotArea>
    <c:legend>
      <c:legendPos val="t"/>
      <c:layout>
        <c:manualLayout>
          <c:xMode val="edge"/>
          <c:yMode val="edge"/>
          <c:x val="0.18459126984127081"/>
          <c:y val="0.11889528795811576"/>
          <c:w val="0.68681393298060001"/>
          <c:h val="8.1739494260087364E-2"/>
        </c:manualLayout>
      </c:layout>
      <c:txPr>
        <a:bodyPr/>
        <a:lstStyle/>
        <a:p>
          <a:pPr>
            <a:defRPr sz="700"/>
          </a:pPr>
          <a:endParaRPr lang="en-US"/>
        </a:p>
      </c:txPr>
    </c:legend>
    <c:plotVisOnly val="1"/>
    <c:dispBlanksAs val="gap"/>
  </c:chart>
  <c:spPr>
    <a:ln>
      <a:noFill/>
    </a:ln>
  </c:sp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0.11265</cdr:x>
      <cdr:y>0.15167</cdr:y>
    </cdr:from>
    <cdr:to>
      <cdr:x>0.44444</cdr:x>
      <cdr:y>0.23136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515056" y="416278"/>
          <a:ext cx="1516945" cy="2187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sr-Latn-CS" sz="1100"/>
        </a:p>
      </cdr:txBody>
    </cdr:sp>
  </cdr:relSizeAnchor>
  <cdr:relSizeAnchor xmlns:cdr="http://schemas.openxmlformats.org/drawingml/2006/chartDrawing">
    <cdr:from>
      <cdr:x>0.23372</cdr:x>
      <cdr:y>0.05832</cdr:y>
    </cdr:from>
    <cdr:to>
      <cdr:x>0.43372</cdr:x>
      <cdr:y>0.15807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464132" y="107545"/>
          <a:ext cx="397170" cy="18394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sr-Latn-CS" sz="800"/>
            <a:t>broj</a:t>
          </a:r>
          <a:r>
            <a:rPr lang="sr-Latn-CS" sz="800" baseline="0"/>
            <a:t> zaposlenih</a:t>
          </a:r>
          <a:endParaRPr lang="sr-Latn-CS" sz="800"/>
        </a:p>
      </cdr:txBody>
    </cdr:sp>
  </cdr:relSizeAnchor>
  <cdr:relSizeAnchor xmlns:cdr="http://schemas.openxmlformats.org/drawingml/2006/chartDrawing">
    <cdr:from>
      <cdr:x>0.3075</cdr:x>
      <cdr:y>0.65214</cdr:y>
    </cdr:from>
    <cdr:to>
      <cdr:x>0.7603</cdr:x>
      <cdr:y>0.78395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610648" y="1202573"/>
          <a:ext cx="899192" cy="2430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sr-Latn-CS" sz="700"/>
            <a:t>broj</a:t>
          </a:r>
          <a:r>
            <a:rPr lang="sr-Latn-CS" sz="700" baseline="0"/>
            <a:t> </a:t>
          </a:r>
          <a:r>
            <a:rPr lang="sr-Latn-CS" sz="800" baseline="0"/>
            <a:t>nezaposlenih</a:t>
          </a:r>
          <a:endParaRPr lang="sr-Latn-CS" sz="8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DA028-2F9D-4440-A0AB-9FFF42381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2427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iva.vukovic</cp:lastModifiedBy>
  <cp:revision>2</cp:revision>
  <cp:lastPrinted>2015-01-22T09:17:00Z</cp:lastPrinted>
  <dcterms:created xsi:type="dcterms:W3CDTF">2015-01-22T10:30:00Z</dcterms:created>
  <dcterms:modified xsi:type="dcterms:W3CDTF">2015-01-22T10:30:00Z</dcterms:modified>
</cp:coreProperties>
</file>