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11C8C" w14:textId="77777777" w:rsidR="005C094E" w:rsidRDefault="005C094E" w:rsidP="00BA39F5">
      <w:pPr>
        <w:spacing w:after="0" w:line="240" w:lineRule="auto"/>
        <w:jc w:val="center"/>
        <w:rPr>
          <w:rFonts w:ascii="Arial" w:hAnsi="Arial" w:cs="Arial"/>
          <w:noProof/>
        </w:rPr>
      </w:pPr>
    </w:p>
    <w:p w14:paraId="0380E7D4" w14:textId="77777777" w:rsidR="005C094E" w:rsidRDefault="005C094E" w:rsidP="00BA39F5">
      <w:pPr>
        <w:spacing w:after="0" w:line="240" w:lineRule="auto"/>
        <w:jc w:val="center"/>
        <w:rPr>
          <w:rFonts w:ascii="Arial" w:hAnsi="Arial" w:cs="Arial"/>
          <w:noProof/>
        </w:rPr>
      </w:pPr>
    </w:p>
    <w:p w14:paraId="034A4FA4" w14:textId="77777777" w:rsidR="009B5113" w:rsidRDefault="00653D40" w:rsidP="00BA39F5">
      <w:pPr>
        <w:spacing w:after="0" w:line="240" w:lineRule="auto"/>
        <w:jc w:val="center"/>
        <w:rPr>
          <w:rFonts w:ascii="Arial" w:hAnsi="Arial" w:cs="Arial"/>
          <w:noProof/>
        </w:rPr>
      </w:pPr>
      <w:r w:rsidRPr="00DA6313">
        <w:rPr>
          <w:rFonts w:ascii="Arial" w:hAnsi="Arial" w:cs="Arial"/>
          <w:noProof/>
        </w:rPr>
        <w:t xml:space="preserve">                                                                   </w:t>
      </w:r>
    </w:p>
    <w:p w14:paraId="54DDECB7" w14:textId="77777777" w:rsidR="00653D40" w:rsidRPr="00DA6313" w:rsidRDefault="00653D40" w:rsidP="00BA39F5">
      <w:pPr>
        <w:spacing w:after="0" w:line="240" w:lineRule="auto"/>
        <w:jc w:val="center"/>
        <w:rPr>
          <w:rFonts w:ascii="Arial" w:hAnsi="Arial" w:cs="Arial"/>
          <w:noProof/>
        </w:rPr>
      </w:pPr>
      <w:r w:rsidRPr="00DA6313">
        <w:rPr>
          <w:rFonts w:ascii="Arial" w:hAnsi="Arial" w:cs="Arial"/>
          <w:noProof/>
        </w:rPr>
        <w:t xml:space="preserve">                                                       </w:t>
      </w:r>
      <w:r w:rsidR="009B5113">
        <w:rPr>
          <w:rFonts w:ascii="Arial" w:hAnsi="Arial" w:cs="Arial"/>
          <w:noProof/>
        </w:rPr>
        <w:t xml:space="preserve">                                                                                </w:t>
      </w:r>
      <w:r w:rsidRPr="00DA6313">
        <w:rPr>
          <w:rFonts w:ascii="Arial" w:hAnsi="Arial" w:cs="Arial"/>
          <w:noProof/>
        </w:rPr>
        <w:t>Nacrt</w:t>
      </w:r>
    </w:p>
    <w:p w14:paraId="60CF13C7" w14:textId="77777777" w:rsidR="00653D40" w:rsidRPr="00DA6313" w:rsidRDefault="00653D40" w:rsidP="00653D40">
      <w:pPr>
        <w:spacing w:after="0" w:line="240" w:lineRule="auto"/>
        <w:jc w:val="center"/>
        <w:rPr>
          <w:rFonts w:ascii="Arial" w:hAnsi="Arial" w:cs="Arial"/>
          <w:b/>
          <w:noProof/>
        </w:rPr>
      </w:pPr>
    </w:p>
    <w:p w14:paraId="0336AE56" w14:textId="77777777" w:rsidR="00653D40" w:rsidRPr="00DA6313" w:rsidRDefault="0042201E" w:rsidP="00653D40">
      <w:pPr>
        <w:spacing w:after="0" w:line="240" w:lineRule="auto"/>
        <w:jc w:val="center"/>
        <w:rPr>
          <w:rFonts w:ascii="Arial" w:hAnsi="Arial" w:cs="Arial"/>
          <w:b/>
          <w:noProof/>
          <w:lang w:eastAsia="en-GB"/>
        </w:rPr>
      </w:pPr>
      <w:r>
        <w:rPr>
          <w:noProof/>
        </w:rPr>
        <w:drawing>
          <wp:inline distT="0" distB="0" distL="0" distR="0" wp14:anchorId="10971BC5" wp14:editId="10111CE0">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63CAC214" w14:textId="77777777" w:rsidR="000C601F" w:rsidRDefault="000C601F" w:rsidP="0042201E">
      <w:pPr>
        <w:suppressAutoHyphens w:val="0"/>
        <w:spacing w:after="0" w:line="240" w:lineRule="auto"/>
        <w:ind w:left="360"/>
        <w:jc w:val="center"/>
        <w:rPr>
          <w:rFonts w:ascii="Arial" w:eastAsia="Times New Roman" w:hAnsi="Arial" w:cs="Arial"/>
          <w:b/>
          <w:bCs/>
          <w:kern w:val="0"/>
          <w:sz w:val="24"/>
          <w:szCs w:val="24"/>
        </w:rPr>
      </w:pPr>
    </w:p>
    <w:p w14:paraId="748452E1" w14:textId="77777777" w:rsidR="002D0162" w:rsidRDefault="002D0162" w:rsidP="0042201E">
      <w:pPr>
        <w:suppressAutoHyphens w:val="0"/>
        <w:spacing w:after="0" w:line="240" w:lineRule="auto"/>
        <w:ind w:left="360"/>
        <w:jc w:val="center"/>
        <w:rPr>
          <w:rFonts w:ascii="Arial" w:eastAsia="Times New Roman" w:hAnsi="Arial" w:cs="Arial"/>
          <w:b/>
          <w:bCs/>
          <w:kern w:val="0"/>
          <w:sz w:val="24"/>
          <w:szCs w:val="24"/>
        </w:rPr>
      </w:pPr>
    </w:p>
    <w:p w14:paraId="136C7BE0" w14:textId="77777777" w:rsidR="0042201E" w:rsidRPr="005C094E" w:rsidRDefault="0042201E" w:rsidP="0042201E">
      <w:pPr>
        <w:suppressAutoHyphens w:val="0"/>
        <w:spacing w:after="0" w:line="240" w:lineRule="auto"/>
        <w:ind w:left="360"/>
        <w:jc w:val="center"/>
        <w:rPr>
          <w:rFonts w:ascii="Arial" w:eastAsia="Times New Roman" w:hAnsi="Arial" w:cs="Arial"/>
          <w:b/>
          <w:bCs/>
          <w:kern w:val="0"/>
          <w:sz w:val="24"/>
          <w:szCs w:val="24"/>
        </w:rPr>
      </w:pPr>
      <w:r w:rsidRPr="005C094E">
        <w:rPr>
          <w:rFonts w:ascii="Arial" w:eastAsia="Times New Roman" w:hAnsi="Arial" w:cs="Arial"/>
          <w:b/>
          <w:bCs/>
          <w:kern w:val="0"/>
          <w:sz w:val="24"/>
          <w:szCs w:val="24"/>
        </w:rPr>
        <w:t>MINISTARSTVO KAPITALNIH INVESTICIJA</w:t>
      </w:r>
    </w:p>
    <w:p w14:paraId="43D8F6D9" w14:textId="77777777" w:rsidR="00653D40" w:rsidRPr="00DA6313" w:rsidRDefault="00653D40" w:rsidP="00653D40">
      <w:pPr>
        <w:spacing w:after="0" w:line="240" w:lineRule="auto"/>
        <w:jc w:val="center"/>
        <w:rPr>
          <w:rFonts w:ascii="Arial" w:hAnsi="Arial" w:cs="Arial"/>
          <w:b/>
          <w:noProof/>
        </w:rPr>
      </w:pPr>
    </w:p>
    <w:p w14:paraId="7582BEB1" w14:textId="77777777" w:rsidR="00653D40" w:rsidRPr="00DA6313" w:rsidRDefault="00653D40" w:rsidP="00653D40">
      <w:pPr>
        <w:spacing w:after="0"/>
        <w:jc w:val="both"/>
        <w:rPr>
          <w:rFonts w:ascii="Arial" w:hAnsi="Arial" w:cs="Arial"/>
          <w:b/>
          <w:noProof/>
        </w:rPr>
      </w:pPr>
    </w:p>
    <w:p w14:paraId="33DA80AA" w14:textId="77777777" w:rsidR="00653D40" w:rsidRPr="00DA6313" w:rsidRDefault="00653D40" w:rsidP="00653D40">
      <w:pPr>
        <w:spacing w:after="0" w:line="240" w:lineRule="auto"/>
        <w:jc w:val="both"/>
        <w:rPr>
          <w:rFonts w:ascii="Arial" w:hAnsi="Arial" w:cs="Arial"/>
          <w:b/>
          <w:noProof/>
        </w:rPr>
      </w:pPr>
    </w:p>
    <w:p w14:paraId="6086D70B" w14:textId="77777777" w:rsidR="00653D40" w:rsidRPr="00DA6313" w:rsidRDefault="00653D40" w:rsidP="00653D40">
      <w:pPr>
        <w:spacing w:after="0" w:line="240" w:lineRule="auto"/>
        <w:jc w:val="both"/>
        <w:rPr>
          <w:rFonts w:ascii="Arial" w:hAnsi="Arial" w:cs="Arial"/>
          <w:b/>
          <w:noProof/>
        </w:rPr>
      </w:pPr>
    </w:p>
    <w:p w14:paraId="2FF4A04E" w14:textId="77777777" w:rsidR="005C094E" w:rsidRDefault="005C094E" w:rsidP="00653D40">
      <w:pPr>
        <w:spacing w:after="0" w:line="240" w:lineRule="auto"/>
        <w:jc w:val="both"/>
        <w:rPr>
          <w:rFonts w:ascii="Arial" w:hAnsi="Arial" w:cs="Arial"/>
          <w:b/>
          <w:noProof/>
        </w:rPr>
      </w:pPr>
    </w:p>
    <w:p w14:paraId="56B6ABF9" w14:textId="77777777" w:rsidR="005C094E" w:rsidRPr="00DA6313" w:rsidRDefault="005C094E" w:rsidP="00653D40">
      <w:pPr>
        <w:spacing w:after="0" w:line="240" w:lineRule="auto"/>
        <w:jc w:val="both"/>
        <w:rPr>
          <w:rFonts w:ascii="Arial" w:hAnsi="Arial" w:cs="Arial"/>
          <w:b/>
          <w:noProof/>
        </w:rPr>
      </w:pPr>
    </w:p>
    <w:p w14:paraId="38F04EEB" w14:textId="77777777" w:rsidR="00653D40" w:rsidRPr="00DA6313" w:rsidRDefault="00653D40" w:rsidP="00653D40">
      <w:pPr>
        <w:spacing w:after="0" w:line="240" w:lineRule="auto"/>
        <w:jc w:val="both"/>
        <w:rPr>
          <w:rFonts w:ascii="Arial" w:hAnsi="Arial" w:cs="Arial"/>
          <w:b/>
          <w:noProof/>
        </w:rPr>
      </w:pPr>
    </w:p>
    <w:p w14:paraId="76105094" w14:textId="77777777" w:rsidR="00653D40" w:rsidRPr="00DA6313" w:rsidRDefault="00653D40" w:rsidP="00653D40">
      <w:pPr>
        <w:spacing w:after="0" w:line="240" w:lineRule="auto"/>
        <w:jc w:val="both"/>
        <w:rPr>
          <w:rFonts w:ascii="Arial" w:hAnsi="Arial" w:cs="Arial"/>
          <w:b/>
          <w:noProof/>
        </w:rPr>
      </w:pPr>
    </w:p>
    <w:p w14:paraId="6AF03B58" w14:textId="77777777" w:rsidR="00653D40" w:rsidRPr="005C094E" w:rsidRDefault="0042201E" w:rsidP="00653D40">
      <w:pPr>
        <w:spacing w:after="0" w:line="240" w:lineRule="auto"/>
        <w:jc w:val="center"/>
        <w:rPr>
          <w:rFonts w:ascii="Arial" w:hAnsi="Arial" w:cs="Arial"/>
          <w:b/>
          <w:noProof/>
          <w:sz w:val="24"/>
          <w:szCs w:val="24"/>
        </w:rPr>
      </w:pPr>
      <w:r w:rsidRPr="005C094E">
        <w:rPr>
          <w:rFonts w:ascii="Arial" w:hAnsi="Arial" w:cs="Arial"/>
          <w:b/>
          <w:noProof/>
          <w:sz w:val="24"/>
          <w:szCs w:val="24"/>
        </w:rPr>
        <w:t>K O N C E S I O N I   A K T</w:t>
      </w:r>
    </w:p>
    <w:p w14:paraId="1D21894B" w14:textId="77777777" w:rsidR="0042201E" w:rsidRPr="005C094E" w:rsidRDefault="0042201E" w:rsidP="00653D40">
      <w:pPr>
        <w:spacing w:after="0" w:line="240" w:lineRule="auto"/>
        <w:jc w:val="center"/>
        <w:rPr>
          <w:rFonts w:ascii="Arial" w:hAnsi="Arial" w:cs="Arial"/>
          <w:b/>
          <w:noProof/>
          <w:sz w:val="24"/>
          <w:szCs w:val="24"/>
        </w:rPr>
      </w:pPr>
    </w:p>
    <w:p w14:paraId="2A9CD27F" w14:textId="77777777" w:rsidR="00653D40" w:rsidRPr="005C094E" w:rsidRDefault="0042201E" w:rsidP="00653D40">
      <w:pPr>
        <w:spacing w:after="0" w:line="240" w:lineRule="auto"/>
        <w:jc w:val="center"/>
        <w:rPr>
          <w:rFonts w:ascii="Arial" w:hAnsi="Arial" w:cs="Arial"/>
          <w:b/>
          <w:noProof/>
          <w:sz w:val="24"/>
          <w:szCs w:val="24"/>
        </w:rPr>
      </w:pPr>
      <w:r w:rsidRPr="005C094E">
        <w:rPr>
          <w:rFonts w:ascii="Arial" w:hAnsi="Arial" w:cs="Arial"/>
          <w:b/>
          <w:noProof/>
          <w:sz w:val="24"/>
          <w:szCs w:val="24"/>
        </w:rPr>
        <w:t xml:space="preserve">O ENERGETSKOJ MINERALNOJ SIROVINI MRKOLIGNITNI UGALJ LOKALITETA </w:t>
      </w:r>
    </w:p>
    <w:p w14:paraId="5D441A37" w14:textId="77777777" w:rsidR="00653D40" w:rsidRPr="005C094E" w:rsidRDefault="0042201E" w:rsidP="00653D40">
      <w:pPr>
        <w:spacing w:after="0" w:line="240" w:lineRule="auto"/>
        <w:jc w:val="center"/>
        <w:rPr>
          <w:rFonts w:ascii="Arial" w:hAnsi="Arial" w:cs="Arial"/>
          <w:b/>
          <w:noProof/>
          <w:sz w:val="24"/>
          <w:szCs w:val="24"/>
        </w:rPr>
      </w:pPr>
      <w:r w:rsidRPr="005C094E">
        <w:rPr>
          <w:rFonts w:ascii="Arial" w:hAnsi="Arial" w:cs="Arial"/>
          <w:b/>
          <w:noProof/>
          <w:sz w:val="24"/>
          <w:szCs w:val="24"/>
        </w:rPr>
        <w:t>„MATARUGE”, OPŠTINA PLJEVLJA</w:t>
      </w:r>
    </w:p>
    <w:p w14:paraId="18AEA625" w14:textId="77777777" w:rsidR="00653D40" w:rsidRPr="005C094E" w:rsidRDefault="00653D40" w:rsidP="00653D40">
      <w:pPr>
        <w:spacing w:after="0" w:line="240" w:lineRule="auto"/>
        <w:jc w:val="both"/>
        <w:rPr>
          <w:rFonts w:ascii="Arial" w:hAnsi="Arial" w:cs="Arial"/>
          <w:b/>
          <w:noProof/>
          <w:sz w:val="24"/>
          <w:szCs w:val="24"/>
        </w:rPr>
      </w:pPr>
    </w:p>
    <w:p w14:paraId="7F289E12" w14:textId="77777777" w:rsidR="00653D40" w:rsidRPr="005C094E" w:rsidRDefault="00653D40" w:rsidP="00653D40">
      <w:pPr>
        <w:spacing w:after="0" w:line="240" w:lineRule="auto"/>
        <w:jc w:val="both"/>
        <w:rPr>
          <w:rFonts w:ascii="Arial" w:hAnsi="Arial" w:cs="Arial"/>
          <w:b/>
          <w:noProof/>
          <w:sz w:val="24"/>
          <w:szCs w:val="24"/>
        </w:rPr>
      </w:pPr>
    </w:p>
    <w:p w14:paraId="5445276D" w14:textId="77777777" w:rsidR="00653D40" w:rsidRPr="00DA6313" w:rsidRDefault="00653D40" w:rsidP="00653D40">
      <w:pPr>
        <w:spacing w:after="0" w:line="240" w:lineRule="auto"/>
        <w:jc w:val="both"/>
        <w:rPr>
          <w:rFonts w:ascii="Arial" w:hAnsi="Arial" w:cs="Arial"/>
          <w:b/>
          <w:noProof/>
        </w:rPr>
      </w:pPr>
    </w:p>
    <w:p w14:paraId="7C06696B" w14:textId="77777777" w:rsidR="00653D40" w:rsidRPr="00DA6313" w:rsidRDefault="00653D40" w:rsidP="00653D40">
      <w:pPr>
        <w:spacing w:after="0" w:line="240" w:lineRule="auto"/>
        <w:jc w:val="both"/>
        <w:rPr>
          <w:rFonts w:ascii="Arial" w:hAnsi="Arial" w:cs="Arial"/>
          <w:b/>
          <w:noProof/>
        </w:rPr>
      </w:pPr>
    </w:p>
    <w:p w14:paraId="1D07327F" w14:textId="77777777" w:rsidR="00653D40" w:rsidRPr="00DA6313" w:rsidRDefault="00653D40" w:rsidP="00653D40">
      <w:pPr>
        <w:spacing w:after="0" w:line="240" w:lineRule="auto"/>
        <w:jc w:val="both"/>
        <w:rPr>
          <w:rFonts w:ascii="Arial" w:hAnsi="Arial" w:cs="Arial"/>
          <w:b/>
          <w:noProof/>
        </w:rPr>
      </w:pPr>
    </w:p>
    <w:p w14:paraId="3828F918" w14:textId="77777777" w:rsidR="00653D40" w:rsidRPr="00DA6313" w:rsidRDefault="00653D40" w:rsidP="00653D40">
      <w:pPr>
        <w:spacing w:after="0" w:line="240" w:lineRule="auto"/>
        <w:jc w:val="both"/>
        <w:rPr>
          <w:rFonts w:ascii="Arial" w:hAnsi="Arial" w:cs="Arial"/>
          <w:b/>
          <w:noProof/>
        </w:rPr>
      </w:pPr>
    </w:p>
    <w:p w14:paraId="16E8E816" w14:textId="77777777" w:rsidR="00653D40" w:rsidRPr="00DA6313" w:rsidRDefault="00653D40" w:rsidP="00653D40">
      <w:pPr>
        <w:spacing w:after="0" w:line="240" w:lineRule="auto"/>
        <w:jc w:val="both"/>
        <w:rPr>
          <w:rFonts w:ascii="Arial" w:hAnsi="Arial" w:cs="Arial"/>
          <w:b/>
          <w:noProof/>
        </w:rPr>
      </w:pPr>
    </w:p>
    <w:p w14:paraId="001C49B8" w14:textId="77777777" w:rsidR="00653D40" w:rsidRPr="00DA6313" w:rsidRDefault="00653D40" w:rsidP="00653D40">
      <w:pPr>
        <w:spacing w:after="0" w:line="240" w:lineRule="auto"/>
        <w:jc w:val="both"/>
        <w:rPr>
          <w:rFonts w:ascii="Arial" w:hAnsi="Arial" w:cs="Arial"/>
          <w:b/>
          <w:noProof/>
        </w:rPr>
      </w:pPr>
    </w:p>
    <w:p w14:paraId="5844D462" w14:textId="77777777" w:rsidR="00653D40" w:rsidRPr="00DA6313" w:rsidRDefault="00653D40" w:rsidP="00653D40">
      <w:pPr>
        <w:spacing w:after="0" w:line="240" w:lineRule="auto"/>
        <w:jc w:val="both"/>
        <w:rPr>
          <w:rFonts w:ascii="Arial" w:hAnsi="Arial" w:cs="Arial"/>
          <w:b/>
          <w:noProof/>
        </w:rPr>
      </w:pPr>
    </w:p>
    <w:p w14:paraId="6394AAD0" w14:textId="77777777" w:rsidR="00653D40" w:rsidRPr="00DA6313" w:rsidRDefault="00653D40" w:rsidP="00653D40">
      <w:pPr>
        <w:spacing w:after="0" w:line="240" w:lineRule="auto"/>
        <w:jc w:val="both"/>
        <w:rPr>
          <w:rFonts w:ascii="Arial" w:hAnsi="Arial" w:cs="Arial"/>
          <w:b/>
          <w:noProof/>
        </w:rPr>
      </w:pPr>
    </w:p>
    <w:p w14:paraId="5969D569" w14:textId="77777777" w:rsidR="00653D40" w:rsidRPr="00DA6313" w:rsidRDefault="00653D40" w:rsidP="00653D40">
      <w:pPr>
        <w:spacing w:after="0" w:line="240" w:lineRule="auto"/>
        <w:jc w:val="both"/>
        <w:rPr>
          <w:rFonts w:ascii="Arial" w:hAnsi="Arial" w:cs="Arial"/>
          <w:b/>
          <w:noProof/>
        </w:rPr>
      </w:pPr>
    </w:p>
    <w:p w14:paraId="4C2D13E8" w14:textId="77777777" w:rsidR="00653D40" w:rsidRPr="00DA6313" w:rsidRDefault="00653D40" w:rsidP="00653D40">
      <w:pPr>
        <w:spacing w:after="0" w:line="240" w:lineRule="auto"/>
        <w:jc w:val="both"/>
        <w:rPr>
          <w:rFonts w:ascii="Arial" w:hAnsi="Arial" w:cs="Arial"/>
          <w:b/>
          <w:noProof/>
        </w:rPr>
      </w:pPr>
    </w:p>
    <w:p w14:paraId="7861814C" w14:textId="77777777" w:rsidR="00653D40" w:rsidRPr="00DA6313" w:rsidRDefault="00653D40" w:rsidP="00653D40">
      <w:pPr>
        <w:spacing w:after="0" w:line="240" w:lineRule="auto"/>
        <w:jc w:val="both"/>
        <w:rPr>
          <w:rFonts w:ascii="Arial" w:hAnsi="Arial" w:cs="Arial"/>
          <w:b/>
          <w:noProof/>
        </w:rPr>
      </w:pPr>
    </w:p>
    <w:p w14:paraId="4FAA2E87" w14:textId="77777777" w:rsidR="00653D40" w:rsidRPr="00DA6313" w:rsidRDefault="00653D40" w:rsidP="00653D40">
      <w:pPr>
        <w:rPr>
          <w:rFonts w:ascii="Arial" w:hAnsi="Arial" w:cs="Arial"/>
        </w:rPr>
      </w:pPr>
    </w:p>
    <w:p w14:paraId="4EC7DCDD" w14:textId="77777777" w:rsidR="00653D40" w:rsidRPr="00DA6313" w:rsidRDefault="00653D40" w:rsidP="00653D40">
      <w:pPr>
        <w:rPr>
          <w:rFonts w:ascii="Arial" w:hAnsi="Arial" w:cs="Arial"/>
        </w:rPr>
      </w:pPr>
    </w:p>
    <w:p w14:paraId="6470F2BC" w14:textId="77777777" w:rsidR="00653D40" w:rsidRPr="00DA6313" w:rsidRDefault="00653D40" w:rsidP="00653D40">
      <w:pPr>
        <w:rPr>
          <w:rFonts w:ascii="Arial" w:hAnsi="Arial" w:cs="Arial"/>
        </w:rPr>
      </w:pPr>
    </w:p>
    <w:p w14:paraId="5C1CF814" w14:textId="77777777" w:rsidR="00653D40" w:rsidRPr="00DA6313" w:rsidRDefault="00653D40" w:rsidP="00653D40">
      <w:pPr>
        <w:spacing w:after="0" w:line="240" w:lineRule="auto"/>
        <w:jc w:val="both"/>
        <w:rPr>
          <w:rFonts w:ascii="Arial" w:hAnsi="Arial" w:cs="Arial"/>
          <w:b/>
          <w:noProof/>
        </w:rPr>
      </w:pPr>
    </w:p>
    <w:p w14:paraId="5E65F2AD" w14:textId="77777777" w:rsidR="00653D40" w:rsidRPr="00DA6313" w:rsidRDefault="00653D40" w:rsidP="00653D40">
      <w:pPr>
        <w:spacing w:after="0" w:line="240" w:lineRule="auto"/>
        <w:jc w:val="both"/>
        <w:rPr>
          <w:rFonts w:ascii="Arial" w:hAnsi="Arial" w:cs="Arial"/>
          <w:b/>
          <w:noProof/>
        </w:rPr>
      </w:pPr>
    </w:p>
    <w:p w14:paraId="081BC7C5" w14:textId="75E6C3C4" w:rsidR="00653D40" w:rsidRPr="00C37A94" w:rsidRDefault="00653D40" w:rsidP="00653D40">
      <w:pPr>
        <w:spacing w:after="0" w:line="240" w:lineRule="auto"/>
        <w:jc w:val="center"/>
        <w:rPr>
          <w:rFonts w:ascii="Arial" w:hAnsi="Arial" w:cs="Arial"/>
          <w:noProof/>
        </w:rPr>
      </w:pPr>
      <w:proofErr w:type="spellStart"/>
      <w:r w:rsidRPr="00C37A94">
        <w:rPr>
          <w:rFonts w:ascii="Arial" w:hAnsi="Arial" w:cs="Arial"/>
          <w:b/>
        </w:rPr>
        <w:t>Podgorica</w:t>
      </w:r>
      <w:proofErr w:type="spellEnd"/>
      <w:r w:rsidRPr="00C37A94">
        <w:rPr>
          <w:rFonts w:ascii="Arial" w:hAnsi="Arial" w:cs="Arial"/>
          <w:b/>
        </w:rPr>
        <w:t xml:space="preserve">, </w:t>
      </w:r>
      <w:proofErr w:type="spellStart"/>
      <w:r w:rsidR="009F2F62">
        <w:rPr>
          <w:rFonts w:ascii="Arial" w:hAnsi="Arial" w:cs="Arial"/>
          <w:b/>
        </w:rPr>
        <w:t>decembar</w:t>
      </w:r>
      <w:proofErr w:type="spellEnd"/>
      <w:r w:rsidR="0042201E">
        <w:rPr>
          <w:rFonts w:ascii="Arial" w:hAnsi="Arial" w:cs="Arial"/>
          <w:b/>
        </w:rPr>
        <w:t xml:space="preserve"> </w:t>
      </w:r>
      <w:r w:rsidRPr="00C37A94">
        <w:rPr>
          <w:rFonts w:ascii="Arial" w:hAnsi="Arial" w:cs="Arial"/>
          <w:b/>
        </w:rPr>
        <w:t>202</w:t>
      </w:r>
      <w:r w:rsidR="0042201E">
        <w:rPr>
          <w:rFonts w:ascii="Arial" w:hAnsi="Arial" w:cs="Arial"/>
          <w:b/>
        </w:rPr>
        <w:t>1</w:t>
      </w:r>
      <w:r w:rsidRPr="00C37A94">
        <w:rPr>
          <w:rFonts w:ascii="Arial" w:hAnsi="Arial" w:cs="Arial"/>
          <w:b/>
        </w:rPr>
        <w:t>.</w:t>
      </w:r>
      <w:r w:rsidR="0042201E">
        <w:rPr>
          <w:rFonts w:ascii="Arial" w:hAnsi="Arial" w:cs="Arial"/>
          <w:b/>
        </w:rPr>
        <w:t xml:space="preserve"> </w:t>
      </w:r>
      <w:proofErr w:type="spellStart"/>
      <w:r w:rsidR="0042201E">
        <w:rPr>
          <w:rFonts w:ascii="Arial" w:hAnsi="Arial" w:cs="Arial"/>
          <w:b/>
        </w:rPr>
        <w:t>godine</w:t>
      </w:r>
      <w:proofErr w:type="spellEnd"/>
      <w:r w:rsidRPr="00C37A94">
        <w:rPr>
          <w:rFonts w:ascii="Arial" w:hAnsi="Arial" w:cs="Arial"/>
          <w:b/>
        </w:rPr>
        <w:t xml:space="preserve"> </w:t>
      </w:r>
    </w:p>
    <w:p w14:paraId="2CCB79C7" w14:textId="77777777" w:rsidR="00653D40" w:rsidRPr="00DA6313" w:rsidRDefault="00653D40" w:rsidP="00653D40">
      <w:pPr>
        <w:spacing w:after="0" w:line="240" w:lineRule="auto"/>
        <w:jc w:val="both"/>
        <w:rPr>
          <w:rFonts w:ascii="Arial" w:hAnsi="Arial" w:cs="Arial"/>
          <w:b/>
          <w:noProof/>
        </w:rPr>
      </w:pPr>
    </w:p>
    <w:p w14:paraId="150B9D63" w14:textId="77777777" w:rsidR="00653D40" w:rsidRDefault="00653D40" w:rsidP="00653D40">
      <w:pPr>
        <w:spacing w:after="0" w:line="240" w:lineRule="auto"/>
        <w:jc w:val="both"/>
        <w:rPr>
          <w:rFonts w:ascii="Arial" w:hAnsi="Arial" w:cs="Arial"/>
          <w:b/>
          <w:noProof/>
        </w:rPr>
      </w:pPr>
    </w:p>
    <w:p w14:paraId="79A1AD7D" w14:textId="77777777" w:rsidR="0042201E" w:rsidRDefault="0042201E" w:rsidP="00653D40">
      <w:pPr>
        <w:spacing w:after="0" w:line="240" w:lineRule="auto"/>
        <w:jc w:val="both"/>
        <w:rPr>
          <w:rFonts w:ascii="Arial" w:hAnsi="Arial" w:cs="Arial"/>
          <w:b/>
          <w:noProof/>
        </w:rPr>
      </w:pPr>
    </w:p>
    <w:p w14:paraId="74CA2D0B" w14:textId="77777777" w:rsidR="0042201E" w:rsidRDefault="0042201E" w:rsidP="00653D40">
      <w:pPr>
        <w:spacing w:after="0" w:line="240" w:lineRule="auto"/>
        <w:jc w:val="both"/>
        <w:rPr>
          <w:rFonts w:ascii="Arial" w:hAnsi="Arial" w:cs="Arial"/>
          <w:b/>
          <w:noProof/>
        </w:rPr>
      </w:pPr>
    </w:p>
    <w:p w14:paraId="0B2EF46A" w14:textId="77777777" w:rsidR="00653D40" w:rsidRPr="00DA6313" w:rsidRDefault="00653D40" w:rsidP="00653D40">
      <w:pPr>
        <w:spacing w:after="0" w:line="240" w:lineRule="auto"/>
        <w:jc w:val="both"/>
        <w:rPr>
          <w:rFonts w:ascii="Arial" w:hAnsi="Arial" w:cs="Arial"/>
          <w:b/>
          <w:noProof/>
        </w:rPr>
      </w:pPr>
      <w:r w:rsidRPr="00DA6313">
        <w:rPr>
          <w:rFonts w:ascii="Arial" w:hAnsi="Arial" w:cs="Arial"/>
          <w:b/>
          <w:noProof/>
        </w:rPr>
        <w:lastRenderedPageBreak/>
        <w:t>OPŠTI PODACI O KONCESIONOM AKTU</w:t>
      </w:r>
    </w:p>
    <w:p w14:paraId="23632BE6" w14:textId="77777777" w:rsidR="00653D40" w:rsidRPr="00DA6313" w:rsidRDefault="00653D40" w:rsidP="00653D40">
      <w:pPr>
        <w:spacing w:after="0" w:line="240" w:lineRule="auto"/>
        <w:jc w:val="both"/>
        <w:rPr>
          <w:rFonts w:ascii="Arial" w:hAnsi="Arial" w:cs="Arial"/>
          <w:b/>
          <w:noProof/>
        </w:rPr>
      </w:pPr>
    </w:p>
    <w:p w14:paraId="2E97E289" w14:textId="77777777" w:rsidR="00653D40" w:rsidRPr="00DA6313" w:rsidRDefault="00653D40" w:rsidP="00653D40">
      <w:pPr>
        <w:spacing w:after="0" w:line="240" w:lineRule="auto"/>
        <w:jc w:val="both"/>
        <w:rPr>
          <w:rFonts w:ascii="Arial" w:hAnsi="Arial" w:cs="Arial"/>
          <w:b/>
          <w:noProof/>
        </w:rPr>
      </w:pPr>
      <w:r w:rsidRPr="00DA6313">
        <w:rPr>
          <w:rFonts w:ascii="Arial" w:hAnsi="Arial" w:cs="Arial"/>
          <w:b/>
          <w:noProof/>
        </w:rPr>
        <w:t>Naziv Koncesionog akta:</w:t>
      </w:r>
    </w:p>
    <w:p w14:paraId="13DA5C4B" w14:textId="77777777" w:rsidR="00653D40" w:rsidRPr="00DA6313" w:rsidRDefault="00653D40" w:rsidP="00653D40">
      <w:pPr>
        <w:spacing w:after="0" w:line="240" w:lineRule="auto"/>
        <w:jc w:val="both"/>
        <w:rPr>
          <w:rFonts w:ascii="Arial" w:hAnsi="Arial" w:cs="Arial"/>
          <w:b/>
          <w:noProof/>
        </w:rPr>
      </w:pPr>
    </w:p>
    <w:p w14:paraId="3B135767" w14:textId="77777777" w:rsidR="00653D40" w:rsidRPr="00DA6313" w:rsidRDefault="00653D40" w:rsidP="00653D40">
      <w:pPr>
        <w:spacing w:after="0" w:line="240" w:lineRule="auto"/>
        <w:jc w:val="both"/>
        <w:rPr>
          <w:rFonts w:ascii="Arial" w:hAnsi="Arial" w:cs="Arial"/>
          <w:b/>
          <w:noProof/>
        </w:rPr>
      </w:pPr>
      <w:r w:rsidRPr="00DA6313">
        <w:rPr>
          <w:rFonts w:ascii="Arial" w:hAnsi="Arial" w:cs="Arial"/>
          <w:b/>
          <w:noProof/>
        </w:rPr>
        <w:t xml:space="preserve">Koncesioni akt o </w:t>
      </w:r>
      <w:r w:rsidR="006E17E5">
        <w:rPr>
          <w:rFonts w:ascii="Arial" w:hAnsi="Arial" w:cs="Arial"/>
          <w:b/>
          <w:noProof/>
        </w:rPr>
        <w:t>energetskoj</w:t>
      </w:r>
      <w:r w:rsidRPr="00DA6313">
        <w:rPr>
          <w:rFonts w:ascii="Arial" w:hAnsi="Arial" w:cs="Arial"/>
          <w:b/>
          <w:noProof/>
        </w:rPr>
        <w:t xml:space="preserve"> mineralnoj sirovini </w:t>
      </w:r>
      <w:r>
        <w:rPr>
          <w:rFonts w:ascii="Arial" w:hAnsi="Arial" w:cs="Arial"/>
          <w:b/>
          <w:noProof/>
        </w:rPr>
        <w:t>mrkolignitni ugalj</w:t>
      </w:r>
      <w:r w:rsidRPr="00DA6313">
        <w:rPr>
          <w:rFonts w:ascii="Arial" w:hAnsi="Arial" w:cs="Arial"/>
          <w:b/>
          <w:noProof/>
        </w:rPr>
        <w:t xml:space="preserve"> lokaliteta „</w:t>
      </w:r>
      <w:r>
        <w:rPr>
          <w:rFonts w:ascii="Arial" w:hAnsi="Arial" w:cs="Arial"/>
          <w:b/>
          <w:noProof/>
        </w:rPr>
        <w:t>Mataruge”,</w:t>
      </w:r>
      <w:r w:rsidR="00674220">
        <w:rPr>
          <w:rFonts w:ascii="Arial" w:hAnsi="Arial" w:cs="Arial"/>
          <w:b/>
          <w:noProof/>
        </w:rPr>
        <w:t xml:space="preserve"> O</w:t>
      </w:r>
      <w:r w:rsidRPr="00DA6313">
        <w:rPr>
          <w:rFonts w:ascii="Arial" w:hAnsi="Arial" w:cs="Arial"/>
          <w:b/>
          <w:noProof/>
        </w:rPr>
        <w:t xml:space="preserve">pština </w:t>
      </w:r>
      <w:r>
        <w:rPr>
          <w:rFonts w:ascii="Arial" w:hAnsi="Arial" w:cs="Arial"/>
          <w:b/>
          <w:noProof/>
        </w:rPr>
        <w:t>Pljevlja</w:t>
      </w:r>
      <w:r w:rsidRPr="00DA6313">
        <w:rPr>
          <w:rFonts w:ascii="Arial" w:hAnsi="Arial" w:cs="Arial"/>
          <w:b/>
          <w:noProof/>
        </w:rPr>
        <w:t>.</w:t>
      </w:r>
    </w:p>
    <w:p w14:paraId="700CE00F" w14:textId="77777777" w:rsidR="00653D40" w:rsidRPr="00DA6313" w:rsidRDefault="00653D40" w:rsidP="00653D40">
      <w:pPr>
        <w:spacing w:after="0" w:line="240" w:lineRule="auto"/>
        <w:jc w:val="both"/>
        <w:rPr>
          <w:rFonts w:ascii="Arial" w:hAnsi="Arial" w:cs="Arial"/>
          <w:noProof/>
        </w:rPr>
      </w:pPr>
    </w:p>
    <w:p w14:paraId="38FC90E4" w14:textId="77777777" w:rsidR="00E70CE1" w:rsidRDefault="00653D40" w:rsidP="00E70CE1">
      <w:pPr>
        <w:spacing w:after="0" w:line="240" w:lineRule="auto"/>
        <w:jc w:val="both"/>
        <w:rPr>
          <w:rFonts w:ascii="Arial" w:hAnsi="Arial" w:cs="Arial"/>
          <w:noProof/>
        </w:rPr>
      </w:pPr>
      <w:r w:rsidRPr="00DA6313">
        <w:rPr>
          <w:rFonts w:ascii="Arial" w:hAnsi="Arial" w:cs="Arial"/>
          <w:noProof/>
        </w:rPr>
        <w:t xml:space="preserve">Izrada Koncesionog akta izvršena je na osnovu </w:t>
      </w:r>
      <w:r w:rsidR="007B2647">
        <w:rPr>
          <w:rFonts w:ascii="Arial" w:hAnsi="Arial" w:cs="Arial"/>
          <w:noProof/>
        </w:rPr>
        <w:t xml:space="preserve">Dopune plana </w:t>
      </w:r>
      <w:r w:rsidRPr="00DA6313">
        <w:rPr>
          <w:rFonts w:ascii="Arial" w:hAnsi="Arial" w:cs="Arial"/>
          <w:noProof/>
        </w:rPr>
        <w:t xml:space="preserve">davanja koncesija za detaljna geološka istraživanja i eksploataciju </w:t>
      </w:r>
      <w:r>
        <w:rPr>
          <w:rFonts w:ascii="Arial" w:hAnsi="Arial" w:cs="Arial"/>
          <w:noProof/>
        </w:rPr>
        <w:t xml:space="preserve">mineralnih sirovina </w:t>
      </w:r>
      <w:r w:rsidR="002D0162">
        <w:rPr>
          <w:rFonts w:ascii="Arial" w:hAnsi="Arial" w:cs="Arial"/>
          <w:noProof/>
        </w:rPr>
        <w:t>za 202</w:t>
      </w:r>
      <w:r w:rsidR="00B73F0C">
        <w:rPr>
          <w:rFonts w:ascii="Arial" w:hAnsi="Arial" w:cs="Arial"/>
          <w:noProof/>
        </w:rPr>
        <w:t>0</w:t>
      </w:r>
      <w:r w:rsidRPr="00DA6313">
        <w:rPr>
          <w:rFonts w:ascii="Arial" w:hAnsi="Arial" w:cs="Arial"/>
          <w:noProof/>
        </w:rPr>
        <w:t>. godinu</w:t>
      </w:r>
      <w:r w:rsidR="000C601F">
        <w:rPr>
          <w:rFonts w:ascii="Arial" w:hAnsi="Arial" w:cs="Arial"/>
          <w:noProof/>
        </w:rPr>
        <w:t>,</w:t>
      </w:r>
      <w:r w:rsidR="007B2647">
        <w:rPr>
          <w:rFonts w:ascii="Arial" w:hAnsi="Arial" w:cs="Arial"/>
          <w:noProof/>
        </w:rPr>
        <w:t xml:space="preserve"> koju je Vlada donijela na sjednici 27 avgusta 2020 godine</w:t>
      </w:r>
      <w:r w:rsidR="00E70CE1">
        <w:rPr>
          <w:rFonts w:ascii="Arial" w:hAnsi="Arial" w:cs="Arial"/>
          <w:noProof/>
        </w:rPr>
        <w:t xml:space="preserve"> a u koju je uvršten i lokalitet mrkolignitnog uglja </w:t>
      </w:r>
      <w:r w:rsidR="00E70CE1" w:rsidRPr="00DA6313">
        <w:rPr>
          <w:rFonts w:ascii="Arial" w:hAnsi="Arial" w:cs="Arial"/>
          <w:noProof/>
        </w:rPr>
        <w:t>„</w:t>
      </w:r>
      <w:r w:rsidR="00E70CE1">
        <w:rPr>
          <w:rFonts w:ascii="Arial" w:hAnsi="Arial" w:cs="Arial"/>
          <w:noProof/>
        </w:rPr>
        <w:t>Mataruge”, o</w:t>
      </w:r>
      <w:r w:rsidR="00E70CE1" w:rsidRPr="00DA6313">
        <w:rPr>
          <w:rFonts w:ascii="Arial" w:hAnsi="Arial" w:cs="Arial"/>
          <w:noProof/>
        </w:rPr>
        <w:t xml:space="preserve">pština </w:t>
      </w:r>
      <w:r w:rsidR="00E70CE1">
        <w:rPr>
          <w:rFonts w:ascii="Arial" w:hAnsi="Arial" w:cs="Arial"/>
          <w:noProof/>
        </w:rPr>
        <w:t>Pljevlja.</w:t>
      </w:r>
    </w:p>
    <w:p w14:paraId="4C4F54F7" w14:textId="77777777" w:rsidR="00E70CE1" w:rsidRPr="00DA6313" w:rsidRDefault="00E70CE1" w:rsidP="00E70CE1">
      <w:pPr>
        <w:spacing w:after="0" w:line="240" w:lineRule="auto"/>
        <w:jc w:val="both"/>
        <w:rPr>
          <w:rFonts w:ascii="Arial" w:hAnsi="Arial" w:cs="Arial"/>
          <w:noProof/>
        </w:rPr>
      </w:pPr>
    </w:p>
    <w:p w14:paraId="1A7B7547" w14:textId="77777777" w:rsidR="00653D40" w:rsidRDefault="00E70CE1" w:rsidP="00653D40">
      <w:pPr>
        <w:spacing w:after="0" w:line="240" w:lineRule="auto"/>
        <w:jc w:val="both"/>
        <w:rPr>
          <w:rFonts w:ascii="Arial" w:hAnsi="Arial" w:cs="Arial"/>
          <w:noProof/>
        </w:rPr>
      </w:pPr>
      <w:r w:rsidRPr="00E70CE1">
        <w:rPr>
          <w:rFonts w:ascii="Arial" w:hAnsi="Arial" w:cs="Arial"/>
          <w:noProof/>
        </w:rPr>
        <w:t>U skladu sa članom 40 Zakona o geološkim istraživanjima („Sl. list RCG’’, br. 28/93, 27/94, 42/94 i 26/07 i „Sl. list CG“, br. 28/11) i Prog</w:t>
      </w:r>
      <w:r>
        <w:rPr>
          <w:rFonts w:ascii="Arial" w:hAnsi="Arial" w:cs="Arial"/>
          <w:noProof/>
        </w:rPr>
        <w:t>ramom geoloških istraživanja,</w:t>
      </w:r>
      <w:r w:rsidRPr="00E70CE1">
        <w:rPr>
          <w:rFonts w:ascii="Arial" w:hAnsi="Arial" w:cs="Arial"/>
          <w:noProof/>
        </w:rPr>
        <w:t xml:space="preserve"> JU Zavod za geološka istraživanja je pripremila kompleksnu geološku podlogu za potrebe izrade Koncesionog akta </w:t>
      </w:r>
      <w:r w:rsidRPr="00DA6313">
        <w:rPr>
          <w:rFonts w:ascii="Arial" w:hAnsi="Arial" w:cs="Arial"/>
          <w:noProof/>
        </w:rPr>
        <w:t xml:space="preserve">za lokalitet </w:t>
      </w:r>
      <w:r>
        <w:rPr>
          <w:rFonts w:ascii="Arial" w:hAnsi="Arial" w:cs="Arial"/>
          <w:noProof/>
        </w:rPr>
        <w:t xml:space="preserve">mrkolignitnog uglja </w:t>
      </w:r>
      <w:r w:rsidRPr="00DA6313">
        <w:rPr>
          <w:rFonts w:ascii="Arial" w:hAnsi="Arial" w:cs="Arial"/>
          <w:noProof/>
        </w:rPr>
        <w:t>„</w:t>
      </w:r>
      <w:r>
        <w:rPr>
          <w:rFonts w:ascii="Arial" w:hAnsi="Arial" w:cs="Arial"/>
          <w:noProof/>
        </w:rPr>
        <w:t>Mataruge”, o</w:t>
      </w:r>
      <w:r w:rsidRPr="00DA6313">
        <w:rPr>
          <w:rFonts w:ascii="Arial" w:hAnsi="Arial" w:cs="Arial"/>
          <w:noProof/>
        </w:rPr>
        <w:t xml:space="preserve">pština </w:t>
      </w:r>
      <w:r>
        <w:rPr>
          <w:rFonts w:ascii="Arial" w:hAnsi="Arial" w:cs="Arial"/>
          <w:noProof/>
        </w:rPr>
        <w:t>Pljevlja.</w:t>
      </w:r>
    </w:p>
    <w:p w14:paraId="0D4EEDB4" w14:textId="77777777" w:rsidR="00E70CE1" w:rsidRDefault="00E70CE1" w:rsidP="00653D40">
      <w:pPr>
        <w:spacing w:after="0" w:line="240" w:lineRule="auto"/>
        <w:jc w:val="both"/>
        <w:rPr>
          <w:rFonts w:ascii="Arial" w:hAnsi="Arial" w:cs="Arial"/>
          <w:noProof/>
        </w:rPr>
      </w:pPr>
    </w:p>
    <w:p w14:paraId="2801BBC1" w14:textId="356ED9A5" w:rsidR="00E70CE1" w:rsidRDefault="00E70CE1" w:rsidP="00653D40">
      <w:pPr>
        <w:spacing w:after="0" w:line="240" w:lineRule="auto"/>
        <w:jc w:val="both"/>
        <w:rPr>
          <w:rFonts w:ascii="Arial" w:hAnsi="Arial" w:cs="Arial"/>
          <w:noProof/>
        </w:rPr>
      </w:pPr>
      <w:r w:rsidRPr="005F22EC">
        <w:rPr>
          <w:rFonts w:ascii="Arial" w:hAnsi="Arial" w:cs="Arial"/>
          <w:noProof/>
        </w:rPr>
        <w:t xml:space="preserve">U skladu sa Zakonom o koncesijama („Službeni list CG”, broj 8/09 i </w:t>
      </w:r>
      <w:r>
        <w:rPr>
          <w:rFonts w:ascii="Arial" w:hAnsi="Arial" w:cs="Arial"/>
          <w:noProof/>
        </w:rPr>
        <w:t>73/19</w:t>
      </w:r>
      <w:r w:rsidR="002D0162">
        <w:rPr>
          <w:rFonts w:ascii="Arial" w:hAnsi="Arial" w:cs="Arial"/>
          <w:noProof/>
        </w:rPr>
        <w:t xml:space="preserve">) i </w:t>
      </w:r>
      <w:r w:rsidR="007B2647">
        <w:rPr>
          <w:rFonts w:ascii="Arial" w:hAnsi="Arial" w:cs="Arial"/>
          <w:noProof/>
        </w:rPr>
        <w:t xml:space="preserve">Dopunom plana </w:t>
      </w:r>
      <w:r w:rsidR="007B2647" w:rsidRPr="00DA6313">
        <w:rPr>
          <w:rFonts w:ascii="Arial" w:hAnsi="Arial" w:cs="Arial"/>
          <w:noProof/>
        </w:rPr>
        <w:t xml:space="preserve">davanja koncesija za detaljna geološka istraživanja i eksploataciju </w:t>
      </w:r>
      <w:r w:rsidR="007B2647">
        <w:rPr>
          <w:rFonts w:ascii="Arial" w:hAnsi="Arial" w:cs="Arial"/>
          <w:noProof/>
        </w:rPr>
        <w:t>mineralnih sirovina za 2020</w:t>
      </w:r>
      <w:r w:rsidR="007B2647" w:rsidRPr="00DA6313">
        <w:rPr>
          <w:rFonts w:ascii="Arial" w:hAnsi="Arial" w:cs="Arial"/>
          <w:noProof/>
        </w:rPr>
        <w:t>.</w:t>
      </w:r>
      <w:r w:rsidRPr="005F22EC">
        <w:rPr>
          <w:rFonts w:ascii="Arial" w:hAnsi="Arial" w:cs="Arial"/>
          <w:noProof/>
        </w:rPr>
        <w:t xml:space="preserve"> godinu, Ministarstvo </w:t>
      </w:r>
      <w:r w:rsidR="000C601F">
        <w:rPr>
          <w:rFonts w:ascii="Arial" w:hAnsi="Arial" w:cs="Arial"/>
          <w:noProof/>
        </w:rPr>
        <w:t xml:space="preserve">kapitalnih investicija - </w:t>
      </w:r>
      <w:r w:rsidRPr="005F22EC">
        <w:rPr>
          <w:rFonts w:ascii="Arial" w:hAnsi="Arial" w:cs="Arial"/>
          <w:noProof/>
        </w:rPr>
        <w:t>Vlad</w:t>
      </w:r>
      <w:r w:rsidR="009F2F62">
        <w:rPr>
          <w:rFonts w:ascii="Arial" w:hAnsi="Arial" w:cs="Arial"/>
          <w:noProof/>
        </w:rPr>
        <w:t>a</w:t>
      </w:r>
      <w:r w:rsidRPr="005F22EC">
        <w:rPr>
          <w:rFonts w:ascii="Arial" w:hAnsi="Arial" w:cs="Arial"/>
          <w:noProof/>
        </w:rPr>
        <w:t xml:space="preserve"> Crne Gore (u daljem tekstu: Ministarstvo) je pripremilo Koncesioni akt o ležištu energetske mineralne sirovine </w:t>
      </w:r>
      <w:r w:rsidR="005F22EC">
        <w:rPr>
          <w:rFonts w:ascii="Arial" w:hAnsi="Arial" w:cs="Arial"/>
          <w:noProof/>
        </w:rPr>
        <w:t xml:space="preserve">mrkolignitnog uglja </w:t>
      </w:r>
      <w:r w:rsidR="005F22EC" w:rsidRPr="00DA6313">
        <w:rPr>
          <w:rFonts w:ascii="Arial" w:hAnsi="Arial" w:cs="Arial"/>
          <w:noProof/>
        </w:rPr>
        <w:t>„</w:t>
      </w:r>
      <w:r w:rsidR="005F22EC">
        <w:rPr>
          <w:rFonts w:ascii="Arial" w:hAnsi="Arial" w:cs="Arial"/>
          <w:noProof/>
        </w:rPr>
        <w:t>Mataruge”, o</w:t>
      </w:r>
      <w:r w:rsidR="005F22EC" w:rsidRPr="00DA6313">
        <w:rPr>
          <w:rFonts w:ascii="Arial" w:hAnsi="Arial" w:cs="Arial"/>
          <w:noProof/>
        </w:rPr>
        <w:t xml:space="preserve">pština </w:t>
      </w:r>
      <w:r w:rsidR="00B73F0C">
        <w:rPr>
          <w:rFonts w:ascii="Arial" w:hAnsi="Arial" w:cs="Arial"/>
          <w:noProof/>
        </w:rPr>
        <w:t>Pljevlja.</w:t>
      </w:r>
    </w:p>
    <w:p w14:paraId="658C98C7" w14:textId="77777777" w:rsidR="00B73F0C" w:rsidRDefault="00B73F0C" w:rsidP="00653D40">
      <w:pPr>
        <w:spacing w:after="0" w:line="240" w:lineRule="auto"/>
        <w:jc w:val="both"/>
        <w:rPr>
          <w:rFonts w:ascii="Arial" w:hAnsi="Arial" w:cs="Arial"/>
          <w:noProof/>
        </w:rPr>
      </w:pPr>
      <w:r>
        <w:rPr>
          <w:rFonts w:ascii="Arial" w:hAnsi="Arial" w:cs="Arial"/>
          <w:noProof/>
        </w:rPr>
        <w:t xml:space="preserve"> </w:t>
      </w:r>
    </w:p>
    <w:p w14:paraId="5DCDF6F0" w14:textId="77777777" w:rsidR="00653D40" w:rsidRPr="00DA6313" w:rsidRDefault="00653D40" w:rsidP="00653D40">
      <w:pPr>
        <w:spacing w:after="0" w:line="240" w:lineRule="auto"/>
        <w:jc w:val="both"/>
        <w:rPr>
          <w:rFonts w:ascii="Arial" w:hAnsi="Arial" w:cs="Arial"/>
          <w:b/>
          <w:noProof/>
        </w:rPr>
      </w:pPr>
      <w:r w:rsidRPr="00DA6313">
        <w:rPr>
          <w:rFonts w:ascii="Arial" w:hAnsi="Arial" w:cs="Arial"/>
          <w:b/>
          <w:noProof/>
        </w:rPr>
        <w:t>Izvori podataka za izradu Koncesionog akta:</w:t>
      </w:r>
    </w:p>
    <w:p w14:paraId="41873D90" w14:textId="77777777" w:rsidR="00653D40" w:rsidRPr="00DA6313" w:rsidRDefault="00653D40" w:rsidP="00653D40">
      <w:pPr>
        <w:spacing w:after="0" w:line="240" w:lineRule="auto"/>
        <w:jc w:val="both"/>
        <w:rPr>
          <w:rFonts w:ascii="Arial" w:hAnsi="Arial" w:cs="Arial"/>
          <w:b/>
          <w:noProof/>
        </w:rPr>
      </w:pPr>
    </w:p>
    <w:p w14:paraId="7C51981F" w14:textId="77777777" w:rsidR="00653D40" w:rsidRPr="00790D4E" w:rsidRDefault="00653D40" w:rsidP="00664C2A">
      <w:pPr>
        <w:numPr>
          <w:ilvl w:val="0"/>
          <w:numId w:val="10"/>
        </w:numPr>
        <w:spacing w:after="0" w:line="240" w:lineRule="auto"/>
        <w:ind w:left="426"/>
        <w:jc w:val="both"/>
        <w:rPr>
          <w:rFonts w:ascii="Arial" w:hAnsi="Arial" w:cs="Arial"/>
          <w:noProof/>
        </w:rPr>
      </w:pPr>
      <w:r w:rsidRPr="00790D4E">
        <w:rPr>
          <w:rFonts w:ascii="Arial" w:hAnsi="Arial" w:cs="Arial"/>
          <w:noProof/>
        </w:rPr>
        <w:t xml:space="preserve">Raspoloživa geološka i rudarska dokumentacija Ministarstva </w:t>
      </w:r>
      <w:r w:rsidR="002D0162">
        <w:rPr>
          <w:rFonts w:ascii="Arial" w:hAnsi="Arial" w:cs="Arial"/>
          <w:noProof/>
        </w:rPr>
        <w:t>kapitalnih investicija</w:t>
      </w:r>
      <w:r w:rsidRPr="00790D4E">
        <w:rPr>
          <w:rFonts w:ascii="Arial" w:hAnsi="Arial" w:cs="Arial"/>
          <w:noProof/>
        </w:rPr>
        <w:t xml:space="preserve"> i JU Zavod za geološka istraživanja Podgorica;</w:t>
      </w:r>
    </w:p>
    <w:p w14:paraId="6145E328" w14:textId="77777777" w:rsidR="00653D40" w:rsidRPr="00790D4E" w:rsidRDefault="00653D40" w:rsidP="00664C2A">
      <w:pPr>
        <w:pStyle w:val="ListParagraph"/>
        <w:numPr>
          <w:ilvl w:val="0"/>
          <w:numId w:val="10"/>
        </w:numPr>
        <w:spacing w:after="0" w:line="240" w:lineRule="auto"/>
        <w:ind w:left="426"/>
        <w:contextualSpacing w:val="0"/>
        <w:jc w:val="both"/>
        <w:rPr>
          <w:rFonts w:ascii="Arial" w:hAnsi="Arial" w:cs="Arial"/>
          <w:noProof/>
          <w:color w:val="000000"/>
        </w:rPr>
      </w:pPr>
      <w:r w:rsidRPr="00790D4E">
        <w:rPr>
          <w:rFonts w:ascii="Arial" w:hAnsi="Arial" w:cs="Arial"/>
          <w:lang w:val="hr-HR"/>
        </w:rPr>
        <w:t>Tehnička dokumentacija Rudnika uglja A.D. Pljevlja</w:t>
      </w:r>
      <w:r w:rsidR="00A920EC">
        <w:rPr>
          <w:rFonts w:ascii="Arial" w:hAnsi="Arial" w:cs="Arial"/>
          <w:lang w:val="hr-HR"/>
        </w:rPr>
        <w:t xml:space="preserve"> sa potrebnim podacima za izradu Koncesionog akta</w:t>
      </w:r>
      <w:r w:rsidRPr="00790D4E">
        <w:rPr>
          <w:rFonts w:ascii="Arial" w:hAnsi="Arial" w:cs="Arial"/>
          <w:lang w:val="hr-HR"/>
        </w:rPr>
        <w:t>;</w:t>
      </w:r>
      <w:r w:rsidRPr="00790D4E">
        <w:rPr>
          <w:rFonts w:ascii="Arial" w:hAnsi="Arial" w:cs="Arial"/>
          <w:noProof/>
          <w:color w:val="000000"/>
        </w:rPr>
        <w:t xml:space="preserve"> </w:t>
      </w:r>
    </w:p>
    <w:p w14:paraId="51286626" w14:textId="77777777" w:rsidR="00653D40" w:rsidRPr="00790D4E" w:rsidRDefault="00653D40" w:rsidP="00664C2A">
      <w:pPr>
        <w:pStyle w:val="ListParagraph"/>
        <w:numPr>
          <w:ilvl w:val="0"/>
          <w:numId w:val="10"/>
        </w:numPr>
        <w:spacing w:after="0" w:line="240" w:lineRule="auto"/>
        <w:ind w:left="426"/>
        <w:contextualSpacing w:val="0"/>
        <w:jc w:val="both"/>
        <w:rPr>
          <w:rFonts w:ascii="Arial" w:hAnsi="Arial" w:cs="Arial"/>
          <w:noProof/>
          <w:color w:val="000000"/>
        </w:rPr>
      </w:pPr>
      <w:r w:rsidRPr="00790D4E">
        <w:rPr>
          <w:rFonts w:ascii="Arial" w:hAnsi="Arial" w:cs="Arial"/>
          <w:lang w:val="sr-Latn-CS"/>
        </w:rPr>
        <w:t>Ministarstvo zaštite životne sredine i uređenja prostora;</w:t>
      </w:r>
    </w:p>
    <w:p w14:paraId="15E399DF" w14:textId="77777777" w:rsidR="00653D40" w:rsidRPr="00790D4E" w:rsidRDefault="000277A5" w:rsidP="00664C2A">
      <w:pPr>
        <w:pStyle w:val="ListParagraph"/>
        <w:numPr>
          <w:ilvl w:val="0"/>
          <w:numId w:val="10"/>
        </w:numPr>
        <w:spacing w:after="0" w:line="240" w:lineRule="auto"/>
        <w:ind w:left="426"/>
        <w:jc w:val="both"/>
        <w:rPr>
          <w:rFonts w:ascii="Arial" w:hAnsi="Arial" w:cs="Arial"/>
          <w:lang w:val="sr-Latn-CS"/>
        </w:rPr>
      </w:pPr>
      <w:r>
        <w:rPr>
          <w:rFonts w:ascii="Arial" w:hAnsi="Arial" w:cs="Arial"/>
          <w:lang w:val="sr-Latn-CS"/>
        </w:rPr>
        <w:t>Direkcija za nekretnine,</w:t>
      </w:r>
      <w:r w:rsidR="00653D40" w:rsidRPr="00790D4E">
        <w:rPr>
          <w:rFonts w:ascii="Arial" w:hAnsi="Arial" w:cs="Arial"/>
          <w:lang w:val="sr-Latn-CS"/>
        </w:rPr>
        <w:t xml:space="preserve"> Područna jedinica </w:t>
      </w:r>
      <w:r w:rsidR="00653D40" w:rsidRPr="00790D4E">
        <w:rPr>
          <w:rFonts w:ascii="Arial" w:hAnsi="Arial" w:cs="Arial"/>
          <w:lang w:val="sr-Cyrl-CS"/>
        </w:rPr>
        <w:t>Pljevlja</w:t>
      </w:r>
      <w:r w:rsidR="00653D40" w:rsidRPr="00790D4E">
        <w:rPr>
          <w:rFonts w:ascii="Arial" w:hAnsi="Arial" w:cs="Arial"/>
          <w:lang w:val="sr-Latn-CS"/>
        </w:rPr>
        <w:t>;</w:t>
      </w:r>
    </w:p>
    <w:p w14:paraId="5792C039" w14:textId="77777777" w:rsidR="00653D40" w:rsidRPr="00790D4E" w:rsidRDefault="00653D40" w:rsidP="00664C2A">
      <w:pPr>
        <w:pStyle w:val="ListParagraph"/>
        <w:numPr>
          <w:ilvl w:val="0"/>
          <w:numId w:val="10"/>
        </w:numPr>
        <w:spacing w:after="0" w:line="240" w:lineRule="auto"/>
        <w:ind w:left="426"/>
        <w:jc w:val="both"/>
        <w:rPr>
          <w:rFonts w:ascii="Arial" w:hAnsi="Arial" w:cs="Arial"/>
          <w:lang w:val="sr-Latn-CS"/>
        </w:rPr>
      </w:pPr>
      <w:proofErr w:type="spellStart"/>
      <w:r w:rsidRPr="00790D4E">
        <w:rPr>
          <w:rFonts w:ascii="Arial" w:hAnsi="Arial" w:cs="Arial"/>
        </w:rPr>
        <w:t>Sekretarijat</w:t>
      </w:r>
      <w:proofErr w:type="spellEnd"/>
      <w:r w:rsidRPr="00790D4E">
        <w:rPr>
          <w:rFonts w:ascii="Arial" w:hAnsi="Arial" w:cs="Arial"/>
        </w:rPr>
        <w:t xml:space="preserve"> </w:t>
      </w:r>
      <w:proofErr w:type="spellStart"/>
      <w:r w:rsidRPr="00790D4E">
        <w:rPr>
          <w:rFonts w:ascii="Arial" w:hAnsi="Arial" w:cs="Arial"/>
        </w:rPr>
        <w:t>za</w:t>
      </w:r>
      <w:proofErr w:type="spellEnd"/>
      <w:r w:rsidRPr="00790D4E">
        <w:rPr>
          <w:rFonts w:ascii="Arial" w:hAnsi="Arial" w:cs="Arial"/>
        </w:rPr>
        <w:t xml:space="preserve"> </w:t>
      </w:r>
      <w:proofErr w:type="spellStart"/>
      <w:r w:rsidRPr="00790D4E">
        <w:rPr>
          <w:rFonts w:ascii="Arial" w:hAnsi="Arial" w:cs="Arial"/>
        </w:rPr>
        <w:t>urbanizam</w:t>
      </w:r>
      <w:proofErr w:type="spellEnd"/>
      <w:r w:rsidRPr="00790D4E">
        <w:rPr>
          <w:rFonts w:ascii="Arial" w:hAnsi="Arial" w:cs="Arial"/>
        </w:rPr>
        <w:t xml:space="preserve">, </w:t>
      </w:r>
      <w:proofErr w:type="spellStart"/>
      <w:r w:rsidRPr="00790D4E">
        <w:rPr>
          <w:rFonts w:ascii="Arial" w:hAnsi="Arial" w:cs="Arial"/>
        </w:rPr>
        <w:t>građevinarstvo</w:t>
      </w:r>
      <w:proofErr w:type="spellEnd"/>
      <w:r w:rsidRPr="00790D4E">
        <w:rPr>
          <w:rFonts w:ascii="Arial" w:hAnsi="Arial" w:cs="Arial"/>
        </w:rPr>
        <w:t xml:space="preserve"> </w:t>
      </w:r>
      <w:proofErr w:type="spellStart"/>
      <w:r w:rsidRPr="00790D4E">
        <w:rPr>
          <w:rFonts w:ascii="Arial" w:hAnsi="Arial" w:cs="Arial"/>
        </w:rPr>
        <w:t>i</w:t>
      </w:r>
      <w:proofErr w:type="spellEnd"/>
      <w:r w:rsidRPr="00790D4E">
        <w:rPr>
          <w:rFonts w:ascii="Arial" w:hAnsi="Arial" w:cs="Arial"/>
        </w:rPr>
        <w:t xml:space="preserve"> </w:t>
      </w:r>
      <w:proofErr w:type="spellStart"/>
      <w:r w:rsidRPr="00790D4E">
        <w:rPr>
          <w:rFonts w:ascii="Arial" w:hAnsi="Arial" w:cs="Arial"/>
        </w:rPr>
        <w:t>stambeno-komunalne</w:t>
      </w:r>
      <w:proofErr w:type="spellEnd"/>
      <w:r w:rsidRPr="00790D4E">
        <w:rPr>
          <w:rFonts w:ascii="Arial" w:hAnsi="Arial" w:cs="Arial"/>
        </w:rPr>
        <w:t xml:space="preserve"> </w:t>
      </w:r>
      <w:proofErr w:type="spellStart"/>
      <w:r w:rsidRPr="00790D4E">
        <w:rPr>
          <w:rFonts w:ascii="Arial" w:hAnsi="Arial" w:cs="Arial"/>
        </w:rPr>
        <w:t>poslove</w:t>
      </w:r>
      <w:proofErr w:type="spellEnd"/>
      <w:r w:rsidRPr="00790D4E">
        <w:rPr>
          <w:rFonts w:ascii="Arial" w:hAnsi="Arial" w:cs="Arial"/>
        </w:rPr>
        <w:t xml:space="preserve"> </w:t>
      </w:r>
      <w:proofErr w:type="spellStart"/>
      <w:r w:rsidRPr="00790D4E">
        <w:rPr>
          <w:rFonts w:ascii="Arial" w:hAnsi="Arial" w:cs="Arial"/>
        </w:rPr>
        <w:t>Opštine</w:t>
      </w:r>
      <w:proofErr w:type="spellEnd"/>
      <w:r w:rsidRPr="00790D4E">
        <w:rPr>
          <w:rFonts w:ascii="Arial" w:hAnsi="Arial" w:cs="Arial"/>
        </w:rPr>
        <w:t xml:space="preserve"> </w:t>
      </w:r>
      <w:r w:rsidRPr="00790D4E">
        <w:rPr>
          <w:rFonts w:ascii="Arial" w:hAnsi="Arial" w:cs="Arial"/>
          <w:lang w:val="sr-Cyrl-CS"/>
        </w:rPr>
        <w:t>Pljevlja;</w:t>
      </w:r>
    </w:p>
    <w:p w14:paraId="33E53E19" w14:textId="77777777" w:rsidR="00653D40" w:rsidRPr="003C5651" w:rsidRDefault="00363797" w:rsidP="00664C2A">
      <w:pPr>
        <w:pStyle w:val="ListParagraph"/>
        <w:numPr>
          <w:ilvl w:val="0"/>
          <w:numId w:val="10"/>
        </w:numPr>
        <w:spacing w:after="0" w:line="240" w:lineRule="auto"/>
        <w:ind w:left="426"/>
        <w:jc w:val="both"/>
        <w:rPr>
          <w:rFonts w:ascii="Arial" w:hAnsi="Arial" w:cs="Arial"/>
          <w:lang w:val="sr-Latn-CS"/>
        </w:rPr>
      </w:pPr>
      <w:r w:rsidRPr="00790D4E">
        <w:rPr>
          <w:rFonts w:ascii="Arial" w:hAnsi="Arial" w:cs="Arial"/>
          <w:lang w:val="hr-HR"/>
        </w:rPr>
        <w:t>Rudnika uglja A.D. Pljevlja</w:t>
      </w:r>
      <w:r>
        <w:rPr>
          <w:rFonts w:ascii="Arial" w:hAnsi="Arial" w:cs="Arial"/>
          <w:lang w:val="hr-HR"/>
        </w:rPr>
        <w:t xml:space="preserve"> i </w:t>
      </w:r>
      <w:r w:rsidR="003C5651">
        <w:rPr>
          <w:rFonts w:ascii="Arial" w:hAnsi="Arial" w:cs="Arial"/>
          <w:lang w:val="sr-Cyrl-CS"/>
        </w:rPr>
        <w:t xml:space="preserve">Zavod za statistiku </w:t>
      </w:r>
      <w:r w:rsidR="00653D40" w:rsidRPr="00790D4E">
        <w:rPr>
          <w:rFonts w:ascii="Arial" w:hAnsi="Arial" w:cs="Arial"/>
          <w:lang w:val="sr-Cyrl-CS"/>
        </w:rPr>
        <w:t>CG</w:t>
      </w:r>
      <w:r w:rsidR="00D616E1">
        <w:rPr>
          <w:rFonts w:ascii="Arial" w:hAnsi="Arial" w:cs="Arial"/>
        </w:rPr>
        <w:t>-</w:t>
      </w:r>
      <w:proofErr w:type="spellStart"/>
      <w:r w:rsidR="003C5651">
        <w:rPr>
          <w:rFonts w:ascii="Arial" w:hAnsi="Arial" w:cs="Arial"/>
        </w:rPr>
        <w:t>Monstat</w:t>
      </w:r>
      <w:proofErr w:type="spellEnd"/>
      <w:r w:rsidR="003C5651">
        <w:rPr>
          <w:rFonts w:ascii="Arial" w:hAnsi="Arial" w:cs="Arial"/>
        </w:rPr>
        <w:t>, p</w:t>
      </w:r>
      <w:r w:rsidR="00653D40" w:rsidRPr="003C5651">
        <w:rPr>
          <w:rFonts w:ascii="Arial" w:hAnsi="Arial" w:cs="Arial"/>
          <w:lang w:val="pl-PL"/>
        </w:rPr>
        <w:t xml:space="preserve">odaci o prosječno ostvarenoj cijeni mineralne sirovine  </w:t>
      </w:r>
      <w:proofErr w:type="spellStart"/>
      <w:r w:rsidR="00653D40" w:rsidRPr="003C5651">
        <w:rPr>
          <w:rFonts w:ascii="Arial" w:hAnsi="Arial" w:cs="Arial"/>
        </w:rPr>
        <w:t>mrkolignitskog</w:t>
      </w:r>
      <w:proofErr w:type="spellEnd"/>
      <w:r w:rsidR="00653D40" w:rsidRPr="003C5651">
        <w:rPr>
          <w:rFonts w:ascii="Arial" w:hAnsi="Arial" w:cs="Arial"/>
        </w:rPr>
        <w:t xml:space="preserve"> </w:t>
      </w:r>
      <w:proofErr w:type="spellStart"/>
      <w:r w:rsidR="00653D40" w:rsidRPr="003C5651">
        <w:rPr>
          <w:rFonts w:ascii="Arial" w:hAnsi="Arial" w:cs="Arial"/>
        </w:rPr>
        <w:t>uglja</w:t>
      </w:r>
      <w:proofErr w:type="spellEnd"/>
      <w:r w:rsidR="00653D40" w:rsidRPr="003C5651">
        <w:rPr>
          <w:rFonts w:ascii="Arial" w:hAnsi="Arial" w:cs="Arial"/>
        </w:rPr>
        <w:t xml:space="preserve"> </w:t>
      </w:r>
      <w:r w:rsidR="00653D40" w:rsidRPr="003C5651">
        <w:rPr>
          <w:rFonts w:ascii="Arial" w:hAnsi="Arial" w:cs="Arial"/>
          <w:lang w:val="pl-PL"/>
        </w:rPr>
        <w:t>u Crnoj Gori u 20</w:t>
      </w:r>
      <w:r w:rsidR="005F22EC" w:rsidRPr="003C5651">
        <w:rPr>
          <w:rFonts w:ascii="Arial" w:hAnsi="Arial" w:cs="Arial"/>
          <w:lang w:val="pl-PL"/>
        </w:rPr>
        <w:t>20</w:t>
      </w:r>
      <w:r w:rsidR="00653D40" w:rsidRPr="003C5651">
        <w:rPr>
          <w:rFonts w:ascii="Arial" w:hAnsi="Arial" w:cs="Arial"/>
          <w:lang w:val="pl-PL"/>
        </w:rPr>
        <w:t>. godini.</w:t>
      </w:r>
    </w:p>
    <w:p w14:paraId="7C8C146D" w14:textId="77777777" w:rsidR="00653D40" w:rsidRPr="00DA6313" w:rsidRDefault="00653D40" w:rsidP="00653D40">
      <w:pPr>
        <w:pStyle w:val="ListParagraph"/>
        <w:spacing w:after="0" w:line="240" w:lineRule="auto"/>
        <w:ind w:left="0"/>
        <w:jc w:val="both"/>
        <w:rPr>
          <w:rFonts w:ascii="Arial" w:hAnsi="Arial" w:cs="Arial"/>
          <w:noProof/>
        </w:rPr>
      </w:pPr>
    </w:p>
    <w:p w14:paraId="24F8A784" w14:textId="77777777" w:rsidR="00653D40" w:rsidRPr="00DA6313" w:rsidRDefault="00653D40" w:rsidP="00653D40">
      <w:pPr>
        <w:spacing w:after="0" w:line="240" w:lineRule="auto"/>
        <w:jc w:val="both"/>
        <w:rPr>
          <w:rFonts w:ascii="Arial" w:hAnsi="Arial" w:cs="Arial"/>
          <w:b/>
          <w:noProof/>
        </w:rPr>
      </w:pPr>
      <w:r w:rsidRPr="00DA6313">
        <w:rPr>
          <w:rFonts w:ascii="Arial" w:hAnsi="Arial" w:cs="Arial"/>
          <w:b/>
          <w:noProof/>
        </w:rPr>
        <w:t>Zakonski propisi korišćeni pri izradi Koncesionog akta:</w:t>
      </w:r>
    </w:p>
    <w:p w14:paraId="723F27A0" w14:textId="77777777" w:rsidR="00653D40" w:rsidRPr="00DA6313" w:rsidRDefault="00653D40" w:rsidP="00653D40">
      <w:pPr>
        <w:spacing w:after="0" w:line="240" w:lineRule="auto"/>
        <w:jc w:val="both"/>
        <w:rPr>
          <w:rFonts w:ascii="Arial" w:hAnsi="Arial" w:cs="Arial"/>
          <w:b/>
          <w:noProof/>
        </w:rPr>
      </w:pPr>
    </w:p>
    <w:p w14:paraId="7BE0198F" w14:textId="77777777" w:rsidR="00653D40" w:rsidRPr="00DA6313" w:rsidRDefault="00653D40" w:rsidP="00664C2A">
      <w:pPr>
        <w:numPr>
          <w:ilvl w:val="0"/>
          <w:numId w:val="11"/>
        </w:numPr>
        <w:spacing w:after="0" w:line="240" w:lineRule="auto"/>
        <w:ind w:left="360"/>
        <w:jc w:val="both"/>
        <w:rPr>
          <w:rFonts w:ascii="Arial" w:hAnsi="Arial" w:cs="Arial"/>
          <w:noProof/>
        </w:rPr>
      </w:pPr>
      <w:r w:rsidRPr="00DA6313">
        <w:rPr>
          <w:rFonts w:ascii="Arial" w:hAnsi="Arial" w:cs="Arial"/>
          <w:noProof/>
        </w:rPr>
        <w:t>Zakon o koncesijama („Sl. list CG“, br. 8/09</w:t>
      </w:r>
      <w:r w:rsidR="000277A5">
        <w:rPr>
          <w:rFonts w:ascii="Arial" w:hAnsi="Arial" w:cs="Arial"/>
          <w:noProof/>
        </w:rPr>
        <w:t xml:space="preserve"> i 73/19</w:t>
      </w:r>
      <w:r w:rsidRPr="00DA6313">
        <w:rPr>
          <w:rFonts w:ascii="Arial" w:hAnsi="Arial" w:cs="Arial"/>
          <w:noProof/>
        </w:rPr>
        <w:t>);</w:t>
      </w:r>
    </w:p>
    <w:p w14:paraId="5F418DA4" w14:textId="77777777" w:rsidR="00653D40" w:rsidRPr="00DA6313" w:rsidRDefault="00653D40" w:rsidP="00664C2A">
      <w:pPr>
        <w:numPr>
          <w:ilvl w:val="0"/>
          <w:numId w:val="11"/>
        </w:numPr>
        <w:spacing w:after="0" w:line="240" w:lineRule="auto"/>
        <w:ind w:left="360"/>
        <w:jc w:val="both"/>
        <w:rPr>
          <w:rFonts w:ascii="Arial" w:hAnsi="Arial" w:cs="Arial"/>
          <w:noProof/>
        </w:rPr>
      </w:pPr>
      <w:r w:rsidRPr="00DA6313">
        <w:rPr>
          <w:rFonts w:ascii="Arial" w:hAnsi="Arial" w:cs="Arial"/>
          <w:noProof/>
        </w:rPr>
        <w:t>Zakon o rudarstvu („Sl. list CG“, br. 65/08, 74/10 i 40/11);</w:t>
      </w:r>
    </w:p>
    <w:p w14:paraId="70E3AECE" w14:textId="77777777" w:rsidR="00653D40" w:rsidRPr="00DA6313" w:rsidRDefault="00653D40" w:rsidP="00664C2A">
      <w:pPr>
        <w:numPr>
          <w:ilvl w:val="0"/>
          <w:numId w:val="11"/>
        </w:numPr>
        <w:spacing w:after="0" w:line="240" w:lineRule="auto"/>
        <w:ind w:left="360"/>
        <w:jc w:val="both"/>
        <w:rPr>
          <w:rFonts w:ascii="Arial" w:hAnsi="Arial" w:cs="Arial"/>
          <w:noProof/>
        </w:rPr>
      </w:pPr>
      <w:r w:rsidRPr="00DA6313">
        <w:rPr>
          <w:rFonts w:ascii="Arial" w:hAnsi="Arial" w:cs="Arial"/>
          <w:noProof/>
        </w:rPr>
        <w:t>Zakon o geološkim istraživanjima (‘“Sl. list RCG’’, br. 28/93, 27/94, 42/94 i 26/07 i „Sl. list CG“, br. 28/11);</w:t>
      </w:r>
    </w:p>
    <w:p w14:paraId="69B61A0E" w14:textId="77777777" w:rsidR="00653D40" w:rsidRPr="00DA6313" w:rsidRDefault="00653D40" w:rsidP="00664C2A">
      <w:pPr>
        <w:numPr>
          <w:ilvl w:val="0"/>
          <w:numId w:val="11"/>
        </w:numPr>
        <w:spacing w:after="0" w:line="240" w:lineRule="auto"/>
        <w:ind w:left="360"/>
        <w:jc w:val="both"/>
        <w:rPr>
          <w:rFonts w:ascii="Arial" w:hAnsi="Arial" w:cs="Arial"/>
          <w:noProof/>
        </w:rPr>
      </w:pPr>
      <w:r w:rsidRPr="00DA6313">
        <w:rPr>
          <w:rFonts w:ascii="Arial" w:hAnsi="Arial" w:cs="Arial"/>
          <w:noProof/>
        </w:rPr>
        <w:t>Zakon o procjeni uticaja na životnu sredinu („Sl. list RC</w:t>
      </w:r>
      <w:r w:rsidR="00026F4F">
        <w:rPr>
          <w:rFonts w:ascii="Arial" w:hAnsi="Arial" w:cs="Arial"/>
          <w:noProof/>
        </w:rPr>
        <w:t xml:space="preserve">G“, br. </w:t>
      </w:r>
      <w:r w:rsidR="00D616E1" w:rsidRPr="00026F4F">
        <w:rPr>
          <w:rFonts w:ascii="Arial" w:hAnsi="Arial" w:cs="Arial"/>
          <w:noProof/>
        </w:rPr>
        <w:t>75/18</w:t>
      </w:r>
      <w:r w:rsidRPr="00026F4F">
        <w:rPr>
          <w:rFonts w:ascii="Arial" w:hAnsi="Arial" w:cs="Arial"/>
          <w:noProof/>
        </w:rPr>
        <w:t>);</w:t>
      </w:r>
    </w:p>
    <w:p w14:paraId="0A1289CB" w14:textId="77777777" w:rsidR="00653D40" w:rsidRPr="00DA6313" w:rsidRDefault="00653D40" w:rsidP="00664C2A">
      <w:pPr>
        <w:numPr>
          <w:ilvl w:val="0"/>
          <w:numId w:val="11"/>
        </w:numPr>
        <w:spacing w:after="0" w:line="240" w:lineRule="auto"/>
        <w:ind w:left="360"/>
        <w:jc w:val="both"/>
        <w:rPr>
          <w:rFonts w:ascii="Arial" w:hAnsi="Arial" w:cs="Arial"/>
          <w:noProof/>
        </w:rPr>
      </w:pPr>
      <w:r w:rsidRPr="00DA6313">
        <w:rPr>
          <w:rFonts w:ascii="Arial" w:hAnsi="Arial" w:cs="Arial"/>
          <w:noProof/>
        </w:rPr>
        <w:t>Uredba o kriterijumima i načinu obračuna iznosa minimalne koncesione naknade za ustupanje prava na istraživanje i eksploataciju mineralnih sirovina („Sl. list CG“, br. 37/11 i 40/16);</w:t>
      </w:r>
    </w:p>
    <w:p w14:paraId="043CEA25" w14:textId="77777777" w:rsidR="00653D40" w:rsidRPr="00DA6313" w:rsidRDefault="00653D40" w:rsidP="00664C2A">
      <w:pPr>
        <w:numPr>
          <w:ilvl w:val="0"/>
          <w:numId w:val="11"/>
        </w:numPr>
        <w:spacing w:after="0" w:line="240" w:lineRule="auto"/>
        <w:ind w:left="360"/>
        <w:jc w:val="both"/>
        <w:rPr>
          <w:rFonts w:ascii="Arial" w:hAnsi="Arial" w:cs="Arial"/>
          <w:noProof/>
        </w:rPr>
      </w:pPr>
      <w:r w:rsidRPr="00DA6313">
        <w:rPr>
          <w:rFonts w:ascii="Arial" w:hAnsi="Arial" w:cs="Arial"/>
          <w:noProof/>
        </w:rPr>
        <w:t>Uredba o visini sredstava za sanaciju i rekultivaciju prostora na kojem se izvode rudarski radovi, načinu obračunavanja, plaćanja i korišćenja tih sredstava („Sl. list CG“, br. 51/11).</w:t>
      </w:r>
    </w:p>
    <w:p w14:paraId="2FEF462A" w14:textId="77777777" w:rsidR="00653D40" w:rsidRPr="00DA6313" w:rsidRDefault="00653D40" w:rsidP="00653D40">
      <w:pPr>
        <w:spacing w:after="0" w:line="240" w:lineRule="auto"/>
        <w:jc w:val="both"/>
        <w:rPr>
          <w:rFonts w:ascii="Arial" w:hAnsi="Arial" w:cs="Arial"/>
          <w:noProof/>
        </w:rPr>
      </w:pPr>
    </w:p>
    <w:p w14:paraId="09637FFE" w14:textId="77777777" w:rsidR="00653D40" w:rsidRPr="00DA6313" w:rsidRDefault="00653D40" w:rsidP="00653D40">
      <w:pPr>
        <w:spacing w:after="0" w:line="240" w:lineRule="auto"/>
        <w:jc w:val="both"/>
        <w:rPr>
          <w:rFonts w:ascii="Arial" w:hAnsi="Arial" w:cs="Arial"/>
          <w:b/>
          <w:noProof/>
        </w:rPr>
      </w:pPr>
      <w:r w:rsidRPr="00DA6313">
        <w:rPr>
          <w:rFonts w:ascii="Arial" w:hAnsi="Arial" w:cs="Arial"/>
          <w:b/>
          <w:noProof/>
        </w:rPr>
        <w:t>Mjesto i vrijeme izrade Koncesionog akta:</w:t>
      </w:r>
    </w:p>
    <w:p w14:paraId="4931F8BB" w14:textId="77777777" w:rsidR="00653D40" w:rsidRPr="00DA6313" w:rsidRDefault="00653D40" w:rsidP="00653D40">
      <w:pPr>
        <w:spacing w:after="0" w:line="240" w:lineRule="auto"/>
        <w:jc w:val="both"/>
        <w:rPr>
          <w:rFonts w:ascii="Arial" w:hAnsi="Arial" w:cs="Arial"/>
          <w:b/>
          <w:noProof/>
        </w:rPr>
      </w:pPr>
    </w:p>
    <w:p w14:paraId="1D200663" w14:textId="1944A3D4" w:rsidR="00653D40" w:rsidRPr="009F2F62" w:rsidRDefault="00653D40" w:rsidP="00653D40">
      <w:pPr>
        <w:spacing w:after="0" w:line="240" w:lineRule="auto"/>
        <w:jc w:val="both"/>
        <w:rPr>
          <w:rFonts w:ascii="Arial" w:hAnsi="Arial" w:cs="Arial"/>
          <w:b/>
          <w:noProof/>
        </w:rPr>
      </w:pPr>
      <w:r w:rsidRPr="009F2F62">
        <w:rPr>
          <w:rFonts w:ascii="Arial" w:hAnsi="Arial" w:cs="Arial"/>
          <w:b/>
          <w:noProof/>
        </w:rPr>
        <w:t xml:space="preserve">Podgorica, </w:t>
      </w:r>
      <w:proofErr w:type="spellStart"/>
      <w:r w:rsidR="009F2F62" w:rsidRPr="009F2F62">
        <w:rPr>
          <w:rFonts w:ascii="Arial" w:hAnsi="Arial" w:cs="Arial"/>
          <w:b/>
        </w:rPr>
        <w:t>decembar</w:t>
      </w:r>
      <w:proofErr w:type="spellEnd"/>
      <w:r w:rsidRPr="009F2F62">
        <w:rPr>
          <w:rFonts w:ascii="Arial" w:hAnsi="Arial" w:cs="Arial"/>
          <w:b/>
          <w:noProof/>
        </w:rPr>
        <w:t xml:space="preserve"> </w:t>
      </w:r>
      <w:r w:rsidR="002D0162" w:rsidRPr="009F2F62">
        <w:rPr>
          <w:rFonts w:ascii="Arial" w:hAnsi="Arial" w:cs="Arial"/>
          <w:b/>
          <w:noProof/>
        </w:rPr>
        <w:t>2021</w:t>
      </w:r>
      <w:r w:rsidRPr="009F2F62">
        <w:rPr>
          <w:rFonts w:ascii="Arial" w:hAnsi="Arial" w:cs="Arial"/>
          <w:b/>
          <w:noProof/>
        </w:rPr>
        <w:t>. godine</w:t>
      </w:r>
    </w:p>
    <w:p w14:paraId="70A1BF61" w14:textId="77777777" w:rsidR="00653D40" w:rsidRPr="00DA6313" w:rsidRDefault="00653D40" w:rsidP="00653D40">
      <w:pPr>
        <w:spacing w:after="0" w:line="240" w:lineRule="auto"/>
        <w:jc w:val="both"/>
        <w:rPr>
          <w:rFonts w:ascii="Arial" w:hAnsi="Arial" w:cs="Arial"/>
          <w:noProof/>
        </w:rPr>
      </w:pPr>
    </w:p>
    <w:p w14:paraId="0837EE05" w14:textId="77777777" w:rsidR="00653D40" w:rsidRPr="00DA6313" w:rsidRDefault="00653D40" w:rsidP="00653D40">
      <w:pPr>
        <w:spacing w:after="0" w:line="240" w:lineRule="auto"/>
        <w:jc w:val="both"/>
        <w:rPr>
          <w:rFonts w:ascii="Arial" w:hAnsi="Arial" w:cs="Arial"/>
          <w:noProof/>
        </w:rPr>
      </w:pPr>
      <w:bookmarkStart w:id="0" w:name="_Toc390549892"/>
      <w:bookmarkStart w:id="1" w:name="_Toc390336654"/>
      <w:bookmarkStart w:id="2" w:name="_Toc390336529"/>
      <w:bookmarkStart w:id="3" w:name="_Toc402262924"/>
      <w:r w:rsidRPr="00DA6313">
        <w:rPr>
          <w:rFonts w:ascii="Arial" w:hAnsi="Arial" w:cs="Arial"/>
          <w:noProof/>
        </w:rPr>
        <w:br w:type="page"/>
      </w:r>
    </w:p>
    <w:p w14:paraId="64B2DA01" w14:textId="77777777" w:rsidR="00653D40" w:rsidRPr="00DA6313" w:rsidRDefault="00653D40" w:rsidP="00653D40">
      <w:pPr>
        <w:spacing w:after="0" w:line="240" w:lineRule="auto"/>
        <w:jc w:val="both"/>
        <w:rPr>
          <w:rFonts w:ascii="Arial" w:hAnsi="Arial" w:cs="Arial"/>
          <w:b/>
          <w:noProof/>
        </w:rPr>
      </w:pPr>
      <w:r w:rsidRPr="00DA6313">
        <w:rPr>
          <w:rFonts w:ascii="Arial" w:hAnsi="Arial" w:cs="Arial"/>
          <w:b/>
          <w:noProof/>
        </w:rPr>
        <w:lastRenderedPageBreak/>
        <w:t>S A D R Ž A J</w:t>
      </w:r>
    </w:p>
    <w:p w14:paraId="3C624E4D" w14:textId="77777777" w:rsidR="00653D40" w:rsidRPr="00DA6313" w:rsidRDefault="009A6457" w:rsidP="009A6457">
      <w:pPr>
        <w:spacing w:after="0" w:line="240" w:lineRule="auto"/>
        <w:jc w:val="center"/>
        <w:rPr>
          <w:rFonts w:ascii="Arial" w:hAnsi="Arial" w:cs="Arial"/>
          <w:b/>
          <w:noProof/>
        </w:rPr>
      </w:pPr>
      <w:r>
        <w:rPr>
          <w:rFonts w:ascii="Arial" w:hAnsi="Arial" w:cs="Arial"/>
          <w:b/>
          <w:noProof/>
        </w:rPr>
        <w:t xml:space="preserve">                                                                                                                                          </w:t>
      </w:r>
      <w:r w:rsidR="00653D40" w:rsidRPr="00DA6313">
        <w:rPr>
          <w:rFonts w:ascii="Arial" w:hAnsi="Arial" w:cs="Arial"/>
          <w:b/>
          <w:noProof/>
        </w:rPr>
        <w:t>strana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6"/>
        <w:gridCol w:w="1315"/>
      </w:tblGrid>
      <w:tr w:rsidR="00653D40" w:rsidRPr="00DA6313" w14:paraId="4246A110" w14:textId="77777777" w:rsidTr="00E95FDC">
        <w:tc>
          <w:tcPr>
            <w:tcW w:w="9039" w:type="dxa"/>
          </w:tcPr>
          <w:p w14:paraId="2262B611" w14:textId="77777777" w:rsidR="009A6457" w:rsidRDefault="00653D40" w:rsidP="00D10E97">
            <w:pPr>
              <w:spacing w:after="0" w:line="240" w:lineRule="auto"/>
              <w:jc w:val="both"/>
              <w:rPr>
                <w:rFonts w:ascii="Arial" w:hAnsi="Arial" w:cs="Arial"/>
                <w:noProof/>
              </w:rPr>
            </w:pPr>
            <w:r w:rsidRPr="00DA6313">
              <w:rPr>
                <w:rFonts w:ascii="Arial" w:hAnsi="Arial" w:cs="Arial"/>
                <w:noProof/>
              </w:rPr>
              <w:t xml:space="preserve">    </w:t>
            </w:r>
          </w:p>
          <w:p w14:paraId="3FEF78B3" w14:textId="77777777" w:rsidR="00653D40" w:rsidRPr="00DA6313" w:rsidRDefault="00653D40" w:rsidP="00D10E97">
            <w:pPr>
              <w:spacing w:after="0" w:line="240" w:lineRule="auto"/>
              <w:jc w:val="both"/>
              <w:rPr>
                <w:rFonts w:ascii="Arial" w:hAnsi="Arial" w:cs="Arial"/>
                <w:noProof/>
              </w:rPr>
            </w:pPr>
            <w:r w:rsidRPr="00DA6313">
              <w:rPr>
                <w:rFonts w:ascii="Arial" w:hAnsi="Arial" w:cs="Arial"/>
                <w:noProof/>
              </w:rPr>
              <w:t>Uvod</w:t>
            </w:r>
          </w:p>
        </w:tc>
        <w:tc>
          <w:tcPr>
            <w:tcW w:w="1375" w:type="dxa"/>
          </w:tcPr>
          <w:p w14:paraId="60F652A7" w14:textId="77777777" w:rsidR="009A6457" w:rsidRDefault="009A6457" w:rsidP="009A6457">
            <w:pPr>
              <w:spacing w:after="0" w:line="240" w:lineRule="auto"/>
              <w:jc w:val="center"/>
              <w:rPr>
                <w:rFonts w:ascii="Arial" w:hAnsi="Arial" w:cs="Arial"/>
                <w:noProof/>
              </w:rPr>
            </w:pPr>
          </w:p>
          <w:p w14:paraId="64CDB286" w14:textId="77777777" w:rsidR="00653D40" w:rsidRPr="00DA6313" w:rsidRDefault="003F2286" w:rsidP="009A6457">
            <w:pPr>
              <w:spacing w:after="0" w:line="240" w:lineRule="auto"/>
              <w:jc w:val="center"/>
              <w:rPr>
                <w:rFonts w:ascii="Arial" w:hAnsi="Arial" w:cs="Arial"/>
                <w:noProof/>
              </w:rPr>
            </w:pPr>
            <w:r>
              <w:rPr>
                <w:rFonts w:ascii="Arial" w:hAnsi="Arial" w:cs="Arial"/>
                <w:noProof/>
              </w:rPr>
              <w:t>3</w:t>
            </w:r>
          </w:p>
        </w:tc>
      </w:tr>
      <w:tr w:rsidR="00653D40" w:rsidRPr="00DA6313" w14:paraId="3250D550" w14:textId="77777777" w:rsidTr="00E95FDC">
        <w:tc>
          <w:tcPr>
            <w:tcW w:w="9039" w:type="dxa"/>
          </w:tcPr>
          <w:p w14:paraId="2A9DA93F" w14:textId="77777777" w:rsidR="00653D40" w:rsidRPr="00DA6313" w:rsidRDefault="00653D40" w:rsidP="00D10E97">
            <w:pPr>
              <w:spacing w:after="0" w:line="240" w:lineRule="auto"/>
              <w:jc w:val="both"/>
              <w:rPr>
                <w:rFonts w:ascii="Arial" w:hAnsi="Arial" w:cs="Arial"/>
                <w:noProof/>
              </w:rPr>
            </w:pPr>
          </w:p>
        </w:tc>
        <w:tc>
          <w:tcPr>
            <w:tcW w:w="1375" w:type="dxa"/>
          </w:tcPr>
          <w:p w14:paraId="7D72A5D5" w14:textId="77777777" w:rsidR="00653D40" w:rsidRPr="00DA6313" w:rsidRDefault="00653D40" w:rsidP="00D10E97">
            <w:pPr>
              <w:spacing w:after="0" w:line="240" w:lineRule="auto"/>
              <w:jc w:val="center"/>
              <w:rPr>
                <w:rFonts w:ascii="Arial" w:hAnsi="Arial" w:cs="Arial"/>
                <w:noProof/>
              </w:rPr>
            </w:pPr>
          </w:p>
        </w:tc>
      </w:tr>
      <w:tr w:rsidR="00653D40" w:rsidRPr="00DA6313" w14:paraId="6587629F" w14:textId="77777777" w:rsidTr="00E95FDC">
        <w:tc>
          <w:tcPr>
            <w:tcW w:w="9039" w:type="dxa"/>
          </w:tcPr>
          <w:p w14:paraId="62143E7E" w14:textId="77777777" w:rsidR="00653D40" w:rsidRPr="00DA6313" w:rsidRDefault="00653D40" w:rsidP="00FA4517">
            <w:pPr>
              <w:spacing w:after="0" w:line="240" w:lineRule="auto"/>
              <w:jc w:val="both"/>
              <w:rPr>
                <w:rFonts w:ascii="Arial" w:hAnsi="Arial" w:cs="Arial"/>
                <w:noProof/>
              </w:rPr>
            </w:pPr>
            <w:r w:rsidRPr="00DA6313">
              <w:rPr>
                <w:rFonts w:ascii="Arial" w:hAnsi="Arial" w:cs="Arial"/>
                <w:noProof/>
              </w:rPr>
              <w:t xml:space="preserve">1. Tehnički izvještaj o </w:t>
            </w:r>
            <w:r>
              <w:rPr>
                <w:rFonts w:ascii="Arial" w:hAnsi="Arial" w:cs="Arial"/>
                <w:noProof/>
              </w:rPr>
              <w:t>l</w:t>
            </w:r>
            <w:r w:rsidR="00FA4517">
              <w:rPr>
                <w:rFonts w:ascii="Arial" w:hAnsi="Arial" w:cs="Arial"/>
                <w:noProof/>
              </w:rPr>
              <w:t>okalitetu</w:t>
            </w:r>
            <w:r w:rsidRPr="00DA6313">
              <w:rPr>
                <w:rFonts w:ascii="Arial" w:hAnsi="Arial" w:cs="Arial"/>
                <w:noProof/>
              </w:rPr>
              <w:t xml:space="preserve"> </w:t>
            </w:r>
            <w:r>
              <w:rPr>
                <w:rFonts w:ascii="Arial" w:hAnsi="Arial" w:cs="Arial"/>
                <w:noProof/>
              </w:rPr>
              <w:t>mrkolignitnog uglja</w:t>
            </w:r>
            <w:r w:rsidRPr="00DA6313">
              <w:rPr>
                <w:rFonts w:ascii="Arial" w:hAnsi="Arial" w:cs="Arial"/>
                <w:noProof/>
              </w:rPr>
              <w:t xml:space="preserve"> „</w:t>
            </w:r>
            <w:r>
              <w:rPr>
                <w:rFonts w:ascii="Arial" w:hAnsi="Arial" w:cs="Arial"/>
                <w:noProof/>
              </w:rPr>
              <w:t>Mataruge</w:t>
            </w:r>
            <w:r w:rsidRPr="00DA6313">
              <w:rPr>
                <w:rFonts w:ascii="Arial" w:hAnsi="Arial" w:cs="Arial"/>
                <w:noProof/>
              </w:rPr>
              <w:t>”</w:t>
            </w:r>
            <w:r w:rsidR="00674220">
              <w:rPr>
                <w:rFonts w:ascii="Arial" w:hAnsi="Arial" w:cs="Arial"/>
                <w:noProof/>
              </w:rPr>
              <w:t>- O</w:t>
            </w:r>
            <w:r>
              <w:rPr>
                <w:rFonts w:ascii="Arial" w:hAnsi="Arial" w:cs="Arial"/>
                <w:noProof/>
              </w:rPr>
              <w:t>pština Pljevlja</w:t>
            </w:r>
          </w:p>
        </w:tc>
        <w:tc>
          <w:tcPr>
            <w:tcW w:w="1375" w:type="dxa"/>
          </w:tcPr>
          <w:p w14:paraId="3DAE5F36" w14:textId="77777777" w:rsidR="00653D40" w:rsidRPr="00DA6313" w:rsidRDefault="00E95FDC" w:rsidP="00D10E97">
            <w:pPr>
              <w:spacing w:after="0" w:line="240" w:lineRule="auto"/>
              <w:jc w:val="center"/>
              <w:rPr>
                <w:rFonts w:ascii="Arial" w:hAnsi="Arial" w:cs="Arial"/>
                <w:noProof/>
              </w:rPr>
            </w:pPr>
            <w:r>
              <w:rPr>
                <w:rFonts w:ascii="Arial" w:hAnsi="Arial" w:cs="Arial"/>
                <w:noProof/>
              </w:rPr>
              <w:t>4</w:t>
            </w:r>
          </w:p>
        </w:tc>
      </w:tr>
      <w:tr w:rsidR="00653D40" w:rsidRPr="00DA6313" w14:paraId="0C4A59A1" w14:textId="77777777" w:rsidTr="00E95FDC">
        <w:tc>
          <w:tcPr>
            <w:tcW w:w="9039" w:type="dxa"/>
          </w:tcPr>
          <w:p w14:paraId="15DF5CF5" w14:textId="77777777" w:rsidR="00653D40" w:rsidRPr="00DA6313" w:rsidRDefault="00653D40" w:rsidP="00D10E97">
            <w:pPr>
              <w:spacing w:after="0" w:line="240" w:lineRule="auto"/>
              <w:jc w:val="both"/>
              <w:rPr>
                <w:rFonts w:ascii="Arial" w:hAnsi="Arial" w:cs="Arial"/>
                <w:noProof/>
              </w:rPr>
            </w:pPr>
          </w:p>
        </w:tc>
        <w:tc>
          <w:tcPr>
            <w:tcW w:w="1375" w:type="dxa"/>
          </w:tcPr>
          <w:p w14:paraId="34FDEBC3" w14:textId="77777777" w:rsidR="00653D40" w:rsidRPr="00DA6313" w:rsidRDefault="00653D40" w:rsidP="00D10E97">
            <w:pPr>
              <w:spacing w:after="0" w:line="240" w:lineRule="auto"/>
              <w:jc w:val="center"/>
              <w:rPr>
                <w:rFonts w:ascii="Arial" w:hAnsi="Arial" w:cs="Arial"/>
                <w:noProof/>
              </w:rPr>
            </w:pPr>
          </w:p>
        </w:tc>
      </w:tr>
      <w:tr w:rsidR="00653D40" w:rsidRPr="00DA6313" w14:paraId="742AD2E8" w14:textId="77777777" w:rsidTr="00E95FDC">
        <w:tc>
          <w:tcPr>
            <w:tcW w:w="9039" w:type="dxa"/>
          </w:tcPr>
          <w:p w14:paraId="1B5D3B66" w14:textId="77777777" w:rsidR="00653D40" w:rsidRPr="00DA6313" w:rsidRDefault="00653D40" w:rsidP="00D10E97">
            <w:pPr>
              <w:spacing w:after="0" w:line="240" w:lineRule="auto"/>
              <w:jc w:val="both"/>
              <w:rPr>
                <w:rFonts w:ascii="Arial" w:hAnsi="Arial" w:cs="Arial"/>
                <w:noProof/>
              </w:rPr>
            </w:pPr>
            <w:r w:rsidRPr="00DA6313">
              <w:rPr>
                <w:rFonts w:ascii="Arial" w:hAnsi="Arial" w:cs="Arial"/>
                <w:noProof/>
              </w:rPr>
              <w:t>2. Rok trajanja koncesije</w:t>
            </w:r>
          </w:p>
        </w:tc>
        <w:tc>
          <w:tcPr>
            <w:tcW w:w="1375" w:type="dxa"/>
          </w:tcPr>
          <w:p w14:paraId="62BC7D96" w14:textId="77777777" w:rsidR="00653D40" w:rsidRPr="00DA6313" w:rsidRDefault="00E95FDC" w:rsidP="00D10E97">
            <w:pPr>
              <w:spacing w:after="0" w:line="240" w:lineRule="auto"/>
              <w:jc w:val="center"/>
              <w:rPr>
                <w:rFonts w:ascii="Arial" w:hAnsi="Arial" w:cs="Arial"/>
                <w:noProof/>
              </w:rPr>
            </w:pPr>
            <w:r>
              <w:rPr>
                <w:rFonts w:ascii="Arial" w:hAnsi="Arial" w:cs="Arial"/>
                <w:noProof/>
              </w:rPr>
              <w:t>8</w:t>
            </w:r>
          </w:p>
        </w:tc>
      </w:tr>
      <w:tr w:rsidR="00653D40" w:rsidRPr="00DA6313" w14:paraId="3DDC5066" w14:textId="77777777" w:rsidTr="00E95FDC">
        <w:tc>
          <w:tcPr>
            <w:tcW w:w="9039" w:type="dxa"/>
          </w:tcPr>
          <w:p w14:paraId="29EA124E" w14:textId="77777777" w:rsidR="00653D40" w:rsidRPr="00DA6313" w:rsidRDefault="00653D40" w:rsidP="00D10E97">
            <w:pPr>
              <w:spacing w:after="0" w:line="240" w:lineRule="auto"/>
              <w:jc w:val="both"/>
              <w:rPr>
                <w:rFonts w:ascii="Arial" w:hAnsi="Arial" w:cs="Arial"/>
                <w:noProof/>
              </w:rPr>
            </w:pPr>
          </w:p>
        </w:tc>
        <w:tc>
          <w:tcPr>
            <w:tcW w:w="1375" w:type="dxa"/>
          </w:tcPr>
          <w:p w14:paraId="13CD1647" w14:textId="77777777" w:rsidR="00653D40" w:rsidRPr="00DA6313" w:rsidRDefault="00653D40" w:rsidP="00D10E97">
            <w:pPr>
              <w:spacing w:after="0" w:line="240" w:lineRule="auto"/>
              <w:jc w:val="center"/>
              <w:rPr>
                <w:rFonts w:ascii="Arial" w:hAnsi="Arial" w:cs="Arial"/>
                <w:noProof/>
              </w:rPr>
            </w:pPr>
          </w:p>
        </w:tc>
      </w:tr>
      <w:tr w:rsidR="00653D40" w:rsidRPr="00DA6313" w14:paraId="5B9770C4" w14:textId="77777777" w:rsidTr="00E95FDC">
        <w:tc>
          <w:tcPr>
            <w:tcW w:w="9039" w:type="dxa"/>
          </w:tcPr>
          <w:p w14:paraId="48053225" w14:textId="77777777" w:rsidR="00653D40" w:rsidRPr="00DA6313" w:rsidRDefault="00653D40" w:rsidP="00D10E97">
            <w:pPr>
              <w:spacing w:after="0" w:line="240" w:lineRule="auto"/>
              <w:jc w:val="both"/>
              <w:rPr>
                <w:rFonts w:ascii="Arial" w:hAnsi="Arial" w:cs="Arial"/>
                <w:noProof/>
              </w:rPr>
            </w:pPr>
            <w:r w:rsidRPr="00DA6313">
              <w:rPr>
                <w:rFonts w:ascii="Arial" w:hAnsi="Arial" w:cs="Arial"/>
                <w:noProof/>
              </w:rPr>
              <w:t>3. Osnovni parametri za ocjenu ekonomske opravdanosti investicije</w:t>
            </w:r>
          </w:p>
        </w:tc>
        <w:tc>
          <w:tcPr>
            <w:tcW w:w="1375" w:type="dxa"/>
          </w:tcPr>
          <w:p w14:paraId="0A618E29" w14:textId="77777777" w:rsidR="00653D40" w:rsidRPr="00DA6313" w:rsidRDefault="00E95FDC" w:rsidP="00CB525A">
            <w:pPr>
              <w:spacing w:after="0" w:line="240" w:lineRule="auto"/>
              <w:jc w:val="center"/>
              <w:rPr>
                <w:rFonts w:ascii="Arial" w:hAnsi="Arial" w:cs="Arial"/>
                <w:noProof/>
              </w:rPr>
            </w:pPr>
            <w:r>
              <w:rPr>
                <w:rFonts w:ascii="Arial" w:hAnsi="Arial" w:cs="Arial"/>
                <w:noProof/>
              </w:rPr>
              <w:t>9</w:t>
            </w:r>
          </w:p>
        </w:tc>
      </w:tr>
      <w:tr w:rsidR="00653D40" w:rsidRPr="00DA6313" w14:paraId="4433A1F2" w14:textId="77777777" w:rsidTr="00E95FDC">
        <w:trPr>
          <w:trHeight w:val="228"/>
        </w:trPr>
        <w:tc>
          <w:tcPr>
            <w:tcW w:w="9039" w:type="dxa"/>
          </w:tcPr>
          <w:p w14:paraId="5BCE000B" w14:textId="77777777" w:rsidR="00653D40" w:rsidRPr="00DA6313" w:rsidRDefault="00653D40" w:rsidP="00D10E97">
            <w:pPr>
              <w:spacing w:after="0" w:line="240" w:lineRule="auto"/>
              <w:jc w:val="both"/>
              <w:rPr>
                <w:rFonts w:ascii="Arial" w:hAnsi="Arial" w:cs="Arial"/>
                <w:noProof/>
              </w:rPr>
            </w:pPr>
          </w:p>
        </w:tc>
        <w:tc>
          <w:tcPr>
            <w:tcW w:w="1375" w:type="dxa"/>
          </w:tcPr>
          <w:p w14:paraId="08E494F8" w14:textId="77777777" w:rsidR="00653D40" w:rsidRPr="00DA6313" w:rsidRDefault="00653D40" w:rsidP="00D10E97">
            <w:pPr>
              <w:spacing w:after="0" w:line="240" w:lineRule="auto"/>
              <w:jc w:val="center"/>
              <w:rPr>
                <w:rFonts w:ascii="Arial" w:hAnsi="Arial" w:cs="Arial"/>
                <w:noProof/>
              </w:rPr>
            </w:pPr>
          </w:p>
        </w:tc>
      </w:tr>
      <w:tr w:rsidR="00653D40" w:rsidRPr="00DA6313" w14:paraId="153D0478" w14:textId="77777777" w:rsidTr="00E95FDC">
        <w:tc>
          <w:tcPr>
            <w:tcW w:w="9039" w:type="dxa"/>
          </w:tcPr>
          <w:p w14:paraId="0BD88F11" w14:textId="77777777" w:rsidR="00653D40" w:rsidRPr="00DA6313" w:rsidRDefault="00653D40" w:rsidP="00D10E97">
            <w:pPr>
              <w:spacing w:after="0" w:line="240" w:lineRule="auto"/>
              <w:jc w:val="both"/>
              <w:rPr>
                <w:rFonts w:ascii="Arial" w:hAnsi="Arial" w:cs="Arial"/>
                <w:noProof/>
              </w:rPr>
            </w:pPr>
            <w:r w:rsidRPr="00DA6313">
              <w:rPr>
                <w:rFonts w:ascii="Arial" w:hAnsi="Arial" w:cs="Arial"/>
                <w:noProof/>
              </w:rPr>
              <w:t>4. Mjere za zaštitu životne sredine</w:t>
            </w:r>
          </w:p>
        </w:tc>
        <w:tc>
          <w:tcPr>
            <w:tcW w:w="1375" w:type="dxa"/>
          </w:tcPr>
          <w:p w14:paraId="0DF543F7" w14:textId="77777777" w:rsidR="00653D40" w:rsidRPr="00DA6313" w:rsidRDefault="00E95FDC" w:rsidP="00CB525A">
            <w:pPr>
              <w:spacing w:after="0" w:line="240" w:lineRule="auto"/>
              <w:jc w:val="center"/>
              <w:rPr>
                <w:rFonts w:ascii="Arial" w:hAnsi="Arial" w:cs="Arial"/>
                <w:noProof/>
              </w:rPr>
            </w:pPr>
            <w:r>
              <w:rPr>
                <w:rFonts w:ascii="Arial" w:hAnsi="Arial" w:cs="Arial"/>
                <w:noProof/>
              </w:rPr>
              <w:t>12</w:t>
            </w:r>
          </w:p>
        </w:tc>
      </w:tr>
      <w:tr w:rsidR="00653D40" w:rsidRPr="00DA6313" w14:paraId="78663046" w14:textId="77777777" w:rsidTr="00E95FDC">
        <w:tc>
          <w:tcPr>
            <w:tcW w:w="9039" w:type="dxa"/>
          </w:tcPr>
          <w:p w14:paraId="60E129BD" w14:textId="77777777" w:rsidR="00653D40" w:rsidRPr="00DA6313" w:rsidRDefault="00653D40" w:rsidP="00D10E97">
            <w:pPr>
              <w:spacing w:after="0" w:line="240" w:lineRule="auto"/>
              <w:jc w:val="both"/>
              <w:rPr>
                <w:rFonts w:ascii="Arial" w:hAnsi="Arial" w:cs="Arial"/>
                <w:noProof/>
              </w:rPr>
            </w:pPr>
          </w:p>
        </w:tc>
        <w:tc>
          <w:tcPr>
            <w:tcW w:w="1375" w:type="dxa"/>
          </w:tcPr>
          <w:p w14:paraId="390B0FB4" w14:textId="77777777" w:rsidR="00653D40" w:rsidRPr="00DA6313" w:rsidRDefault="00653D40" w:rsidP="00D10E97">
            <w:pPr>
              <w:spacing w:after="0" w:line="240" w:lineRule="auto"/>
              <w:jc w:val="center"/>
              <w:rPr>
                <w:rFonts w:ascii="Arial" w:hAnsi="Arial" w:cs="Arial"/>
                <w:noProof/>
              </w:rPr>
            </w:pPr>
          </w:p>
        </w:tc>
      </w:tr>
      <w:tr w:rsidR="00653D40" w:rsidRPr="00DA6313" w14:paraId="7756C736" w14:textId="77777777" w:rsidTr="00E95FDC">
        <w:tc>
          <w:tcPr>
            <w:tcW w:w="9039" w:type="dxa"/>
          </w:tcPr>
          <w:p w14:paraId="0356DD00" w14:textId="77777777" w:rsidR="00653D40" w:rsidRPr="00DA6313" w:rsidRDefault="00653D40" w:rsidP="002008E3">
            <w:pPr>
              <w:spacing w:after="0" w:line="240" w:lineRule="auto"/>
              <w:jc w:val="both"/>
              <w:rPr>
                <w:rFonts w:ascii="Arial" w:hAnsi="Arial" w:cs="Arial"/>
                <w:noProof/>
              </w:rPr>
            </w:pPr>
            <w:r w:rsidRPr="00DA6313">
              <w:rPr>
                <w:rFonts w:ascii="Arial" w:hAnsi="Arial" w:cs="Arial"/>
                <w:noProof/>
              </w:rPr>
              <w:t>5. Rekultivacija istražno-eksploatacionog prostora „</w:t>
            </w:r>
            <w:r w:rsidR="002008E3">
              <w:rPr>
                <w:rFonts w:ascii="Arial" w:hAnsi="Arial" w:cs="Arial"/>
                <w:noProof/>
              </w:rPr>
              <w:t>Mataruge</w:t>
            </w:r>
            <w:r w:rsidRPr="00DA6313">
              <w:rPr>
                <w:rFonts w:ascii="Arial" w:hAnsi="Arial" w:cs="Arial"/>
                <w:noProof/>
              </w:rPr>
              <w:t>”</w:t>
            </w:r>
          </w:p>
        </w:tc>
        <w:tc>
          <w:tcPr>
            <w:tcW w:w="1375" w:type="dxa"/>
          </w:tcPr>
          <w:p w14:paraId="36690E4F" w14:textId="77777777" w:rsidR="00653D40" w:rsidRPr="00DA6313" w:rsidRDefault="00E95FDC" w:rsidP="00CB525A">
            <w:pPr>
              <w:spacing w:after="0" w:line="240" w:lineRule="auto"/>
              <w:jc w:val="center"/>
              <w:rPr>
                <w:rFonts w:ascii="Arial" w:hAnsi="Arial" w:cs="Arial"/>
                <w:noProof/>
              </w:rPr>
            </w:pPr>
            <w:r>
              <w:rPr>
                <w:rFonts w:ascii="Arial" w:hAnsi="Arial" w:cs="Arial"/>
                <w:noProof/>
              </w:rPr>
              <w:t>12</w:t>
            </w:r>
          </w:p>
        </w:tc>
      </w:tr>
      <w:tr w:rsidR="00653D40" w:rsidRPr="00DA6313" w14:paraId="2F6A9DFE" w14:textId="77777777" w:rsidTr="00E95FDC">
        <w:tc>
          <w:tcPr>
            <w:tcW w:w="9039" w:type="dxa"/>
          </w:tcPr>
          <w:p w14:paraId="57254CA4" w14:textId="77777777" w:rsidR="00653D40" w:rsidRPr="00DA6313" w:rsidRDefault="00653D40" w:rsidP="00D10E97">
            <w:pPr>
              <w:spacing w:after="0" w:line="240" w:lineRule="auto"/>
              <w:jc w:val="both"/>
              <w:rPr>
                <w:rFonts w:ascii="Arial" w:hAnsi="Arial" w:cs="Arial"/>
                <w:noProof/>
              </w:rPr>
            </w:pPr>
          </w:p>
        </w:tc>
        <w:tc>
          <w:tcPr>
            <w:tcW w:w="1375" w:type="dxa"/>
          </w:tcPr>
          <w:p w14:paraId="4CFA0A51" w14:textId="77777777" w:rsidR="00653D40" w:rsidRPr="00DA6313" w:rsidRDefault="00653D40" w:rsidP="00D10E97">
            <w:pPr>
              <w:spacing w:after="0" w:line="240" w:lineRule="auto"/>
              <w:jc w:val="center"/>
              <w:rPr>
                <w:rFonts w:ascii="Arial" w:hAnsi="Arial" w:cs="Arial"/>
                <w:noProof/>
              </w:rPr>
            </w:pPr>
          </w:p>
        </w:tc>
      </w:tr>
      <w:tr w:rsidR="00653D40" w:rsidRPr="00DA6313" w14:paraId="4CAA247B" w14:textId="77777777" w:rsidTr="00E95FDC">
        <w:tc>
          <w:tcPr>
            <w:tcW w:w="9039" w:type="dxa"/>
          </w:tcPr>
          <w:p w14:paraId="283BE793" w14:textId="77777777" w:rsidR="00653D40" w:rsidRPr="00DA6313" w:rsidRDefault="00653D40" w:rsidP="00D10E97">
            <w:pPr>
              <w:spacing w:after="0" w:line="240" w:lineRule="auto"/>
              <w:jc w:val="both"/>
              <w:rPr>
                <w:rFonts w:ascii="Arial" w:hAnsi="Arial" w:cs="Arial"/>
                <w:noProof/>
              </w:rPr>
            </w:pPr>
            <w:r w:rsidRPr="00DA6313">
              <w:rPr>
                <w:rFonts w:ascii="Arial" w:hAnsi="Arial" w:cs="Arial"/>
                <w:noProof/>
              </w:rPr>
              <w:t>6. Unapređenje energetske efikasnosti</w:t>
            </w:r>
          </w:p>
        </w:tc>
        <w:tc>
          <w:tcPr>
            <w:tcW w:w="1375" w:type="dxa"/>
          </w:tcPr>
          <w:p w14:paraId="1D2FC520" w14:textId="77777777" w:rsidR="00653D40" w:rsidRPr="00DA6313" w:rsidRDefault="00E95FDC" w:rsidP="0002393F">
            <w:pPr>
              <w:spacing w:after="0" w:line="240" w:lineRule="auto"/>
              <w:jc w:val="center"/>
              <w:rPr>
                <w:rFonts w:ascii="Arial" w:hAnsi="Arial" w:cs="Arial"/>
                <w:noProof/>
              </w:rPr>
            </w:pPr>
            <w:r>
              <w:rPr>
                <w:rFonts w:ascii="Arial" w:hAnsi="Arial" w:cs="Arial"/>
                <w:noProof/>
              </w:rPr>
              <w:t>14</w:t>
            </w:r>
          </w:p>
        </w:tc>
      </w:tr>
      <w:tr w:rsidR="00653D40" w:rsidRPr="00DA6313" w14:paraId="30971343" w14:textId="77777777" w:rsidTr="00E95FDC">
        <w:tc>
          <w:tcPr>
            <w:tcW w:w="9039" w:type="dxa"/>
          </w:tcPr>
          <w:p w14:paraId="364663F1" w14:textId="77777777" w:rsidR="00653D40" w:rsidRPr="00DA6313" w:rsidRDefault="00653D40" w:rsidP="00D10E97">
            <w:pPr>
              <w:spacing w:after="0" w:line="240" w:lineRule="auto"/>
              <w:jc w:val="both"/>
              <w:rPr>
                <w:rFonts w:ascii="Arial" w:hAnsi="Arial" w:cs="Arial"/>
                <w:noProof/>
              </w:rPr>
            </w:pPr>
          </w:p>
        </w:tc>
        <w:tc>
          <w:tcPr>
            <w:tcW w:w="1375" w:type="dxa"/>
          </w:tcPr>
          <w:p w14:paraId="4574E58C" w14:textId="77777777" w:rsidR="00653D40" w:rsidRPr="00DA6313" w:rsidRDefault="00653D40" w:rsidP="00D10E97">
            <w:pPr>
              <w:spacing w:after="0" w:line="240" w:lineRule="auto"/>
              <w:jc w:val="center"/>
              <w:rPr>
                <w:rFonts w:ascii="Arial" w:hAnsi="Arial" w:cs="Arial"/>
                <w:noProof/>
              </w:rPr>
            </w:pPr>
          </w:p>
        </w:tc>
      </w:tr>
      <w:tr w:rsidR="00653D40" w:rsidRPr="00DA6313" w14:paraId="3111E4CC" w14:textId="77777777" w:rsidTr="00E95FDC">
        <w:tc>
          <w:tcPr>
            <w:tcW w:w="9039" w:type="dxa"/>
          </w:tcPr>
          <w:p w14:paraId="2ECABE4B" w14:textId="77777777" w:rsidR="00653D40" w:rsidRPr="00DA6313" w:rsidRDefault="00653D40" w:rsidP="00D10E97">
            <w:pPr>
              <w:spacing w:after="0" w:line="240" w:lineRule="auto"/>
              <w:jc w:val="both"/>
              <w:rPr>
                <w:rFonts w:ascii="Arial" w:hAnsi="Arial" w:cs="Arial"/>
                <w:noProof/>
              </w:rPr>
            </w:pPr>
            <w:r w:rsidRPr="00DA6313">
              <w:rPr>
                <w:rFonts w:ascii="Arial" w:hAnsi="Arial" w:cs="Arial"/>
                <w:noProof/>
              </w:rPr>
              <w:t>7. Uslovi koje je dužan da ispunjava koncesionar u pogledu tehničke opremljenosti, finansijske sposobnosti i ostale reference i dokaze o ispunjavanju tih uslova</w:t>
            </w:r>
          </w:p>
        </w:tc>
        <w:tc>
          <w:tcPr>
            <w:tcW w:w="1375" w:type="dxa"/>
          </w:tcPr>
          <w:p w14:paraId="32F30BA1" w14:textId="77777777" w:rsidR="00653D40" w:rsidRPr="00DA6313" w:rsidRDefault="00653D40" w:rsidP="00E95FDC">
            <w:pPr>
              <w:spacing w:after="0" w:line="240" w:lineRule="auto"/>
              <w:jc w:val="center"/>
              <w:rPr>
                <w:rFonts w:ascii="Arial" w:hAnsi="Arial" w:cs="Arial"/>
                <w:noProof/>
              </w:rPr>
            </w:pPr>
            <w:r w:rsidRPr="00DA6313">
              <w:rPr>
                <w:rFonts w:ascii="Arial" w:hAnsi="Arial" w:cs="Arial"/>
                <w:noProof/>
              </w:rPr>
              <w:t>1</w:t>
            </w:r>
            <w:r w:rsidR="00E95FDC">
              <w:rPr>
                <w:rFonts w:ascii="Arial" w:hAnsi="Arial" w:cs="Arial"/>
                <w:noProof/>
              </w:rPr>
              <w:t>4</w:t>
            </w:r>
          </w:p>
        </w:tc>
      </w:tr>
      <w:tr w:rsidR="00653D40" w:rsidRPr="00DA6313" w14:paraId="3EDEE2AF" w14:textId="77777777" w:rsidTr="00E95FDC">
        <w:tc>
          <w:tcPr>
            <w:tcW w:w="9039" w:type="dxa"/>
          </w:tcPr>
          <w:p w14:paraId="168340A0" w14:textId="77777777" w:rsidR="00653D40" w:rsidRPr="00DA6313" w:rsidRDefault="00653D40" w:rsidP="00D10E97">
            <w:pPr>
              <w:spacing w:after="0" w:line="240" w:lineRule="auto"/>
              <w:jc w:val="both"/>
              <w:rPr>
                <w:rFonts w:ascii="Arial" w:hAnsi="Arial" w:cs="Arial"/>
                <w:noProof/>
              </w:rPr>
            </w:pPr>
          </w:p>
        </w:tc>
        <w:tc>
          <w:tcPr>
            <w:tcW w:w="1375" w:type="dxa"/>
          </w:tcPr>
          <w:p w14:paraId="4452FDC9" w14:textId="77777777" w:rsidR="00653D40" w:rsidRPr="00DA6313" w:rsidRDefault="00653D40" w:rsidP="00D10E97">
            <w:pPr>
              <w:spacing w:after="0" w:line="240" w:lineRule="auto"/>
              <w:jc w:val="center"/>
              <w:rPr>
                <w:rFonts w:ascii="Arial" w:hAnsi="Arial" w:cs="Arial"/>
                <w:noProof/>
              </w:rPr>
            </w:pPr>
          </w:p>
        </w:tc>
      </w:tr>
      <w:tr w:rsidR="00653D40" w:rsidRPr="00DA6313" w14:paraId="4D96F720" w14:textId="77777777" w:rsidTr="00E95FDC">
        <w:tc>
          <w:tcPr>
            <w:tcW w:w="9039" w:type="dxa"/>
          </w:tcPr>
          <w:p w14:paraId="07AB252D" w14:textId="77777777" w:rsidR="00653D40" w:rsidRPr="00DA6313" w:rsidRDefault="00653D40" w:rsidP="00D10E97">
            <w:pPr>
              <w:spacing w:after="0" w:line="240" w:lineRule="auto"/>
              <w:jc w:val="both"/>
              <w:rPr>
                <w:rFonts w:ascii="Arial" w:hAnsi="Arial" w:cs="Arial"/>
                <w:noProof/>
              </w:rPr>
            </w:pPr>
            <w:r w:rsidRPr="00DA6313">
              <w:rPr>
                <w:rFonts w:ascii="Arial" w:hAnsi="Arial" w:cs="Arial"/>
                <w:noProof/>
              </w:rPr>
              <w:t xml:space="preserve">8. Minimalni – početni iznos koncesione naknade </w:t>
            </w:r>
          </w:p>
        </w:tc>
        <w:tc>
          <w:tcPr>
            <w:tcW w:w="1375" w:type="dxa"/>
          </w:tcPr>
          <w:p w14:paraId="4BBDDB68" w14:textId="77777777" w:rsidR="00653D40" w:rsidRPr="00DA6313" w:rsidRDefault="00653D40" w:rsidP="00E95FDC">
            <w:pPr>
              <w:spacing w:after="0" w:line="240" w:lineRule="auto"/>
              <w:jc w:val="center"/>
              <w:rPr>
                <w:rFonts w:ascii="Arial" w:hAnsi="Arial" w:cs="Arial"/>
                <w:noProof/>
              </w:rPr>
            </w:pPr>
            <w:r w:rsidRPr="00DA6313">
              <w:rPr>
                <w:rFonts w:ascii="Arial" w:hAnsi="Arial" w:cs="Arial"/>
                <w:noProof/>
              </w:rPr>
              <w:t>1</w:t>
            </w:r>
            <w:r w:rsidR="00484347">
              <w:rPr>
                <w:rFonts w:ascii="Arial" w:hAnsi="Arial" w:cs="Arial"/>
                <w:noProof/>
              </w:rPr>
              <w:t>5</w:t>
            </w:r>
          </w:p>
        </w:tc>
      </w:tr>
      <w:tr w:rsidR="00653D40" w:rsidRPr="00DA6313" w14:paraId="584A186E" w14:textId="77777777" w:rsidTr="00E95FDC">
        <w:tc>
          <w:tcPr>
            <w:tcW w:w="9039" w:type="dxa"/>
          </w:tcPr>
          <w:p w14:paraId="3393785E" w14:textId="77777777" w:rsidR="00653D40" w:rsidRPr="00DA6313" w:rsidRDefault="00653D40" w:rsidP="00D10E97">
            <w:pPr>
              <w:spacing w:after="0" w:line="240" w:lineRule="auto"/>
              <w:jc w:val="both"/>
              <w:rPr>
                <w:rFonts w:ascii="Arial" w:hAnsi="Arial" w:cs="Arial"/>
                <w:noProof/>
              </w:rPr>
            </w:pPr>
          </w:p>
        </w:tc>
        <w:tc>
          <w:tcPr>
            <w:tcW w:w="1375" w:type="dxa"/>
          </w:tcPr>
          <w:p w14:paraId="3B7D7DA6" w14:textId="77777777" w:rsidR="00653D40" w:rsidRPr="00DA6313" w:rsidRDefault="00653D40" w:rsidP="00D10E97">
            <w:pPr>
              <w:spacing w:after="0" w:line="240" w:lineRule="auto"/>
              <w:jc w:val="center"/>
              <w:rPr>
                <w:rFonts w:ascii="Arial" w:hAnsi="Arial" w:cs="Arial"/>
                <w:noProof/>
              </w:rPr>
            </w:pPr>
          </w:p>
        </w:tc>
      </w:tr>
      <w:tr w:rsidR="00653D40" w:rsidRPr="00DA6313" w14:paraId="56F30653" w14:textId="77777777" w:rsidTr="00E95FDC">
        <w:tc>
          <w:tcPr>
            <w:tcW w:w="9039" w:type="dxa"/>
          </w:tcPr>
          <w:p w14:paraId="2D98069C" w14:textId="77777777" w:rsidR="00653D40" w:rsidRPr="00DA6313" w:rsidRDefault="00653D40" w:rsidP="00145B56">
            <w:pPr>
              <w:spacing w:after="0" w:line="240" w:lineRule="auto"/>
              <w:jc w:val="both"/>
              <w:rPr>
                <w:rFonts w:ascii="Arial" w:hAnsi="Arial" w:cs="Arial"/>
                <w:noProof/>
              </w:rPr>
            </w:pPr>
            <w:r w:rsidRPr="00DA6313">
              <w:rPr>
                <w:rFonts w:ascii="Arial" w:hAnsi="Arial" w:cs="Arial"/>
                <w:noProof/>
              </w:rPr>
              <w:t xml:space="preserve">9. </w:t>
            </w:r>
            <w:r w:rsidR="00145B56" w:rsidRPr="00026F4F">
              <w:rPr>
                <w:rFonts w:ascii="Arial" w:hAnsi="Arial" w:cs="Arial"/>
                <w:noProof/>
              </w:rPr>
              <w:t>Obavezujući elementi ponude</w:t>
            </w:r>
          </w:p>
        </w:tc>
        <w:tc>
          <w:tcPr>
            <w:tcW w:w="1375" w:type="dxa"/>
          </w:tcPr>
          <w:p w14:paraId="3C424F8F" w14:textId="77777777" w:rsidR="00653D40" w:rsidRPr="00DA6313" w:rsidRDefault="00E95FDC" w:rsidP="0002393F">
            <w:pPr>
              <w:spacing w:after="0" w:line="240" w:lineRule="auto"/>
              <w:jc w:val="center"/>
              <w:rPr>
                <w:rFonts w:ascii="Arial" w:hAnsi="Arial" w:cs="Arial"/>
                <w:noProof/>
              </w:rPr>
            </w:pPr>
            <w:r>
              <w:rPr>
                <w:rFonts w:ascii="Arial" w:hAnsi="Arial" w:cs="Arial"/>
                <w:noProof/>
              </w:rPr>
              <w:t>17</w:t>
            </w:r>
          </w:p>
        </w:tc>
      </w:tr>
      <w:tr w:rsidR="00653D40" w:rsidRPr="00DA6313" w14:paraId="054030C6" w14:textId="77777777" w:rsidTr="00E95FDC">
        <w:tc>
          <w:tcPr>
            <w:tcW w:w="9039" w:type="dxa"/>
          </w:tcPr>
          <w:p w14:paraId="44469523" w14:textId="77777777" w:rsidR="00653D40" w:rsidRPr="00DA6313" w:rsidRDefault="00653D40" w:rsidP="00D10E97">
            <w:pPr>
              <w:spacing w:after="0" w:line="240" w:lineRule="auto"/>
              <w:jc w:val="both"/>
              <w:rPr>
                <w:rFonts w:ascii="Arial" w:hAnsi="Arial" w:cs="Arial"/>
                <w:noProof/>
              </w:rPr>
            </w:pPr>
          </w:p>
        </w:tc>
        <w:tc>
          <w:tcPr>
            <w:tcW w:w="1375" w:type="dxa"/>
          </w:tcPr>
          <w:p w14:paraId="62D44AA3" w14:textId="77777777" w:rsidR="00653D40" w:rsidRPr="00DA6313" w:rsidRDefault="00653D40" w:rsidP="00D10E97">
            <w:pPr>
              <w:spacing w:after="0" w:line="240" w:lineRule="auto"/>
              <w:jc w:val="center"/>
              <w:rPr>
                <w:rFonts w:ascii="Arial" w:hAnsi="Arial" w:cs="Arial"/>
                <w:noProof/>
              </w:rPr>
            </w:pPr>
          </w:p>
        </w:tc>
      </w:tr>
      <w:tr w:rsidR="00653D40" w:rsidRPr="00DA6313" w14:paraId="62BF3DC2" w14:textId="77777777" w:rsidTr="00E95FDC">
        <w:tc>
          <w:tcPr>
            <w:tcW w:w="9039" w:type="dxa"/>
          </w:tcPr>
          <w:p w14:paraId="0A9BE271" w14:textId="77777777" w:rsidR="00653D40" w:rsidRPr="00DA6313" w:rsidRDefault="00653D40" w:rsidP="00D10E97">
            <w:pPr>
              <w:spacing w:after="0" w:line="240" w:lineRule="auto"/>
              <w:jc w:val="both"/>
              <w:rPr>
                <w:rFonts w:ascii="Arial" w:hAnsi="Arial" w:cs="Arial"/>
                <w:noProof/>
              </w:rPr>
            </w:pPr>
            <w:r w:rsidRPr="00DA6313">
              <w:rPr>
                <w:rFonts w:ascii="Arial" w:hAnsi="Arial" w:cs="Arial"/>
                <w:noProof/>
              </w:rPr>
              <w:t>10. Spisak potrebne tehničke dokumentacije sa uslovima za njenu izradu, odobrenja, saglasnosti i mišljenja za obavljanje koncesione djelatnosti</w:t>
            </w:r>
          </w:p>
        </w:tc>
        <w:tc>
          <w:tcPr>
            <w:tcW w:w="1375" w:type="dxa"/>
          </w:tcPr>
          <w:p w14:paraId="194AB99B" w14:textId="77777777" w:rsidR="00653D40" w:rsidRPr="00DA6313" w:rsidRDefault="00E95FDC" w:rsidP="00D10E97">
            <w:pPr>
              <w:spacing w:after="0" w:line="240" w:lineRule="auto"/>
              <w:jc w:val="center"/>
              <w:rPr>
                <w:rFonts w:ascii="Arial" w:hAnsi="Arial" w:cs="Arial"/>
                <w:noProof/>
              </w:rPr>
            </w:pPr>
            <w:r>
              <w:rPr>
                <w:rFonts w:ascii="Arial" w:hAnsi="Arial" w:cs="Arial"/>
                <w:noProof/>
              </w:rPr>
              <w:t>18</w:t>
            </w:r>
          </w:p>
        </w:tc>
      </w:tr>
      <w:tr w:rsidR="00653D40" w:rsidRPr="00DA6313" w14:paraId="5211BA85" w14:textId="77777777" w:rsidTr="00E95FDC">
        <w:tc>
          <w:tcPr>
            <w:tcW w:w="9039" w:type="dxa"/>
          </w:tcPr>
          <w:p w14:paraId="5DB11C22" w14:textId="77777777" w:rsidR="00653D40" w:rsidRPr="00DA6313" w:rsidRDefault="00653D40" w:rsidP="00D10E97">
            <w:pPr>
              <w:spacing w:after="0" w:line="240" w:lineRule="auto"/>
              <w:jc w:val="both"/>
              <w:rPr>
                <w:rFonts w:ascii="Arial" w:hAnsi="Arial" w:cs="Arial"/>
                <w:noProof/>
              </w:rPr>
            </w:pPr>
          </w:p>
        </w:tc>
        <w:tc>
          <w:tcPr>
            <w:tcW w:w="1375" w:type="dxa"/>
          </w:tcPr>
          <w:p w14:paraId="6E912A54" w14:textId="77777777" w:rsidR="00653D40" w:rsidRPr="00DA6313" w:rsidRDefault="00653D40" w:rsidP="00D10E97">
            <w:pPr>
              <w:spacing w:after="0" w:line="240" w:lineRule="auto"/>
              <w:jc w:val="center"/>
              <w:rPr>
                <w:rFonts w:ascii="Arial" w:hAnsi="Arial" w:cs="Arial"/>
                <w:noProof/>
              </w:rPr>
            </w:pPr>
          </w:p>
        </w:tc>
      </w:tr>
      <w:tr w:rsidR="00653D40" w:rsidRPr="00DA6313" w14:paraId="705BF57A" w14:textId="77777777" w:rsidTr="00E95FDC">
        <w:tc>
          <w:tcPr>
            <w:tcW w:w="9039" w:type="dxa"/>
          </w:tcPr>
          <w:p w14:paraId="0D2D70A3" w14:textId="77777777" w:rsidR="00653D40" w:rsidRPr="00DA6313" w:rsidRDefault="00653D40" w:rsidP="00D10E97">
            <w:pPr>
              <w:spacing w:after="0" w:line="240" w:lineRule="auto"/>
              <w:jc w:val="both"/>
              <w:rPr>
                <w:rFonts w:ascii="Arial" w:hAnsi="Arial" w:cs="Arial"/>
                <w:noProof/>
              </w:rPr>
            </w:pPr>
            <w:r w:rsidRPr="00DA6313">
              <w:rPr>
                <w:rFonts w:ascii="Arial" w:hAnsi="Arial" w:cs="Arial"/>
                <w:noProof/>
              </w:rPr>
              <w:t xml:space="preserve">11. Hronologija izrade tehničke dokumentacije i pribavljanje odobrenja i saglasnosti za izvođenje rudarskih radova </w:t>
            </w:r>
          </w:p>
        </w:tc>
        <w:tc>
          <w:tcPr>
            <w:tcW w:w="1375" w:type="dxa"/>
          </w:tcPr>
          <w:p w14:paraId="2346DB68" w14:textId="77777777" w:rsidR="00653D40" w:rsidRPr="00DA6313" w:rsidRDefault="00E95FDC" w:rsidP="00D10E97">
            <w:pPr>
              <w:spacing w:after="0" w:line="240" w:lineRule="auto"/>
              <w:jc w:val="center"/>
              <w:rPr>
                <w:rFonts w:ascii="Arial" w:hAnsi="Arial" w:cs="Arial"/>
                <w:noProof/>
              </w:rPr>
            </w:pPr>
            <w:r>
              <w:rPr>
                <w:rFonts w:ascii="Arial" w:hAnsi="Arial" w:cs="Arial"/>
                <w:noProof/>
              </w:rPr>
              <w:t>19</w:t>
            </w:r>
          </w:p>
        </w:tc>
      </w:tr>
      <w:tr w:rsidR="00653D40" w:rsidRPr="00DA6313" w14:paraId="259433F8" w14:textId="77777777" w:rsidTr="00E95FDC">
        <w:tc>
          <w:tcPr>
            <w:tcW w:w="9039" w:type="dxa"/>
          </w:tcPr>
          <w:p w14:paraId="12E53B37" w14:textId="77777777" w:rsidR="00653D40" w:rsidRPr="00DA6313" w:rsidRDefault="00653D40" w:rsidP="00D10E97">
            <w:pPr>
              <w:spacing w:after="0" w:line="240" w:lineRule="auto"/>
              <w:jc w:val="both"/>
              <w:rPr>
                <w:rFonts w:ascii="Arial" w:hAnsi="Arial" w:cs="Arial"/>
                <w:noProof/>
              </w:rPr>
            </w:pPr>
          </w:p>
        </w:tc>
        <w:tc>
          <w:tcPr>
            <w:tcW w:w="1375" w:type="dxa"/>
          </w:tcPr>
          <w:p w14:paraId="7F1D640D" w14:textId="77777777" w:rsidR="00653D40" w:rsidRPr="00DA6313" w:rsidRDefault="00653D40" w:rsidP="00D10E97">
            <w:pPr>
              <w:spacing w:after="0" w:line="240" w:lineRule="auto"/>
              <w:jc w:val="center"/>
              <w:rPr>
                <w:rFonts w:ascii="Arial" w:hAnsi="Arial" w:cs="Arial"/>
                <w:noProof/>
              </w:rPr>
            </w:pPr>
          </w:p>
        </w:tc>
      </w:tr>
      <w:tr w:rsidR="00653D40" w:rsidRPr="00DA6313" w14:paraId="14F456B7" w14:textId="77777777" w:rsidTr="00E95FDC">
        <w:tc>
          <w:tcPr>
            <w:tcW w:w="9039" w:type="dxa"/>
          </w:tcPr>
          <w:p w14:paraId="419A84A4" w14:textId="77777777" w:rsidR="00653D40" w:rsidRPr="00DA6313" w:rsidRDefault="00653D40" w:rsidP="00D10E97">
            <w:pPr>
              <w:spacing w:after="0" w:line="240" w:lineRule="auto"/>
              <w:jc w:val="both"/>
              <w:rPr>
                <w:rFonts w:ascii="Arial" w:hAnsi="Arial" w:cs="Arial"/>
                <w:noProof/>
              </w:rPr>
            </w:pPr>
            <w:r w:rsidRPr="00DA6313">
              <w:rPr>
                <w:rFonts w:ascii="Arial" w:hAnsi="Arial" w:cs="Arial"/>
                <w:noProof/>
              </w:rPr>
              <w:t>12. Osnovni elementi tenderske dokumentacije (oglas, dokumentacija vezana za ponudu)</w:t>
            </w:r>
          </w:p>
        </w:tc>
        <w:tc>
          <w:tcPr>
            <w:tcW w:w="1375" w:type="dxa"/>
          </w:tcPr>
          <w:p w14:paraId="5FDF4F5C" w14:textId="77777777" w:rsidR="00653D40" w:rsidRPr="00DA6313" w:rsidRDefault="00F61794" w:rsidP="0002393F">
            <w:pPr>
              <w:spacing w:after="0" w:line="240" w:lineRule="auto"/>
              <w:jc w:val="center"/>
              <w:rPr>
                <w:rFonts w:ascii="Arial" w:hAnsi="Arial" w:cs="Arial"/>
                <w:noProof/>
              </w:rPr>
            </w:pPr>
            <w:r>
              <w:rPr>
                <w:rFonts w:ascii="Arial" w:hAnsi="Arial" w:cs="Arial"/>
                <w:noProof/>
              </w:rPr>
              <w:t>20</w:t>
            </w:r>
          </w:p>
        </w:tc>
      </w:tr>
      <w:tr w:rsidR="00653D40" w:rsidRPr="00DA6313" w14:paraId="735A2433" w14:textId="77777777" w:rsidTr="00E95FDC">
        <w:tc>
          <w:tcPr>
            <w:tcW w:w="9039" w:type="dxa"/>
          </w:tcPr>
          <w:p w14:paraId="7CAF593B" w14:textId="77777777" w:rsidR="00653D40" w:rsidRPr="00DA6313" w:rsidRDefault="00653D40" w:rsidP="00D10E97">
            <w:pPr>
              <w:spacing w:after="0" w:line="240" w:lineRule="auto"/>
              <w:jc w:val="both"/>
              <w:rPr>
                <w:rFonts w:ascii="Arial" w:hAnsi="Arial" w:cs="Arial"/>
                <w:noProof/>
              </w:rPr>
            </w:pPr>
          </w:p>
        </w:tc>
        <w:tc>
          <w:tcPr>
            <w:tcW w:w="1375" w:type="dxa"/>
          </w:tcPr>
          <w:p w14:paraId="6DFF39D2" w14:textId="77777777" w:rsidR="00653D40" w:rsidRPr="00DA6313" w:rsidRDefault="00653D40" w:rsidP="00D10E97">
            <w:pPr>
              <w:spacing w:after="0" w:line="240" w:lineRule="auto"/>
              <w:jc w:val="center"/>
              <w:rPr>
                <w:rFonts w:ascii="Arial" w:hAnsi="Arial" w:cs="Arial"/>
                <w:noProof/>
              </w:rPr>
            </w:pPr>
          </w:p>
        </w:tc>
      </w:tr>
      <w:tr w:rsidR="00653D40" w:rsidRPr="00DA6313" w14:paraId="46A6FFAE" w14:textId="77777777" w:rsidTr="00E95FDC">
        <w:tc>
          <w:tcPr>
            <w:tcW w:w="9039" w:type="dxa"/>
          </w:tcPr>
          <w:p w14:paraId="642B9C8E" w14:textId="77777777" w:rsidR="00653D40" w:rsidRPr="00DA6313" w:rsidRDefault="00653D40" w:rsidP="00D10E97">
            <w:pPr>
              <w:spacing w:after="0" w:line="240" w:lineRule="auto"/>
              <w:jc w:val="both"/>
              <w:rPr>
                <w:rFonts w:ascii="Arial" w:hAnsi="Arial" w:cs="Arial"/>
                <w:noProof/>
              </w:rPr>
            </w:pPr>
            <w:r w:rsidRPr="00DA6313">
              <w:rPr>
                <w:rFonts w:ascii="Arial" w:hAnsi="Arial" w:cs="Arial"/>
                <w:noProof/>
              </w:rPr>
              <w:t>13. Spisak propisa koji se primjenjuje u postupku davanja koncesije i u vršenju koncesione djelatnosti</w:t>
            </w:r>
          </w:p>
        </w:tc>
        <w:tc>
          <w:tcPr>
            <w:tcW w:w="1375" w:type="dxa"/>
          </w:tcPr>
          <w:p w14:paraId="7821E04E" w14:textId="77777777" w:rsidR="00653D40" w:rsidRPr="00DA6313" w:rsidRDefault="00E95FDC" w:rsidP="0002393F">
            <w:pPr>
              <w:spacing w:after="0" w:line="240" w:lineRule="auto"/>
              <w:jc w:val="center"/>
              <w:rPr>
                <w:rFonts w:ascii="Arial" w:hAnsi="Arial" w:cs="Arial"/>
                <w:noProof/>
              </w:rPr>
            </w:pPr>
            <w:r>
              <w:rPr>
                <w:rFonts w:ascii="Arial" w:hAnsi="Arial" w:cs="Arial"/>
                <w:noProof/>
              </w:rPr>
              <w:t>21</w:t>
            </w:r>
          </w:p>
        </w:tc>
      </w:tr>
      <w:tr w:rsidR="00653D40" w:rsidRPr="00DA6313" w14:paraId="4C94B474" w14:textId="77777777" w:rsidTr="00E95FDC">
        <w:tc>
          <w:tcPr>
            <w:tcW w:w="9039" w:type="dxa"/>
          </w:tcPr>
          <w:p w14:paraId="0FAB8D0E" w14:textId="77777777" w:rsidR="00653D40" w:rsidRPr="00DA6313" w:rsidRDefault="00653D40" w:rsidP="00D10E97">
            <w:pPr>
              <w:spacing w:after="0" w:line="240" w:lineRule="auto"/>
              <w:jc w:val="both"/>
              <w:rPr>
                <w:rFonts w:ascii="Arial" w:hAnsi="Arial" w:cs="Arial"/>
                <w:noProof/>
              </w:rPr>
            </w:pPr>
          </w:p>
        </w:tc>
        <w:tc>
          <w:tcPr>
            <w:tcW w:w="1375" w:type="dxa"/>
          </w:tcPr>
          <w:p w14:paraId="434F1991" w14:textId="77777777" w:rsidR="00653D40" w:rsidRPr="00DA6313" w:rsidRDefault="00653D40" w:rsidP="00D10E97">
            <w:pPr>
              <w:spacing w:after="0" w:line="240" w:lineRule="auto"/>
              <w:jc w:val="center"/>
              <w:rPr>
                <w:rFonts w:ascii="Arial" w:hAnsi="Arial" w:cs="Arial"/>
                <w:noProof/>
              </w:rPr>
            </w:pPr>
          </w:p>
        </w:tc>
      </w:tr>
    </w:tbl>
    <w:p w14:paraId="7FDBABBD" w14:textId="77777777" w:rsidR="00653D40" w:rsidRPr="00DA6313" w:rsidRDefault="00653D40" w:rsidP="00653D40">
      <w:pPr>
        <w:pStyle w:val="Heading1"/>
        <w:numPr>
          <w:ilvl w:val="0"/>
          <w:numId w:val="0"/>
        </w:numPr>
        <w:ind w:left="432"/>
        <w:rPr>
          <w:rFonts w:ascii="Arial" w:hAnsi="Arial" w:cs="Arial"/>
          <w:noProof/>
          <w:sz w:val="22"/>
          <w:szCs w:val="22"/>
        </w:rPr>
      </w:pPr>
    </w:p>
    <w:p w14:paraId="29587D8E" w14:textId="77777777" w:rsidR="00653D40" w:rsidRPr="00DA6313" w:rsidRDefault="00653D40" w:rsidP="00653D40">
      <w:pPr>
        <w:spacing w:line="240" w:lineRule="auto"/>
        <w:rPr>
          <w:rFonts w:ascii="Arial" w:hAnsi="Arial" w:cs="Arial"/>
          <w:noProof/>
        </w:rPr>
      </w:pPr>
      <w:r w:rsidRPr="00DA6313">
        <w:rPr>
          <w:rFonts w:ascii="Arial" w:hAnsi="Arial" w:cs="Arial"/>
          <w:noProof/>
        </w:rPr>
        <w:t>Prilozi</w:t>
      </w:r>
    </w:p>
    <w:p w14:paraId="42D568DB" w14:textId="77777777" w:rsidR="00653D40" w:rsidRPr="00DA6313" w:rsidRDefault="00653D40" w:rsidP="00653D40">
      <w:pPr>
        <w:spacing w:line="240" w:lineRule="auto"/>
        <w:rPr>
          <w:rFonts w:ascii="Arial" w:hAnsi="Arial" w:cs="Arial"/>
          <w:noProof/>
        </w:rPr>
      </w:pPr>
    </w:p>
    <w:p w14:paraId="10248336" w14:textId="77777777" w:rsidR="00653D40" w:rsidRPr="00DA6313" w:rsidRDefault="00653D40" w:rsidP="00653D40">
      <w:pPr>
        <w:spacing w:line="240" w:lineRule="auto"/>
        <w:rPr>
          <w:rFonts w:ascii="Arial" w:hAnsi="Arial" w:cs="Arial"/>
          <w:noProof/>
        </w:rPr>
      </w:pPr>
    </w:p>
    <w:p w14:paraId="63CA6670" w14:textId="77777777" w:rsidR="00653D40" w:rsidRPr="00DA6313" w:rsidRDefault="00653D40" w:rsidP="00653D40">
      <w:pPr>
        <w:spacing w:line="240" w:lineRule="auto"/>
        <w:rPr>
          <w:rFonts w:ascii="Arial" w:hAnsi="Arial" w:cs="Arial"/>
          <w:noProof/>
        </w:rPr>
      </w:pPr>
    </w:p>
    <w:p w14:paraId="66C8BCE3" w14:textId="77777777" w:rsidR="00653D40" w:rsidRPr="00DA6313" w:rsidRDefault="00653D40" w:rsidP="00653D40">
      <w:pPr>
        <w:spacing w:line="240" w:lineRule="auto"/>
        <w:rPr>
          <w:rFonts w:ascii="Arial" w:hAnsi="Arial" w:cs="Arial"/>
          <w:noProof/>
        </w:rPr>
      </w:pPr>
    </w:p>
    <w:p w14:paraId="3E034760" w14:textId="77777777" w:rsidR="00653D40" w:rsidRPr="00DA6313" w:rsidRDefault="00653D40" w:rsidP="00653D40">
      <w:pPr>
        <w:spacing w:line="240" w:lineRule="auto"/>
        <w:rPr>
          <w:rFonts w:ascii="Arial" w:hAnsi="Arial" w:cs="Arial"/>
          <w:noProof/>
        </w:rPr>
      </w:pPr>
    </w:p>
    <w:p w14:paraId="1ED611D5" w14:textId="77777777" w:rsidR="00653D40" w:rsidRPr="00DA6313" w:rsidRDefault="00653D40" w:rsidP="00653D40">
      <w:pPr>
        <w:spacing w:line="240" w:lineRule="auto"/>
        <w:rPr>
          <w:rFonts w:ascii="Arial" w:hAnsi="Arial" w:cs="Arial"/>
          <w:noProof/>
        </w:rPr>
      </w:pPr>
    </w:p>
    <w:p w14:paraId="1576D7B2" w14:textId="77777777" w:rsidR="00653D40" w:rsidRPr="00DA6313" w:rsidRDefault="00653D40" w:rsidP="00653D40">
      <w:pPr>
        <w:spacing w:line="240" w:lineRule="auto"/>
        <w:rPr>
          <w:rFonts w:ascii="Arial" w:hAnsi="Arial" w:cs="Arial"/>
          <w:noProof/>
        </w:rPr>
      </w:pPr>
    </w:p>
    <w:p w14:paraId="0B3D8DCD" w14:textId="77777777" w:rsidR="00653D40" w:rsidRPr="00DA6313" w:rsidRDefault="00653D40" w:rsidP="00653D40">
      <w:pPr>
        <w:spacing w:line="240" w:lineRule="auto"/>
        <w:rPr>
          <w:rFonts w:ascii="Arial" w:hAnsi="Arial" w:cs="Arial"/>
          <w:noProof/>
        </w:rPr>
      </w:pPr>
    </w:p>
    <w:p w14:paraId="5375A58C" w14:textId="77777777" w:rsidR="00653D40" w:rsidRDefault="00653D40" w:rsidP="00653D40">
      <w:pPr>
        <w:spacing w:after="0" w:line="240" w:lineRule="auto"/>
        <w:jc w:val="both"/>
        <w:rPr>
          <w:rFonts w:ascii="Arial" w:hAnsi="Arial" w:cs="Arial"/>
          <w:noProof/>
        </w:rPr>
      </w:pPr>
    </w:p>
    <w:p w14:paraId="635CCEEA" w14:textId="77777777" w:rsidR="00F818B6" w:rsidRDefault="00F818B6" w:rsidP="00653D40">
      <w:pPr>
        <w:spacing w:after="0" w:line="240" w:lineRule="auto"/>
        <w:jc w:val="both"/>
        <w:rPr>
          <w:rFonts w:ascii="Arial" w:hAnsi="Arial" w:cs="Arial"/>
          <w:noProof/>
        </w:rPr>
      </w:pPr>
    </w:p>
    <w:p w14:paraId="5302CDF8" w14:textId="77777777" w:rsidR="00653D40" w:rsidRPr="00DA6313" w:rsidRDefault="00653D40" w:rsidP="00653D40">
      <w:pPr>
        <w:spacing w:after="0" w:line="240" w:lineRule="auto"/>
        <w:jc w:val="both"/>
        <w:rPr>
          <w:rFonts w:ascii="Arial" w:hAnsi="Arial" w:cs="Arial"/>
          <w:noProof/>
        </w:rPr>
      </w:pPr>
    </w:p>
    <w:p w14:paraId="2DA4790A" w14:textId="77777777" w:rsidR="00653D40" w:rsidRPr="00DA6313" w:rsidRDefault="00653D40" w:rsidP="00653D40">
      <w:pPr>
        <w:spacing w:after="0" w:line="240" w:lineRule="auto"/>
        <w:jc w:val="both"/>
        <w:rPr>
          <w:rFonts w:ascii="Arial" w:hAnsi="Arial" w:cs="Arial"/>
          <w:b/>
          <w:noProof/>
        </w:rPr>
      </w:pPr>
      <w:r w:rsidRPr="00DA6313">
        <w:rPr>
          <w:rFonts w:ascii="Arial" w:hAnsi="Arial" w:cs="Arial"/>
          <w:b/>
          <w:noProof/>
        </w:rPr>
        <w:t>UVOD</w:t>
      </w:r>
      <w:bookmarkEnd w:id="0"/>
      <w:bookmarkEnd w:id="1"/>
      <w:bookmarkEnd w:id="2"/>
      <w:bookmarkEnd w:id="3"/>
    </w:p>
    <w:p w14:paraId="19C43539" w14:textId="6FEFF2A4" w:rsidR="00653D40" w:rsidRDefault="00653D40" w:rsidP="00653D40">
      <w:pPr>
        <w:spacing w:after="0" w:line="240" w:lineRule="auto"/>
        <w:jc w:val="both"/>
        <w:rPr>
          <w:rFonts w:ascii="Arial" w:hAnsi="Arial" w:cs="Arial"/>
          <w:noProof/>
        </w:rPr>
      </w:pPr>
    </w:p>
    <w:p w14:paraId="633C6859" w14:textId="1F7C1864" w:rsidR="007D617C" w:rsidRDefault="007D617C" w:rsidP="00653D40">
      <w:pPr>
        <w:spacing w:after="0" w:line="240" w:lineRule="auto"/>
        <w:jc w:val="both"/>
        <w:rPr>
          <w:rFonts w:ascii="Arial" w:hAnsi="Arial" w:cs="Arial"/>
          <w:noProof/>
        </w:rPr>
      </w:pPr>
    </w:p>
    <w:p w14:paraId="76C08A0B" w14:textId="77777777" w:rsidR="007D617C" w:rsidRPr="00DA6313" w:rsidRDefault="007D617C" w:rsidP="00653D40">
      <w:pPr>
        <w:spacing w:after="0" w:line="240" w:lineRule="auto"/>
        <w:jc w:val="both"/>
        <w:rPr>
          <w:rFonts w:ascii="Arial" w:hAnsi="Arial" w:cs="Arial"/>
          <w:noProof/>
        </w:rPr>
      </w:pPr>
    </w:p>
    <w:p w14:paraId="173A9537" w14:textId="4271EE3D" w:rsidR="002A2745" w:rsidRDefault="002A2745" w:rsidP="007D617C">
      <w:pPr>
        <w:spacing w:after="0" w:line="240" w:lineRule="auto"/>
        <w:jc w:val="both"/>
        <w:rPr>
          <w:rFonts w:ascii="Arial" w:eastAsia="Calibri" w:hAnsi="Arial" w:cs="Arial"/>
          <w:noProof/>
          <w:lang w:val="sr-Latn-CS"/>
        </w:rPr>
      </w:pPr>
      <w:r w:rsidRPr="0044344D">
        <w:rPr>
          <w:rFonts w:ascii="Arial" w:eastAsia="Calibri" w:hAnsi="Arial" w:cs="Arial"/>
          <w:noProof/>
          <w:lang w:val="sr-Latn-CS"/>
        </w:rPr>
        <w:t xml:space="preserve">U Državnom planu eksploatacije mineralnih sirovina za period 2019-2028. godina, </w:t>
      </w:r>
      <w:r>
        <w:rPr>
          <w:rFonts w:ascii="Arial" w:eastAsia="Calibri" w:hAnsi="Arial" w:cs="Arial"/>
          <w:noProof/>
          <w:lang w:val="sr-Latn-CS"/>
        </w:rPr>
        <w:t>navedeno je da,</w:t>
      </w:r>
      <w:r w:rsidRPr="0044344D">
        <w:rPr>
          <w:rFonts w:ascii="Arial" w:eastAsia="Calibri" w:hAnsi="Arial" w:cs="Arial"/>
          <w:noProof/>
          <w:lang w:val="sr-Latn-CS"/>
        </w:rPr>
        <w:t xml:space="preserve"> mrkolignitni i mrki ugalj predstavljaju osnovnu energetsku sirovinu za proizvodnju električne energije i široku potrošnju.</w:t>
      </w:r>
    </w:p>
    <w:p w14:paraId="27CD8456" w14:textId="77777777" w:rsidR="007D617C" w:rsidRPr="0044344D" w:rsidRDefault="007D617C" w:rsidP="007D617C">
      <w:pPr>
        <w:spacing w:after="0" w:line="240" w:lineRule="auto"/>
        <w:jc w:val="both"/>
        <w:rPr>
          <w:rFonts w:ascii="Arial" w:eastAsia="Calibri" w:hAnsi="Arial" w:cs="Arial"/>
          <w:noProof/>
          <w:lang w:val="sr-Latn-CS"/>
        </w:rPr>
      </w:pPr>
    </w:p>
    <w:p w14:paraId="3D7B19BA" w14:textId="16D5529D" w:rsidR="002A2745" w:rsidRDefault="002A2745" w:rsidP="007D617C">
      <w:pPr>
        <w:spacing w:after="0" w:line="240" w:lineRule="auto"/>
        <w:jc w:val="both"/>
        <w:rPr>
          <w:rFonts w:ascii="Arial" w:eastAsia="Calibri" w:hAnsi="Arial" w:cs="Arial"/>
          <w:noProof/>
          <w:lang w:val="sr-Latn-CS"/>
        </w:rPr>
      </w:pPr>
      <w:r w:rsidRPr="0044344D">
        <w:rPr>
          <w:rFonts w:ascii="Arial" w:eastAsia="Calibri" w:hAnsi="Arial" w:cs="Arial"/>
          <w:noProof/>
          <w:lang w:val="sr-Latn-CS"/>
        </w:rPr>
        <w:t>Projekcija eksploatacije uglja u Crnoj Gori za desetogodišnji period data je na osnovu sagledavanja mogućnosti plasmana uglja i postojećih kapaciteta r</w:t>
      </w:r>
      <w:r>
        <w:rPr>
          <w:rFonts w:ascii="Arial" w:eastAsia="Calibri" w:hAnsi="Arial" w:cs="Arial"/>
          <w:noProof/>
          <w:lang w:val="sr-Latn-CS"/>
        </w:rPr>
        <w:t>udnika, vodeći računa o ovjerenim rezervama</w:t>
      </w:r>
      <w:r w:rsidRPr="0044344D">
        <w:rPr>
          <w:rFonts w:ascii="Arial" w:eastAsia="Calibri" w:hAnsi="Arial" w:cs="Arial"/>
          <w:noProof/>
          <w:lang w:val="sr-Latn-CS"/>
        </w:rPr>
        <w:t xml:space="preserve"> uglja i racionalnom planir</w:t>
      </w:r>
      <w:r w:rsidR="00F818B6">
        <w:rPr>
          <w:rFonts w:ascii="Arial" w:eastAsia="Calibri" w:hAnsi="Arial" w:cs="Arial"/>
          <w:noProof/>
          <w:lang w:val="sr-Latn-CS"/>
        </w:rPr>
        <w:t>anju dinamike otvaranja ležišta</w:t>
      </w:r>
      <w:r>
        <w:rPr>
          <w:rFonts w:ascii="Arial" w:eastAsia="Calibri" w:hAnsi="Arial" w:cs="Arial"/>
          <w:noProof/>
          <w:lang w:val="sr-Latn-CS"/>
        </w:rPr>
        <w:t>,</w:t>
      </w:r>
      <w:r w:rsidRPr="0044344D">
        <w:rPr>
          <w:rFonts w:ascii="Arial" w:eastAsia="Calibri" w:hAnsi="Arial" w:cs="Arial"/>
          <w:noProof/>
          <w:lang w:val="sr-Latn-CS"/>
        </w:rPr>
        <w:t xml:space="preserve"> u smislu homogenizacije uglja i njegovom plasmanu za potrebe TE „Pljevlja“.</w:t>
      </w:r>
    </w:p>
    <w:p w14:paraId="10CEFDEC" w14:textId="77777777" w:rsidR="007D617C" w:rsidRPr="0044344D" w:rsidRDefault="007D617C" w:rsidP="007D617C">
      <w:pPr>
        <w:spacing w:after="0" w:line="240" w:lineRule="auto"/>
        <w:jc w:val="both"/>
        <w:rPr>
          <w:rFonts w:ascii="Arial" w:eastAsia="Calibri" w:hAnsi="Arial" w:cs="Arial"/>
          <w:noProof/>
          <w:lang w:val="sr-Latn-CS"/>
        </w:rPr>
      </w:pPr>
    </w:p>
    <w:p w14:paraId="3696B7A2" w14:textId="77777777" w:rsidR="002A2745" w:rsidRDefault="002A2745" w:rsidP="007D617C">
      <w:pPr>
        <w:spacing w:after="0" w:line="240" w:lineRule="auto"/>
        <w:jc w:val="both"/>
        <w:rPr>
          <w:rFonts w:ascii="Arial" w:eastAsia="Calibri" w:hAnsi="Arial" w:cs="Arial"/>
          <w:noProof/>
          <w:lang w:val="sr-Latn-CS"/>
        </w:rPr>
      </w:pPr>
      <w:r w:rsidRPr="0044344D">
        <w:rPr>
          <w:rFonts w:ascii="Arial" w:eastAsia="Calibri" w:hAnsi="Arial" w:cs="Arial"/>
          <w:noProof/>
          <w:lang w:val="sr-Latn-CS"/>
        </w:rPr>
        <w:t>Upravo iz tog razloga, prepoznat je potencijal ležišta „Mataruge“ koje bi se detaljnim geološkim istraživanjem i potvrdom rezervi i kvaliteta uglja</w:t>
      </w:r>
      <w:r>
        <w:rPr>
          <w:rFonts w:ascii="Arial" w:eastAsia="Calibri" w:hAnsi="Arial" w:cs="Arial"/>
          <w:noProof/>
          <w:lang w:val="sr-Latn-CS"/>
        </w:rPr>
        <w:t xml:space="preserve"> </w:t>
      </w:r>
      <w:r w:rsidRPr="0044344D">
        <w:rPr>
          <w:rFonts w:ascii="Arial" w:eastAsia="Calibri" w:hAnsi="Arial" w:cs="Arial"/>
          <w:noProof/>
          <w:lang w:val="sr-Latn-CS"/>
        </w:rPr>
        <w:t>moglo pla</w:t>
      </w:r>
      <w:r>
        <w:rPr>
          <w:rFonts w:ascii="Arial" w:eastAsia="Calibri" w:hAnsi="Arial" w:cs="Arial"/>
          <w:noProof/>
          <w:lang w:val="sr-Latn-CS"/>
        </w:rPr>
        <w:t>nirati za buduću eksploataciju.</w:t>
      </w:r>
    </w:p>
    <w:p w14:paraId="4F0F8B21" w14:textId="77777777" w:rsidR="00653D40" w:rsidRPr="00E70CE1" w:rsidRDefault="00653D40" w:rsidP="007D617C">
      <w:pPr>
        <w:spacing w:after="0" w:line="240" w:lineRule="auto"/>
        <w:jc w:val="both"/>
        <w:rPr>
          <w:rFonts w:ascii="Arial" w:hAnsi="Arial" w:cs="Arial"/>
          <w:noProof/>
        </w:rPr>
      </w:pPr>
      <w:r w:rsidRPr="00E70CE1">
        <w:rPr>
          <w:rFonts w:ascii="Arial" w:hAnsi="Arial" w:cs="Arial"/>
          <w:noProof/>
        </w:rPr>
        <w:t>Cilj izrade Koncesionog akt</w:t>
      </w:r>
      <w:r w:rsidR="00E70CE1" w:rsidRPr="00E70CE1">
        <w:rPr>
          <w:rFonts w:ascii="Arial" w:hAnsi="Arial" w:cs="Arial"/>
          <w:noProof/>
        </w:rPr>
        <w:t>a je realizacija</w:t>
      </w:r>
      <w:r w:rsidRPr="00E70CE1">
        <w:rPr>
          <w:rFonts w:ascii="Arial" w:hAnsi="Arial" w:cs="Arial"/>
          <w:noProof/>
        </w:rPr>
        <w:t xml:space="preserve"> dodjel</w:t>
      </w:r>
      <w:r w:rsidR="00E70CE1" w:rsidRPr="00E70CE1">
        <w:rPr>
          <w:rFonts w:ascii="Arial" w:hAnsi="Arial" w:cs="Arial"/>
          <w:noProof/>
        </w:rPr>
        <w:t>e</w:t>
      </w:r>
      <w:r w:rsidRPr="00E70CE1">
        <w:rPr>
          <w:rFonts w:ascii="Arial" w:hAnsi="Arial" w:cs="Arial"/>
          <w:noProof/>
        </w:rPr>
        <w:t xml:space="preserve"> </w:t>
      </w:r>
      <w:r w:rsidR="00E70CE1" w:rsidRPr="00E70CE1">
        <w:rPr>
          <w:rFonts w:ascii="Arial" w:hAnsi="Arial" w:cs="Arial"/>
          <w:noProof/>
        </w:rPr>
        <w:t>koncesije</w:t>
      </w:r>
      <w:r w:rsidRPr="00E70CE1">
        <w:rPr>
          <w:rFonts w:ascii="Arial" w:hAnsi="Arial" w:cs="Arial"/>
          <w:noProof/>
        </w:rPr>
        <w:t xml:space="preserve"> za istraživanje i eksploataciju mrkolignitnog uglja na lokalitetu „</w:t>
      </w:r>
      <w:r w:rsidR="00674220" w:rsidRPr="00E70CE1">
        <w:rPr>
          <w:rFonts w:ascii="Arial" w:hAnsi="Arial" w:cs="Arial"/>
          <w:noProof/>
        </w:rPr>
        <w:t xml:space="preserve">Mataruge”, </w:t>
      </w:r>
      <w:r w:rsidR="00537596" w:rsidRPr="00E70CE1">
        <w:rPr>
          <w:rFonts w:ascii="Arial" w:hAnsi="Arial" w:cs="Arial"/>
          <w:noProof/>
        </w:rPr>
        <w:t>o</w:t>
      </w:r>
      <w:r w:rsidRPr="00E70CE1">
        <w:rPr>
          <w:rFonts w:ascii="Arial" w:hAnsi="Arial" w:cs="Arial"/>
          <w:noProof/>
        </w:rPr>
        <w:t>pština Pljevlja.</w:t>
      </w:r>
    </w:p>
    <w:p w14:paraId="2259638E" w14:textId="77777777" w:rsidR="002A2745" w:rsidRDefault="002A2745" w:rsidP="007D617C">
      <w:pPr>
        <w:spacing w:after="0" w:line="240" w:lineRule="auto"/>
        <w:jc w:val="both"/>
        <w:rPr>
          <w:rFonts w:ascii="Arial" w:hAnsi="Arial" w:cs="Arial"/>
          <w:noProof/>
        </w:rPr>
      </w:pPr>
    </w:p>
    <w:p w14:paraId="5A4D0E02" w14:textId="77777777" w:rsidR="00D616E1" w:rsidRDefault="005F5EAD" w:rsidP="007D617C">
      <w:pPr>
        <w:spacing w:after="0" w:line="240" w:lineRule="auto"/>
        <w:jc w:val="both"/>
        <w:rPr>
          <w:rFonts w:ascii="Arial" w:hAnsi="Arial" w:cs="Arial"/>
          <w:noProof/>
        </w:rPr>
      </w:pPr>
      <w:r>
        <w:rPr>
          <w:rFonts w:ascii="Arial" w:hAnsi="Arial" w:cs="Arial"/>
          <w:noProof/>
        </w:rPr>
        <w:t>Na osnovu člana 17 Zakona</w:t>
      </w:r>
      <w:r w:rsidR="00D616E1">
        <w:rPr>
          <w:rFonts w:ascii="Arial" w:hAnsi="Arial" w:cs="Arial"/>
          <w:noProof/>
        </w:rPr>
        <w:t xml:space="preserve"> </w:t>
      </w:r>
      <w:r w:rsidR="00D616E1" w:rsidRPr="004926CE">
        <w:rPr>
          <w:rFonts w:ascii="Arial" w:hAnsi="Arial" w:cs="Arial"/>
          <w:noProof/>
        </w:rPr>
        <w:t>o koncesijama</w:t>
      </w:r>
      <w:r>
        <w:rPr>
          <w:rFonts w:ascii="Arial" w:hAnsi="Arial" w:cs="Arial"/>
          <w:noProof/>
        </w:rPr>
        <w:t xml:space="preserve">, postupak za davanje koncesija pokreće nadležni organ izradom Koncesionog akta, u skladu sa </w:t>
      </w:r>
      <w:r w:rsidR="007B2647">
        <w:rPr>
          <w:rFonts w:ascii="Arial" w:hAnsi="Arial" w:cs="Arial"/>
          <w:noProof/>
        </w:rPr>
        <w:t xml:space="preserve">Dopunom </w:t>
      </w:r>
      <w:r w:rsidR="002D0162">
        <w:rPr>
          <w:rFonts w:ascii="Arial" w:hAnsi="Arial" w:cs="Arial"/>
          <w:noProof/>
        </w:rPr>
        <w:t>plan</w:t>
      </w:r>
      <w:r w:rsidR="007B2647">
        <w:rPr>
          <w:rFonts w:ascii="Arial" w:hAnsi="Arial" w:cs="Arial"/>
          <w:noProof/>
        </w:rPr>
        <w:t>a</w:t>
      </w:r>
      <w:r w:rsidR="00653D40" w:rsidRPr="00DA6313">
        <w:rPr>
          <w:rFonts w:ascii="Arial" w:hAnsi="Arial" w:cs="Arial"/>
          <w:noProof/>
        </w:rPr>
        <w:t xml:space="preserve"> davanja koncesija za detaljna geološka istr</w:t>
      </w:r>
      <w:r w:rsidR="004926CE">
        <w:rPr>
          <w:rFonts w:ascii="Arial" w:hAnsi="Arial" w:cs="Arial"/>
          <w:noProof/>
        </w:rPr>
        <w:t>aživanja i eksploataciju za 202</w:t>
      </w:r>
      <w:r w:rsidR="007B2647">
        <w:rPr>
          <w:rFonts w:ascii="Arial" w:hAnsi="Arial" w:cs="Arial"/>
          <w:noProof/>
        </w:rPr>
        <w:t>0</w:t>
      </w:r>
      <w:r w:rsidR="002D0162">
        <w:rPr>
          <w:rFonts w:ascii="Arial" w:hAnsi="Arial" w:cs="Arial"/>
          <w:noProof/>
        </w:rPr>
        <w:t>. godinu</w:t>
      </w:r>
      <w:r w:rsidR="00653D40" w:rsidRPr="00DA6313">
        <w:rPr>
          <w:rFonts w:ascii="Arial" w:hAnsi="Arial" w:cs="Arial"/>
          <w:noProof/>
        </w:rPr>
        <w:t>.</w:t>
      </w:r>
      <w:r w:rsidR="00754E35">
        <w:rPr>
          <w:rFonts w:ascii="Arial" w:hAnsi="Arial" w:cs="Arial"/>
          <w:noProof/>
        </w:rPr>
        <w:t xml:space="preserve"> U </w:t>
      </w:r>
      <w:r w:rsidR="007B2647">
        <w:rPr>
          <w:rFonts w:ascii="Arial" w:hAnsi="Arial" w:cs="Arial"/>
          <w:noProof/>
        </w:rPr>
        <w:t xml:space="preserve">dopunu </w:t>
      </w:r>
      <w:r w:rsidR="002D0162">
        <w:rPr>
          <w:rFonts w:ascii="Arial" w:hAnsi="Arial" w:cs="Arial"/>
          <w:noProof/>
        </w:rPr>
        <w:t xml:space="preserve"> plan</w:t>
      </w:r>
      <w:r w:rsidR="007B2647">
        <w:rPr>
          <w:rFonts w:ascii="Arial" w:hAnsi="Arial" w:cs="Arial"/>
          <w:noProof/>
        </w:rPr>
        <w:t>a</w:t>
      </w:r>
      <w:r w:rsidR="004926CE">
        <w:rPr>
          <w:rFonts w:ascii="Arial" w:hAnsi="Arial" w:cs="Arial"/>
          <w:noProof/>
        </w:rPr>
        <w:t xml:space="preserve"> za 202</w:t>
      </w:r>
      <w:r w:rsidR="007B2647">
        <w:rPr>
          <w:rFonts w:ascii="Arial" w:hAnsi="Arial" w:cs="Arial"/>
          <w:noProof/>
        </w:rPr>
        <w:t>0</w:t>
      </w:r>
      <w:r w:rsidR="00C75F62">
        <w:rPr>
          <w:rFonts w:ascii="Arial" w:hAnsi="Arial" w:cs="Arial"/>
          <w:noProof/>
        </w:rPr>
        <w:t>. godinu uvršten</w:t>
      </w:r>
      <w:r w:rsidR="00754E35">
        <w:rPr>
          <w:rFonts w:ascii="Arial" w:hAnsi="Arial" w:cs="Arial"/>
          <w:noProof/>
        </w:rPr>
        <w:t xml:space="preserve"> je i </w:t>
      </w:r>
      <w:r w:rsidR="00C75F62">
        <w:rPr>
          <w:rFonts w:ascii="Arial" w:hAnsi="Arial" w:cs="Arial"/>
          <w:noProof/>
        </w:rPr>
        <w:t xml:space="preserve">lokalitet mrkolignitnog uglja </w:t>
      </w:r>
      <w:r w:rsidR="00C75F62" w:rsidRPr="00DA6313">
        <w:rPr>
          <w:rFonts w:ascii="Arial" w:hAnsi="Arial" w:cs="Arial"/>
          <w:noProof/>
        </w:rPr>
        <w:t>„</w:t>
      </w:r>
      <w:r w:rsidR="00C75F62">
        <w:rPr>
          <w:rFonts w:ascii="Arial" w:hAnsi="Arial" w:cs="Arial"/>
          <w:noProof/>
        </w:rPr>
        <w:t>Mataruge”, o</w:t>
      </w:r>
      <w:r w:rsidR="00C75F62" w:rsidRPr="00DA6313">
        <w:rPr>
          <w:rFonts w:ascii="Arial" w:hAnsi="Arial" w:cs="Arial"/>
          <w:noProof/>
        </w:rPr>
        <w:t xml:space="preserve">pština </w:t>
      </w:r>
      <w:r w:rsidR="00C75F62">
        <w:rPr>
          <w:rFonts w:ascii="Arial" w:hAnsi="Arial" w:cs="Arial"/>
          <w:noProof/>
        </w:rPr>
        <w:t>Pljevlja.</w:t>
      </w:r>
      <w:r w:rsidR="00D616E1">
        <w:rPr>
          <w:rFonts w:ascii="Arial" w:hAnsi="Arial" w:cs="Arial"/>
          <w:noProof/>
        </w:rPr>
        <w:t xml:space="preserve"> </w:t>
      </w:r>
    </w:p>
    <w:p w14:paraId="591F513F" w14:textId="77777777" w:rsidR="00653D40" w:rsidRPr="00DA6313" w:rsidRDefault="00653D40" w:rsidP="007D617C">
      <w:pPr>
        <w:spacing w:after="0" w:line="240" w:lineRule="auto"/>
        <w:jc w:val="both"/>
        <w:rPr>
          <w:rFonts w:ascii="Arial" w:hAnsi="Arial" w:cs="Arial"/>
          <w:noProof/>
        </w:rPr>
      </w:pPr>
    </w:p>
    <w:p w14:paraId="217CB4A8" w14:textId="77777777" w:rsidR="007359AE" w:rsidRDefault="002F070F" w:rsidP="007D617C">
      <w:pPr>
        <w:spacing w:after="0" w:line="240" w:lineRule="auto"/>
        <w:jc w:val="both"/>
        <w:rPr>
          <w:rFonts w:ascii="Arial" w:hAnsi="Arial" w:cs="Arial"/>
          <w:noProof/>
          <w:lang w:eastAsia="sl-SI"/>
        </w:rPr>
      </w:pPr>
      <w:r>
        <w:rPr>
          <w:rFonts w:ascii="Arial" w:hAnsi="Arial" w:cs="Arial"/>
          <w:noProof/>
          <w:lang w:eastAsia="sl-SI"/>
        </w:rPr>
        <w:t>Članom 20, stav 2 tačka 6, propisano je da nije neophodno sprovoditi postupak javnog nadmetanja na osnovu javnog oglasa u slučaju realizacije koncesije od strane privrednog društva ili pravnog lica u kome država ima više od polovine akcija ili udjela ili više od polovine prava glasa ili ima pravo na izbor većine članova organa upravljanja ili lica koja su ovlašćena za zastupanje u skladu sa zakonom, ili odlučujući uticaj na upravljanje ili vođenje poslova tog lica,</w:t>
      </w:r>
      <w:r w:rsidR="007359AE">
        <w:rPr>
          <w:rFonts w:ascii="Arial" w:hAnsi="Arial" w:cs="Arial"/>
          <w:noProof/>
          <w:lang w:eastAsia="sl-SI"/>
        </w:rPr>
        <w:t xml:space="preserve"> odnosno </w:t>
      </w:r>
      <w:r>
        <w:rPr>
          <w:rFonts w:ascii="Arial" w:hAnsi="Arial" w:cs="Arial"/>
          <w:noProof/>
          <w:lang w:eastAsia="sl-SI"/>
        </w:rPr>
        <w:t xml:space="preserve"> </w:t>
      </w:r>
      <w:r w:rsidR="00C51C11">
        <w:rPr>
          <w:rFonts w:ascii="Arial" w:hAnsi="Arial" w:cs="Arial"/>
          <w:noProof/>
          <w:lang w:eastAsia="sl-SI"/>
        </w:rPr>
        <w:t>više od polovine akcija ili udjela ima privredno društvo ili pravno lice</w:t>
      </w:r>
      <w:r w:rsidR="00F61794">
        <w:rPr>
          <w:rFonts w:ascii="Arial" w:hAnsi="Arial" w:cs="Arial"/>
          <w:noProof/>
          <w:lang w:eastAsia="sl-SI"/>
        </w:rPr>
        <w:t xml:space="preserve"> </w:t>
      </w:r>
      <w:r w:rsidR="00C51C11">
        <w:rPr>
          <w:rFonts w:ascii="Arial" w:hAnsi="Arial" w:cs="Arial"/>
          <w:noProof/>
          <w:lang w:eastAsia="sl-SI"/>
        </w:rPr>
        <w:t>u kome država ima više od polovine akcija ili udjela ili više od polovine prava glasa ili ima pravo na izbor većine članova organa upravljanja ili lica koja su ovlašćena za zastupanje u skladu sa zakonom, ili odlučujući uticaj na upravljanje i vođenje poslova tog lica. Odluku shodno zakonu donosi Vlada.</w:t>
      </w:r>
    </w:p>
    <w:p w14:paraId="482B518B" w14:textId="77777777" w:rsidR="00092FC9" w:rsidRDefault="00092FC9" w:rsidP="007D617C">
      <w:pPr>
        <w:spacing w:after="0" w:line="240" w:lineRule="auto"/>
        <w:jc w:val="both"/>
        <w:rPr>
          <w:rFonts w:ascii="Arial" w:hAnsi="Arial" w:cs="Arial"/>
          <w:noProof/>
          <w:lang w:eastAsia="sl-SI"/>
        </w:rPr>
      </w:pPr>
    </w:p>
    <w:p w14:paraId="40E42A65" w14:textId="77777777" w:rsidR="00092FC9" w:rsidRPr="00DA6313" w:rsidRDefault="00092FC9" w:rsidP="007D617C">
      <w:pPr>
        <w:spacing w:after="0" w:line="240" w:lineRule="auto"/>
        <w:jc w:val="both"/>
        <w:rPr>
          <w:rFonts w:ascii="Arial" w:hAnsi="Arial" w:cs="Arial"/>
          <w:noProof/>
          <w:lang w:eastAsia="sl-SI"/>
        </w:rPr>
      </w:pPr>
      <w:r w:rsidRPr="00092FC9">
        <w:rPr>
          <w:rFonts w:ascii="Arial" w:hAnsi="Arial" w:cs="Arial"/>
          <w:noProof/>
          <w:lang w:eastAsia="sl-SI"/>
        </w:rPr>
        <w:t xml:space="preserve">Imajući u vidu člana 20 stav 2 tačka </w:t>
      </w:r>
      <w:r>
        <w:rPr>
          <w:rFonts w:ascii="Arial" w:hAnsi="Arial" w:cs="Arial"/>
          <w:noProof/>
          <w:lang w:eastAsia="sl-SI"/>
        </w:rPr>
        <w:t>6</w:t>
      </w:r>
      <w:r w:rsidRPr="00092FC9">
        <w:rPr>
          <w:rFonts w:ascii="Arial" w:hAnsi="Arial" w:cs="Arial"/>
          <w:noProof/>
          <w:lang w:eastAsia="sl-SI"/>
        </w:rPr>
        <w:t xml:space="preserve"> Zakona o koncesijama, kojim je određeno da se postupak javnog nadmetanja može isključiti pripremljen je Koncesioni akt. Sastavni dio Koncesionog akta je Nacrt ugovora o koncesiji, kao i Uputstvo za podnošenje ponud</w:t>
      </w:r>
      <w:r w:rsidR="002778FC">
        <w:rPr>
          <w:rFonts w:ascii="Arial" w:hAnsi="Arial" w:cs="Arial"/>
          <w:noProof/>
          <w:lang w:eastAsia="sl-SI"/>
        </w:rPr>
        <w:t>e</w:t>
      </w:r>
      <w:r>
        <w:rPr>
          <w:rFonts w:ascii="Arial" w:hAnsi="Arial" w:cs="Arial"/>
          <w:noProof/>
          <w:lang w:eastAsia="sl-SI"/>
        </w:rPr>
        <w:t>.</w:t>
      </w:r>
    </w:p>
    <w:p w14:paraId="0C3B49EC" w14:textId="77777777" w:rsidR="00092FC9" w:rsidRDefault="00092FC9" w:rsidP="00C51C11">
      <w:pPr>
        <w:spacing w:after="0" w:line="240" w:lineRule="auto"/>
        <w:jc w:val="both"/>
        <w:rPr>
          <w:rFonts w:ascii="Arial" w:hAnsi="Arial" w:cs="Arial"/>
          <w:noProof/>
          <w:lang w:eastAsia="sl-SI"/>
        </w:rPr>
      </w:pPr>
    </w:p>
    <w:p w14:paraId="598FA56B" w14:textId="77777777" w:rsidR="007359AE" w:rsidRDefault="007359AE" w:rsidP="007359AE">
      <w:pPr>
        <w:tabs>
          <w:tab w:val="left" w:pos="6072"/>
        </w:tabs>
        <w:rPr>
          <w:rFonts w:ascii="Arial" w:hAnsi="Arial" w:cs="Arial"/>
          <w:lang w:eastAsia="sl-SI"/>
        </w:rPr>
      </w:pPr>
      <w:r>
        <w:rPr>
          <w:rFonts w:ascii="Arial" w:hAnsi="Arial" w:cs="Arial"/>
          <w:lang w:eastAsia="sl-SI"/>
        </w:rPr>
        <w:tab/>
      </w:r>
    </w:p>
    <w:p w14:paraId="76C9ED08" w14:textId="77777777" w:rsidR="007359AE" w:rsidRDefault="007359AE" w:rsidP="007359AE">
      <w:pPr>
        <w:rPr>
          <w:rFonts w:ascii="Arial" w:hAnsi="Arial" w:cs="Arial"/>
          <w:lang w:eastAsia="sl-SI"/>
        </w:rPr>
      </w:pPr>
    </w:p>
    <w:p w14:paraId="3B975314" w14:textId="77777777" w:rsidR="002F070F" w:rsidRPr="007359AE" w:rsidRDefault="002F070F" w:rsidP="007359AE">
      <w:pPr>
        <w:rPr>
          <w:rFonts w:ascii="Arial" w:hAnsi="Arial" w:cs="Arial"/>
          <w:lang w:eastAsia="sl-SI"/>
        </w:rPr>
        <w:sectPr w:rsidR="002F070F" w:rsidRPr="007359AE" w:rsidSect="003F2286">
          <w:footerReference w:type="default" r:id="rId9"/>
          <w:pgSz w:w="11907" w:h="16839" w:code="9"/>
          <w:pgMar w:top="864" w:right="1008" w:bottom="864" w:left="1008" w:header="720" w:footer="720" w:gutter="0"/>
          <w:pgNumType w:start="1"/>
          <w:cols w:space="720"/>
          <w:docGrid w:linePitch="360"/>
        </w:sectPr>
      </w:pPr>
    </w:p>
    <w:p w14:paraId="375AF3D1" w14:textId="77777777" w:rsidR="00653D40" w:rsidRPr="00DA6313" w:rsidRDefault="00653D40" w:rsidP="00664C2A">
      <w:pPr>
        <w:pStyle w:val="Heading1"/>
        <w:numPr>
          <w:ilvl w:val="0"/>
          <w:numId w:val="30"/>
        </w:numPr>
        <w:jc w:val="both"/>
        <w:rPr>
          <w:rFonts w:ascii="Arial" w:hAnsi="Arial" w:cs="Arial"/>
          <w:noProof/>
          <w:sz w:val="22"/>
          <w:szCs w:val="22"/>
        </w:rPr>
      </w:pPr>
      <w:bookmarkStart w:id="4" w:name="_Toc402262925"/>
      <w:r w:rsidRPr="00DA6313">
        <w:rPr>
          <w:rFonts w:ascii="Arial" w:hAnsi="Arial" w:cs="Arial"/>
          <w:noProof/>
          <w:sz w:val="22"/>
          <w:szCs w:val="22"/>
        </w:rPr>
        <w:lastRenderedPageBreak/>
        <w:t xml:space="preserve">TEHNIČKI IZVJEŠTAJ O </w:t>
      </w:r>
      <w:r w:rsidR="00B67266">
        <w:rPr>
          <w:rFonts w:ascii="Arial" w:hAnsi="Arial" w:cs="Arial"/>
          <w:noProof/>
          <w:sz w:val="22"/>
          <w:szCs w:val="22"/>
        </w:rPr>
        <w:t>L</w:t>
      </w:r>
      <w:r w:rsidR="00FA4517">
        <w:rPr>
          <w:rFonts w:ascii="Arial" w:hAnsi="Arial" w:cs="Arial"/>
          <w:noProof/>
          <w:sz w:val="22"/>
          <w:szCs w:val="22"/>
        </w:rPr>
        <w:t>OKALITETU</w:t>
      </w:r>
      <w:r w:rsidRPr="00DA6313">
        <w:rPr>
          <w:rFonts w:ascii="Arial" w:hAnsi="Arial" w:cs="Arial"/>
          <w:noProof/>
          <w:sz w:val="22"/>
          <w:szCs w:val="22"/>
        </w:rPr>
        <w:t xml:space="preserve"> </w:t>
      </w:r>
      <w:r>
        <w:rPr>
          <w:rFonts w:ascii="Arial" w:hAnsi="Arial" w:cs="Arial"/>
          <w:noProof/>
          <w:sz w:val="22"/>
          <w:szCs w:val="22"/>
        </w:rPr>
        <w:t>MRKOLIGNITNOG</w:t>
      </w:r>
      <w:r w:rsidRPr="00DA6313">
        <w:rPr>
          <w:rFonts w:ascii="Arial" w:hAnsi="Arial" w:cs="Arial"/>
          <w:noProof/>
          <w:sz w:val="22"/>
          <w:szCs w:val="22"/>
        </w:rPr>
        <w:t xml:space="preserve"> </w:t>
      </w:r>
      <w:r>
        <w:rPr>
          <w:rFonts w:ascii="Arial" w:hAnsi="Arial" w:cs="Arial"/>
          <w:noProof/>
          <w:sz w:val="22"/>
          <w:szCs w:val="22"/>
        </w:rPr>
        <w:t>UGLJA</w:t>
      </w:r>
      <w:r w:rsidRPr="00DA6313">
        <w:rPr>
          <w:rFonts w:ascii="Arial" w:hAnsi="Arial" w:cs="Arial"/>
          <w:noProof/>
          <w:sz w:val="22"/>
          <w:szCs w:val="22"/>
        </w:rPr>
        <w:t xml:space="preserve"> „</w:t>
      </w:r>
      <w:r>
        <w:rPr>
          <w:rFonts w:ascii="Arial" w:hAnsi="Arial" w:cs="Arial"/>
          <w:noProof/>
          <w:sz w:val="22"/>
          <w:szCs w:val="22"/>
        </w:rPr>
        <w:t>MATARUGE</w:t>
      </w:r>
      <w:r w:rsidRPr="00DA6313">
        <w:rPr>
          <w:rFonts w:ascii="Arial" w:hAnsi="Arial" w:cs="Arial"/>
          <w:noProof/>
          <w:sz w:val="22"/>
          <w:szCs w:val="22"/>
        </w:rPr>
        <w:t>”</w:t>
      </w:r>
      <w:bookmarkEnd w:id="4"/>
      <w:r w:rsidRPr="00DA6313">
        <w:rPr>
          <w:rFonts w:ascii="Arial" w:hAnsi="Arial" w:cs="Arial"/>
          <w:noProof/>
          <w:sz w:val="22"/>
          <w:szCs w:val="22"/>
        </w:rPr>
        <w:t xml:space="preserve">, OPŠTINA </w:t>
      </w:r>
      <w:r>
        <w:rPr>
          <w:rFonts w:ascii="Arial" w:hAnsi="Arial" w:cs="Arial"/>
          <w:noProof/>
          <w:sz w:val="22"/>
          <w:szCs w:val="22"/>
        </w:rPr>
        <w:t>PLJEVLJA</w:t>
      </w:r>
      <w:r w:rsidRPr="00DA6313">
        <w:rPr>
          <w:rFonts w:ascii="Arial" w:hAnsi="Arial" w:cs="Arial"/>
          <w:noProof/>
          <w:sz w:val="22"/>
          <w:szCs w:val="22"/>
        </w:rPr>
        <w:t xml:space="preserve"> </w:t>
      </w:r>
    </w:p>
    <w:p w14:paraId="374872B1" w14:textId="77777777" w:rsidR="00653D40" w:rsidRPr="00DA6313" w:rsidRDefault="00653D40" w:rsidP="00653D40">
      <w:pPr>
        <w:spacing w:after="0" w:line="240" w:lineRule="auto"/>
        <w:jc w:val="both"/>
        <w:rPr>
          <w:rFonts w:ascii="Arial" w:hAnsi="Arial" w:cs="Arial"/>
          <w:noProof/>
        </w:rPr>
      </w:pPr>
    </w:p>
    <w:p w14:paraId="7164BB00" w14:textId="77777777" w:rsidR="00653D40" w:rsidRPr="00DA6313" w:rsidRDefault="00653D40" w:rsidP="00664C2A">
      <w:pPr>
        <w:pStyle w:val="Heading2"/>
        <w:numPr>
          <w:ilvl w:val="1"/>
          <w:numId w:val="30"/>
        </w:numPr>
      </w:pPr>
      <w:bookmarkStart w:id="5" w:name="_Toc402262926"/>
      <w:r w:rsidRPr="00DA6313">
        <w:t>Predmet Koncesionog akta</w:t>
      </w:r>
      <w:bookmarkEnd w:id="5"/>
    </w:p>
    <w:p w14:paraId="4066F2E0" w14:textId="77777777" w:rsidR="00653D40" w:rsidRPr="00DA6313" w:rsidRDefault="00653D40" w:rsidP="00653D40">
      <w:pPr>
        <w:spacing w:after="0" w:line="240" w:lineRule="auto"/>
        <w:jc w:val="both"/>
        <w:rPr>
          <w:rFonts w:ascii="Arial" w:hAnsi="Arial" w:cs="Arial"/>
          <w:b/>
          <w:noProof/>
        </w:rPr>
      </w:pPr>
    </w:p>
    <w:p w14:paraId="4880493A" w14:textId="77777777" w:rsidR="00653D40" w:rsidRPr="00DA6313" w:rsidRDefault="00653D40" w:rsidP="00653D40">
      <w:pPr>
        <w:spacing w:after="0" w:line="240" w:lineRule="auto"/>
        <w:jc w:val="both"/>
        <w:rPr>
          <w:rFonts w:ascii="Arial" w:hAnsi="Arial" w:cs="Arial"/>
          <w:noProof/>
        </w:rPr>
      </w:pPr>
      <w:r w:rsidRPr="00DA6313">
        <w:rPr>
          <w:rFonts w:ascii="Arial" w:hAnsi="Arial" w:cs="Arial"/>
          <w:noProof/>
        </w:rPr>
        <w:t xml:space="preserve">Predmet ovog Koncesionog akta je </w:t>
      </w:r>
      <w:r w:rsidR="00FA4517">
        <w:rPr>
          <w:rFonts w:ascii="Arial" w:hAnsi="Arial" w:cs="Arial"/>
          <w:noProof/>
        </w:rPr>
        <w:t>lokalitet</w:t>
      </w:r>
      <w:r w:rsidRPr="00DA6313">
        <w:rPr>
          <w:rFonts w:ascii="Arial" w:hAnsi="Arial" w:cs="Arial"/>
          <w:noProof/>
        </w:rPr>
        <w:t xml:space="preserve"> </w:t>
      </w:r>
      <w:r w:rsidR="00B67266">
        <w:rPr>
          <w:rFonts w:ascii="Arial" w:hAnsi="Arial" w:cs="Arial"/>
          <w:noProof/>
        </w:rPr>
        <w:t xml:space="preserve">energetske </w:t>
      </w:r>
      <w:r w:rsidRPr="00DA6313">
        <w:rPr>
          <w:rFonts w:ascii="Arial" w:hAnsi="Arial" w:cs="Arial"/>
          <w:noProof/>
        </w:rPr>
        <w:t xml:space="preserve">mineralne sirovine </w:t>
      </w:r>
      <w:r>
        <w:rPr>
          <w:rFonts w:ascii="Arial" w:hAnsi="Arial" w:cs="Arial"/>
          <w:noProof/>
        </w:rPr>
        <w:t>mrkolignitnog uglja</w:t>
      </w:r>
      <w:r w:rsidRPr="00DA6313">
        <w:rPr>
          <w:rFonts w:ascii="Arial" w:hAnsi="Arial" w:cs="Arial"/>
          <w:noProof/>
        </w:rPr>
        <w:t xml:space="preserve"> „</w:t>
      </w:r>
      <w:r>
        <w:rPr>
          <w:rFonts w:ascii="Arial" w:hAnsi="Arial" w:cs="Arial"/>
          <w:noProof/>
        </w:rPr>
        <w:t>Mataruge</w:t>
      </w:r>
      <w:r w:rsidR="007F4467">
        <w:rPr>
          <w:rFonts w:ascii="Arial" w:hAnsi="Arial" w:cs="Arial"/>
          <w:noProof/>
        </w:rPr>
        <w:t>”, o</w:t>
      </w:r>
      <w:r w:rsidRPr="00DA6313">
        <w:rPr>
          <w:rFonts w:ascii="Arial" w:hAnsi="Arial" w:cs="Arial"/>
          <w:noProof/>
        </w:rPr>
        <w:t xml:space="preserve">pština </w:t>
      </w:r>
      <w:r>
        <w:rPr>
          <w:rFonts w:ascii="Arial" w:hAnsi="Arial" w:cs="Arial"/>
          <w:noProof/>
        </w:rPr>
        <w:t>Pljevlja</w:t>
      </w:r>
      <w:r w:rsidRPr="00DA6313">
        <w:rPr>
          <w:rFonts w:ascii="Arial" w:hAnsi="Arial" w:cs="Arial"/>
          <w:noProof/>
        </w:rPr>
        <w:t>.</w:t>
      </w:r>
    </w:p>
    <w:p w14:paraId="7C860557" w14:textId="77777777" w:rsidR="00653D40" w:rsidRPr="00DA6313" w:rsidRDefault="00653D40" w:rsidP="00653D40">
      <w:pPr>
        <w:spacing w:after="0" w:line="240" w:lineRule="auto"/>
        <w:jc w:val="both"/>
        <w:rPr>
          <w:rFonts w:ascii="Arial" w:hAnsi="Arial" w:cs="Arial"/>
          <w:noProof/>
        </w:rPr>
      </w:pPr>
    </w:p>
    <w:p w14:paraId="3C87E18D" w14:textId="77777777" w:rsidR="00653D40" w:rsidRPr="00DA6313" w:rsidRDefault="00653D40" w:rsidP="00664C2A">
      <w:pPr>
        <w:pStyle w:val="Heading2"/>
        <w:numPr>
          <w:ilvl w:val="1"/>
          <w:numId w:val="30"/>
        </w:numPr>
      </w:pPr>
      <w:bookmarkStart w:id="6" w:name="_Toc402262927"/>
      <w:r w:rsidRPr="00DA6313">
        <w:t>Položaj i opis lokaliteta</w:t>
      </w:r>
      <w:bookmarkEnd w:id="6"/>
    </w:p>
    <w:p w14:paraId="43E4BD4F" w14:textId="77777777" w:rsidR="00653D40" w:rsidRPr="00DA6313" w:rsidRDefault="00653D40" w:rsidP="00653D40">
      <w:pPr>
        <w:spacing w:after="0" w:line="240" w:lineRule="auto"/>
        <w:jc w:val="both"/>
        <w:rPr>
          <w:rFonts w:ascii="Arial" w:hAnsi="Arial" w:cs="Arial"/>
          <w:noProof/>
        </w:rPr>
      </w:pPr>
    </w:p>
    <w:p w14:paraId="393F466F" w14:textId="77777777" w:rsidR="00653D40" w:rsidRPr="00DA6313" w:rsidRDefault="00653D40" w:rsidP="00653D40">
      <w:pPr>
        <w:spacing w:line="240" w:lineRule="auto"/>
        <w:jc w:val="both"/>
        <w:rPr>
          <w:rFonts w:ascii="Arial" w:hAnsi="Arial" w:cs="Arial"/>
          <w:noProof/>
        </w:rPr>
      </w:pPr>
      <w:r>
        <w:rPr>
          <w:rFonts w:ascii="Arial" w:hAnsi="Arial" w:cs="Arial"/>
          <w:noProof/>
        </w:rPr>
        <w:t>Istražno-eksploatacioni prostor ležišta uglja „Mataruge“ nalazi se oko 20 km jugoistočno od Pljevalja, putem prema Bijelom Polju.</w:t>
      </w:r>
      <w:r w:rsidR="001D5B3E">
        <w:rPr>
          <w:rFonts w:ascii="Arial" w:hAnsi="Arial" w:cs="Arial"/>
          <w:noProof/>
        </w:rPr>
        <w:t xml:space="preserve"> U nastavku pomenutog puta, prema Slijepač mostu, Mataruge imaju izlaz </w:t>
      </w:r>
      <w:r>
        <w:rPr>
          <w:rFonts w:ascii="Arial" w:hAnsi="Arial" w:cs="Arial"/>
          <w:noProof/>
        </w:rPr>
        <w:t xml:space="preserve"> </w:t>
      </w:r>
      <w:r w:rsidR="001D5B3E">
        <w:rPr>
          <w:rFonts w:ascii="Arial" w:hAnsi="Arial" w:cs="Arial"/>
          <w:noProof/>
        </w:rPr>
        <w:t>na Jadansku magistralu preko Bijelog Polja.</w:t>
      </w:r>
      <w:r w:rsidR="00770A8D">
        <w:rPr>
          <w:rFonts w:ascii="Arial" w:hAnsi="Arial" w:cs="Arial"/>
          <w:noProof/>
        </w:rPr>
        <w:t xml:space="preserve"> </w:t>
      </w:r>
      <w:r>
        <w:rPr>
          <w:rFonts w:ascii="Arial" w:hAnsi="Arial" w:cs="Arial"/>
          <w:noProof/>
        </w:rPr>
        <w:t>Prosječna nadmorska visina mataruškog basena iznosi oko 1000 m.</w:t>
      </w:r>
      <w:r w:rsidRPr="00DA6313">
        <w:rPr>
          <w:rFonts w:ascii="Arial" w:hAnsi="Arial" w:cs="Arial"/>
          <w:noProof/>
        </w:rPr>
        <w:t xml:space="preserve"> </w:t>
      </w:r>
    </w:p>
    <w:p w14:paraId="4B7DD5C8" w14:textId="77777777" w:rsidR="00653D40" w:rsidRDefault="00653D40" w:rsidP="00653D40">
      <w:pPr>
        <w:spacing w:after="0" w:line="240" w:lineRule="auto"/>
        <w:jc w:val="both"/>
        <w:rPr>
          <w:rFonts w:ascii="Arial" w:hAnsi="Arial" w:cs="Arial"/>
          <w:noProof/>
        </w:rPr>
      </w:pPr>
      <w:r>
        <w:rPr>
          <w:rFonts w:ascii="Arial" w:hAnsi="Arial" w:cs="Arial"/>
          <w:noProof/>
        </w:rPr>
        <w:t>Istražno-eksploatacioni prostor za detaljna geološka istraživanja i eksploataciju ležišta „Mataruge“ obuhvata sjeverni i centralni dio ležišta na kom su procijenjene geološke rezerve uglja n</w:t>
      </w:r>
      <w:r w:rsidR="000068E1">
        <w:rPr>
          <w:rFonts w:ascii="Arial" w:hAnsi="Arial" w:cs="Arial"/>
          <w:noProof/>
        </w:rPr>
        <w:t>a oko 7.</w:t>
      </w:r>
      <w:r>
        <w:rPr>
          <w:rFonts w:ascii="Arial" w:hAnsi="Arial" w:cs="Arial"/>
          <w:noProof/>
        </w:rPr>
        <w:t>400</w:t>
      </w:r>
      <w:r w:rsidR="000068E1">
        <w:rPr>
          <w:rFonts w:ascii="Arial" w:hAnsi="Arial" w:cs="Arial"/>
          <w:noProof/>
        </w:rPr>
        <w:t>.</w:t>
      </w:r>
      <w:r>
        <w:rPr>
          <w:rFonts w:ascii="Arial" w:hAnsi="Arial" w:cs="Arial"/>
          <w:noProof/>
        </w:rPr>
        <w:t xml:space="preserve"> 000 t uglja. Kasnije ovaj prostor bi mogao biti proširen ukoliko bi se potvrdio ekonomski značaj i ukazala potreba za doistraživanjem drugih dijelova ležišta.</w:t>
      </w:r>
    </w:p>
    <w:p w14:paraId="357F421B" w14:textId="77777777" w:rsidR="00653D40" w:rsidRDefault="00653D40" w:rsidP="00653D40">
      <w:pPr>
        <w:spacing w:after="0" w:line="240" w:lineRule="auto"/>
        <w:jc w:val="both"/>
        <w:rPr>
          <w:rFonts w:ascii="Arial" w:hAnsi="Arial" w:cs="Arial"/>
          <w:noProof/>
        </w:rPr>
      </w:pPr>
    </w:p>
    <w:p w14:paraId="6E17E796" w14:textId="77777777" w:rsidR="00653D40" w:rsidRDefault="00653D40" w:rsidP="00653D40">
      <w:pPr>
        <w:spacing w:after="0" w:line="240" w:lineRule="auto"/>
        <w:rPr>
          <w:rFonts w:ascii="Arial" w:hAnsi="Arial" w:cs="Arial"/>
          <w:noProof/>
        </w:rPr>
      </w:pPr>
      <w:r>
        <w:rPr>
          <w:rFonts w:ascii="Arial" w:hAnsi="Arial" w:cs="Arial"/>
          <w:noProof/>
        </w:rPr>
        <w:t>Konturne tačke istražno-eksploatacionog poligona (14 tačaka) sa koordinatama date su u tabeli:</w:t>
      </w:r>
    </w:p>
    <w:p w14:paraId="261C6745" w14:textId="77777777" w:rsidR="00653D40" w:rsidRPr="007C439A" w:rsidRDefault="00653D40" w:rsidP="00653D40">
      <w:pPr>
        <w:spacing w:after="0" w:line="240" w:lineRule="auto"/>
        <w:rPr>
          <w:rFonts w:ascii="Arial" w:hAnsi="Arial" w:cs="Arial"/>
          <w:noProo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260"/>
        <w:gridCol w:w="1710"/>
        <w:gridCol w:w="1620"/>
      </w:tblGrid>
      <w:tr w:rsidR="00653D40" w:rsidRPr="007D617C" w14:paraId="74DF9DC4" w14:textId="77777777" w:rsidTr="007D617C">
        <w:trPr>
          <w:trHeight w:val="386"/>
          <w:jc w:val="center"/>
        </w:trPr>
        <w:tc>
          <w:tcPr>
            <w:tcW w:w="1260" w:type="dxa"/>
            <w:shd w:val="clear" w:color="auto" w:fill="auto"/>
            <w:vAlign w:val="center"/>
          </w:tcPr>
          <w:p w14:paraId="2AB28C9F" w14:textId="77777777" w:rsidR="00653D40" w:rsidRPr="007D617C" w:rsidRDefault="00653D40" w:rsidP="00D10E97">
            <w:pPr>
              <w:spacing w:after="0" w:line="240" w:lineRule="auto"/>
              <w:jc w:val="center"/>
              <w:rPr>
                <w:rFonts w:ascii="Arial" w:hAnsi="Arial" w:cs="Arial"/>
                <w:b/>
                <w:noProof/>
              </w:rPr>
            </w:pPr>
            <w:r w:rsidRPr="007D617C">
              <w:rPr>
                <w:rFonts w:ascii="Arial" w:hAnsi="Arial" w:cs="Arial"/>
                <w:b/>
                <w:noProof/>
              </w:rPr>
              <w:t>Konturne tačke</w:t>
            </w:r>
          </w:p>
        </w:tc>
        <w:tc>
          <w:tcPr>
            <w:tcW w:w="1710" w:type="dxa"/>
            <w:shd w:val="clear" w:color="auto" w:fill="auto"/>
            <w:vAlign w:val="center"/>
          </w:tcPr>
          <w:p w14:paraId="1EC97F57" w14:textId="77777777" w:rsidR="00653D40" w:rsidRPr="007D617C" w:rsidRDefault="00653D40" w:rsidP="00D10E97">
            <w:pPr>
              <w:spacing w:after="0" w:line="240" w:lineRule="auto"/>
              <w:jc w:val="center"/>
              <w:rPr>
                <w:rFonts w:ascii="Arial" w:hAnsi="Arial" w:cs="Arial"/>
                <w:b/>
                <w:noProof/>
              </w:rPr>
            </w:pPr>
            <w:r w:rsidRPr="007D617C">
              <w:rPr>
                <w:rFonts w:ascii="Arial" w:hAnsi="Arial" w:cs="Arial"/>
                <w:b/>
                <w:noProof/>
              </w:rPr>
              <w:t>Y</w:t>
            </w:r>
          </w:p>
        </w:tc>
        <w:tc>
          <w:tcPr>
            <w:tcW w:w="1620" w:type="dxa"/>
            <w:shd w:val="clear" w:color="auto" w:fill="auto"/>
            <w:vAlign w:val="center"/>
          </w:tcPr>
          <w:p w14:paraId="3326DC56" w14:textId="77777777" w:rsidR="00653D40" w:rsidRPr="007D617C" w:rsidRDefault="00653D40" w:rsidP="00D10E97">
            <w:pPr>
              <w:spacing w:after="0" w:line="240" w:lineRule="auto"/>
              <w:jc w:val="center"/>
              <w:rPr>
                <w:rFonts w:ascii="Arial" w:hAnsi="Arial" w:cs="Arial"/>
                <w:b/>
                <w:noProof/>
              </w:rPr>
            </w:pPr>
            <w:r w:rsidRPr="007D617C">
              <w:rPr>
                <w:rFonts w:ascii="Arial" w:hAnsi="Arial" w:cs="Arial"/>
                <w:b/>
                <w:noProof/>
              </w:rPr>
              <w:t>X</w:t>
            </w:r>
          </w:p>
        </w:tc>
      </w:tr>
      <w:tr w:rsidR="00653D40" w:rsidRPr="007D617C" w14:paraId="327C2D04" w14:textId="77777777" w:rsidTr="007D617C">
        <w:trPr>
          <w:jc w:val="center"/>
        </w:trPr>
        <w:tc>
          <w:tcPr>
            <w:tcW w:w="1260" w:type="dxa"/>
            <w:shd w:val="clear" w:color="auto" w:fill="auto"/>
            <w:vAlign w:val="center"/>
          </w:tcPr>
          <w:p w14:paraId="41B44FD4"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1.</w:t>
            </w:r>
          </w:p>
        </w:tc>
        <w:tc>
          <w:tcPr>
            <w:tcW w:w="1710" w:type="dxa"/>
            <w:shd w:val="clear" w:color="auto" w:fill="auto"/>
            <w:vAlign w:val="center"/>
          </w:tcPr>
          <w:p w14:paraId="3D6759F3"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6618220,02</w:t>
            </w:r>
          </w:p>
        </w:tc>
        <w:tc>
          <w:tcPr>
            <w:tcW w:w="1620" w:type="dxa"/>
            <w:shd w:val="clear" w:color="auto" w:fill="auto"/>
            <w:vAlign w:val="center"/>
          </w:tcPr>
          <w:p w14:paraId="40F28243"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4793781,66</w:t>
            </w:r>
          </w:p>
        </w:tc>
      </w:tr>
      <w:tr w:rsidR="00653D40" w:rsidRPr="007D617C" w14:paraId="14F40751" w14:textId="77777777" w:rsidTr="007D617C">
        <w:trPr>
          <w:jc w:val="center"/>
        </w:trPr>
        <w:tc>
          <w:tcPr>
            <w:tcW w:w="1260" w:type="dxa"/>
            <w:shd w:val="clear" w:color="auto" w:fill="auto"/>
            <w:vAlign w:val="center"/>
          </w:tcPr>
          <w:p w14:paraId="60D7C2C6"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2.</w:t>
            </w:r>
          </w:p>
        </w:tc>
        <w:tc>
          <w:tcPr>
            <w:tcW w:w="1710" w:type="dxa"/>
            <w:shd w:val="clear" w:color="auto" w:fill="auto"/>
            <w:vAlign w:val="center"/>
          </w:tcPr>
          <w:p w14:paraId="50581B57"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6618148,15</w:t>
            </w:r>
          </w:p>
        </w:tc>
        <w:tc>
          <w:tcPr>
            <w:tcW w:w="1620" w:type="dxa"/>
            <w:shd w:val="clear" w:color="auto" w:fill="auto"/>
            <w:vAlign w:val="center"/>
          </w:tcPr>
          <w:p w14:paraId="5F1DCAA5"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4793470,45</w:t>
            </w:r>
          </w:p>
        </w:tc>
      </w:tr>
      <w:tr w:rsidR="00653D40" w:rsidRPr="007D617C" w14:paraId="4F6B2B45" w14:textId="77777777" w:rsidTr="007D617C">
        <w:trPr>
          <w:jc w:val="center"/>
        </w:trPr>
        <w:tc>
          <w:tcPr>
            <w:tcW w:w="1260" w:type="dxa"/>
            <w:shd w:val="clear" w:color="auto" w:fill="auto"/>
            <w:vAlign w:val="center"/>
          </w:tcPr>
          <w:p w14:paraId="70C96D10"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3.</w:t>
            </w:r>
          </w:p>
        </w:tc>
        <w:tc>
          <w:tcPr>
            <w:tcW w:w="1710" w:type="dxa"/>
            <w:shd w:val="clear" w:color="auto" w:fill="auto"/>
            <w:vAlign w:val="center"/>
          </w:tcPr>
          <w:p w14:paraId="7A69F951"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6618247,43</w:t>
            </w:r>
          </w:p>
        </w:tc>
        <w:tc>
          <w:tcPr>
            <w:tcW w:w="1620" w:type="dxa"/>
            <w:shd w:val="clear" w:color="auto" w:fill="auto"/>
            <w:vAlign w:val="center"/>
          </w:tcPr>
          <w:p w14:paraId="4E8E9807"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4793322,32</w:t>
            </w:r>
          </w:p>
        </w:tc>
      </w:tr>
      <w:tr w:rsidR="00653D40" w:rsidRPr="007D617C" w14:paraId="31523E2D" w14:textId="77777777" w:rsidTr="007D617C">
        <w:trPr>
          <w:jc w:val="center"/>
        </w:trPr>
        <w:tc>
          <w:tcPr>
            <w:tcW w:w="1260" w:type="dxa"/>
            <w:shd w:val="clear" w:color="auto" w:fill="auto"/>
            <w:vAlign w:val="center"/>
          </w:tcPr>
          <w:p w14:paraId="5D67D107"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w:t>
            </w:r>
          </w:p>
        </w:tc>
        <w:tc>
          <w:tcPr>
            <w:tcW w:w="1710" w:type="dxa"/>
            <w:shd w:val="clear" w:color="auto" w:fill="auto"/>
            <w:vAlign w:val="center"/>
          </w:tcPr>
          <w:p w14:paraId="72CAE703"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6618257,74</w:t>
            </w:r>
          </w:p>
        </w:tc>
        <w:tc>
          <w:tcPr>
            <w:tcW w:w="1620" w:type="dxa"/>
            <w:shd w:val="clear" w:color="auto" w:fill="auto"/>
            <w:vAlign w:val="center"/>
          </w:tcPr>
          <w:p w14:paraId="6D0D4663"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4793147,68</w:t>
            </w:r>
          </w:p>
        </w:tc>
      </w:tr>
      <w:tr w:rsidR="00653D40" w:rsidRPr="007D617C" w14:paraId="11D4457D" w14:textId="77777777" w:rsidTr="007D617C">
        <w:trPr>
          <w:jc w:val="center"/>
        </w:trPr>
        <w:tc>
          <w:tcPr>
            <w:tcW w:w="1260" w:type="dxa"/>
            <w:shd w:val="clear" w:color="auto" w:fill="auto"/>
            <w:vAlign w:val="center"/>
          </w:tcPr>
          <w:p w14:paraId="3B2801B7"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5.</w:t>
            </w:r>
          </w:p>
        </w:tc>
        <w:tc>
          <w:tcPr>
            <w:tcW w:w="1710" w:type="dxa"/>
            <w:shd w:val="clear" w:color="auto" w:fill="auto"/>
            <w:vAlign w:val="center"/>
          </w:tcPr>
          <w:p w14:paraId="08D69A42"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6618186,55</w:t>
            </w:r>
          </w:p>
        </w:tc>
        <w:tc>
          <w:tcPr>
            <w:tcW w:w="1620" w:type="dxa"/>
            <w:shd w:val="clear" w:color="auto" w:fill="auto"/>
            <w:vAlign w:val="center"/>
          </w:tcPr>
          <w:p w14:paraId="2BE8821C"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4792944,57</w:t>
            </w:r>
          </w:p>
        </w:tc>
      </w:tr>
      <w:tr w:rsidR="00653D40" w:rsidRPr="007D617C" w14:paraId="7246C890" w14:textId="77777777" w:rsidTr="007D617C">
        <w:trPr>
          <w:jc w:val="center"/>
        </w:trPr>
        <w:tc>
          <w:tcPr>
            <w:tcW w:w="1260" w:type="dxa"/>
            <w:shd w:val="clear" w:color="auto" w:fill="auto"/>
            <w:vAlign w:val="center"/>
          </w:tcPr>
          <w:p w14:paraId="177A93AB"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w:t>
            </w:r>
          </w:p>
        </w:tc>
        <w:tc>
          <w:tcPr>
            <w:tcW w:w="1710" w:type="dxa"/>
            <w:shd w:val="clear" w:color="auto" w:fill="auto"/>
            <w:vAlign w:val="center"/>
          </w:tcPr>
          <w:p w14:paraId="547FD6FE"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6618245,23</w:t>
            </w:r>
          </w:p>
        </w:tc>
        <w:tc>
          <w:tcPr>
            <w:tcW w:w="1620" w:type="dxa"/>
            <w:shd w:val="clear" w:color="auto" w:fill="auto"/>
            <w:vAlign w:val="center"/>
          </w:tcPr>
          <w:p w14:paraId="4767C03D"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4792752,82</w:t>
            </w:r>
          </w:p>
        </w:tc>
      </w:tr>
      <w:tr w:rsidR="00653D40" w:rsidRPr="007D617C" w14:paraId="3764759E" w14:textId="77777777" w:rsidTr="007D617C">
        <w:trPr>
          <w:jc w:val="center"/>
        </w:trPr>
        <w:tc>
          <w:tcPr>
            <w:tcW w:w="1260" w:type="dxa"/>
            <w:shd w:val="clear" w:color="auto" w:fill="auto"/>
            <w:vAlign w:val="center"/>
          </w:tcPr>
          <w:p w14:paraId="20892570"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7.</w:t>
            </w:r>
          </w:p>
        </w:tc>
        <w:tc>
          <w:tcPr>
            <w:tcW w:w="1710" w:type="dxa"/>
            <w:shd w:val="clear" w:color="auto" w:fill="auto"/>
            <w:vAlign w:val="center"/>
          </w:tcPr>
          <w:p w14:paraId="486E0D88"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6618400.89</w:t>
            </w:r>
          </w:p>
        </w:tc>
        <w:tc>
          <w:tcPr>
            <w:tcW w:w="1620" w:type="dxa"/>
            <w:shd w:val="clear" w:color="auto" w:fill="auto"/>
            <w:vAlign w:val="center"/>
          </w:tcPr>
          <w:p w14:paraId="4109FE10"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4792652,95</w:t>
            </w:r>
          </w:p>
        </w:tc>
      </w:tr>
      <w:tr w:rsidR="00653D40" w:rsidRPr="007D617C" w14:paraId="71179412" w14:textId="77777777" w:rsidTr="007D617C">
        <w:trPr>
          <w:jc w:val="center"/>
        </w:trPr>
        <w:tc>
          <w:tcPr>
            <w:tcW w:w="1260" w:type="dxa"/>
            <w:shd w:val="clear" w:color="auto" w:fill="auto"/>
            <w:vAlign w:val="center"/>
          </w:tcPr>
          <w:p w14:paraId="24010504"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8.</w:t>
            </w:r>
          </w:p>
        </w:tc>
        <w:tc>
          <w:tcPr>
            <w:tcW w:w="1710" w:type="dxa"/>
            <w:shd w:val="clear" w:color="auto" w:fill="auto"/>
            <w:vAlign w:val="center"/>
          </w:tcPr>
          <w:p w14:paraId="562A4364"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6618361,06</w:t>
            </w:r>
          </w:p>
        </w:tc>
        <w:tc>
          <w:tcPr>
            <w:tcW w:w="1620" w:type="dxa"/>
            <w:shd w:val="clear" w:color="auto" w:fill="auto"/>
            <w:vAlign w:val="center"/>
          </w:tcPr>
          <w:p w14:paraId="2E684479"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4792467,72</w:t>
            </w:r>
          </w:p>
        </w:tc>
      </w:tr>
      <w:tr w:rsidR="00653D40" w:rsidRPr="007D617C" w14:paraId="676EA1B7" w14:textId="77777777" w:rsidTr="007D617C">
        <w:trPr>
          <w:jc w:val="center"/>
        </w:trPr>
        <w:tc>
          <w:tcPr>
            <w:tcW w:w="1260" w:type="dxa"/>
            <w:shd w:val="clear" w:color="auto" w:fill="auto"/>
            <w:vAlign w:val="center"/>
          </w:tcPr>
          <w:p w14:paraId="309866A2"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9.</w:t>
            </w:r>
          </w:p>
        </w:tc>
        <w:tc>
          <w:tcPr>
            <w:tcW w:w="1710" w:type="dxa"/>
            <w:shd w:val="clear" w:color="auto" w:fill="auto"/>
            <w:vAlign w:val="center"/>
          </w:tcPr>
          <w:p w14:paraId="61A62480"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6618692,84</w:t>
            </w:r>
          </w:p>
        </w:tc>
        <w:tc>
          <w:tcPr>
            <w:tcW w:w="1620" w:type="dxa"/>
            <w:shd w:val="clear" w:color="auto" w:fill="auto"/>
            <w:vAlign w:val="center"/>
          </w:tcPr>
          <w:p w14:paraId="3DD31F90"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4792521,26</w:t>
            </w:r>
          </w:p>
        </w:tc>
      </w:tr>
      <w:tr w:rsidR="00653D40" w:rsidRPr="007D617C" w14:paraId="25EC52AD" w14:textId="77777777" w:rsidTr="007D617C">
        <w:trPr>
          <w:jc w:val="center"/>
        </w:trPr>
        <w:tc>
          <w:tcPr>
            <w:tcW w:w="1260" w:type="dxa"/>
            <w:shd w:val="clear" w:color="auto" w:fill="auto"/>
            <w:vAlign w:val="center"/>
          </w:tcPr>
          <w:p w14:paraId="1A3ED17C"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10.</w:t>
            </w:r>
          </w:p>
        </w:tc>
        <w:tc>
          <w:tcPr>
            <w:tcW w:w="1710" w:type="dxa"/>
            <w:shd w:val="clear" w:color="auto" w:fill="auto"/>
            <w:vAlign w:val="center"/>
          </w:tcPr>
          <w:p w14:paraId="76F73A04"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6619046,50</w:t>
            </w:r>
          </w:p>
        </w:tc>
        <w:tc>
          <w:tcPr>
            <w:tcW w:w="1620" w:type="dxa"/>
            <w:shd w:val="clear" w:color="auto" w:fill="auto"/>
            <w:vAlign w:val="center"/>
          </w:tcPr>
          <w:p w14:paraId="05799F99"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4792668,48</w:t>
            </w:r>
          </w:p>
        </w:tc>
      </w:tr>
      <w:tr w:rsidR="00653D40" w:rsidRPr="007D617C" w14:paraId="2233BA36" w14:textId="77777777" w:rsidTr="007D617C">
        <w:trPr>
          <w:jc w:val="center"/>
        </w:trPr>
        <w:tc>
          <w:tcPr>
            <w:tcW w:w="1260" w:type="dxa"/>
            <w:shd w:val="clear" w:color="auto" w:fill="auto"/>
            <w:vAlign w:val="center"/>
          </w:tcPr>
          <w:p w14:paraId="762C831F"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11.</w:t>
            </w:r>
          </w:p>
        </w:tc>
        <w:tc>
          <w:tcPr>
            <w:tcW w:w="1710" w:type="dxa"/>
            <w:shd w:val="clear" w:color="auto" w:fill="auto"/>
            <w:vAlign w:val="center"/>
          </w:tcPr>
          <w:p w14:paraId="24AF3905"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6619278,87</w:t>
            </w:r>
          </w:p>
        </w:tc>
        <w:tc>
          <w:tcPr>
            <w:tcW w:w="1620" w:type="dxa"/>
            <w:shd w:val="clear" w:color="auto" w:fill="auto"/>
            <w:vAlign w:val="center"/>
          </w:tcPr>
          <w:p w14:paraId="712B38EC"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4792919,85</w:t>
            </w:r>
          </w:p>
        </w:tc>
      </w:tr>
      <w:tr w:rsidR="00653D40" w:rsidRPr="007D617C" w14:paraId="0A8F5BAC" w14:textId="77777777" w:rsidTr="007D617C">
        <w:trPr>
          <w:jc w:val="center"/>
        </w:trPr>
        <w:tc>
          <w:tcPr>
            <w:tcW w:w="1260" w:type="dxa"/>
            <w:shd w:val="clear" w:color="auto" w:fill="auto"/>
            <w:vAlign w:val="center"/>
          </w:tcPr>
          <w:p w14:paraId="357B627D"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12.</w:t>
            </w:r>
          </w:p>
        </w:tc>
        <w:tc>
          <w:tcPr>
            <w:tcW w:w="1710" w:type="dxa"/>
            <w:shd w:val="clear" w:color="auto" w:fill="auto"/>
            <w:vAlign w:val="center"/>
          </w:tcPr>
          <w:p w14:paraId="597E2A14"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6619331,58</w:t>
            </w:r>
          </w:p>
        </w:tc>
        <w:tc>
          <w:tcPr>
            <w:tcW w:w="1620" w:type="dxa"/>
            <w:shd w:val="clear" w:color="auto" w:fill="auto"/>
            <w:vAlign w:val="center"/>
          </w:tcPr>
          <w:p w14:paraId="582124D8"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4793228,67</w:t>
            </w:r>
          </w:p>
        </w:tc>
      </w:tr>
      <w:tr w:rsidR="00653D40" w:rsidRPr="007D617C" w14:paraId="4F31DAD6" w14:textId="77777777" w:rsidTr="007D617C">
        <w:trPr>
          <w:jc w:val="center"/>
        </w:trPr>
        <w:tc>
          <w:tcPr>
            <w:tcW w:w="1260" w:type="dxa"/>
            <w:shd w:val="clear" w:color="auto" w:fill="auto"/>
            <w:vAlign w:val="center"/>
          </w:tcPr>
          <w:p w14:paraId="38BC89DC"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13.</w:t>
            </w:r>
          </w:p>
        </w:tc>
        <w:tc>
          <w:tcPr>
            <w:tcW w:w="1710" w:type="dxa"/>
            <w:shd w:val="clear" w:color="auto" w:fill="auto"/>
            <w:vAlign w:val="center"/>
          </w:tcPr>
          <w:p w14:paraId="3401957D"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6618886,00</w:t>
            </w:r>
          </w:p>
        </w:tc>
        <w:tc>
          <w:tcPr>
            <w:tcW w:w="1620" w:type="dxa"/>
            <w:shd w:val="clear" w:color="auto" w:fill="auto"/>
            <w:vAlign w:val="center"/>
          </w:tcPr>
          <w:p w14:paraId="3BD0AAB6"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4793592,54</w:t>
            </w:r>
          </w:p>
        </w:tc>
      </w:tr>
      <w:tr w:rsidR="00653D40" w:rsidRPr="007D617C" w14:paraId="15676EAA" w14:textId="77777777" w:rsidTr="007D617C">
        <w:trPr>
          <w:jc w:val="center"/>
        </w:trPr>
        <w:tc>
          <w:tcPr>
            <w:tcW w:w="1260" w:type="dxa"/>
            <w:shd w:val="clear" w:color="auto" w:fill="auto"/>
            <w:vAlign w:val="center"/>
          </w:tcPr>
          <w:p w14:paraId="46A531F6"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14.</w:t>
            </w:r>
          </w:p>
        </w:tc>
        <w:tc>
          <w:tcPr>
            <w:tcW w:w="1710" w:type="dxa"/>
            <w:shd w:val="clear" w:color="auto" w:fill="auto"/>
            <w:vAlign w:val="center"/>
          </w:tcPr>
          <w:p w14:paraId="4A7A8BA0"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6618839,62</w:t>
            </w:r>
          </w:p>
        </w:tc>
        <w:tc>
          <w:tcPr>
            <w:tcW w:w="1620" w:type="dxa"/>
            <w:shd w:val="clear" w:color="auto" w:fill="auto"/>
            <w:vAlign w:val="center"/>
          </w:tcPr>
          <w:p w14:paraId="5A4B4A1F" w14:textId="77777777" w:rsidR="00653D40" w:rsidRPr="007D617C" w:rsidRDefault="00653D40" w:rsidP="00D10E97">
            <w:pPr>
              <w:spacing w:after="0" w:line="240" w:lineRule="auto"/>
              <w:jc w:val="center"/>
              <w:rPr>
                <w:rFonts w:ascii="Arial" w:hAnsi="Arial" w:cs="Arial"/>
                <w:noProof/>
              </w:rPr>
            </w:pPr>
            <w:r w:rsidRPr="007D617C">
              <w:rPr>
                <w:rFonts w:ascii="Arial" w:hAnsi="Arial" w:cs="Arial"/>
                <w:noProof/>
              </w:rPr>
              <w:t>4793883,49</w:t>
            </w:r>
          </w:p>
        </w:tc>
      </w:tr>
    </w:tbl>
    <w:p w14:paraId="3C0D3CB6" w14:textId="77777777" w:rsidR="00653D40" w:rsidRDefault="00653D40" w:rsidP="00653D40">
      <w:pPr>
        <w:spacing w:after="0" w:line="240" w:lineRule="auto"/>
        <w:rPr>
          <w:rFonts w:ascii="Arial" w:hAnsi="Arial" w:cs="Arial"/>
          <w:noProof/>
        </w:rPr>
      </w:pPr>
    </w:p>
    <w:p w14:paraId="62DEDA7F" w14:textId="77777777" w:rsidR="001D5B3E" w:rsidRDefault="00653D40" w:rsidP="001D5B3E">
      <w:pPr>
        <w:spacing w:after="0" w:line="240" w:lineRule="auto"/>
        <w:jc w:val="both"/>
        <w:rPr>
          <w:rFonts w:ascii="Arial" w:hAnsi="Arial" w:cs="Arial"/>
          <w:noProof/>
        </w:rPr>
      </w:pPr>
      <w:r>
        <w:rPr>
          <w:rFonts w:ascii="Arial" w:hAnsi="Arial" w:cs="Arial"/>
          <w:noProof/>
        </w:rPr>
        <w:t>Ukupna površina ovako definisanog istražno-eksploatacionog poligona ležišta „Mataruge“ predstavlja površinu od 1,132 km</w:t>
      </w:r>
      <w:r w:rsidRPr="009827FF">
        <w:rPr>
          <w:rFonts w:ascii="Arial" w:hAnsi="Arial" w:cs="Arial"/>
          <w:noProof/>
          <w:vertAlign w:val="superscript"/>
        </w:rPr>
        <w:t>2</w:t>
      </w:r>
      <w:r>
        <w:rPr>
          <w:rFonts w:ascii="Arial" w:hAnsi="Arial" w:cs="Arial"/>
          <w:noProof/>
        </w:rPr>
        <w:t xml:space="preserve"> (113,2 ha). </w:t>
      </w:r>
    </w:p>
    <w:p w14:paraId="1A7125D0" w14:textId="77777777" w:rsidR="001D5B3E" w:rsidRDefault="001D5B3E" w:rsidP="001D5B3E">
      <w:pPr>
        <w:spacing w:after="0" w:line="240" w:lineRule="auto"/>
        <w:jc w:val="both"/>
        <w:rPr>
          <w:rFonts w:ascii="Arial" w:hAnsi="Arial" w:cs="Arial"/>
          <w:noProof/>
        </w:rPr>
      </w:pPr>
    </w:p>
    <w:p w14:paraId="01C450B7" w14:textId="77777777" w:rsidR="001D5B3E" w:rsidRDefault="001D5B3E" w:rsidP="001D5B3E">
      <w:pPr>
        <w:spacing w:after="0" w:line="240" w:lineRule="auto"/>
        <w:jc w:val="both"/>
        <w:rPr>
          <w:rFonts w:ascii="Arial" w:hAnsi="Arial" w:cs="Arial"/>
          <w:noProof/>
        </w:rPr>
      </w:pPr>
      <w:r w:rsidRPr="00770A8D">
        <w:rPr>
          <w:rFonts w:ascii="Arial" w:hAnsi="Arial" w:cs="Arial"/>
          <w:noProof/>
        </w:rPr>
        <w:t>Definisanim istražno–eksploatacionim prostorom za detaljna geološka istraživanja i eksploataciju nije uključen krajnji sjeveroistočni dio ležišta gdje su procijenjene geološke rezerve od oko 50.000 t i južni dio ležišta sa procijenjenim geološkim rezervama od oko 300.000 t uglja. Ovako predloženi istražno–eksploatacioni prostor dijela ležišta „Mataruge“ ne presijeca pravac planiranog koridora za projektovanje i izgradnju  pruge Pljevlja – Bijelo Polje, nalazi se sa lijeve strane postojećeg puta Pljevlja – Bijelo Polje, ne presijecajući ga i ne zahtijeva izmještanje dva seoska groblja koja ostaju u okruženju.</w:t>
      </w:r>
    </w:p>
    <w:p w14:paraId="63594024" w14:textId="77777777" w:rsidR="00770A8D" w:rsidRPr="00770A8D" w:rsidRDefault="00770A8D" w:rsidP="001D5B3E">
      <w:pPr>
        <w:spacing w:after="0" w:line="240" w:lineRule="auto"/>
        <w:jc w:val="both"/>
        <w:rPr>
          <w:rFonts w:ascii="Arial" w:hAnsi="Arial" w:cs="Arial"/>
          <w:noProof/>
        </w:rPr>
      </w:pPr>
    </w:p>
    <w:p w14:paraId="71FE7FBE" w14:textId="77777777" w:rsidR="00770A8D" w:rsidRDefault="00770A8D" w:rsidP="00770A8D">
      <w:pPr>
        <w:spacing w:after="0" w:line="240" w:lineRule="auto"/>
        <w:jc w:val="both"/>
        <w:rPr>
          <w:rFonts w:ascii="Arial" w:hAnsi="Arial" w:cs="Arial"/>
          <w:noProof/>
        </w:rPr>
      </w:pPr>
      <w:r w:rsidRPr="00770A8D">
        <w:rPr>
          <w:rFonts w:ascii="Arial" w:hAnsi="Arial" w:cs="Arial"/>
          <w:noProof/>
        </w:rPr>
        <w:t>Najproduktivniji dio ležišta uglja „Mataruge“ sagledan je kroz Idejni projekat eksploatacije uglja pljevaljskih basena – Kontraktor, Beograd, 2007. godine. Ovim projektom dato je idejno rješenje eksploatacije uglja najpovoljnijeg dijela sjevernog dijela ležišta i predstavlja eksploataciju 3.600.000 t uglja sa površinom ležišta u planu od oko 0,5 km</w:t>
      </w:r>
      <w:r w:rsidRPr="008703AE">
        <w:rPr>
          <w:rFonts w:ascii="Arial" w:hAnsi="Arial" w:cs="Arial"/>
          <w:noProof/>
          <w:vertAlign w:val="superscript"/>
        </w:rPr>
        <w:t>2</w:t>
      </w:r>
      <w:r w:rsidRPr="00770A8D">
        <w:rPr>
          <w:rFonts w:ascii="Arial" w:hAnsi="Arial" w:cs="Arial"/>
          <w:noProof/>
        </w:rPr>
        <w:t xml:space="preserve"> (50ha)  i dodatnom površinom od oko 0,7 km</w:t>
      </w:r>
      <w:r w:rsidRPr="008703AE">
        <w:rPr>
          <w:rFonts w:ascii="Arial" w:hAnsi="Arial" w:cs="Arial"/>
          <w:noProof/>
          <w:vertAlign w:val="superscript"/>
        </w:rPr>
        <w:t>2</w:t>
      </w:r>
      <w:r w:rsidRPr="00770A8D">
        <w:rPr>
          <w:rFonts w:ascii="Arial" w:hAnsi="Arial" w:cs="Arial"/>
          <w:noProof/>
        </w:rPr>
        <w:t xml:space="preserve"> (70 ha) potrebnom za smještaj investicione otkrivke, objekata i infrastrukture budućeg površinskog kopa. Ukupan prostor za eksploataciju definisan idejnim rješenjem iznosi 1,2 km</w:t>
      </w:r>
      <w:r w:rsidRPr="00770A8D">
        <w:rPr>
          <w:rFonts w:ascii="Arial" w:hAnsi="Arial" w:cs="Arial"/>
          <w:noProof/>
          <w:vertAlign w:val="superscript"/>
        </w:rPr>
        <w:t>2</w:t>
      </w:r>
      <w:r w:rsidRPr="00770A8D">
        <w:rPr>
          <w:rFonts w:ascii="Arial" w:hAnsi="Arial" w:cs="Arial"/>
          <w:noProof/>
        </w:rPr>
        <w:t xml:space="preserve">.  </w:t>
      </w:r>
    </w:p>
    <w:p w14:paraId="4B77849F" w14:textId="77777777" w:rsidR="002778FC" w:rsidRPr="00770A8D" w:rsidRDefault="002778FC" w:rsidP="00770A8D">
      <w:pPr>
        <w:spacing w:after="0" w:line="240" w:lineRule="auto"/>
        <w:jc w:val="both"/>
        <w:rPr>
          <w:rFonts w:ascii="Arial" w:hAnsi="Arial" w:cs="Arial"/>
          <w:noProof/>
        </w:rPr>
      </w:pPr>
    </w:p>
    <w:p w14:paraId="4327B77B" w14:textId="77777777" w:rsidR="00653D40" w:rsidRPr="00DA6313" w:rsidRDefault="00653D40" w:rsidP="00664C2A">
      <w:pPr>
        <w:pStyle w:val="Heading2"/>
        <w:numPr>
          <w:ilvl w:val="1"/>
          <w:numId w:val="30"/>
        </w:numPr>
      </w:pPr>
      <w:r w:rsidRPr="00DA6313">
        <w:t>Geomorfološke karakteristike lokaliteta „</w:t>
      </w:r>
      <w:r>
        <w:t>Mataruge</w:t>
      </w:r>
      <w:r w:rsidRPr="00DA6313">
        <w:t>“</w:t>
      </w:r>
    </w:p>
    <w:p w14:paraId="65B6BCDA" w14:textId="77777777" w:rsidR="00653D40" w:rsidRPr="00DA6313" w:rsidRDefault="00653D40" w:rsidP="00653D40">
      <w:pPr>
        <w:spacing w:after="0" w:line="240" w:lineRule="auto"/>
        <w:jc w:val="both"/>
        <w:rPr>
          <w:rFonts w:ascii="Arial" w:hAnsi="Arial" w:cs="Arial"/>
          <w:noProof/>
        </w:rPr>
      </w:pPr>
    </w:p>
    <w:p w14:paraId="2E77E8DD" w14:textId="77777777" w:rsidR="00653D40" w:rsidRDefault="00653D40" w:rsidP="00653D40">
      <w:pPr>
        <w:spacing w:after="0" w:line="240" w:lineRule="auto"/>
        <w:jc w:val="both"/>
        <w:rPr>
          <w:rFonts w:ascii="Arial" w:hAnsi="Arial" w:cs="Arial"/>
          <w:color w:val="343F44"/>
          <w:shd w:val="clear" w:color="auto" w:fill="FFFFFF"/>
        </w:rPr>
      </w:pPr>
      <w:r w:rsidRPr="00DA6313">
        <w:rPr>
          <w:rFonts w:ascii="Arial" w:hAnsi="Arial" w:cs="Arial"/>
          <w:noProof/>
        </w:rPr>
        <w:t xml:space="preserve">Predmetni lokalitet se nalazi </w:t>
      </w:r>
      <w:r>
        <w:rPr>
          <w:rFonts w:ascii="Arial" w:hAnsi="Arial" w:cs="Arial"/>
          <w:noProof/>
        </w:rPr>
        <w:t xml:space="preserve">na </w:t>
      </w:r>
      <w:proofErr w:type="spellStart"/>
      <w:r>
        <w:rPr>
          <w:rFonts w:ascii="Arial" w:hAnsi="Arial" w:cs="Arial"/>
          <w:color w:val="343F44"/>
          <w:shd w:val="clear" w:color="auto" w:fill="FFFFFF"/>
        </w:rPr>
        <w:t>dva</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oveća</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polja</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Mataruško</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i</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Ljutičko</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koja</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su</w:t>
      </w:r>
      <w:proofErr w:type="spellEnd"/>
      <w:r>
        <w:rPr>
          <w:rFonts w:ascii="Arial" w:hAnsi="Arial" w:cs="Arial"/>
          <w:color w:val="343F44"/>
          <w:shd w:val="clear" w:color="auto" w:fill="FFFFFF"/>
        </w:rPr>
        <w:t xml:space="preserve"> do </w:t>
      </w:r>
      <w:proofErr w:type="spellStart"/>
      <w:r>
        <w:rPr>
          <w:rFonts w:ascii="Arial" w:hAnsi="Arial" w:cs="Arial"/>
          <w:color w:val="343F44"/>
          <w:shd w:val="clear" w:color="auto" w:fill="FFFFFF"/>
        </w:rPr>
        <w:t>skoro</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obrađivana</w:t>
      </w:r>
      <w:proofErr w:type="spellEnd"/>
      <w:r>
        <w:rPr>
          <w:rFonts w:ascii="Arial" w:hAnsi="Arial" w:cs="Arial"/>
          <w:color w:val="343F44"/>
          <w:shd w:val="clear" w:color="auto" w:fill="FFFFFF"/>
        </w:rPr>
        <w:t>.</w:t>
      </w:r>
      <w:r w:rsidR="007F4467">
        <w:rPr>
          <w:rFonts w:ascii="Arial" w:hAnsi="Arial" w:cs="Arial"/>
          <w:color w:val="343F44"/>
          <w:shd w:val="clear" w:color="auto" w:fill="FFFFFF"/>
        </w:rPr>
        <w:t xml:space="preserve"> </w:t>
      </w:r>
      <w:proofErr w:type="spellStart"/>
      <w:r w:rsidR="007F4467">
        <w:rPr>
          <w:rFonts w:ascii="Arial" w:hAnsi="Arial" w:cs="Arial"/>
          <w:color w:val="343F44"/>
          <w:shd w:val="clear" w:color="auto" w:fill="FFFFFF"/>
        </w:rPr>
        <w:t>Iznad</w:t>
      </w:r>
      <w:proofErr w:type="spellEnd"/>
      <w:r w:rsidR="007F4467">
        <w:rPr>
          <w:rFonts w:ascii="Arial" w:hAnsi="Arial" w:cs="Arial"/>
          <w:color w:val="343F44"/>
          <w:shd w:val="clear" w:color="auto" w:fill="FFFFFF"/>
        </w:rPr>
        <w:t xml:space="preserve"> </w:t>
      </w:r>
      <w:proofErr w:type="spellStart"/>
      <w:r w:rsidR="007F4467">
        <w:rPr>
          <w:rFonts w:ascii="Arial" w:hAnsi="Arial" w:cs="Arial"/>
          <w:color w:val="343F44"/>
          <w:shd w:val="clear" w:color="auto" w:fill="FFFFFF"/>
        </w:rPr>
        <w:t>njih</w:t>
      </w:r>
      <w:proofErr w:type="spellEnd"/>
      <w:r w:rsidR="007F4467">
        <w:rPr>
          <w:rFonts w:ascii="Arial" w:hAnsi="Arial" w:cs="Arial"/>
          <w:color w:val="343F44"/>
          <w:shd w:val="clear" w:color="auto" w:fill="FFFFFF"/>
        </w:rPr>
        <w:t xml:space="preserve"> se </w:t>
      </w:r>
      <w:proofErr w:type="spellStart"/>
      <w:r w:rsidR="007F4467">
        <w:rPr>
          <w:rFonts w:ascii="Arial" w:hAnsi="Arial" w:cs="Arial"/>
          <w:color w:val="343F44"/>
          <w:shd w:val="clear" w:color="auto" w:fill="FFFFFF"/>
        </w:rPr>
        <w:t>uzdižu</w:t>
      </w:r>
      <w:proofErr w:type="spellEnd"/>
      <w:r w:rsidR="007F4467">
        <w:rPr>
          <w:rFonts w:ascii="Arial" w:hAnsi="Arial" w:cs="Arial"/>
          <w:color w:val="343F44"/>
          <w:shd w:val="clear" w:color="auto" w:fill="FFFFFF"/>
        </w:rPr>
        <w:t xml:space="preserve"> </w:t>
      </w:r>
      <w:proofErr w:type="spellStart"/>
      <w:r w:rsidR="007F4467">
        <w:rPr>
          <w:rFonts w:ascii="Arial" w:hAnsi="Arial" w:cs="Arial"/>
          <w:color w:val="343F44"/>
          <w:shd w:val="clear" w:color="auto" w:fill="FFFFFF"/>
        </w:rPr>
        <w:t>kraški</w:t>
      </w:r>
      <w:proofErr w:type="spellEnd"/>
      <w:r w:rsidR="007F4467">
        <w:rPr>
          <w:rFonts w:ascii="Arial" w:hAnsi="Arial" w:cs="Arial"/>
          <w:color w:val="343F44"/>
          <w:shd w:val="clear" w:color="auto" w:fill="FFFFFF"/>
        </w:rPr>
        <w:t xml:space="preserve"> </w:t>
      </w:r>
      <w:proofErr w:type="spellStart"/>
      <w:r w:rsidR="007F4467">
        <w:rPr>
          <w:rFonts w:ascii="Arial" w:hAnsi="Arial" w:cs="Arial"/>
          <w:color w:val="343F44"/>
          <w:shd w:val="clear" w:color="auto" w:fill="FFFFFF"/>
        </w:rPr>
        <w:t>brij</w:t>
      </w:r>
      <w:r>
        <w:rPr>
          <w:rFonts w:ascii="Arial" w:hAnsi="Arial" w:cs="Arial"/>
          <w:color w:val="343F44"/>
          <w:shd w:val="clear" w:color="auto" w:fill="FFFFFF"/>
        </w:rPr>
        <w:t>egovi</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koji</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naglo</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prelaze</w:t>
      </w:r>
      <w:proofErr w:type="spellEnd"/>
      <w:r>
        <w:rPr>
          <w:rFonts w:ascii="Arial" w:hAnsi="Arial" w:cs="Arial"/>
          <w:color w:val="343F44"/>
          <w:shd w:val="clear" w:color="auto" w:fill="FFFFFF"/>
        </w:rPr>
        <w:t xml:space="preserve"> u </w:t>
      </w:r>
      <w:proofErr w:type="spellStart"/>
      <w:r>
        <w:rPr>
          <w:rFonts w:ascii="Arial" w:hAnsi="Arial" w:cs="Arial"/>
          <w:color w:val="343F44"/>
          <w:shd w:val="clear" w:color="auto" w:fill="FFFFFF"/>
        </w:rPr>
        <w:t>značajnija</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uzvišenja</w:t>
      </w:r>
      <w:proofErr w:type="spellEnd"/>
      <w:r>
        <w:rPr>
          <w:rFonts w:ascii="Arial" w:hAnsi="Arial" w:cs="Arial"/>
          <w:color w:val="343F44"/>
          <w:shd w:val="clear" w:color="auto" w:fill="FFFFFF"/>
        </w:rPr>
        <w:t xml:space="preserve"> – </w:t>
      </w:r>
      <w:proofErr w:type="spellStart"/>
      <w:r>
        <w:rPr>
          <w:rFonts w:ascii="Arial" w:hAnsi="Arial" w:cs="Arial"/>
          <w:color w:val="343F44"/>
          <w:shd w:val="clear" w:color="auto" w:fill="FFFFFF"/>
        </w:rPr>
        <w:t>Kartalovo</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brdo</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Mataruške</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strane</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Cvijetino</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Brezansko</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i</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Janjuško</w:t>
      </w:r>
      <w:proofErr w:type="spellEnd"/>
      <w:r>
        <w:rPr>
          <w:rFonts w:ascii="Arial" w:hAnsi="Arial" w:cs="Arial"/>
          <w:color w:val="343F44"/>
          <w:shd w:val="clear" w:color="auto" w:fill="FFFFFF"/>
        </w:rPr>
        <w:t xml:space="preserve"> </w:t>
      </w:r>
      <w:proofErr w:type="spellStart"/>
      <w:r>
        <w:rPr>
          <w:rFonts w:ascii="Arial" w:hAnsi="Arial" w:cs="Arial"/>
          <w:color w:val="343F44"/>
          <w:shd w:val="clear" w:color="auto" w:fill="FFFFFF"/>
        </w:rPr>
        <w:t>brdo</w:t>
      </w:r>
      <w:proofErr w:type="spellEnd"/>
      <w:r>
        <w:rPr>
          <w:rFonts w:ascii="Arial" w:hAnsi="Arial" w:cs="Arial"/>
          <w:color w:val="343F44"/>
          <w:shd w:val="clear" w:color="auto" w:fill="FFFFFF"/>
        </w:rPr>
        <w:t xml:space="preserve">. </w:t>
      </w:r>
    </w:p>
    <w:p w14:paraId="492D2ED1" w14:textId="77777777" w:rsidR="00653D40" w:rsidRPr="00DA6313" w:rsidRDefault="00653D40" w:rsidP="00653D40">
      <w:pPr>
        <w:spacing w:after="0" w:line="240" w:lineRule="auto"/>
        <w:jc w:val="both"/>
        <w:rPr>
          <w:rFonts w:ascii="Arial" w:hAnsi="Arial" w:cs="Arial"/>
          <w:noProof/>
        </w:rPr>
      </w:pPr>
    </w:p>
    <w:p w14:paraId="6569DB2B" w14:textId="77777777" w:rsidR="00653D40" w:rsidRPr="00DA6313" w:rsidRDefault="00653D40" w:rsidP="00653D40">
      <w:pPr>
        <w:spacing w:after="0" w:line="240" w:lineRule="auto"/>
        <w:jc w:val="both"/>
        <w:rPr>
          <w:rFonts w:ascii="Arial" w:hAnsi="Arial" w:cs="Arial"/>
          <w:noProof/>
        </w:rPr>
      </w:pPr>
      <w:r w:rsidRPr="00DA6313">
        <w:rPr>
          <w:rFonts w:ascii="Arial" w:hAnsi="Arial" w:cs="Arial"/>
          <w:noProof/>
        </w:rPr>
        <w:t>Na području „</w:t>
      </w:r>
      <w:r>
        <w:rPr>
          <w:rFonts w:ascii="Arial" w:hAnsi="Arial" w:cs="Arial"/>
          <w:noProof/>
        </w:rPr>
        <w:t>Mataruga</w:t>
      </w:r>
      <w:r w:rsidRPr="00DA6313">
        <w:rPr>
          <w:rFonts w:ascii="Arial" w:hAnsi="Arial" w:cs="Arial"/>
          <w:noProof/>
        </w:rPr>
        <w:t xml:space="preserve">“ nema aktivnih ležišta </w:t>
      </w:r>
      <w:r>
        <w:rPr>
          <w:rFonts w:ascii="Arial" w:hAnsi="Arial" w:cs="Arial"/>
          <w:noProof/>
        </w:rPr>
        <w:t>mrkolignitnog uglja</w:t>
      </w:r>
      <w:r w:rsidRPr="00DA6313">
        <w:rPr>
          <w:rFonts w:ascii="Arial" w:hAnsi="Arial" w:cs="Arial"/>
          <w:noProof/>
        </w:rPr>
        <w:t xml:space="preserve">. Na predmetnom lokalitetu </w:t>
      </w:r>
      <w:r>
        <w:rPr>
          <w:rFonts w:ascii="Arial" w:hAnsi="Arial" w:cs="Arial"/>
          <w:noProof/>
        </w:rPr>
        <w:t>vršena su geološka istraživanja prethodnih godina</w:t>
      </w:r>
      <w:r w:rsidR="000068E1">
        <w:rPr>
          <w:rFonts w:ascii="Arial" w:hAnsi="Arial" w:cs="Arial"/>
          <w:noProof/>
        </w:rPr>
        <w:t>,</w:t>
      </w:r>
      <w:r>
        <w:rPr>
          <w:rFonts w:ascii="Arial" w:hAnsi="Arial" w:cs="Arial"/>
          <w:noProof/>
        </w:rPr>
        <w:t xml:space="preserve"> ali nije vršena eksploatacija</w:t>
      </w:r>
      <w:r w:rsidRPr="00DA6313">
        <w:rPr>
          <w:rFonts w:ascii="Arial" w:hAnsi="Arial" w:cs="Arial"/>
          <w:noProof/>
        </w:rPr>
        <w:t>.</w:t>
      </w:r>
    </w:p>
    <w:p w14:paraId="2909F942" w14:textId="77777777" w:rsidR="00653D40" w:rsidRDefault="00653D40" w:rsidP="00653D40">
      <w:pPr>
        <w:spacing w:after="0" w:line="240" w:lineRule="auto"/>
        <w:jc w:val="both"/>
        <w:rPr>
          <w:rFonts w:ascii="Arial" w:hAnsi="Arial" w:cs="Arial"/>
          <w:noProof/>
        </w:rPr>
      </w:pPr>
    </w:p>
    <w:p w14:paraId="7EAC1D62" w14:textId="77777777" w:rsidR="00653D40" w:rsidRPr="00D45370" w:rsidRDefault="00653D40" w:rsidP="00664C2A">
      <w:pPr>
        <w:pStyle w:val="Heading2"/>
        <w:numPr>
          <w:ilvl w:val="1"/>
          <w:numId w:val="30"/>
        </w:numPr>
      </w:pPr>
      <w:r w:rsidRPr="00D45370">
        <w:t>Mišljenje Uprave za zaštitu kulturnih dobara</w:t>
      </w:r>
    </w:p>
    <w:p w14:paraId="2BF03296" w14:textId="77777777" w:rsidR="00653D40" w:rsidRPr="00DA6313" w:rsidRDefault="00653D40" w:rsidP="00653D40">
      <w:pPr>
        <w:spacing w:after="0" w:line="240" w:lineRule="auto"/>
        <w:jc w:val="both"/>
        <w:rPr>
          <w:rFonts w:ascii="Arial" w:hAnsi="Arial" w:cs="Arial"/>
          <w:noProof/>
        </w:rPr>
      </w:pPr>
    </w:p>
    <w:p w14:paraId="38D1733E" w14:textId="77777777" w:rsidR="00653D40" w:rsidRDefault="00653D40" w:rsidP="00653D40">
      <w:pPr>
        <w:spacing w:after="0" w:line="240" w:lineRule="auto"/>
        <w:jc w:val="both"/>
        <w:rPr>
          <w:rFonts w:ascii="Arial" w:hAnsi="Arial" w:cs="Arial"/>
          <w:noProof/>
          <w:lang w:eastAsia="sr-Cyrl-CS"/>
        </w:rPr>
      </w:pPr>
      <w:r>
        <w:rPr>
          <w:rFonts w:ascii="Arial" w:hAnsi="Arial" w:cs="Arial"/>
          <w:noProof/>
          <w:lang w:eastAsia="sr-Cyrl-CS"/>
        </w:rPr>
        <w:t>Mišljenjem</w:t>
      </w:r>
      <w:r w:rsidRPr="00DA6313">
        <w:rPr>
          <w:rFonts w:ascii="Arial" w:hAnsi="Arial" w:cs="Arial"/>
          <w:noProof/>
          <w:lang w:eastAsia="sr-Cyrl-CS"/>
        </w:rPr>
        <w:t xml:space="preserve"> Upra</w:t>
      </w:r>
      <w:r>
        <w:rPr>
          <w:rFonts w:ascii="Arial" w:hAnsi="Arial" w:cs="Arial"/>
          <w:noProof/>
          <w:lang w:eastAsia="sr-Cyrl-CS"/>
        </w:rPr>
        <w:t>ve za zaštitu kulturnih dobara</w:t>
      </w:r>
      <w:r w:rsidR="00770A8D">
        <w:rPr>
          <w:rFonts w:ascii="Arial" w:hAnsi="Arial" w:cs="Arial"/>
          <w:noProof/>
          <w:lang w:eastAsia="sr-Cyrl-CS"/>
        </w:rPr>
        <w:t xml:space="preserve"> </w:t>
      </w:r>
      <w:r>
        <w:rPr>
          <w:rFonts w:ascii="Arial" w:hAnsi="Arial" w:cs="Arial"/>
          <w:noProof/>
          <w:lang w:eastAsia="sr-Cyrl-CS"/>
        </w:rPr>
        <w:t>(</w:t>
      </w:r>
      <w:r w:rsidRPr="00DA6313">
        <w:rPr>
          <w:rFonts w:ascii="Arial" w:hAnsi="Arial" w:cs="Arial"/>
          <w:noProof/>
        </w:rPr>
        <w:t>akt br. UP/I-03-</w:t>
      </w:r>
      <w:r>
        <w:rPr>
          <w:rFonts w:ascii="Arial" w:hAnsi="Arial" w:cs="Arial"/>
          <w:noProof/>
        </w:rPr>
        <w:t>188</w:t>
      </w:r>
      <w:r w:rsidRPr="00DA6313">
        <w:rPr>
          <w:rFonts w:ascii="Arial" w:hAnsi="Arial" w:cs="Arial"/>
          <w:noProof/>
        </w:rPr>
        <w:t xml:space="preserve">/2020-2 od </w:t>
      </w:r>
      <w:r>
        <w:rPr>
          <w:rFonts w:ascii="Arial" w:hAnsi="Arial" w:cs="Arial"/>
          <w:noProof/>
        </w:rPr>
        <w:t>07</w:t>
      </w:r>
      <w:r w:rsidRPr="00DA6313">
        <w:rPr>
          <w:rFonts w:ascii="Arial" w:hAnsi="Arial" w:cs="Arial"/>
          <w:noProof/>
        </w:rPr>
        <w:t>.0</w:t>
      </w:r>
      <w:r>
        <w:rPr>
          <w:rFonts w:ascii="Arial" w:hAnsi="Arial" w:cs="Arial"/>
          <w:noProof/>
        </w:rPr>
        <w:t>7</w:t>
      </w:r>
      <w:r w:rsidRPr="00DA6313">
        <w:rPr>
          <w:rFonts w:ascii="Arial" w:hAnsi="Arial" w:cs="Arial"/>
          <w:noProof/>
        </w:rPr>
        <w:t>.2020. godine</w:t>
      </w:r>
      <w:r>
        <w:rPr>
          <w:rFonts w:ascii="Arial" w:hAnsi="Arial" w:cs="Arial"/>
          <w:noProof/>
        </w:rPr>
        <w:t>)</w:t>
      </w:r>
      <w:r w:rsidRPr="00DA6313">
        <w:rPr>
          <w:rFonts w:ascii="Arial" w:hAnsi="Arial" w:cs="Arial"/>
          <w:noProof/>
          <w:lang w:eastAsia="sr-Cyrl-CS"/>
        </w:rPr>
        <w:t xml:space="preserve"> </w:t>
      </w:r>
      <w:r w:rsidR="00770A8D">
        <w:rPr>
          <w:rFonts w:ascii="Arial" w:hAnsi="Arial" w:cs="Arial"/>
          <w:noProof/>
          <w:lang w:eastAsia="sr-Cyrl-CS"/>
        </w:rPr>
        <w:t>navedeno je da je u</w:t>
      </w:r>
      <w:r>
        <w:rPr>
          <w:rFonts w:ascii="Arial" w:hAnsi="Arial" w:cs="Arial"/>
          <w:noProof/>
          <w:lang w:eastAsia="sr-Cyrl-CS"/>
        </w:rPr>
        <w:t>vidom u doku</w:t>
      </w:r>
      <w:r w:rsidR="000068E1">
        <w:rPr>
          <w:rFonts w:ascii="Arial" w:hAnsi="Arial" w:cs="Arial"/>
          <w:noProof/>
          <w:lang w:eastAsia="sr-Cyrl-CS"/>
        </w:rPr>
        <w:t>mentaciju Uprave konstatovano</w:t>
      </w:r>
      <w:r>
        <w:rPr>
          <w:rFonts w:ascii="Arial" w:hAnsi="Arial" w:cs="Arial"/>
          <w:noProof/>
          <w:lang w:eastAsia="sr-Cyrl-CS"/>
        </w:rPr>
        <w:t xml:space="preserve"> da u predmetnim zahvatima nema zakonom zaštićenih kulturnih dobara, kao ni dobara sa potencijalnim kulturnim vrijednostima</w:t>
      </w:r>
      <w:r w:rsidR="000068E1">
        <w:rPr>
          <w:rFonts w:ascii="Arial" w:hAnsi="Arial" w:cs="Arial"/>
          <w:noProof/>
          <w:lang w:eastAsia="sr-Cyrl-CS"/>
        </w:rPr>
        <w:t>,</w:t>
      </w:r>
      <w:r>
        <w:rPr>
          <w:rFonts w:ascii="Arial" w:hAnsi="Arial" w:cs="Arial"/>
          <w:noProof/>
          <w:lang w:eastAsia="sr-Cyrl-CS"/>
        </w:rPr>
        <w:t xml:space="preserve"> a u vezi sa članom 92 Zakona o zaštiti kulturnih dobara. Međutim</w:t>
      </w:r>
      <w:r w:rsidR="000068E1">
        <w:rPr>
          <w:rFonts w:ascii="Arial" w:hAnsi="Arial" w:cs="Arial"/>
          <w:noProof/>
          <w:lang w:eastAsia="sr-Cyrl-CS"/>
        </w:rPr>
        <w:t>,</w:t>
      </w:r>
      <w:r>
        <w:rPr>
          <w:rFonts w:ascii="Arial" w:hAnsi="Arial" w:cs="Arial"/>
          <w:noProof/>
          <w:lang w:eastAsia="sr-Cyrl-CS"/>
        </w:rPr>
        <w:t xml:space="preserve"> u neposrednoj blizini ležišta uglja Mataruge, konstatovan je veći broj praistorijskih tumula, te na iste treba obratiti posebnu pažnju, imajući u vidu mogućnost njihovog pristustva i unutar obuhvata.</w:t>
      </w:r>
    </w:p>
    <w:p w14:paraId="563EE7B1" w14:textId="77777777" w:rsidR="00653D40" w:rsidRDefault="00653D40" w:rsidP="00653D40">
      <w:pPr>
        <w:spacing w:after="0" w:line="240" w:lineRule="auto"/>
        <w:jc w:val="both"/>
        <w:rPr>
          <w:rFonts w:ascii="Arial" w:hAnsi="Arial" w:cs="Arial"/>
          <w:noProof/>
          <w:lang w:eastAsia="sr-Cyrl-CS"/>
        </w:rPr>
      </w:pPr>
    </w:p>
    <w:p w14:paraId="464B46CB" w14:textId="77777777" w:rsidR="00653D40" w:rsidRPr="00DA6313" w:rsidRDefault="00653D40" w:rsidP="00653D40">
      <w:pPr>
        <w:spacing w:after="0" w:line="240" w:lineRule="auto"/>
        <w:jc w:val="both"/>
        <w:rPr>
          <w:rFonts w:ascii="Arial" w:hAnsi="Arial" w:cs="Arial"/>
          <w:noProof/>
          <w:lang w:eastAsia="sr-Cyrl-CS"/>
        </w:rPr>
      </w:pPr>
      <w:r>
        <w:rPr>
          <w:rFonts w:ascii="Arial" w:hAnsi="Arial" w:cs="Arial"/>
          <w:noProof/>
          <w:lang w:eastAsia="sr-Cyrl-CS"/>
        </w:rPr>
        <w:t xml:space="preserve">U toku realizacije koncesije za istraživanje i eksploataciju mineralnih sirovina na predmetnom lokalitetu, potrebno je poštovati odredbe čl.87 i </w:t>
      </w:r>
      <w:r w:rsidR="007F4467">
        <w:rPr>
          <w:rFonts w:ascii="Arial" w:hAnsi="Arial" w:cs="Arial"/>
          <w:noProof/>
          <w:lang w:eastAsia="sr-Cyrl-CS"/>
        </w:rPr>
        <w:t>čl.</w:t>
      </w:r>
      <w:r>
        <w:rPr>
          <w:rFonts w:ascii="Arial" w:hAnsi="Arial" w:cs="Arial"/>
          <w:noProof/>
          <w:lang w:eastAsia="sr-Cyrl-CS"/>
        </w:rPr>
        <w:t>88 Zakon</w:t>
      </w:r>
      <w:r w:rsidR="007F4467">
        <w:rPr>
          <w:rFonts w:ascii="Arial" w:hAnsi="Arial" w:cs="Arial"/>
          <w:noProof/>
          <w:lang w:eastAsia="sr-Cyrl-CS"/>
        </w:rPr>
        <w:t>a</w:t>
      </w:r>
      <w:r>
        <w:rPr>
          <w:rFonts w:ascii="Arial" w:hAnsi="Arial" w:cs="Arial"/>
          <w:noProof/>
          <w:lang w:eastAsia="sr-Cyrl-CS"/>
        </w:rPr>
        <w:t xml:space="preserve"> o zaštiti kulturnih dobara (Sl.list CG br..49/10,40/11,44/14 i 18/19)</w:t>
      </w:r>
      <w:r w:rsidR="007F4467">
        <w:rPr>
          <w:rFonts w:ascii="Arial" w:hAnsi="Arial" w:cs="Arial"/>
          <w:noProof/>
          <w:lang w:eastAsia="sr-Cyrl-CS"/>
        </w:rPr>
        <w:t>,</w:t>
      </w:r>
      <w:r>
        <w:rPr>
          <w:rFonts w:ascii="Arial" w:hAnsi="Arial" w:cs="Arial"/>
          <w:noProof/>
          <w:lang w:eastAsia="sr-Cyrl-CS"/>
        </w:rPr>
        <w:t xml:space="preserve"> a</w:t>
      </w:r>
      <w:r w:rsidR="007F4467">
        <w:rPr>
          <w:rFonts w:ascii="Arial" w:hAnsi="Arial" w:cs="Arial"/>
          <w:noProof/>
          <w:lang w:eastAsia="sr-Cyrl-CS"/>
        </w:rPr>
        <w:t xml:space="preserve"> sve u vezi sa slučajevima otkrića</w:t>
      </w:r>
      <w:r>
        <w:rPr>
          <w:rFonts w:ascii="Arial" w:hAnsi="Arial" w:cs="Arial"/>
          <w:noProof/>
          <w:lang w:eastAsia="sr-Cyrl-CS"/>
        </w:rPr>
        <w:t>–nalaza od arheološkog značaja, ukoliko se u toku izvođenja radova naiđe na iste o čemu je potrebno izvijestiti Upravu.</w:t>
      </w:r>
    </w:p>
    <w:p w14:paraId="50E7BD40" w14:textId="77777777" w:rsidR="00653D40" w:rsidRPr="00DA6313" w:rsidRDefault="00653D40" w:rsidP="00653D40">
      <w:pPr>
        <w:spacing w:after="0" w:line="240" w:lineRule="auto"/>
        <w:jc w:val="both"/>
        <w:rPr>
          <w:rFonts w:ascii="Arial" w:hAnsi="Arial" w:cs="Arial"/>
          <w:noProof/>
        </w:rPr>
      </w:pPr>
    </w:p>
    <w:p w14:paraId="6554227B" w14:textId="77777777" w:rsidR="00653D40" w:rsidRPr="00DA6313" w:rsidRDefault="00653D40" w:rsidP="00664C2A">
      <w:pPr>
        <w:pStyle w:val="Heading2"/>
        <w:numPr>
          <w:ilvl w:val="1"/>
          <w:numId w:val="30"/>
        </w:numPr>
      </w:pPr>
      <w:bookmarkStart w:id="7" w:name="_Toc402262928"/>
      <w:r w:rsidRPr="00DA6313">
        <w:t>Podaci o imovinsko-pravnim odnosima</w:t>
      </w:r>
      <w:bookmarkEnd w:id="7"/>
    </w:p>
    <w:p w14:paraId="67BBA78A" w14:textId="77777777" w:rsidR="00653D40" w:rsidRPr="00DA6313" w:rsidRDefault="00653D40" w:rsidP="00653D40">
      <w:pPr>
        <w:shd w:val="clear" w:color="auto" w:fill="FFFFFF"/>
        <w:spacing w:after="0" w:line="240" w:lineRule="auto"/>
        <w:jc w:val="both"/>
        <w:rPr>
          <w:rFonts w:ascii="Arial" w:hAnsi="Arial" w:cs="Arial"/>
          <w:noProof/>
        </w:rPr>
      </w:pPr>
    </w:p>
    <w:p w14:paraId="251757B0" w14:textId="77777777" w:rsidR="00653D40" w:rsidRDefault="00653D40" w:rsidP="00653D40">
      <w:pPr>
        <w:pStyle w:val="Default"/>
        <w:jc w:val="both"/>
        <w:rPr>
          <w:rFonts w:ascii="Arial" w:hAnsi="Arial" w:cs="Arial"/>
          <w:noProof/>
          <w:color w:val="auto"/>
          <w:sz w:val="22"/>
          <w:szCs w:val="22"/>
        </w:rPr>
      </w:pPr>
      <w:bookmarkStart w:id="8" w:name="_Toc402262929"/>
      <w:r>
        <w:rPr>
          <w:rFonts w:ascii="Arial" w:hAnsi="Arial" w:cs="Arial"/>
          <w:noProof/>
          <w:color w:val="auto"/>
          <w:sz w:val="22"/>
          <w:szCs w:val="22"/>
        </w:rPr>
        <w:t>Istražno-eksploatacioni prostor ležišta uglja „Mataruge“ administrativno pripada opštini Pljevlja, a prema katastarskoj podjeli pripada KO Mataruge i KO Ljutići.</w:t>
      </w:r>
    </w:p>
    <w:p w14:paraId="0B8BCCC3" w14:textId="77777777" w:rsidR="00653D40" w:rsidRDefault="00653D40" w:rsidP="00653D40">
      <w:pPr>
        <w:pStyle w:val="Default"/>
        <w:jc w:val="both"/>
        <w:rPr>
          <w:rFonts w:ascii="Arial" w:hAnsi="Arial" w:cs="Arial"/>
          <w:noProof/>
          <w:color w:val="auto"/>
          <w:sz w:val="22"/>
          <w:szCs w:val="22"/>
        </w:rPr>
      </w:pPr>
    </w:p>
    <w:p w14:paraId="0D3B15CE" w14:textId="77777777" w:rsidR="00653D40" w:rsidRDefault="00653D40" w:rsidP="00653D40">
      <w:pPr>
        <w:pStyle w:val="Default"/>
        <w:jc w:val="both"/>
        <w:rPr>
          <w:rFonts w:ascii="Arial" w:hAnsi="Arial" w:cs="Arial"/>
          <w:noProof/>
          <w:color w:val="auto"/>
          <w:sz w:val="22"/>
          <w:szCs w:val="22"/>
        </w:rPr>
      </w:pPr>
      <w:r>
        <w:rPr>
          <w:rFonts w:ascii="Arial" w:hAnsi="Arial" w:cs="Arial"/>
          <w:noProof/>
          <w:color w:val="auto"/>
          <w:sz w:val="22"/>
          <w:szCs w:val="22"/>
        </w:rPr>
        <w:t>Zemljište na kojem se nalazi ležište uglja „Mataruge“ je većim dijelom u privatnom vlasništvu. Zakon o koncesijama prepoznaje mogućnost eksproprijacije zemljišta ako je istu neophodno izvršiti u cilju korišćenja koncesije</w:t>
      </w:r>
      <w:r w:rsidR="000068E1">
        <w:rPr>
          <w:rFonts w:ascii="Arial" w:hAnsi="Arial" w:cs="Arial"/>
          <w:noProof/>
          <w:color w:val="auto"/>
          <w:sz w:val="22"/>
          <w:szCs w:val="22"/>
        </w:rPr>
        <w:t xml:space="preserve">. Članom 44 pomenutog zakona </w:t>
      </w:r>
      <w:r>
        <w:rPr>
          <w:rFonts w:ascii="Arial" w:hAnsi="Arial" w:cs="Arial"/>
          <w:noProof/>
          <w:color w:val="auto"/>
          <w:sz w:val="22"/>
          <w:szCs w:val="22"/>
        </w:rPr>
        <w:t xml:space="preserve">propisano </w:t>
      </w:r>
      <w:r w:rsidR="000068E1">
        <w:rPr>
          <w:rFonts w:ascii="Arial" w:hAnsi="Arial" w:cs="Arial"/>
          <w:noProof/>
          <w:color w:val="auto"/>
          <w:sz w:val="22"/>
          <w:szCs w:val="22"/>
        </w:rPr>
        <w:t xml:space="preserve">je </w:t>
      </w:r>
      <w:r>
        <w:rPr>
          <w:rFonts w:ascii="Arial" w:hAnsi="Arial" w:cs="Arial"/>
          <w:noProof/>
          <w:color w:val="auto"/>
          <w:sz w:val="22"/>
          <w:szCs w:val="22"/>
        </w:rPr>
        <w:t>da na nepokretnosti potrebnoj za obavljanje dijelatnosti od javnog interesa u skladu sa zakonom, korisnik eksproprijacije, mora imati pravo svojine ili druga prava u skladu sa zakonom kojim se uređuje eksproprijacija. Nepokretnost neophodna za obavljanje koncesione djelatnosti, može se eksproprisati u cijelosti ili fazno, u toku trajanja koncesionog ugovora, u zavisnosti od premeta koncesije. U slučaju korišćenja državne imovine ovim članom Zakona o koncesijama je predviđeno da je koncesionar dužan da plaća naknadu za korišćenje nepokretnosti u državnoj imovini i da je ista pr</w:t>
      </w:r>
      <w:r w:rsidR="000068E1">
        <w:rPr>
          <w:rFonts w:ascii="Arial" w:hAnsi="Arial" w:cs="Arial"/>
          <w:noProof/>
          <w:color w:val="auto"/>
          <w:sz w:val="22"/>
          <w:szCs w:val="22"/>
        </w:rPr>
        <w:t xml:space="preserve">ihod budžeta Crne Gore. Način plaćanja </w:t>
      </w:r>
      <w:r>
        <w:rPr>
          <w:rFonts w:ascii="Arial" w:hAnsi="Arial" w:cs="Arial"/>
          <w:noProof/>
          <w:color w:val="auto"/>
          <w:sz w:val="22"/>
          <w:szCs w:val="22"/>
        </w:rPr>
        <w:t xml:space="preserve">naknade </w:t>
      </w:r>
      <w:r w:rsidR="000068E1">
        <w:rPr>
          <w:rFonts w:ascii="Arial" w:hAnsi="Arial" w:cs="Arial"/>
          <w:noProof/>
          <w:color w:val="auto"/>
          <w:sz w:val="22"/>
          <w:szCs w:val="22"/>
        </w:rPr>
        <w:t>propisuje Vlada</w:t>
      </w:r>
      <w:r>
        <w:rPr>
          <w:rFonts w:ascii="Arial" w:hAnsi="Arial" w:cs="Arial"/>
          <w:noProof/>
          <w:color w:val="auto"/>
          <w:sz w:val="22"/>
          <w:szCs w:val="22"/>
        </w:rPr>
        <w:t>.</w:t>
      </w:r>
    </w:p>
    <w:p w14:paraId="2EC045D2" w14:textId="77777777" w:rsidR="00653D40" w:rsidRPr="00DA6313" w:rsidRDefault="00653D40" w:rsidP="00653D40">
      <w:pPr>
        <w:pStyle w:val="Default"/>
        <w:jc w:val="both"/>
        <w:rPr>
          <w:rFonts w:ascii="Arial" w:hAnsi="Arial" w:cs="Arial"/>
          <w:noProof/>
          <w:color w:val="auto"/>
          <w:sz w:val="22"/>
          <w:szCs w:val="22"/>
        </w:rPr>
      </w:pPr>
      <w:r w:rsidRPr="00DA6313">
        <w:rPr>
          <w:rFonts w:ascii="Arial" w:hAnsi="Arial" w:cs="Arial"/>
          <w:noProof/>
          <w:color w:val="auto"/>
          <w:sz w:val="22"/>
          <w:szCs w:val="22"/>
        </w:rPr>
        <w:tab/>
        <w:t xml:space="preserve"> </w:t>
      </w:r>
    </w:p>
    <w:p w14:paraId="214355CB" w14:textId="77777777" w:rsidR="00653D40" w:rsidRPr="00674220" w:rsidRDefault="00653D40" w:rsidP="00653D40">
      <w:pPr>
        <w:pStyle w:val="Default"/>
        <w:jc w:val="both"/>
        <w:rPr>
          <w:rFonts w:ascii="Arial" w:hAnsi="Arial" w:cs="Arial"/>
          <w:noProof/>
          <w:color w:val="auto"/>
          <w:sz w:val="22"/>
          <w:szCs w:val="22"/>
        </w:rPr>
      </w:pPr>
      <w:r w:rsidRPr="00674220">
        <w:rPr>
          <w:rFonts w:ascii="Arial" w:hAnsi="Arial" w:cs="Arial"/>
          <w:noProof/>
          <w:color w:val="auto"/>
          <w:sz w:val="22"/>
          <w:szCs w:val="22"/>
        </w:rPr>
        <w:t>Zakonom o eksproprijaciji ("Sl.list RCG", br. 055/00, 012/02, 028/06, “Sl.list CG", br. 021/08, 030/17, 075/18)</w:t>
      </w:r>
      <w:r w:rsidR="007F4467">
        <w:rPr>
          <w:rFonts w:ascii="Arial" w:hAnsi="Arial" w:cs="Arial"/>
          <w:noProof/>
          <w:color w:val="auto"/>
          <w:sz w:val="22"/>
          <w:szCs w:val="22"/>
        </w:rPr>
        <w:t>,</w:t>
      </w:r>
      <w:r w:rsidRPr="00674220">
        <w:rPr>
          <w:rFonts w:ascii="Arial" w:hAnsi="Arial" w:cs="Arial"/>
          <w:noProof/>
          <w:color w:val="auto"/>
          <w:sz w:val="22"/>
          <w:szCs w:val="22"/>
        </w:rPr>
        <w:t xml:space="preserve"> članom 4a definisano je da se nepokretnosti iz člana 2 ovog zakona mogu eksproprisati, između ostalog, radi istraživanja i eksploatacije rudnog i drugog prirodnog bogatstva.</w:t>
      </w:r>
    </w:p>
    <w:p w14:paraId="2F3F11AE" w14:textId="77777777" w:rsidR="00653D40" w:rsidRPr="00674220" w:rsidRDefault="00653D40" w:rsidP="00653D40">
      <w:pPr>
        <w:pStyle w:val="Default"/>
        <w:jc w:val="both"/>
        <w:rPr>
          <w:rFonts w:ascii="Arial" w:hAnsi="Arial" w:cs="Arial"/>
          <w:noProof/>
          <w:color w:val="auto"/>
          <w:sz w:val="22"/>
          <w:szCs w:val="22"/>
        </w:rPr>
      </w:pPr>
    </w:p>
    <w:p w14:paraId="21961E40" w14:textId="77777777" w:rsidR="00653D40" w:rsidRDefault="00653D40" w:rsidP="00664C2A">
      <w:pPr>
        <w:pStyle w:val="Heading2"/>
        <w:numPr>
          <w:ilvl w:val="1"/>
          <w:numId w:val="30"/>
        </w:numPr>
      </w:pPr>
      <w:r w:rsidRPr="00DA6313">
        <w:t>Podaci iz prostorno–urbanističke dokumentacije</w:t>
      </w:r>
      <w:bookmarkEnd w:id="8"/>
    </w:p>
    <w:p w14:paraId="17132F28" w14:textId="77777777" w:rsidR="00770A8D" w:rsidRDefault="00770A8D" w:rsidP="00653D40">
      <w:pPr>
        <w:shd w:val="clear" w:color="auto" w:fill="FFFFFF"/>
        <w:spacing w:after="0" w:line="240" w:lineRule="auto"/>
        <w:jc w:val="both"/>
        <w:rPr>
          <w:rFonts w:ascii="Arial" w:hAnsi="Arial" w:cs="Arial"/>
          <w:noProof/>
        </w:rPr>
      </w:pPr>
    </w:p>
    <w:p w14:paraId="5604C3F5" w14:textId="77777777" w:rsidR="00653D40" w:rsidRDefault="00653D40" w:rsidP="00653D40">
      <w:pPr>
        <w:shd w:val="clear" w:color="auto" w:fill="FFFFFF"/>
        <w:spacing w:after="0" w:line="240" w:lineRule="auto"/>
        <w:jc w:val="both"/>
        <w:rPr>
          <w:rFonts w:ascii="Arial" w:hAnsi="Arial" w:cs="Arial"/>
          <w:noProof/>
        </w:rPr>
      </w:pPr>
      <w:r>
        <w:rPr>
          <w:rFonts w:ascii="Arial" w:hAnsi="Arial" w:cs="Arial"/>
          <w:noProof/>
        </w:rPr>
        <w:t>U prostorno-planskoj dokumentaciji, Prostorno urbanističkom planu opštine Pljevlja, 2011. god., na prostoru Mataruga planirana je sledeća namjena površina: površine za poljoprivredu, livade, žbunje i suvati, voćnjaci, naselja, zona ležišta uglja, groblja, postojeći i novi lokalni putevi i željeznica. Granica istražno-eksploatacionog prostora ležišta uglja u planskom dokumentu interpretirana je geološkom granicom ugljenog sloja.</w:t>
      </w:r>
    </w:p>
    <w:p w14:paraId="0FDE7136" w14:textId="77777777" w:rsidR="00653D40" w:rsidRDefault="00653D40" w:rsidP="00653D40">
      <w:pPr>
        <w:shd w:val="clear" w:color="auto" w:fill="FFFFFF"/>
        <w:spacing w:after="0" w:line="240" w:lineRule="auto"/>
        <w:jc w:val="both"/>
        <w:rPr>
          <w:rFonts w:ascii="Arial" w:hAnsi="Arial" w:cs="Arial"/>
          <w:noProof/>
        </w:rPr>
      </w:pPr>
    </w:p>
    <w:p w14:paraId="63A9EAF9" w14:textId="77777777" w:rsidR="00653D40" w:rsidRDefault="00653D40" w:rsidP="00653D40">
      <w:pPr>
        <w:shd w:val="clear" w:color="auto" w:fill="FFFFFF"/>
        <w:spacing w:after="0" w:line="240" w:lineRule="auto"/>
        <w:jc w:val="both"/>
        <w:rPr>
          <w:rFonts w:ascii="Arial" w:hAnsi="Arial" w:cs="Arial"/>
          <w:noProof/>
        </w:rPr>
      </w:pPr>
      <w:r>
        <w:rPr>
          <w:rFonts w:ascii="Arial" w:hAnsi="Arial" w:cs="Arial"/>
          <w:noProof/>
        </w:rPr>
        <w:t xml:space="preserve">Ministarstvo održivog razvoja i turizma je dopisom broj 01-898/2 od 29. juna 2020. godine potvrdilo da je predmetno ležište navedeno u planskom dokumentu opštine Pljevlja. </w:t>
      </w:r>
    </w:p>
    <w:p w14:paraId="08A841CE" w14:textId="77777777" w:rsidR="008703AE" w:rsidRDefault="008703AE" w:rsidP="00653D40">
      <w:pPr>
        <w:shd w:val="clear" w:color="auto" w:fill="FFFFFF"/>
        <w:spacing w:after="0" w:line="240" w:lineRule="auto"/>
        <w:jc w:val="both"/>
        <w:rPr>
          <w:rFonts w:ascii="Arial" w:hAnsi="Arial" w:cs="Arial"/>
          <w:noProof/>
        </w:rPr>
      </w:pPr>
    </w:p>
    <w:p w14:paraId="39F12C2A" w14:textId="77777777" w:rsidR="00653D40" w:rsidRPr="00DA6313" w:rsidRDefault="00653D40" w:rsidP="00653D40">
      <w:pPr>
        <w:shd w:val="clear" w:color="auto" w:fill="FFFFFF"/>
        <w:spacing w:after="0" w:line="240" w:lineRule="auto"/>
        <w:jc w:val="both"/>
        <w:rPr>
          <w:rFonts w:ascii="Arial" w:hAnsi="Arial" w:cs="Arial"/>
          <w:noProof/>
          <w:color w:val="FF0000"/>
        </w:rPr>
      </w:pPr>
    </w:p>
    <w:p w14:paraId="7438272A" w14:textId="77777777" w:rsidR="00653D40" w:rsidRPr="00DA6313" w:rsidRDefault="00653D40" w:rsidP="00664C2A">
      <w:pPr>
        <w:pStyle w:val="Heading2"/>
        <w:numPr>
          <w:ilvl w:val="1"/>
          <w:numId w:val="30"/>
        </w:numPr>
      </w:pPr>
      <w:bookmarkStart w:id="9" w:name="_Toc402262930"/>
      <w:r w:rsidRPr="00DA6313">
        <w:lastRenderedPageBreak/>
        <w:t>Infrastruktura</w:t>
      </w:r>
      <w:bookmarkEnd w:id="9"/>
    </w:p>
    <w:p w14:paraId="29436348" w14:textId="77777777" w:rsidR="00653D40" w:rsidRPr="00DA6313" w:rsidRDefault="00653D40" w:rsidP="00653D40">
      <w:pPr>
        <w:spacing w:after="0" w:line="240" w:lineRule="auto"/>
        <w:jc w:val="both"/>
        <w:rPr>
          <w:rFonts w:ascii="Arial" w:hAnsi="Arial" w:cs="Arial"/>
          <w:noProof/>
        </w:rPr>
      </w:pPr>
    </w:p>
    <w:p w14:paraId="19447FB9" w14:textId="77777777" w:rsidR="00653D40" w:rsidRPr="00DA6313" w:rsidRDefault="00653D40" w:rsidP="00653D40">
      <w:pPr>
        <w:spacing w:after="0" w:line="240" w:lineRule="auto"/>
        <w:jc w:val="both"/>
        <w:rPr>
          <w:rFonts w:ascii="Arial" w:hAnsi="Arial" w:cs="Arial"/>
          <w:noProof/>
        </w:rPr>
      </w:pPr>
      <w:r w:rsidRPr="00DA6313">
        <w:rPr>
          <w:rFonts w:ascii="Arial" w:hAnsi="Arial" w:cs="Arial"/>
          <w:noProof/>
        </w:rPr>
        <w:t>Saobraćajne veze u užoj i široj okolini lokaliteta „</w:t>
      </w:r>
      <w:r>
        <w:rPr>
          <w:rFonts w:ascii="Arial" w:hAnsi="Arial" w:cs="Arial"/>
          <w:noProof/>
        </w:rPr>
        <w:t>Mataruge</w:t>
      </w:r>
      <w:r w:rsidRPr="00DA6313">
        <w:rPr>
          <w:rFonts w:ascii="Arial" w:hAnsi="Arial" w:cs="Arial"/>
          <w:noProof/>
        </w:rPr>
        <w:t>“ su povoljne</w:t>
      </w:r>
      <w:r>
        <w:rPr>
          <w:rFonts w:ascii="Arial" w:hAnsi="Arial" w:cs="Arial"/>
          <w:noProof/>
        </w:rPr>
        <w:t>. Mataruge su sa Pljevljima povezane asfaltnim putem dužine oko 20 km. U nastavku pomenutog puta prema Slijepač mostu, Mataruge imaju izlaz na Jadransku magistralu preko Bijelog Polja</w:t>
      </w:r>
    </w:p>
    <w:p w14:paraId="73E4A961" w14:textId="77777777" w:rsidR="00653D40" w:rsidRPr="00DA6313" w:rsidRDefault="00653D40" w:rsidP="00653D40">
      <w:pPr>
        <w:spacing w:after="0"/>
        <w:jc w:val="both"/>
        <w:rPr>
          <w:rFonts w:ascii="Arial" w:hAnsi="Arial" w:cs="Arial"/>
          <w:noProof/>
        </w:rPr>
      </w:pPr>
    </w:p>
    <w:p w14:paraId="2642F1E4" w14:textId="77777777" w:rsidR="00653D40" w:rsidRDefault="00653D40" w:rsidP="00653D40">
      <w:pPr>
        <w:spacing w:after="0" w:line="240" w:lineRule="auto"/>
        <w:jc w:val="both"/>
        <w:rPr>
          <w:rFonts w:ascii="Arial" w:hAnsi="Arial" w:cs="Arial"/>
          <w:lang w:val="sr-Latn-CS"/>
        </w:rPr>
      </w:pPr>
      <w:r w:rsidRPr="001D208C">
        <w:rPr>
          <w:rFonts w:ascii="Arial" w:hAnsi="Arial" w:cs="Arial"/>
          <w:lang w:val="sr-Cyrl-CS"/>
        </w:rPr>
        <w:t>Šire područje Mataruge je, iako nerazvijen kraj, ekonomski interesantan zbog  pašnjaka kojim obiluje Mataruško polje kao i šira okolina. Na obodu Matarušk</w:t>
      </w:r>
      <w:r w:rsidR="007F4467">
        <w:rPr>
          <w:rFonts w:ascii="Arial" w:hAnsi="Arial" w:cs="Arial"/>
          <w:lang w:val="sr-Cyrl-CS"/>
        </w:rPr>
        <w:t>og polja, u selima Mataruge i L</w:t>
      </w:r>
      <w:r w:rsidR="007F4467">
        <w:rPr>
          <w:rFonts w:ascii="Arial" w:hAnsi="Arial" w:cs="Arial"/>
          <w:lang w:val="sr-Latn-ME"/>
        </w:rPr>
        <w:t>j</w:t>
      </w:r>
      <w:r w:rsidRPr="001D208C">
        <w:rPr>
          <w:rFonts w:ascii="Arial" w:hAnsi="Arial" w:cs="Arial"/>
          <w:lang w:val="sr-Cyrl-CS"/>
        </w:rPr>
        <w:t>utići izgrađeno je 30-tak seoskih stambenih jedinica sa štalama i pomoćnim zgradama. Šire područje gravitira prema Matarugama, sada centru mjesne zajednice sa osnovnom školom</w:t>
      </w:r>
      <w:r>
        <w:rPr>
          <w:rFonts w:ascii="Arial" w:hAnsi="Arial" w:cs="Arial"/>
          <w:lang w:val="sr-Latn-CS"/>
        </w:rPr>
        <w:t>.</w:t>
      </w:r>
    </w:p>
    <w:p w14:paraId="714670D9" w14:textId="77777777" w:rsidR="00653D40" w:rsidRDefault="00653D40" w:rsidP="00653D40">
      <w:pPr>
        <w:spacing w:after="0" w:line="240" w:lineRule="auto"/>
        <w:jc w:val="both"/>
        <w:rPr>
          <w:rFonts w:ascii="Arial" w:hAnsi="Arial" w:cs="Arial"/>
          <w:lang w:val="sr-Latn-CS"/>
        </w:rPr>
      </w:pPr>
    </w:p>
    <w:p w14:paraId="36641770" w14:textId="77777777" w:rsidR="00653D40" w:rsidRPr="001D208C" w:rsidRDefault="00653D40" w:rsidP="00653D40">
      <w:pPr>
        <w:jc w:val="both"/>
        <w:rPr>
          <w:rFonts w:ascii="Arial" w:hAnsi="Arial" w:cs="Arial"/>
          <w:lang w:val="sr-Cyrl-CS"/>
        </w:rPr>
      </w:pPr>
      <w:r w:rsidRPr="001D208C">
        <w:rPr>
          <w:rFonts w:ascii="Arial" w:hAnsi="Arial" w:cs="Arial"/>
          <w:lang w:val="sr-Cyrl-CS"/>
        </w:rPr>
        <w:t>Napajanje električnom energijom se vrši preko visokonaponske mreže iz Mataruga, do svih seoskih domaćinstava.</w:t>
      </w:r>
    </w:p>
    <w:p w14:paraId="38E3FF07" w14:textId="77777777" w:rsidR="00653D40" w:rsidRPr="00DA6313" w:rsidRDefault="00653D40" w:rsidP="00664C2A">
      <w:pPr>
        <w:pStyle w:val="Heading2"/>
        <w:numPr>
          <w:ilvl w:val="1"/>
          <w:numId w:val="30"/>
        </w:numPr>
      </w:pPr>
      <w:bookmarkStart w:id="10" w:name="_Toc402262931"/>
      <w:r w:rsidRPr="00DA6313">
        <w:t xml:space="preserve">Dosadašnja geološka istraživanja, rezerve i kvalitet mineralne sirovine </w:t>
      </w:r>
      <w:bookmarkEnd w:id="10"/>
    </w:p>
    <w:p w14:paraId="1DBB7321" w14:textId="77777777" w:rsidR="00653D40" w:rsidRPr="00DA6313" w:rsidRDefault="00653D40" w:rsidP="00653D40">
      <w:pPr>
        <w:spacing w:after="0"/>
        <w:rPr>
          <w:rFonts w:ascii="Arial" w:hAnsi="Arial" w:cs="Arial"/>
          <w:noProof/>
        </w:rPr>
      </w:pPr>
    </w:p>
    <w:p w14:paraId="3B3C8CAF" w14:textId="77777777" w:rsidR="009A0B2B" w:rsidRPr="009A0B2B" w:rsidRDefault="009A0B2B" w:rsidP="009A0B2B">
      <w:pPr>
        <w:jc w:val="both"/>
        <w:rPr>
          <w:rFonts w:ascii="Arial" w:hAnsi="Arial" w:cs="Arial"/>
          <w:lang w:val="ru-RU"/>
        </w:rPr>
      </w:pPr>
      <w:r w:rsidRPr="009A0B2B">
        <w:rPr>
          <w:rFonts w:ascii="Arial" w:hAnsi="Arial" w:cs="Arial"/>
          <w:lang w:val="ru-RU"/>
        </w:rPr>
        <w:t>Ležište uglja „Mataruge“ nije detaljno istraženo, a sprovedena su samo osnovna geološka istraživanja  koja su izvođena u dva navrata.</w:t>
      </w:r>
    </w:p>
    <w:p w14:paraId="1CEDEB4B" w14:textId="77777777" w:rsidR="00653D40" w:rsidRPr="00D4768F" w:rsidRDefault="00653D40" w:rsidP="00653D40">
      <w:pPr>
        <w:jc w:val="both"/>
        <w:rPr>
          <w:rFonts w:ascii="Arial" w:hAnsi="Arial" w:cs="Arial"/>
          <w:lang w:val="ru-RU"/>
        </w:rPr>
      </w:pPr>
      <w:r w:rsidRPr="00D4768F">
        <w:rPr>
          <w:rFonts w:ascii="Arial" w:hAnsi="Arial" w:cs="Arial"/>
          <w:lang w:val="ru-RU"/>
        </w:rPr>
        <w:t>Istra</w:t>
      </w:r>
      <w:r w:rsidRPr="00D4768F">
        <w:rPr>
          <w:rFonts w:ascii="Arial" w:hAnsi="Arial" w:cs="Arial"/>
        </w:rPr>
        <w:t>ž</w:t>
      </w:r>
      <w:r w:rsidRPr="00D4768F">
        <w:rPr>
          <w:rFonts w:ascii="Arial" w:hAnsi="Arial" w:cs="Arial"/>
          <w:lang w:val="ru-RU"/>
        </w:rPr>
        <w:t>ivanja uglja u ležištu Mataruge vršena su u dva navrata: u periodu 1951-1954</w:t>
      </w:r>
      <w:r w:rsidR="00F61794">
        <w:rPr>
          <w:rFonts w:ascii="Arial" w:hAnsi="Arial" w:cs="Arial"/>
        </w:rPr>
        <w:t>.</w:t>
      </w:r>
      <w:r w:rsidRPr="00D4768F">
        <w:rPr>
          <w:rFonts w:ascii="Arial" w:hAnsi="Arial" w:cs="Arial"/>
          <w:lang w:val="ru-RU"/>
        </w:rPr>
        <w:t xml:space="preserve"> godine, a zatim u periodu 1987-1992</w:t>
      </w:r>
      <w:r w:rsidR="00F61794">
        <w:rPr>
          <w:rFonts w:ascii="Arial" w:hAnsi="Arial" w:cs="Arial"/>
        </w:rPr>
        <w:t>.</w:t>
      </w:r>
      <w:r w:rsidRPr="00D4768F">
        <w:rPr>
          <w:rFonts w:ascii="Arial" w:hAnsi="Arial" w:cs="Arial"/>
          <w:lang w:val="ru-RU"/>
        </w:rPr>
        <w:t xml:space="preserve"> godine.</w:t>
      </w:r>
    </w:p>
    <w:p w14:paraId="6E686E4A" w14:textId="77777777" w:rsidR="00653D40" w:rsidRPr="00D4768F" w:rsidRDefault="00653D40" w:rsidP="00653D40">
      <w:pPr>
        <w:jc w:val="both"/>
        <w:rPr>
          <w:rFonts w:ascii="Arial" w:hAnsi="Arial" w:cs="Arial"/>
          <w:lang w:val="ru-RU"/>
        </w:rPr>
      </w:pPr>
      <w:r w:rsidRPr="00D4768F">
        <w:rPr>
          <w:rFonts w:ascii="Arial" w:hAnsi="Arial" w:cs="Arial"/>
          <w:lang w:val="ru-RU"/>
        </w:rPr>
        <w:t>U periodu 1951-1954</w:t>
      </w:r>
      <w:r w:rsidR="00F61794">
        <w:rPr>
          <w:rFonts w:ascii="Arial" w:hAnsi="Arial" w:cs="Arial"/>
        </w:rPr>
        <w:t>.</w:t>
      </w:r>
      <w:r w:rsidRPr="00D4768F">
        <w:rPr>
          <w:rFonts w:ascii="Arial" w:hAnsi="Arial" w:cs="Arial"/>
          <w:lang w:val="ru-RU"/>
        </w:rPr>
        <w:t xml:space="preserve"> godine ovo le</w:t>
      </w:r>
      <w:r w:rsidRPr="00D4768F">
        <w:rPr>
          <w:rFonts w:ascii="Arial" w:hAnsi="Arial" w:cs="Arial"/>
        </w:rPr>
        <w:t>ž</w:t>
      </w:r>
      <w:r w:rsidRPr="00D4768F">
        <w:rPr>
          <w:rFonts w:ascii="Arial" w:hAnsi="Arial" w:cs="Arial"/>
          <w:lang w:val="ru-RU"/>
        </w:rPr>
        <w:t>ište istra</w:t>
      </w:r>
      <w:r w:rsidRPr="00D4768F">
        <w:rPr>
          <w:rFonts w:ascii="Arial" w:hAnsi="Arial" w:cs="Arial"/>
        </w:rPr>
        <w:t>ž</w:t>
      </w:r>
      <w:r w:rsidRPr="00D4768F">
        <w:rPr>
          <w:rFonts w:ascii="Arial" w:hAnsi="Arial" w:cs="Arial"/>
          <w:lang w:val="ru-RU"/>
        </w:rPr>
        <w:t>ivano je metodom istra</w:t>
      </w:r>
      <w:r w:rsidRPr="00D4768F">
        <w:rPr>
          <w:rFonts w:ascii="Arial" w:hAnsi="Arial" w:cs="Arial"/>
        </w:rPr>
        <w:t>ž</w:t>
      </w:r>
      <w:r w:rsidRPr="00D4768F">
        <w:rPr>
          <w:rFonts w:ascii="Arial" w:hAnsi="Arial" w:cs="Arial"/>
          <w:lang w:val="ru-RU"/>
        </w:rPr>
        <w:t>nog bušenja pri čemu je izbušeno ukupno 30 vertikalnih bušotina ukupne dubine 814 m</w:t>
      </w:r>
      <w:r w:rsidRPr="00D4768F">
        <w:rPr>
          <w:rFonts w:ascii="Arial" w:hAnsi="Arial" w:cs="Arial"/>
          <w:vertAlign w:val="superscript"/>
          <w:lang w:val="ru-RU"/>
        </w:rPr>
        <w:t>'</w:t>
      </w:r>
      <w:r w:rsidRPr="00D4768F">
        <w:rPr>
          <w:rFonts w:ascii="Arial" w:hAnsi="Arial" w:cs="Arial"/>
          <w:lang w:val="hr-HR"/>
        </w:rPr>
        <w:t>, koje su izbušene po</w:t>
      </w:r>
      <w:r w:rsidRPr="00D4768F">
        <w:rPr>
          <w:rFonts w:ascii="Arial" w:hAnsi="Arial" w:cs="Arial"/>
          <w:lang w:val="ru-RU"/>
        </w:rPr>
        <w:t xml:space="preserve"> kvadratnoj, odnosno pravougaonoj mre</w:t>
      </w:r>
      <w:r w:rsidRPr="00D4768F">
        <w:rPr>
          <w:rFonts w:ascii="Arial" w:hAnsi="Arial" w:cs="Arial"/>
        </w:rPr>
        <w:t>ž</w:t>
      </w:r>
      <w:r w:rsidR="007F4467">
        <w:rPr>
          <w:rFonts w:ascii="Arial" w:hAnsi="Arial" w:cs="Arial"/>
          <w:lang w:val="ru-RU"/>
        </w:rPr>
        <w:t>i približnih dimenzija 200</w:t>
      </w:r>
      <w:r w:rsidRPr="00D4768F">
        <w:rPr>
          <w:rFonts w:ascii="Arial" w:hAnsi="Arial" w:cs="Arial"/>
          <w:lang w:val="ru-RU"/>
        </w:rPr>
        <w:t xml:space="preserve"> </w:t>
      </w:r>
      <w:r w:rsidRPr="00D4768F">
        <w:rPr>
          <w:rFonts w:ascii="Arial" w:hAnsi="Arial" w:cs="Arial"/>
        </w:rPr>
        <w:t>x</w:t>
      </w:r>
      <w:r w:rsidR="007F4467">
        <w:rPr>
          <w:rFonts w:ascii="Arial" w:hAnsi="Arial" w:cs="Arial"/>
          <w:lang w:val="ru-RU"/>
        </w:rPr>
        <w:t xml:space="preserve"> 200</w:t>
      </w:r>
      <w:r w:rsidRPr="00D4768F">
        <w:rPr>
          <w:rFonts w:ascii="Arial" w:hAnsi="Arial" w:cs="Arial"/>
          <w:lang w:val="ru-RU"/>
        </w:rPr>
        <w:t xml:space="preserve"> m`. Sve navedene bušotine su izvedene u sjevernom dij</w:t>
      </w:r>
      <w:r w:rsidR="00A4020D">
        <w:rPr>
          <w:rFonts w:ascii="Arial" w:hAnsi="Arial" w:cs="Arial"/>
          <w:lang w:val="ru-RU"/>
        </w:rPr>
        <w:t>elu ležišta Mataruge.</w:t>
      </w:r>
      <w:r w:rsidR="00A4020D">
        <w:rPr>
          <w:rFonts w:ascii="Arial" w:hAnsi="Arial" w:cs="Arial"/>
        </w:rPr>
        <w:t xml:space="preserve"> </w:t>
      </w:r>
      <w:proofErr w:type="spellStart"/>
      <w:r w:rsidR="00A4020D">
        <w:rPr>
          <w:rFonts w:ascii="Arial" w:hAnsi="Arial" w:cs="Arial"/>
        </w:rPr>
        <w:t>Nedostatak</w:t>
      </w:r>
      <w:proofErr w:type="spellEnd"/>
      <w:r w:rsidRPr="00D4768F">
        <w:rPr>
          <w:rFonts w:ascii="Arial" w:hAnsi="Arial" w:cs="Arial"/>
          <w:lang w:val="ru-RU"/>
        </w:rPr>
        <w:t xml:space="preserve"> ovih istraživanja je u tome što na izvađenom jezgru uglja iz bušotina nisu vršena ni najosnovnija ispitivanja kvaliteta uglja.  </w:t>
      </w:r>
    </w:p>
    <w:p w14:paraId="375C091D" w14:textId="77777777" w:rsidR="00653D40" w:rsidRDefault="00653D40" w:rsidP="00653D40">
      <w:pPr>
        <w:jc w:val="both"/>
        <w:rPr>
          <w:rFonts w:ascii="Arial" w:hAnsi="Arial" w:cs="Arial"/>
        </w:rPr>
      </w:pPr>
      <w:r w:rsidRPr="00D4768F">
        <w:rPr>
          <w:rFonts w:ascii="Arial" w:hAnsi="Arial" w:cs="Arial"/>
          <w:lang w:val="ru-RU"/>
        </w:rPr>
        <w:t>I pored značajnog obima izvedenog istra</w:t>
      </w:r>
      <w:r w:rsidRPr="00D4768F">
        <w:rPr>
          <w:rFonts w:ascii="Arial" w:hAnsi="Arial" w:cs="Arial"/>
        </w:rPr>
        <w:t>ž</w:t>
      </w:r>
      <w:r w:rsidRPr="00D4768F">
        <w:rPr>
          <w:rFonts w:ascii="Arial" w:hAnsi="Arial" w:cs="Arial"/>
          <w:lang w:val="ru-RU"/>
        </w:rPr>
        <w:t>nog bušenja iz ovog perioda, raspolo</w:t>
      </w:r>
      <w:r w:rsidRPr="00D4768F">
        <w:rPr>
          <w:rFonts w:ascii="Arial" w:hAnsi="Arial" w:cs="Arial"/>
        </w:rPr>
        <w:t>ž</w:t>
      </w:r>
      <w:r w:rsidRPr="00D4768F">
        <w:rPr>
          <w:rFonts w:ascii="Arial" w:hAnsi="Arial" w:cs="Arial"/>
          <w:lang w:val="ru-RU"/>
        </w:rPr>
        <w:t>ivi podaci bili su samo informativni, bez mogućnosti da se na bazi njih mogu definisati rezerve i kvalitet</w:t>
      </w:r>
      <w:r w:rsidR="000068E1">
        <w:rPr>
          <w:rFonts w:ascii="Arial" w:hAnsi="Arial" w:cs="Arial"/>
          <w:lang w:val="ru-RU"/>
        </w:rPr>
        <w:t xml:space="preserve"> uglja. Stoga </w:t>
      </w:r>
      <w:r w:rsidR="000068E1">
        <w:rPr>
          <w:rFonts w:ascii="Arial" w:hAnsi="Arial" w:cs="Arial"/>
          <w:lang w:val="sr-Latn-ME"/>
        </w:rPr>
        <w:t>j</w:t>
      </w:r>
      <w:r w:rsidR="008703AE">
        <w:rPr>
          <w:rFonts w:ascii="Arial" w:hAnsi="Arial" w:cs="Arial"/>
          <w:lang w:val="ru-RU"/>
        </w:rPr>
        <w:t>e u periodu 1987</w:t>
      </w:r>
      <w:r w:rsidR="008703AE">
        <w:rPr>
          <w:rFonts w:ascii="Arial" w:hAnsi="Arial" w:cs="Arial"/>
        </w:rPr>
        <w:t xml:space="preserve">, </w:t>
      </w:r>
      <w:r w:rsidRPr="00D4768F">
        <w:rPr>
          <w:rFonts w:ascii="Arial" w:hAnsi="Arial" w:cs="Arial"/>
          <w:lang w:val="ru-RU"/>
        </w:rPr>
        <w:t>1988</w:t>
      </w:r>
      <w:r w:rsidR="007E4CAF">
        <w:rPr>
          <w:rFonts w:ascii="Arial" w:hAnsi="Arial" w:cs="Arial"/>
        </w:rPr>
        <w:t>.</w:t>
      </w:r>
      <w:r w:rsidRPr="00D4768F">
        <w:rPr>
          <w:rFonts w:ascii="Arial" w:hAnsi="Arial" w:cs="Arial"/>
          <w:lang w:val="ru-RU"/>
        </w:rPr>
        <w:t xml:space="preserve"> i 1989</w:t>
      </w:r>
      <w:r w:rsidR="007E4CAF">
        <w:rPr>
          <w:rFonts w:ascii="Arial" w:hAnsi="Arial" w:cs="Arial"/>
        </w:rPr>
        <w:t>.</w:t>
      </w:r>
      <w:r w:rsidRPr="00D4768F">
        <w:rPr>
          <w:rFonts w:ascii="Arial" w:hAnsi="Arial" w:cs="Arial"/>
          <w:lang w:val="ru-RU"/>
        </w:rPr>
        <w:t xml:space="preserve"> godine Zavod za geološka istra</w:t>
      </w:r>
      <w:r w:rsidRPr="00D4768F">
        <w:rPr>
          <w:rFonts w:ascii="Arial" w:hAnsi="Arial" w:cs="Arial"/>
        </w:rPr>
        <w:t>ž</w:t>
      </w:r>
      <w:r w:rsidR="000068E1">
        <w:rPr>
          <w:rFonts w:ascii="Arial" w:hAnsi="Arial" w:cs="Arial"/>
          <w:lang w:val="ru-RU"/>
        </w:rPr>
        <w:t>ivanja iz Titograda</w:t>
      </w:r>
      <w:r w:rsidRPr="00D4768F">
        <w:rPr>
          <w:rFonts w:ascii="Arial" w:hAnsi="Arial" w:cs="Arial"/>
          <w:lang w:val="ru-RU"/>
        </w:rPr>
        <w:t xml:space="preserve"> pristupio sistematskim istra</w:t>
      </w:r>
      <w:r w:rsidRPr="00D4768F">
        <w:rPr>
          <w:rFonts w:ascii="Arial" w:hAnsi="Arial" w:cs="Arial"/>
        </w:rPr>
        <w:t>ž</w:t>
      </w:r>
      <w:r w:rsidRPr="00D4768F">
        <w:rPr>
          <w:rFonts w:ascii="Arial" w:hAnsi="Arial" w:cs="Arial"/>
          <w:lang w:val="ru-RU"/>
        </w:rPr>
        <w:t>ivanjima uglja u le</w:t>
      </w:r>
      <w:r w:rsidRPr="00D4768F">
        <w:rPr>
          <w:rFonts w:ascii="Arial" w:hAnsi="Arial" w:cs="Arial"/>
        </w:rPr>
        <w:t>ž</w:t>
      </w:r>
      <w:r w:rsidRPr="00D4768F">
        <w:rPr>
          <w:rFonts w:ascii="Arial" w:hAnsi="Arial" w:cs="Arial"/>
          <w:lang w:val="ru-RU"/>
        </w:rPr>
        <w:t>ištu kroz osnovna  geološka, hidrogeološka i in</w:t>
      </w:r>
      <w:r w:rsidRPr="00D4768F">
        <w:rPr>
          <w:rFonts w:ascii="Arial" w:hAnsi="Arial" w:cs="Arial"/>
        </w:rPr>
        <w:t>ž</w:t>
      </w:r>
      <w:r w:rsidRPr="00D4768F">
        <w:rPr>
          <w:rFonts w:ascii="Arial" w:hAnsi="Arial" w:cs="Arial"/>
          <w:lang w:val="ru-RU"/>
        </w:rPr>
        <w:t>enjersko-geološka istra</w:t>
      </w:r>
      <w:r w:rsidRPr="00D4768F">
        <w:rPr>
          <w:rFonts w:ascii="Arial" w:hAnsi="Arial" w:cs="Arial"/>
        </w:rPr>
        <w:t>ž</w:t>
      </w:r>
      <w:r w:rsidRPr="00D4768F">
        <w:rPr>
          <w:rFonts w:ascii="Arial" w:hAnsi="Arial" w:cs="Arial"/>
          <w:lang w:val="ru-RU"/>
        </w:rPr>
        <w:t>ivanja, pri čemu su rezultati prethodnih istra</w:t>
      </w:r>
      <w:r w:rsidRPr="00D4768F">
        <w:rPr>
          <w:rFonts w:ascii="Arial" w:hAnsi="Arial" w:cs="Arial"/>
        </w:rPr>
        <w:t>ž</w:t>
      </w:r>
      <w:r w:rsidRPr="00D4768F">
        <w:rPr>
          <w:rFonts w:ascii="Arial" w:hAnsi="Arial" w:cs="Arial"/>
          <w:lang w:val="ru-RU"/>
        </w:rPr>
        <w:t>ivanja poslu</w:t>
      </w:r>
      <w:r w:rsidRPr="00D4768F">
        <w:rPr>
          <w:rFonts w:ascii="Arial" w:hAnsi="Arial" w:cs="Arial"/>
        </w:rPr>
        <w:t>ž</w:t>
      </w:r>
      <w:r w:rsidRPr="00D4768F">
        <w:rPr>
          <w:rFonts w:ascii="Arial" w:hAnsi="Arial" w:cs="Arial"/>
          <w:lang w:val="ru-RU"/>
        </w:rPr>
        <w:t>ili samo kao osnova za projektovanje i usmeravanje istra</w:t>
      </w:r>
      <w:r w:rsidRPr="00D4768F">
        <w:rPr>
          <w:rFonts w:ascii="Arial" w:hAnsi="Arial" w:cs="Arial"/>
        </w:rPr>
        <w:t>ž</w:t>
      </w:r>
      <w:r w:rsidRPr="00D4768F">
        <w:rPr>
          <w:rFonts w:ascii="Arial" w:hAnsi="Arial" w:cs="Arial"/>
          <w:lang w:val="ru-RU"/>
        </w:rPr>
        <w:t>nih radova u ovoj fazi istra</w:t>
      </w:r>
      <w:r w:rsidRPr="00D4768F">
        <w:rPr>
          <w:rFonts w:ascii="Arial" w:hAnsi="Arial" w:cs="Arial"/>
        </w:rPr>
        <w:t>ž</w:t>
      </w:r>
      <w:r w:rsidRPr="00D4768F">
        <w:rPr>
          <w:rFonts w:ascii="Arial" w:hAnsi="Arial" w:cs="Arial"/>
          <w:lang w:val="ru-RU"/>
        </w:rPr>
        <w:t>ivanja, a dijelom i za interpretaciju ukupnih rezultata istra</w:t>
      </w:r>
      <w:r w:rsidRPr="00D4768F">
        <w:rPr>
          <w:rFonts w:ascii="Arial" w:hAnsi="Arial" w:cs="Arial"/>
        </w:rPr>
        <w:t>ž</w:t>
      </w:r>
      <w:r w:rsidRPr="00D4768F">
        <w:rPr>
          <w:rFonts w:ascii="Arial" w:hAnsi="Arial" w:cs="Arial"/>
          <w:lang w:val="ru-RU"/>
        </w:rPr>
        <w:t>ivanja i proc</w:t>
      </w:r>
      <w:r w:rsidR="000068E1">
        <w:rPr>
          <w:rFonts w:ascii="Arial" w:hAnsi="Arial" w:cs="Arial"/>
          <w:lang w:val="sr-Latn-ME"/>
        </w:rPr>
        <w:t>j</w:t>
      </w:r>
      <w:r w:rsidRPr="00D4768F">
        <w:rPr>
          <w:rFonts w:ascii="Arial" w:hAnsi="Arial" w:cs="Arial"/>
          <w:lang w:val="ru-RU"/>
        </w:rPr>
        <w:t>enu perspektivnih rezervi uglja u basenu.</w:t>
      </w:r>
    </w:p>
    <w:p w14:paraId="60D67DAB" w14:textId="77777777" w:rsidR="009A0B2B" w:rsidRDefault="009A0B2B" w:rsidP="006E110D">
      <w:pPr>
        <w:jc w:val="both"/>
        <w:rPr>
          <w:rFonts w:ascii="Arial" w:hAnsi="Arial" w:cs="Arial"/>
          <w:lang w:val="ru-RU"/>
        </w:rPr>
      </w:pPr>
      <w:r w:rsidRPr="00A4020D">
        <w:rPr>
          <w:rFonts w:ascii="Arial" w:hAnsi="Arial" w:cs="Arial"/>
          <w:lang w:val="ru-RU"/>
        </w:rPr>
        <w:t>Navedena istraživanja imala su za cilj da se upoznaju i utvrde ležišni uslovi, zalijeganje i prostiranje, veličina, oblik i građa ležišta, kvalitativne karakteristike i tehnološka svojstva uglja, kao i da se utvrde (razjasne) hidrogeološki i inženjersko-geološki uslovi u obimu koji omogućava dobijanje osnovnih elemenata za detaljna istraživanja. Izvedene su 23 istražne bušotine, ukupne dužine</w:t>
      </w:r>
      <w:r w:rsidRPr="006E110D">
        <w:rPr>
          <w:rFonts w:ascii="Arial" w:hAnsi="Arial" w:cs="Arial"/>
          <w:lang w:val="ru-RU"/>
        </w:rPr>
        <w:t xml:space="preserve"> 920 m’.</w:t>
      </w:r>
    </w:p>
    <w:p w14:paraId="1F9FE4B0" w14:textId="77777777" w:rsidR="00F5357E" w:rsidRDefault="00F5357E" w:rsidP="00F5357E">
      <w:pPr>
        <w:spacing w:after="0" w:line="240" w:lineRule="auto"/>
        <w:jc w:val="both"/>
        <w:rPr>
          <w:rFonts w:ascii="Arial" w:hAnsi="Arial" w:cs="Arial"/>
          <w:color w:val="000000"/>
          <w:lang w:val="sl-SI"/>
        </w:rPr>
      </w:pPr>
      <w:r w:rsidRPr="006034C2">
        <w:rPr>
          <w:rFonts w:ascii="Arial" w:hAnsi="Arial" w:cs="Arial"/>
          <w:color w:val="000000"/>
          <w:lang w:val="sl-SI"/>
        </w:rPr>
        <w:t>Prema podacima iz Završnog izvještaja (</w:t>
      </w:r>
      <w:r w:rsidRPr="006034C2">
        <w:rPr>
          <w:rFonts w:ascii="Arial" w:hAnsi="Arial" w:cs="Arial"/>
        </w:rPr>
        <w:t xml:space="preserve">M. </w:t>
      </w:r>
      <w:proofErr w:type="spellStart"/>
      <w:r w:rsidRPr="006034C2">
        <w:rPr>
          <w:rFonts w:ascii="Arial" w:hAnsi="Arial" w:cs="Arial"/>
        </w:rPr>
        <w:t>Manojlović</w:t>
      </w:r>
      <w:proofErr w:type="spellEnd"/>
      <w:r w:rsidRPr="006034C2">
        <w:rPr>
          <w:rFonts w:ascii="Arial" w:hAnsi="Arial" w:cs="Arial"/>
          <w:color w:val="000000"/>
          <w:lang w:val="sl-SI"/>
        </w:rPr>
        <w:t xml:space="preserve"> 1992. god.) i podataka dobijenih naknadnim bušenjem u centralnom dijelu – bilansne rezerve uglja u ležištu </w:t>
      </w:r>
      <w:r w:rsidRPr="006034C2">
        <w:rPr>
          <w:rFonts w:ascii="Arial" w:hAnsi="Arial" w:cs="Arial"/>
          <w:color w:val="000000"/>
          <w:lang w:val="sr-Latn-CS"/>
        </w:rPr>
        <w:t xml:space="preserve">„Mataruge“ </w:t>
      </w:r>
      <w:r w:rsidRPr="006034C2">
        <w:rPr>
          <w:rFonts w:ascii="Arial" w:hAnsi="Arial" w:cs="Arial"/>
          <w:color w:val="000000"/>
          <w:lang w:val="sl-SI"/>
        </w:rPr>
        <w:t>iznose 8.331.093 t, a eksploatacione 7.497.984 t. Rezerve nisu ovjerene od strane Ministarstva ekonomije.</w:t>
      </w:r>
    </w:p>
    <w:p w14:paraId="5414E610" w14:textId="77777777" w:rsidR="00F5357E" w:rsidRPr="006034C2" w:rsidRDefault="00F5357E" w:rsidP="00F5357E">
      <w:pPr>
        <w:spacing w:after="0" w:line="240" w:lineRule="auto"/>
        <w:jc w:val="both"/>
        <w:rPr>
          <w:rFonts w:ascii="Arial" w:hAnsi="Arial" w:cs="Arial"/>
          <w:color w:val="000000"/>
          <w:lang w:val="sl-SI"/>
        </w:rPr>
      </w:pPr>
    </w:p>
    <w:p w14:paraId="40CAE182" w14:textId="77777777" w:rsidR="00653D40" w:rsidRDefault="00653D40" w:rsidP="00653D40">
      <w:pPr>
        <w:jc w:val="both"/>
        <w:rPr>
          <w:rFonts w:ascii="Arial" w:hAnsi="Arial" w:cs="Arial"/>
          <w:lang w:val="ru-RU"/>
        </w:rPr>
      </w:pPr>
      <w:r w:rsidRPr="00D4768F">
        <w:rPr>
          <w:rFonts w:ascii="Arial" w:hAnsi="Arial" w:cs="Arial"/>
          <w:lang w:val="ru-RU"/>
        </w:rPr>
        <w:t>Istra</w:t>
      </w:r>
      <w:r w:rsidRPr="006E110D">
        <w:rPr>
          <w:rFonts w:ascii="Arial" w:hAnsi="Arial" w:cs="Arial"/>
          <w:lang w:val="ru-RU"/>
        </w:rPr>
        <w:t>ž</w:t>
      </w:r>
      <w:r w:rsidRPr="00D4768F">
        <w:rPr>
          <w:rFonts w:ascii="Arial" w:hAnsi="Arial" w:cs="Arial"/>
          <w:lang w:val="ru-RU"/>
        </w:rPr>
        <w:t>ivanja izvršena u pomenutom periodu imala su za cilj da se upoznaju i utvrde le</w:t>
      </w:r>
      <w:r w:rsidRPr="006E110D">
        <w:rPr>
          <w:rFonts w:ascii="Arial" w:hAnsi="Arial" w:cs="Arial"/>
          <w:lang w:val="ru-RU"/>
        </w:rPr>
        <w:t>ž</w:t>
      </w:r>
      <w:r w:rsidRPr="00D4768F">
        <w:rPr>
          <w:rFonts w:ascii="Arial" w:hAnsi="Arial" w:cs="Arial"/>
          <w:lang w:val="ru-RU"/>
        </w:rPr>
        <w:t>išni uslovi, zaleganje i prostiranje, veličina, oblik i gradja le</w:t>
      </w:r>
      <w:r w:rsidRPr="006E110D">
        <w:rPr>
          <w:rFonts w:ascii="Arial" w:hAnsi="Arial" w:cs="Arial"/>
          <w:lang w:val="ru-RU"/>
        </w:rPr>
        <w:t>ž</w:t>
      </w:r>
      <w:r w:rsidRPr="00D4768F">
        <w:rPr>
          <w:rFonts w:ascii="Arial" w:hAnsi="Arial" w:cs="Arial"/>
          <w:lang w:val="ru-RU"/>
        </w:rPr>
        <w:t>išta, kvalitativne karakteristike i tehnološka svojstva date mineralne sirovine, kao i da se utvrde (razjasne) hidrogeološki i in</w:t>
      </w:r>
      <w:r w:rsidRPr="006E110D">
        <w:rPr>
          <w:rFonts w:ascii="Arial" w:hAnsi="Arial" w:cs="Arial"/>
          <w:lang w:val="ru-RU"/>
        </w:rPr>
        <w:t>ž</w:t>
      </w:r>
      <w:r w:rsidRPr="00D4768F">
        <w:rPr>
          <w:rFonts w:ascii="Arial" w:hAnsi="Arial" w:cs="Arial"/>
          <w:lang w:val="ru-RU"/>
        </w:rPr>
        <w:t>enjersko-geološki uslovi u obimu koji omogućava dobijanje osnovnih elemenata za detaljna istraživanja.</w:t>
      </w:r>
    </w:p>
    <w:p w14:paraId="423A0F12" w14:textId="77777777" w:rsidR="00F5357E" w:rsidRDefault="00F5357E" w:rsidP="00653D40">
      <w:pPr>
        <w:jc w:val="both"/>
        <w:rPr>
          <w:rFonts w:ascii="Arial" w:hAnsi="Arial" w:cs="Arial"/>
          <w:lang w:val="ru-RU"/>
        </w:rPr>
      </w:pPr>
    </w:p>
    <w:p w14:paraId="4860ED05" w14:textId="77777777" w:rsidR="00980E06" w:rsidRPr="006E110D" w:rsidRDefault="00980E06" w:rsidP="00653D40">
      <w:pPr>
        <w:jc w:val="both"/>
        <w:rPr>
          <w:rFonts w:ascii="Arial" w:hAnsi="Arial" w:cs="Arial"/>
          <w:lang w:val="ru-RU"/>
        </w:rPr>
      </w:pPr>
    </w:p>
    <w:p w14:paraId="4971BD98" w14:textId="77777777" w:rsidR="00653D40" w:rsidRDefault="00653D40" w:rsidP="007D617C">
      <w:pPr>
        <w:spacing w:after="0" w:line="240" w:lineRule="auto"/>
        <w:jc w:val="both"/>
        <w:rPr>
          <w:rFonts w:ascii="Arial" w:hAnsi="Arial" w:cs="Arial"/>
          <w:i/>
          <w:noProof/>
        </w:rPr>
      </w:pPr>
      <w:r w:rsidRPr="00DA6313">
        <w:rPr>
          <w:rFonts w:ascii="Arial" w:hAnsi="Arial" w:cs="Arial"/>
          <w:i/>
          <w:noProof/>
        </w:rPr>
        <w:lastRenderedPageBreak/>
        <w:t>Rezerve mineralne sirovine</w:t>
      </w:r>
    </w:p>
    <w:p w14:paraId="2B8355D3" w14:textId="77777777" w:rsidR="006E110D" w:rsidRDefault="006E110D" w:rsidP="007D617C">
      <w:pPr>
        <w:spacing w:after="0" w:line="240" w:lineRule="auto"/>
        <w:jc w:val="both"/>
        <w:rPr>
          <w:rFonts w:ascii="Arial" w:hAnsi="Arial" w:cs="Arial"/>
          <w:i/>
          <w:noProof/>
        </w:rPr>
      </w:pPr>
    </w:p>
    <w:p w14:paraId="68803ED1" w14:textId="77777777" w:rsidR="00980E06" w:rsidRDefault="009A0B2B" w:rsidP="007D617C">
      <w:pPr>
        <w:spacing w:after="0" w:line="240" w:lineRule="auto"/>
        <w:jc w:val="both"/>
        <w:rPr>
          <w:rFonts w:ascii="Arial" w:hAnsi="Arial" w:cs="Arial"/>
          <w:sz w:val="20"/>
          <w:szCs w:val="20"/>
          <w:lang w:val="sl-SI"/>
        </w:rPr>
      </w:pPr>
      <w:r w:rsidRPr="006034C2">
        <w:rPr>
          <w:rFonts w:ascii="Arial" w:hAnsi="Arial" w:cs="Arial"/>
          <w:lang w:val="ru-RU"/>
        </w:rPr>
        <w:t>Na osnovu istraživanja sprovodenih 1987-1989. godine ukupne rezerve uglja ležišta „Mataruge“ iznose oko 7.750.000 t. Zbog nepotpunosti podataka o kvalitetu uglja i nedovoljnog obima istražnih radova  rezerve sjevernog i centralnog dijela ležišta mogu se svrstati u C</w:t>
      </w:r>
      <w:r w:rsidRPr="006034C2">
        <w:rPr>
          <w:rFonts w:ascii="Arial" w:hAnsi="Arial" w:cs="Arial"/>
          <w:vertAlign w:val="subscript"/>
          <w:lang w:val="ru-RU"/>
        </w:rPr>
        <w:t>1</w:t>
      </w:r>
      <w:r w:rsidRPr="006034C2">
        <w:rPr>
          <w:rFonts w:ascii="Arial" w:hAnsi="Arial" w:cs="Arial"/>
          <w:lang w:val="ru-RU"/>
        </w:rPr>
        <w:t xml:space="preserve"> kategoriju (7.400.000 t), dok je njegov južni dio (300.000 t) u pogledu stepena istraženosti na nivou rezervi C</w:t>
      </w:r>
      <w:r w:rsidRPr="006034C2">
        <w:rPr>
          <w:rFonts w:ascii="Arial" w:hAnsi="Arial" w:cs="Arial"/>
          <w:vertAlign w:val="subscript"/>
          <w:lang w:val="ru-RU"/>
        </w:rPr>
        <w:t>2</w:t>
      </w:r>
      <w:r w:rsidRPr="006034C2">
        <w:rPr>
          <w:rFonts w:ascii="Arial" w:hAnsi="Arial" w:cs="Arial"/>
          <w:lang w:val="ru-RU"/>
        </w:rPr>
        <w:t xml:space="preserve"> kategorije</w:t>
      </w:r>
      <w:r w:rsidRPr="009A0B2B">
        <w:rPr>
          <w:rFonts w:ascii="Arial" w:hAnsi="Arial" w:cs="Arial"/>
          <w:color w:val="000000"/>
          <w:sz w:val="20"/>
          <w:szCs w:val="20"/>
          <w:lang w:val="sl-SI"/>
        </w:rPr>
        <w:t>.</w:t>
      </w:r>
      <w:r w:rsidR="00980E06" w:rsidRPr="00980E06">
        <w:rPr>
          <w:rFonts w:ascii="Arial" w:hAnsi="Arial" w:cs="Arial"/>
          <w:sz w:val="20"/>
          <w:szCs w:val="20"/>
          <w:lang w:val="sl-SI"/>
        </w:rPr>
        <w:t xml:space="preserve"> </w:t>
      </w:r>
    </w:p>
    <w:p w14:paraId="1AF6B67D" w14:textId="77777777" w:rsidR="00980E06" w:rsidRDefault="00980E06" w:rsidP="007D617C">
      <w:pPr>
        <w:spacing w:after="0" w:line="240" w:lineRule="auto"/>
        <w:jc w:val="both"/>
        <w:rPr>
          <w:rFonts w:ascii="Arial" w:hAnsi="Arial" w:cs="Arial"/>
          <w:sz w:val="20"/>
          <w:szCs w:val="20"/>
          <w:lang w:val="sl-SI"/>
        </w:rPr>
      </w:pPr>
    </w:p>
    <w:p w14:paraId="05C395BB" w14:textId="77777777" w:rsidR="00980E06" w:rsidRDefault="00980E06" w:rsidP="007D617C">
      <w:pPr>
        <w:spacing w:after="0" w:line="240" w:lineRule="auto"/>
        <w:jc w:val="both"/>
        <w:rPr>
          <w:rFonts w:ascii="Arial" w:hAnsi="Arial" w:cs="Arial"/>
          <w:lang w:val="ru-RU"/>
        </w:rPr>
      </w:pPr>
      <w:r w:rsidRPr="00980E06">
        <w:rPr>
          <w:rFonts w:ascii="Arial" w:hAnsi="Arial" w:cs="Arial"/>
          <w:lang w:val="ru-RU"/>
        </w:rPr>
        <w:t xml:space="preserve">Predloženim istražno – eksploatacionim poligonom za detaljna geološka istraživanja i eksploataciju nije uključen krajnji sjeveroistočni dio ležišta gdje su procijenjene geološke rezerve od oko 50.000 t i južni dio ležišta sa procijenjenim geološkim rezervama od oko 300.000 t uglja. </w:t>
      </w:r>
    </w:p>
    <w:p w14:paraId="3B53E2E0" w14:textId="77777777" w:rsidR="00980E06" w:rsidRDefault="00980E06" w:rsidP="007D617C">
      <w:pPr>
        <w:spacing w:after="0" w:line="240" w:lineRule="auto"/>
        <w:jc w:val="both"/>
        <w:rPr>
          <w:rFonts w:ascii="Arial" w:hAnsi="Arial" w:cs="Arial"/>
          <w:lang w:val="ru-RU"/>
        </w:rPr>
      </w:pPr>
    </w:p>
    <w:p w14:paraId="1C339134" w14:textId="08DA7FEC" w:rsidR="00F5357E" w:rsidRPr="00980E06" w:rsidRDefault="00F5357E" w:rsidP="007D617C">
      <w:pPr>
        <w:spacing w:after="0" w:line="240" w:lineRule="auto"/>
        <w:jc w:val="both"/>
        <w:rPr>
          <w:rFonts w:ascii="Arial" w:hAnsi="Arial" w:cs="Arial"/>
          <w:lang w:val="ru-RU"/>
        </w:rPr>
      </w:pPr>
      <w:r w:rsidRPr="00350430">
        <w:rPr>
          <w:rFonts w:ascii="Arial" w:hAnsi="Arial" w:cs="Arial"/>
          <w:b/>
          <w:lang w:val="ru-RU"/>
        </w:rPr>
        <w:t xml:space="preserve">U ovoj fazi definisan je racionalni istražno-eksploatacioni prostor za detaljna geološka istraživanja i eksploataciju ležišta „Mataruge“ koji obuhvata centralni dio ležišta na kom su </w:t>
      </w:r>
      <w:r w:rsidR="00FE3A09">
        <w:rPr>
          <w:rFonts w:ascii="Arial" w:hAnsi="Arial" w:cs="Arial"/>
          <w:b/>
          <w:lang w:val="sr-Latn-ME"/>
        </w:rPr>
        <w:t>eksploatacione</w:t>
      </w:r>
      <w:r w:rsidRPr="00350430">
        <w:rPr>
          <w:rFonts w:ascii="Arial" w:hAnsi="Arial" w:cs="Arial"/>
          <w:b/>
          <w:lang w:val="ru-RU"/>
        </w:rPr>
        <w:t xml:space="preserve"> rezerve uglja </w:t>
      </w:r>
      <w:r w:rsidR="009F2F62">
        <w:rPr>
          <w:rFonts w:ascii="Arial" w:hAnsi="Arial" w:cs="Arial"/>
          <w:b/>
        </w:rPr>
        <w:t>3</w:t>
      </w:r>
      <w:r w:rsidRPr="00350430">
        <w:rPr>
          <w:rFonts w:ascii="Arial" w:hAnsi="Arial" w:cs="Arial"/>
          <w:b/>
          <w:lang w:val="ru-RU"/>
        </w:rPr>
        <w:t>.</w:t>
      </w:r>
      <w:r w:rsidR="009F2F62">
        <w:rPr>
          <w:rFonts w:ascii="Arial" w:hAnsi="Arial" w:cs="Arial"/>
          <w:b/>
        </w:rPr>
        <w:t>6</w:t>
      </w:r>
      <w:r w:rsidRPr="00350430">
        <w:rPr>
          <w:rFonts w:ascii="Arial" w:hAnsi="Arial" w:cs="Arial"/>
          <w:b/>
          <w:lang w:val="ru-RU"/>
        </w:rPr>
        <w:t>00.000 t</w:t>
      </w:r>
      <w:r w:rsidR="00FE3A09">
        <w:rPr>
          <w:rFonts w:ascii="Arial" w:hAnsi="Arial" w:cs="Arial"/>
          <w:b/>
          <w:lang w:val="sr-Latn-ME"/>
        </w:rPr>
        <w:t>ona</w:t>
      </w:r>
      <w:r w:rsidRPr="00980E06">
        <w:rPr>
          <w:rFonts w:ascii="Arial" w:hAnsi="Arial" w:cs="Arial"/>
          <w:lang w:val="ru-RU"/>
        </w:rPr>
        <w:t>.</w:t>
      </w:r>
    </w:p>
    <w:p w14:paraId="01564BF7" w14:textId="77777777" w:rsidR="009A0B2B" w:rsidRPr="00586F1B" w:rsidRDefault="009A0B2B" w:rsidP="007D617C">
      <w:pPr>
        <w:spacing w:after="0" w:line="240" w:lineRule="auto"/>
        <w:jc w:val="both"/>
        <w:rPr>
          <w:rFonts w:ascii="Arial" w:hAnsi="Arial" w:cs="Arial"/>
          <w:b/>
          <w:color w:val="000000"/>
          <w:sz w:val="20"/>
          <w:szCs w:val="20"/>
          <w:lang w:val="sl-SI"/>
        </w:rPr>
      </w:pPr>
    </w:p>
    <w:p w14:paraId="66ACEE90" w14:textId="77777777" w:rsidR="00653D40" w:rsidRPr="00DA6313" w:rsidRDefault="00653D40" w:rsidP="007D617C">
      <w:pPr>
        <w:spacing w:after="0" w:line="240" w:lineRule="auto"/>
        <w:jc w:val="both"/>
        <w:rPr>
          <w:rFonts w:ascii="Arial" w:hAnsi="Arial" w:cs="Arial"/>
          <w:i/>
          <w:noProof/>
        </w:rPr>
      </w:pPr>
      <w:r w:rsidRPr="00DA6313">
        <w:rPr>
          <w:rFonts w:ascii="Arial" w:hAnsi="Arial" w:cs="Arial"/>
          <w:i/>
          <w:noProof/>
        </w:rPr>
        <w:t>Kvalitet mineralne sirovine</w:t>
      </w:r>
    </w:p>
    <w:p w14:paraId="1348EE1F" w14:textId="77777777" w:rsidR="00653D40" w:rsidRPr="00DA6313" w:rsidRDefault="00653D40" w:rsidP="007D617C">
      <w:pPr>
        <w:spacing w:after="0" w:line="240" w:lineRule="auto"/>
        <w:jc w:val="both"/>
        <w:rPr>
          <w:rFonts w:ascii="Arial" w:hAnsi="Arial" w:cs="Arial"/>
          <w:iCs/>
          <w:noProof/>
        </w:rPr>
      </w:pPr>
    </w:p>
    <w:p w14:paraId="6FE3D81A" w14:textId="2C5D7B50" w:rsidR="00674220" w:rsidRDefault="00674220" w:rsidP="007D617C">
      <w:pPr>
        <w:spacing w:after="0" w:line="240" w:lineRule="auto"/>
        <w:jc w:val="both"/>
        <w:rPr>
          <w:rFonts w:ascii="Arial" w:hAnsi="Arial" w:cs="Arial"/>
          <w:lang w:val="sr-Latn-CS"/>
        </w:rPr>
      </w:pPr>
      <w:r w:rsidRPr="00F42814">
        <w:rPr>
          <w:rFonts w:ascii="Arial" w:hAnsi="Arial" w:cs="Arial"/>
          <w:lang w:val="sl-SI"/>
        </w:rPr>
        <w:t>Elementarnom analizom uglja</w:t>
      </w:r>
      <w:r w:rsidRPr="00F42814">
        <w:rPr>
          <w:rFonts w:ascii="Arial" w:hAnsi="Arial" w:cs="Arial"/>
          <w:lang w:val="sr-Latn-CS"/>
        </w:rPr>
        <w:t xml:space="preserve"> dobijeni su  podaci o sadržaju ugljenika (C), vodonika (H), sagorivog sumpora (S), azota i kiseonika (N+O). Utvrđeni sadržaj ovih elemenata je:</w:t>
      </w:r>
    </w:p>
    <w:p w14:paraId="195084EE" w14:textId="77777777" w:rsidR="007D617C" w:rsidRPr="00F42814" w:rsidRDefault="007D617C" w:rsidP="007D617C">
      <w:pPr>
        <w:spacing w:after="0" w:line="240" w:lineRule="auto"/>
        <w:jc w:val="both"/>
        <w:rPr>
          <w:rFonts w:ascii="Arial" w:hAnsi="Arial" w:cs="Arial"/>
          <w:lang w:val="sr-Latn-CS"/>
        </w:rPr>
      </w:pPr>
    </w:p>
    <w:p w14:paraId="12E64A2B" w14:textId="77777777" w:rsidR="00674220" w:rsidRPr="00F42814" w:rsidRDefault="00674220" w:rsidP="007D617C">
      <w:pPr>
        <w:numPr>
          <w:ilvl w:val="0"/>
          <w:numId w:val="23"/>
        </w:numPr>
        <w:suppressAutoHyphens w:val="0"/>
        <w:spacing w:after="0" w:line="240" w:lineRule="auto"/>
        <w:jc w:val="both"/>
        <w:rPr>
          <w:rFonts w:ascii="Arial" w:hAnsi="Arial" w:cs="Arial"/>
          <w:lang w:val="sr-Latn-CS"/>
        </w:rPr>
      </w:pPr>
      <w:r w:rsidRPr="00F42814">
        <w:rPr>
          <w:rFonts w:ascii="Arial" w:hAnsi="Arial" w:cs="Arial"/>
          <w:lang w:val="sr-Latn-CS"/>
        </w:rPr>
        <w:t>Ugljenik (C) ..................... 13,9 – 32,1%</w:t>
      </w:r>
      <w:r w:rsidRPr="00F42814">
        <w:rPr>
          <w:rFonts w:ascii="Arial" w:hAnsi="Arial" w:cs="Arial"/>
          <w:lang w:val="sr-Latn-CS"/>
        </w:rPr>
        <w:tab/>
        <w:t>srednji</w:t>
      </w:r>
      <w:r w:rsidRPr="00F42814">
        <w:rPr>
          <w:rFonts w:ascii="Arial" w:hAnsi="Arial" w:cs="Arial"/>
          <w:lang w:val="sr-Latn-CS"/>
        </w:rPr>
        <w:tab/>
        <w:t>24,16%</w:t>
      </w:r>
    </w:p>
    <w:p w14:paraId="27B81CAE" w14:textId="77777777" w:rsidR="00674220" w:rsidRPr="00F42814" w:rsidRDefault="00674220" w:rsidP="007D617C">
      <w:pPr>
        <w:numPr>
          <w:ilvl w:val="0"/>
          <w:numId w:val="23"/>
        </w:numPr>
        <w:suppressAutoHyphens w:val="0"/>
        <w:spacing w:after="0" w:line="240" w:lineRule="auto"/>
        <w:jc w:val="both"/>
        <w:rPr>
          <w:rFonts w:ascii="Arial" w:hAnsi="Arial" w:cs="Arial"/>
          <w:lang w:val="sr-Latn-CS"/>
        </w:rPr>
      </w:pPr>
      <w:r w:rsidRPr="00F42814">
        <w:rPr>
          <w:rFonts w:ascii="Arial" w:hAnsi="Arial" w:cs="Arial"/>
          <w:lang w:val="sr-Latn-CS"/>
        </w:rPr>
        <w:t xml:space="preserve">Vodonik (H) .................... 1,82 – 2,67% </w:t>
      </w:r>
      <w:r w:rsidRPr="00F42814">
        <w:rPr>
          <w:rFonts w:ascii="Arial" w:hAnsi="Arial" w:cs="Arial"/>
          <w:lang w:val="sr-Latn-CS"/>
        </w:rPr>
        <w:tab/>
        <w:t>srednji</w:t>
      </w:r>
      <w:r w:rsidRPr="00F42814">
        <w:rPr>
          <w:rFonts w:ascii="Arial" w:hAnsi="Arial" w:cs="Arial"/>
          <w:lang w:val="sr-Latn-CS"/>
        </w:rPr>
        <w:tab/>
        <w:t>2,31%</w:t>
      </w:r>
    </w:p>
    <w:p w14:paraId="5D30F682" w14:textId="77777777" w:rsidR="00674220" w:rsidRPr="00F42814" w:rsidRDefault="00674220" w:rsidP="007D617C">
      <w:pPr>
        <w:numPr>
          <w:ilvl w:val="0"/>
          <w:numId w:val="23"/>
        </w:numPr>
        <w:suppressAutoHyphens w:val="0"/>
        <w:spacing w:after="0" w:line="240" w:lineRule="auto"/>
        <w:jc w:val="both"/>
        <w:rPr>
          <w:rFonts w:ascii="Arial" w:hAnsi="Arial" w:cs="Arial"/>
          <w:lang w:val="sr-Latn-CS"/>
        </w:rPr>
      </w:pPr>
      <w:r w:rsidRPr="00F42814">
        <w:rPr>
          <w:rFonts w:ascii="Arial" w:hAnsi="Arial" w:cs="Arial"/>
          <w:lang w:val="sr-Latn-CS"/>
        </w:rPr>
        <w:t>Sumpor sagorivi (S) ........ 0,19 – 0,65%‚</w:t>
      </w:r>
      <w:r w:rsidRPr="00F42814">
        <w:rPr>
          <w:rFonts w:ascii="Arial" w:hAnsi="Arial" w:cs="Arial"/>
          <w:lang w:val="sr-Latn-CS"/>
        </w:rPr>
        <w:tab/>
        <w:t>srednji</w:t>
      </w:r>
      <w:r w:rsidRPr="00F42814">
        <w:rPr>
          <w:rFonts w:ascii="Arial" w:hAnsi="Arial" w:cs="Arial"/>
          <w:lang w:val="sr-Latn-CS"/>
        </w:rPr>
        <w:tab/>
        <w:t>0,32%</w:t>
      </w:r>
    </w:p>
    <w:p w14:paraId="3A6DB504" w14:textId="77777777" w:rsidR="00674220" w:rsidRDefault="00674220" w:rsidP="007D617C">
      <w:pPr>
        <w:numPr>
          <w:ilvl w:val="0"/>
          <w:numId w:val="23"/>
        </w:numPr>
        <w:suppressAutoHyphens w:val="0"/>
        <w:spacing w:after="0" w:line="240" w:lineRule="auto"/>
        <w:rPr>
          <w:rFonts w:ascii="Arial" w:hAnsi="Arial" w:cs="Arial"/>
          <w:lang w:val="sr-Latn-CS"/>
        </w:rPr>
      </w:pPr>
      <w:r w:rsidRPr="00F42814">
        <w:rPr>
          <w:rFonts w:ascii="Arial" w:hAnsi="Arial" w:cs="Arial"/>
          <w:lang w:val="sr-Latn-CS"/>
        </w:rPr>
        <w:t>Azota i kiseonika (N+O). 8,46 – 16,64%</w:t>
      </w:r>
      <w:r w:rsidRPr="00F42814">
        <w:rPr>
          <w:rFonts w:ascii="Arial" w:hAnsi="Arial" w:cs="Arial"/>
          <w:lang w:val="sr-Latn-CS"/>
        </w:rPr>
        <w:tab/>
        <w:t>srednji</w:t>
      </w:r>
      <w:r w:rsidRPr="00F42814">
        <w:rPr>
          <w:rFonts w:ascii="Arial" w:hAnsi="Arial" w:cs="Arial"/>
          <w:lang w:val="sr-Latn-CS"/>
        </w:rPr>
        <w:tab/>
        <w:t>12,38%</w:t>
      </w:r>
    </w:p>
    <w:p w14:paraId="1DC6217D" w14:textId="77777777" w:rsidR="00674220" w:rsidRPr="00F42814" w:rsidRDefault="00674220" w:rsidP="007D617C">
      <w:pPr>
        <w:suppressAutoHyphens w:val="0"/>
        <w:spacing w:after="0" w:line="240" w:lineRule="auto"/>
        <w:ind w:left="720"/>
        <w:rPr>
          <w:rFonts w:ascii="Arial" w:hAnsi="Arial" w:cs="Arial"/>
          <w:lang w:val="sr-Latn-CS"/>
        </w:rPr>
      </w:pPr>
    </w:p>
    <w:p w14:paraId="54FF7361" w14:textId="41086245" w:rsidR="00674220" w:rsidRDefault="00674220" w:rsidP="007D617C">
      <w:pPr>
        <w:spacing w:after="0" w:line="240" w:lineRule="auto"/>
        <w:jc w:val="both"/>
        <w:rPr>
          <w:rFonts w:ascii="Arial" w:hAnsi="Arial" w:cs="Arial"/>
          <w:lang w:val="sr-Latn-CS"/>
        </w:rPr>
      </w:pPr>
      <w:r w:rsidRPr="00F42814">
        <w:rPr>
          <w:rFonts w:ascii="Arial" w:hAnsi="Arial" w:cs="Arial"/>
          <w:lang w:val="sr-Latn-CS"/>
        </w:rPr>
        <w:t>Na bazi analize rađene na uzorcima, ispitivan je i petrografski sastav. Podaci ukazuju da je stepen karbonizacije i organske materije različit.</w:t>
      </w:r>
    </w:p>
    <w:p w14:paraId="79AED9AA" w14:textId="77777777" w:rsidR="007D617C" w:rsidRPr="00F42814" w:rsidRDefault="007D617C" w:rsidP="007D617C">
      <w:pPr>
        <w:spacing w:after="0" w:line="240" w:lineRule="auto"/>
        <w:jc w:val="both"/>
        <w:rPr>
          <w:rFonts w:ascii="Arial" w:hAnsi="Arial" w:cs="Arial"/>
          <w:lang w:val="sr-Latn-CS"/>
        </w:rPr>
      </w:pPr>
    </w:p>
    <w:p w14:paraId="66FA2834" w14:textId="43E13E7A" w:rsidR="00674220" w:rsidRDefault="00674220" w:rsidP="007D617C">
      <w:pPr>
        <w:spacing w:after="0" w:line="240" w:lineRule="auto"/>
        <w:jc w:val="both"/>
        <w:rPr>
          <w:rFonts w:ascii="Arial" w:hAnsi="Arial" w:cs="Arial"/>
          <w:lang w:val="sr-Latn-CS"/>
        </w:rPr>
      </w:pPr>
      <w:r w:rsidRPr="00F42814">
        <w:rPr>
          <w:rFonts w:ascii="Arial" w:hAnsi="Arial" w:cs="Arial"/>
          <w:lang w:val="sr-Latn-CS"/>
        </w:rPr>
        <w:t>Prosječna toplotna vrijednost uglja zavisno od izvora podataka je različita.</w:t>
      </w:r>
    </w:p>
    <w:p w14:paraId="3326A191" w14:textId="77777777" w:rsidR="007D617C" w:rsidRPr="00F42814" w:rsidRDefault="007D617C" w:rsidP="007D617C">
      <w:pPr>
        <w:spacing w:after="0" w:line="240" w:lineRule="auto"/>
        <w:jc w:val="both"/>
        <w:rPr>
          <w:rFonts w:ascii="Arial" w:hAnsi="Arial" w:cs="Arial"/>
          <w:lang w:val="sr-Latn-CS"/>
        </w:rPr>
      </w:pPr>
    </w:p>
    <w:p w14:paraId="25E5362C" w14:textId="6C1109F2" w:rsidR="00674220" w:rsidRDefault="00674220" w:rsidP="007D617C">
      <w:pPr>
        <w:spacing w:after="0" w:line="240" w:lineRule="auto"/>
        <w:jc w:val="both"/>
        <w:rPr>
          <w:rFonts w:ascii="Arial" w:hAnsi="Arial" w:cs="Arial"/>
          <w:lang w:val="sr-Latn-CS"/>
        </w:rPr>
      </w:pPr>
      <w:r w:rsidRPr="00F42814">
        <w:rPr>
          <w:rFonts w:ascii="Arial" w:hAnsi="Arial" w:cs="Arial"/>
          <w:lang w:val="sr-Latn-CS"/>
        </w:rPr>
        <w:t>Prema podacima na osnovu elaboracije iz 1982. godine («Geoinženjering» - Sarajevo) DTE uglja Mataruškog basena analogno se utvrđuje kao ugalj iz pljevaljskog basena.</w:t>
      </w:r>
    </w:p>
    <w:p w14:paraId="64B773AF" w14:textId="77777777" w:rsidR="007D617C" w:rsidRPr="00F42814" w:rsidRDefault="007D617C" w:rsidP="007D617C">
      <w:pPr>
        <w:spacing w:after="0" w:line="240" w:lineRule="auto"/>
        <w:jc w:val="both"/>
        <w:rPr>
          <w:rFonts w:ascii="Arial" w:hAnsi="Arial" w:cs="Arial"/>
          <w:lang w:val="sr-Latn-CS"/>
        </w:rPr>
      </w:pPr>
    </w:p>
    <w:p w14:paraId="655C034F" w14:textId="6CDDFAA1" w:rsidR="00674220" w:rsidRDefault="00674220" w:rsidP="007D617C">
      <w:pPr>
        <w:spacing w:after="0" w:line="240" w:lineRule="auto"/>
        <w:jc w:val="both"/>
        <w:rPr>
          <w:rFonts w:ascii="Arial" w:hAnsi="Arial" w:cs="Arial"/>
          <w:lang w:val="sr-Latn-CS"/>
        </w:rPr>
      </w:pPr>
      <w:r w:rsidRPr="00F42814">
        <w:rPr>
          <w:rFonts w:ascii="Arial" w:hAnsi="Arial" w:cs="Arial"/>
          <w:lang w:val="sr-Latn-CS"/>
        </w:rPr>
        <w:t>Drugi izvori ukazuju na kvalitet uglja od oko 8.200 kJ/kg (M. Manojlović 1992. godina) na što potvrdu daju i rezulta</w:t>
      </w:r>
      <w:r w:rsidR="00B25D4A">
        <w:rPr>
          <w:rFonts w:ascii="Arial" w:hAnsi="Arial" w:cs="Arial"/>
          <w:lang w:val="sr-Latn-CS"/>
        </w:rPr>
        <w:t>t</w:t>
      </w:r>
      <w:r w:rsidRPr="00F42814">
        <w:rPr>
          <w:rFonts w:ascii="Arial" w:hAnsi="Arial" w:cs="Arial"/>
          <w:lang w:val="sr-Latn-CS"/>
        </w:rPr>
        <w:t>i 3 (tri) uzorka petrografskog sastava.</w:t>
      </w:r>
    </w:p>
    <w:p w14:paraId="1AE4EE92" w14:textId="77777777" w:rsidR="007D617C" w:rsidRPr="00F42814" w:rsidRDefault="007D617C" w:rsidP="007D617C">
      <w:pPr>
        <w:spacing w:after="0" w:line="240" w:lineRule="auto"/>
        <w:jc w:val="both"/>
        <w:rPr>
          <w:rFonts w:ascii="Arial" w:hAnsi="Arial" w:cs="Arial"/>
          <w:lang w:val="sr-Latn-CS"/>
        </w:rPr>
      </w:pPr>
    </w:p>
    <w:p w14:paraId="15F7D8ED" w14:textId="5BA12916" w:rsidR="00674220" w:rsidRDefault="00674220" w:rsidP="007D617C">
      <w:pPr>
        <w:spacing w:after="0" w:line="240" w:lineRule="auto"/>
        <w:jc w:val="both"/>
        <w:rPr>
          <w:rFonts w:ascii="Arial" w:hAnsi="Arial" w:cs="Arial"/>
          <w:lang w:val="sr-Latn-CS"/>
        </w:rPr>
      </w:pPr>
      <w:r w:rsidRPr="00F42814">
        <w:rPr>
          <w:rFonts w:ascii="Arial" w:hAnsi="Arial" w:cs="Arial"/>
          <w:lang w:val="sr-Latn-CS"/>
        </w:rPr>
        <w:t>Analizom uzoraka istražnog bušenja (4 bušotine) koja je radio Rudnik uglja A.D. Pljevlja, prosječan kvalitet uglja iznosi 9.219 kJ/kg.</w:t>
      </w:r>
    </w:p>
    <w:p w14:paraId="50B206DC" w14:textId="77777777" w:rsidR="007D617C" w:rsidRPr="00F42814" w:rsidRDefault="007D617C" w:rsidP="007D617C">
      <w:pPr>
        <w:spacing w:after="0" w:line="240" w:lineRule="auto"/>
        <w:jc w:val="both"/>
        <w:rPr>
          <w:rFonts w:ascii="Arial" w:hAnsi="Arial" w:cs="Arial"/>
          <w:lang w:val="sr-Latn-CS"/>
        </w:rPr>
      </w:pPr>
    </w:p>
    <w:p w14:paraId="6049ACCD" w14:textId="77777777" w:rsidR="00674220" w:rsidRPr="00F42814" w:rsidRDefault="00674220" w:rsidP="007D617C">
      <w:pPr>
        <w:spacing w:after="0" w:line="240" w:lineRule="auto"/>
        <w:jc w:val="both"/>
        <w:rPr>
          <w:rFonts w:ascii="Arial" w:hAnsi="Arial" w:cs="Arial"/>
          <w:lang w:val="sr-Latn-CS"/>
        </w:rPr>
      </w:pPr>
      <w:r w:rsidRPr="00F42814">
        <w:rPr>
          <w:rFonts w:ascii="Arial" w:hAnsi="Arial" w:cs="Arial"/>
          <w:lang w:val="sr-Latn-CS"/>
        </w:rPr>
        <w:t>Sve ukazuje da kvalitet uglja Mataruškog basena je niži od kvaliteta uglja u pljevaljskom basenu, a pouzdanost ispitivanja kvaliteta je najveća pri ispitivanju vršenom u Rudniku uglja A.D. Pljevlja, pa ove podatke treba koristiti pri ovom stepenu obrade. S  obzirom  da  je  pokrivenost  istražnim  bušenjem  izvršenim  2004. godine mala i da je to urađeno na jednom dijelu basena, kvalitet, radi smanjenja rizika značajne greške, treba umanjiti 5% ujedno uvažavajući i petrografs</w:t>
      </w:r>
      <w:r>
        <w:rPr>
          <w:rFonts w:ascii="Arial" w:hAnsi="Arial" w:cs="Arial"/>
          <w:lang w:val="sr-Latn-CS"/>
        </w:rPr>
        <w:t>ke analize rađene 1992. godine.</w:t>
      </w:r>
    </w:p>
    <w:p w14:paraId="01DE430A" w14:textId="77777777" w:rsidR="007D617C" w:rsidRDefault="007D617C" w:rsidP="007D617C">
      <w:pPr>
        <w:spacing w:after="0" w:line="240" w:lineRule="auto"/>
        <w:jc w:val="both"/>
        <w:rPr>
          <w:rFonts w:ascii="Arial" w:hAnsi="Arial" w:cs="Arial"/>
          <w:lang w:val="sr-Latn-CS"/>
        </w:rPr>
      </w:pPr>
    </w:p>
    <w:p w14:paraId="057710DD" w14:textId="3CE03F04" w:rsidR="00653D40" w:rsidRDefault="00674220" w:rsidP="007D617C">
      <w:pPr>
        <w:spacing w:after="0" w:line="240" w:lineRule="auto"/>
        <w:jc w:val="both"/>
        <w:rPr>
          <w:rFonts w:ascii="Arial" w:hAnsi="Arial" w:cs="Arial"/>
          <w:lang w:val="sr-Latn-CS"/>
        </w:rPr>
      </w:pPr>
      <w:r w:rsidRPr="00F42814">
        <w:rPr>
          <w:rFonts w:ascii="Arial" w:hAnsi="Arial" w:cs="Arial"/>
          <w:lang w:val="sr-Latn-CS"/>
        </w:rPr>
        <w:t>Na  osnovu prethodnog očekivana DTE uglja centralnog Mataru</w:t>
      </w:r>
      <w:r>
        <w:rPr>
          <w:rFonts w:ascii="Arial" w:hAnsi="Arial" w:cs="Arial"/>
          <w:lang w:val="sr-Latn-CS"/>
        </w:rPr>
        <w:t>škog basena iznosi 8.780 kJ/kg.</w:t>
      </w:r>
    </w:p>
    <w:p w14:paraId="0CF562E9" w14:textId="77777777" w:rsidR="007D617C" w:rsidRDefault="007D617C" w:rsidP="007D617C">
      <w:pPr>
        <w:spacing w:after="0" w:line="240" w:lineRule="auto"/>
        <w:jc w:val="both"/>
        <w:rPr>
          <w:rFonts w:ascii="Arial" w:hAnsi="Arial" w:cs="Arial"/>
          <w:lang w:val="sr-Latn-CS"/>
        </w:rPr>
      </w:pPr>
    </w:p>
    <w:p w14:paraId="43CEA056" w14:textId="77777777" w:rsidR="00350430" w:rsidRPr="00FE3A09" w:rsidRDefault="00350430" w:rsidP="007D617C">
      <w:pPr>
        <w:spacing w:after="0" w:line="240" w:lineRule="auto"/>
        <w:jc w:val="both"/>
        <w:rPr>
          <w:rFonts w:ascii="Arial" w:hAnsi="Arial" w:cs="Arial"/>
          <w:lang w:val="sr-Latn-CS"/>
        </w:rPr>
      </w:pPr>
      <w:r w:rsidRPr="00FE3A09">
        <w:rPr>
          <w:rFonts w:ascii="Arial" w:hAnsi="Arial" w:cs="Arial"/>
          <w:lang w:val="sr-Latn-CS"/>
        </w:rPr>
        <w:t xml:space="preserve">Na osnovu navedenih podataka prosječni kvalitet </w:t>
      </w:r>
      <w:r w:rsidR="0007012D" w:rsidRPr="00FE3A09">
        <w:rPr>
          <w:rFonts w:ascii="Arial" w:hAnsi="Arial" w:cs="Arial"/>
          <w:lang w:val="sr-Latn-CS"/>
        </w:rPr>
        <w:t xml:space="preserve">uglja </w:t>
      </w:r>
      <w:r w:rsidRPr="00FE3A09">
        <w:rPr>
          <w:rFonts w:ascii="Arial" w:hAnsi="Arial" w:cs="Arial"/>
          <w:lang w:val="sr-Latn-CS"/>
        </w:rPr>
        <w:t>u predmetnom istražno-eksploatacionom prostoru je oko 8.200 kJ/kg.</w:t>
      </w:r>
    </w:p>
    <w:p w14:paraId="68E9E9F7" w14:textId="77777777" w:rsidR="00350430" w:rsidRDefault="00350430" w:rsidP="00674220">
      <w:pPr>
        <w:jc w:val="both"/>
        <w:rPr>
          <w:rFonts w:ascii="Arial" w:hAnsi="Arial" w:cs="Arial"/>
          <w:lang w:val="sr-Latn-CS"/>
        </w:rPr>
      </w:pPr>
    </w:p>
    <w:p w14:paraId="70C1AA0E" w14:textId="77777777" w:rsidR="00350430" w:rsidRDefault="00350430" w:rsidP="00674220">
      <w:pPr>
        <w:jc w:val="both"/>
        <w:rPr>
          <w:rFonts w:ascii="Arial" w:hAnsi="Arial" w:cs="Arial"/>
          <w:lang w:val="sr-Latn-CS"/>
        </w:rPr>
      </w:pPr>
    </w:p>
    <w:p w14:paraId="50A5C88E" w14:textId="77777777" w:rsidR="00350430" w:rsidRPr="00674220" w:rsidRDefault="00350430" w:rsidP="00674220">
      <w:pPr>
        <w:jc w:val="both"/>
        <w:rPr>
          <w:rFonts w:ascii="Arial" w:hAnsi="Arial" w:cs="Arial"/>
          <w:lang w:val="sr-Latn-CS"/>
        </w:rPr>
      </w:pPr>
    </w:p>
    <w:p w14:paraId="030BD7F7" w14:textId="77777777" w:rsidR="00653D40" w:rsidRPr="00DA6313" w:rsidRDefault="00653D40" w:rsidP="00664C2A">
      <w:pPr>
        <w:pStyle w:val="Heading2"/>
        <w:numPr>
          <w:ilvl w:val="1"/>
          <w:numId w:val="30"/>
        </w:numPr>
      </w:pPr>
      <w:r w:rsidRPr="00DA6313">
        <w:lastRenderedPageBreak/>
        <w:t>Hidrogeološke karakteristike</w:t>
      </w:r>
    </w:p>
    <w:p w14:paraId="7868D32D" w14:textId="77777777" w:rsidR="00653D40" w:rsidRPr="00DA6313" w:rsidRDefault="00653D40" w:rsidP="00653D40">
      <w:pPr>
        <w:spacing w:after="0"/>
        <w:rPr>
          <w:rFonts w:ascii="Arial" w:hAnsi="Arial" w:cs="Arial"/>
          <w:lang w:val="sr-Latn-CS"/>
        </w:rPr>
      </w:pPr>
    </w:p>
    <w:p w14:paraId="687A6B3F" w14:textId="77777777" w:rsidR="00653D40" w:rsidRPr="00484625" w:rsidRDefault="00653D40" w:rsidP="00653D40">
      <w:pPr>
        <w:spacing w:after="0" w:line="240" w:lineRule="auto"/>
        <w:jc w:val="both"/>
        <w:rPr>
          <w:rFonts w:ascii="Arial" w:hAnsi="Arial" w:cs="Arial"/>
          <w:noProof/>
        </w:rPr>
      </w:pPr>
      <w:r w:rsidRPr="00484625">
        <w:rPr>
          <w:rFonts w:ascii="Arial" w:hAnsi="Arial" w:cs="Arial"/>
          <w:noProof/>
        </w:rPr>
        <w:t xml:space="preserve">Sa hidrogeološkog aspekta, odlike područja u kome se nalazi predmetni lokalitet su relativno jednostavne. Na samom lokalitetu nema stalnih niti povremenih vodotoka. </w:t>
      </w:r>
    </w:p>
    <w:p w14:paraId="3B713112" w14:textId="77777777" w:rsidR="00653D40" w:rsidRPr="00484625" w:rsidRDefault="00653D40" w:rsidP="00653D40">
      <w:pPr>
        <w:spacing w:after="0" w:line="240" w:lineRule="auto"/>
        <w:jc w:val="both"/>
        <w:rPr>
          <w:rFonts w:ascii="Arial" w:hAnsi="Arial" w:cs="Arial"/>
          <w:noProof/>
        </w:rPr>
      </w:pPr>
    </w:p>
    <w:p w14:paraId="00744993" w14:textId="77777777" w:rsidR="00653D40" w:rsidRPr="00DA6313" w:rsidRDefault="00653D40" w:rsidP="00664C2A">
      <w:pPr>
        <w:pStyle w:val="Heading2"/>
        <w:numPr>
          <w:ilvl w:val="1"/>
          <w:numId w:val="30"/>
        </w:numPr>
      </w:pPr>
      <w:r w:rsidRPr="00DA6313">
        <w:t>Klimatske karakteristike</w:t>
      </w:r>
    </w:p>
    <w:p w14:paraId="08372B34" w14:textId="77777777" w:rsidR="00653D40" w:rsidRPr="00DA6313" w:rsidRDefault="00653D40" w:rsidP="00653D40">
      <w:pPr>
        <w:suppressAutoHyphens w:val="0"/>
        <w:spacing w:after="0" w:line="240" w:lineRule="auto"/>
        <w:jc w:val="both"/>
        <w:rPr>
          <w:rFonts w:ascii="Arial" w:hAnsi="Arial" w:cs="Arial"/>
          <w:b/>
          <w:noProof/>
        </w:rPr>
      </w:pPr>
    </w:p>
    <w:p w14:paraId="4781101B" w14:textId="77777777" w:rsidR="00BB4726" w:rsidRDefault="00BB4726" w:rsidP="00BB4726">
      <w:pPr>
        <w:spacing w:after="0" w:line="240" w:lineRule="auto"/>
        <w:jc w:val="both"/>
        <w:rPr>
          <w:rFonts w:ascii="Arial" w:hAnsi="Arial" w:cs="Arial"/>
          <w:noProof/>
        </w:rPr>
      </w:pPr>
      <w:r w:rsidRPr="00BB4726">
        <w:rPr>
          <w:rFonts w:ascii="Arial" w:hAnsi="Arial" w:cs="Arial"/>
          <w:noProof/>
        </w:rPr>
        <w:t>S obzirom na geografski položaj i morfološke karakteristike terena šire područje Pljevalja ima kontinentalno-planinsku klimu.</w:t>
      </w:r>
    </w:p>
    <w:p w14:paraId="3D53B337" w14:textId="77777777" w:rsidR="00BB4726" w:rsidRPr="00BB4726" w:rsidRDefault="00BB4726" w:rsidP="00BB4726">
      <w:pPr>
        <w:spacing w:after="0" w:line="240" w:lineRule="auto"/>
        <w:jc w:val="both"/>
        <w:rPr>
          <w:rFonts w:ascii="Arial" w:hAnsi="Arial" w:cs="Arial"/>
          <w:noProof/>
        </w:rPr>
      </w:pPr>
    </w:p>
    <w:p w14:paraId="4F0F0737" w14:textId="77777777" w:rsidR="00BD7D45" w:rsidRPr="007B31F2" w:rsidRDefault="00BB4726" w:rsidP="00653D40">
      <w:pPr>
        <w:spacing w:after="0" w:line="240" w:lineRule="auto"/>
        <w:jc w:val="both"/>
        <w:rPr>
          <w:rFonts w:ascii="Arial" w:hAnsi="Arial" w:cs="Arial"/>
          <w:noProof/>
          <w:color w:val="FF0000"/>
        </w:rPr>
      </w:pPr>
      <w:r w:rsidRPr="00BB4726">
        <w:rPr>
          <w:rFonts w:ascii="Arial" w:hAnsi="Arial" w:cs="Arial"/>
          <w:noProof/>
        </w:rPr>
        <w:t>Dnevne temperature vazduha u zavisnosti od godišnjeg doba imaju veoma širok dijapazon. U temperaturnom pogledu se jasno izdvajaju godišnja doba, naročito ljeto i zima. Najtopliji mjesec je jul, a najhladniji januar. U Pljevljima je srednja januarska temperatura -2,7</w:t>
      </w:r>
      <w:r>
        <w:rPr>
          <w:rFonts w:ascii="Arial" w:hAnsi="Arial" w:cs="Arial"/>
          <w:noProof/>
        </w:rPr>
        <w:t>°</w:t>
      </w:r>
      <w:r w:rsidRPr="00BB4726">
        <w:rPr>
          <w:rFonts w:ascii="Arial" w:hAnsi="Arial" w:cs="Arial"/>
          <w:noProof/>
        </w:rPr>
        <w:t xml:space="preserve">C. U ovom području zime su duge i oštre uglavnom, zbog povećane nadmorske visine i slabog uticaja Jadranskog mora. Mraz je česta pojava, naročito zimi za vrijeme vedrog anticiklonskog vremena, po kotlinama i dolinama formiraju se temperaturne inverzije sa vrlo niskim temperaturama u prizemnom sloju. Prosječno u Pljevljima ima 124 dana sa mrazom, a jun, jul i avgust su jedini mjeseci </w:t>
      </w:r>
      <w:r w:rsidR="007B31F2">
        <w:rPr>
          <w:rFonts w:ascii="Arial" w:hAnsi="Arial" w:cs="Arial"/>
          <w:noProof/>
        </w:rPr>
        <w:t xml:space="preserve">u kojima se mraz ne pojavljuje. </w:t>
      </w:r>
      <w:r w:rsidRPr="00BB4726">
        <w:rPr>
          <w:rFonts w:ascii="Arial" w:hAnsi="Arial" w:cs="Arial"/>
          <w:noProof/>
        </w:rPr>
        <w:t>U Pljevljima prosječno godišnje ima 26 ledenih dana sa maksimalno iskazanim temperaturskim minimumom čak i do ispod -29</w:t>
      </w:r>
      <w:r>
        <w:rPr>
          <w:rFonts w:ascii="Arial" w:hAnsi="Arial" w:cs="Arial"/>
          <w:noProof/>
        </w:rPr>
        <w:t>°</w:t>
      </w:r>
      <w:r w:rsidRPr="00BB4726">
        <w:rPr>
          <w:rFonts w:ascii="Arial" w:hAnsi="Arial" w:cs="Arial"/>
          <w:noProof/>
        </w:rPr>
        <w:t xml:space="preserve">C. </w:t>
      </w:r>
      <w:proofErr w:type="spellStart"/>
      <w:r w:rsidR="007B31F2" w:rsidRPr="007B31F2">
        <w:rPr>
          <w:rFonts w:ascii="Arial" w:hAnsi="Arial" w:cs="Arial"/>
          <w:lang w:val="fr-FR"/>
        </w:rPr>
        <w:t>Apsolutno</w:t>
      </w:r>
      <w:proofErr w:type="spellEnd"/>
      <w:r w:rsidR="007B31F2" w:rsidRPr="007B31F2">
        <w:rPr>
          <w:rFonts w:ascii="Arial" w:hAnsi="Arial" w:cs="Arial"/>
          <w:lang w:val="fr-FR"/>
        </w:rPr>
        <w:t xml:space="preserve"> </w:t>
      </w:r>
      <w:proofErr w:type="spellStart"/>
      <w:r w:rsidR="007B31F2" w:rsidRPr="007B31F2">
        <w:rPr>
          <w:rFonts w:ascii="Arial" w:hAnsi="Arial" w:cs="Arial"/>
          <w:lang w:val="fr-FR"/>
        </w:rPr>
        <w:t>kolebanje</w:t>
      </w:r>
      <w:proofErr w:type="spellEnd"/>
      <w:r w:rsidR="007B31F2" w:rsidRPr="007B31F2">
        <w:rPr>
          <w:rFonts w:ascii="Arial" w:hAnsi="Arial" w:cs="Arial"/>
          <w:lang w:val="fr-FR"/>
        </w:rPr>
        <w:t xml:space="preserve"> </w:t>
      </w:r>
      <w:proofErr w:type="spellStart"/>
      <w:r w:rsidR="007B31F2" w:rsidRPr="007B31F2">
        <w:rPr>
          <w:rFonts w:ascii="Arial" w:hAnsi="Arial" w:cs="Arial"/>
          <w:lang w:val="fr-FR"/>
        </w:rPr>
        <w:t>temperature</w:t>
      </w:r>
      <w:proofErr w:type="spellEnd"/>
      <w:r w:rsidR="007B31F2" w:rsidRPr="007B31F2">
        <w:rPr>
          <w:rFonts w:ascii="Arial" w:hAnsi="Arial" w:cs="Arial"/>
          <w:lang w:val="fr-FR"/>
        </w:rPr>
        <w:t xml:space="preserve"> </w:t>
      </w:r>
      <w:proofErr w:type="spellStart"/>
      <w:r w:rsidR="007B31F2" w:rsidRPr="007B31F2">
        <w:rPr>
          <w:rFonts w:ascii="Arial" w:hAnsi="Arial" w:cs="Arial"/>
          <w:lang w:val="fr-FR"/>
        </w:rPr>
        <w:t>vazduha</w:t>
      </w:r>
      <w:proofErr w:type="spellEnd"/>
      <w:r w:rsidR="007B31F2" w:rsidRPr="007B31F2">
        <w:rPr>
          <w:rFonts w:ascii="Arial" w:hAnsi="Arial" w:cs="Arial"/>
          <w:lang w:val="fr-FR"/>
        </w:rPr>
        <w:t xml:space="preserve"> u </w:t>
      </w:r>
      <w:proofErr w:type="spellStart"/>
      <w:r w:rsidR="007B31F2" w:rsidRPr="007B31F2">
        <w:rPr>
          <w:rFonts w:ascii="Arial" w:hAnsi="Arial" w:cs="Arial"/>
          <w:lang w:val="fr-FR"/>
        </w:rPr>
        <w:t>Pljevljima</w:t>
      </w:r>
      <w:proofErr w:type="spellEnd"/>
      <w:r w:rsidR="007B31F2" w:rsidRPr="007B31F2">
        <w:rPr>
          <w:rFonts w:ascii="Arial" w:hAnsi="Arial" w:cs="Arial"/>
          <w:lang w:val="fr-FR"/>
        </w:rPr>
        <w:t xml:space="preserve"> je </w:t>
      </w:r>
      <w:proofErr w:type="spellStart"/>
      <w:r w:rsidR="007B31F2" w:rsidRPr="007B31F2">
        <w:rPr>
          <w:rFonts w:ascii="Arial" w:hAnsi="Arial" w:cs="Arial"/>
          <w:lang w:val="fr-FR"/>
        </w:rPr>
        <w:t>veliko</w:t>
      </w:r>
      <w:proofErr w:type="spellEnd"/>
      <w:r w:rsidR="007B31F2" w:rsidRPr="007B31F2">
        <w:rPr>
          <w:rFonts w:ascii="Arial" w:hAnsi="Arial" w:cs="Arial"/>
          <w:lang w:val="fr-FR"/>
        </w:rPr>
        <w:t xml:space="preserve">. </w:t>
      </w:r>
      <w:r w:rsidR="007B31F2" w:rsidRPr="007B31F2">
        <w:rPr>
          <w:rFonts w:ascii="Arial" w:hAnsi="Arial" w:cs="Arial"/>
          <w:lang w:val="pl-PL"/>
        </w:rPr>
        <w:t>Apsolutni maksimum je 38,6</w:t>
      </w:r>
      <w:r w:rsidR="007B31F2">
        <w:rPr>
          <w:rFonts w:ascii="Arial" w:hAnsi="Arial" w:cs="Arial"/>
          <w:lang w:val="pl-PL"/>
        </w:rPr>
        <w:t>°</w:t>
      </w:r>
      <w:r w:rsidR="007B31F2" w:rsidRPr="007B31F2">
        <w:rPr>
          <w:rFonts w:ascii="Arial" w:hAnsi="Arial" w:cs="Arial"/>
          <w:lang w:val="pl-PL"/>
        </w:rPr>
        <w:t>C, a apsolutni minimum -29,2</w:t>
      </w:r>
      <w:r w:rsidR="007B31F2">
        <w:rPr>
          <w:rFonts w:ascii="Arial" w:hAnsi="Arial" w:cs="Arial"/>
          <w:lang w:val="pl-PL"/>
        </w:rPr>
        <w:t>°</w:t>
      </w:r>
      <w:r w:rsidR="007B31F2" w:rsidRPr="007B31F2">
        <w:rPr>
          <w:rFonts w:ascii="Arial" w:hAnsi="Arial" w:cs="Arial"/>
          <w:lang w:val="pl-PL"/>
        </w:rPr>
        <w:t>C. Srednja godišnja temperatura iznosi 8</w:t>
      </w:r>
      <w:r w:rsidR="007B31F2">
        <w:rPr>
          <w:rFonts w:ascii="Arial" w:hAnsi="Arial" w:cs="Arial"/>
          <w:lang w:val="pl-PL"/>
        </w:rPr>
        <w:t>°</w:t>
      </w:r>
      <w:r w:rsidR="007B31F2" w:rsidRPr="007B31F2">
        <w:rPr>
          <w:rFonts w:ascii="Arial" w:hAnsi="Arial" w:cs="Arial"/>
          <w:lang w:val="pl-PL"/>
        </w:rPr>
        <w:t>C.</w:t>
      </w:r>
    </w:p>
    <w:p w14:paraId="0E94B8B4" w14:textId="77777777" w:rsidR="00BD7D45" w:rsidRPr="00653D40" w:rsidRDefault="00BD7D45" w:rsidP="00653D40">
      <w:pPr>
        <w:spacing w:after="0" w:line="240" w:lineRule="auto"/>
        <w:jc w:val="both"/>
        <w:rPr>
          <w:rFonts w:ascii="Arial" w:hAnsi="Arial" w:cs="Arial"/>
          <w:noProof/>
          <w:color w:val="FF0000"/>
        </w:rPr>
      </w:pPr>
    </w:p>
    <w:p w14:paraId="7A7E7E32" w14:textId="77777777" w:rsidR="00653D40" w:rsidRPr="00DA6313" w:rsidRDefault="00653D40" w:rsidP="00664C2A">
      <w:pPr>
        <w:pStyle w:val="Heading1"/>
        <w:numPr>
          <w:ilvl w:val="0"/>
          <w:numId w:val="24"/>
        </w:numPr>
        <w:jc w:val="both"/>
        <w:rPr>
          <w:rFonts w:ascii="Arial" w:hAnsi="Arial" w:cs="Arial"/>
          <w:noProof/>
          <w:sz w:val="22"/>
          <w:szCs w:val="22"/>
        </w:rPr>
      </w:pPr>
      <w:bookmarkStart w:id="11" w:name="_Toc402262933"/>
      <w:r w:rsidRPr="00DA6313">
        <w:rPr>
          <w:rFonts w:ascii="Arial" w:hAnsi="Arial" w:cs="Arial"/>
          <w:noProof/>
          <w:sz w:val="22"/>
          <w:szCs w:val="22"/>
        </w:rPr>
        <w:t>ROK TRAJANJA KONCESIJE</w:t>
      </w:r>
      <w:bookmarkEnd w:id="11"/>
    </w:p>
    <w:p w14:paraId="61BC35D4" w14:textId="77777777" w:rsidR="00653D40" w:rsidRPr="00DA6313" w:rsidRDefault="00653D40" w:rsidP="00653D40">
      <w:pPr>
        <w:shd w:val="clear" w:color="auto" w:fill="FFFFFF"/>
        <w:spacing w:after="0" w:line="240" w:lineRule="auto"/>
        <w:jc w:val="both"/>
        <w:rPr>
          <w:rFonts w:ascii="Arial" w:hAnsi="Arial" w:cs="Arial"/>
          <w:noProof/>
        </w:rPr>
      </w:pPr>
    </w:p>
    <w:p w14:paraId="0C69F4FD" w14:textId="77777777" w:rsidR="002F24ED" w:rsidRPr="00814FAA" w:rsidRDefault="00653D40" w:rsidP="002F24ED">
      <w:pPr>
        <w:shd w:val="clear" w:color="auto" w:fill="FFFFFF"/>
        <w:spacing w:after="0" w:line="240" w:lineRule="auto"/>
        <w:jc w:val="both"/>
        <w:rPr>
          <w:rFonts w:ascii="Arial" w:hAnsi="Arial" w:cs="Arial"/>
          <w:noProof/>
        </w:rPr>
      </w:pPr>
      <w:r w:rsidRPr="00814FAA">
        <w:rPr>
          <w:rFonts w:ascii="Arial" w:hAnsi="Arial" w:cs="Arial"/>
          <w:noProof/>
        </w:rPr>
        <w:t>Rok trajanja eksploatacije mineralne sirovine (vijek eksploatacije) zavisi od utvrđenih rezervi</w:t>
      </w:r>
      <w:r w:rsidR="00B25D4A">
        <w:rPr>
          <w:rFonts w:ascii="Arial" w:hAnsi="Arial" w:cs="Arial"/>
          <w:noProof/>
        </w:rPr>
        <w:t xml:space="preserve"> istih, godišnjeg kapaciteta ek</w:t>
      </w:r>
      <w:r w:rsidRPr="00814FAA">
        <w:rPr>
          <w:rFonts w:ascii="Arial" w:hAnsi="Arial" w:cs="Arial"/>
          <w:noProof/>
        </w:rPr>
        <w:t>sploatacije i od zahtjeva tržišta.</w:t>
      </w:r>
    </w:p>
    <w:p w14:paraId="57E841C2" w14:textId="77777777" w:rsidR="002F24ED" w:rsidRPr="00814FAA" w:rsidRDefault="002F24ED" w:rsidP="002F24ED">
      <w:pPr>
        <w:shd w:val="clear" w:color="auto" w:fill="FFFFFF"/>
        <w:spacing w:after="0" w:line="240" w:lineRule="auto"/>
        <w:jc w:val="both"/>
        <w:rPr>
          <w:rFonts w:ascii="Arial" w:hAnsi="Arial" w:cs="Arial"/>
          <w:noProof/>
        </w:rPr>
      </w:pPr>
    </w:p>
    <w:p w14:paraId="32B30C0F" w14:textId="4986BEA6" w:rsidR="002A5726" w:rsidRPr="00FE3A09" w:rsidRDefault="002A5726" w:rsidP="002A5726">
      <w:pPr>
        <w:spacing w:after="0" w:line="240" w:lineRule="auto"/>
        <w:jc w:val="both"/>
        <w:rPr>
          <w:rFonts w:ascii="Arial" w:hAnsi="Arial" w:cs="Arial"/>
          <w:b/>
          <w:color w:val="000000"/>
        </w:rPr>
      </w:pPr>
      <w:r w:rsidRPr="00FE3A09">
        <w:rPr>
          <w:rFonts w:ascii="Arial" w:hAnsi="Arial" w:cs="Arial"/>
          <w:lang w:val="ru-RU"/>
        </w:rPr>
        <w:t xml:space="preserve">U ovoj fazi definisan je </w:t>
      </w:r>
      <w:r w:rsidR="00FE3A09" w:rsidRPr="00FE3A09">
        <w:rPr>
          <w:rFonts w:ascii="Arial" w:hAnsi="Arial" w:cs="Arial"/>
          <w:color w:val="000000"/>
          <w:lang w:val="sr-Latn-CS"/>
        </w:rPr>
        <w:t>n</w:t>
      </w:r>
      <w:r w:rsidR="00FE3A09" w:rsidRPr="00FE3A09">
        <w:rPr>
          <w:rFonts w:ascii="Arial" w:hAnsi="Arial" w:cs="Arial"/>
          <w:color w:val="000000"/>
          <w:lang w:val="sr-Latn-CS"/>
        </w:rPr>
        <w:t xml:space="preserve">ajproduktivniji dio ležišta uglja „Mataruge“ sagledan je kroz Idejni projekat eksploatacije uglja pljevaljskih basena – Kontraktor, Beograd, 2007. godine. Ovim projektom dato je idejno rješenje eksploatacije uglja najpovoljnijeg dijela sjevernog dijela ležišta i predstavlja eksploataciju </w:t>
      </w:r>
      <w:r w:rsidR="00FE3A09" w:rsidRPr="00FE3A09">
        <w:rPr>
          <w:rFonts w:ascii="Arial" w:hAnsi="Arial" w:cs="Arial"/>
          <w:b/>
          <w:color w:val="000000"/>
          <w:lang w:val="sr-Latn-CS"/>
        </w:rPr>
        <w:t>3.600.000 t</w:t>
      </w:r>
      <w:r w:rsidR="00FE3A09" w:rsidRPr="00FE3A09">
        <w:rPr>
          <w:rFonts w:ascii="Arial" w:hAnsi="Arial" w:cs="Arial"/>
          <w:color w:val="000000"/>
          <w:lang w:val="sr-Latn-CS"/>
        </w:rPr>
        <w:t xml:space="preserve"> uglja sa površinom ležišta u planu od oko 0,5 km</w:t>
      </w:r>
      <w:r w:rsidR="00FE3A09" w:rsidRPr="00FE3A09">
        <w:rPr>
          <w:rFonts w:ascii="Arial" w:hAnsi="Arial" w:cs="Arial"/>
          <w:color w:val="000000"/>
          <w:vertAlign w:val="superscript"/>
          <w:lang w:val="sr-Latn-CS"/>
        </w:rPr>
        <w:t xml:space="preserve">2 </w:t>
      </w:r>
      <w:r w:rsidR="00FE3A09" w:rsidRPr="00FE3A09">
        <w:rPr>
          <w:rFonts w:ascii="Arial" w:hAnsi="Arial" w:cs="Arial"/>
          <w:color w:val="000000"/>
          <w:lang w:val="sr-Latn-CS"/>
        </w:rPr>
        <w:t>(50ha)  i dodatnom površinom od oko 0,7 km</w:t>
      </w:r>
      <w:r w:rsidR="00FE3A09" w:rsidRPr="00FE3A09">
        <w:rPr>
          <w:rFonts w:ascii="Arial" w:hAnsi="Arial" w:cs="Arial"/>
          <w:color w:val="000000"/>
          <w:vertAlign w:val="superscript"/>
          <w:lang w:val="sr-Latn-CS"/>
        </w:rPr>
        <w:t>2</w:t>
      </w:r>
      <w:r w:rsidR="00FE3A09" w:rsidRPr="00FE3A09">
        <w:rPr>
          <w:rFonts w:ascii="Arial" w:hAnsi="Arial" w:cs="Arial"/>
          <w:color w:val="000000"/>
          <w:lang w:val="sr-Latn-CS"/>
        </w:rPr>
        <w:t xml:space="preserve"> (70 ha) potrebnom za smještaj investicione otkrivke, objekata i infrastrukture budućeg površinskog kopa. Ukupan prostor za eksploataciju definisan idejnim rješenjem iznosi 1,2 km</w:t>
      </w:r>
      <w:r w:rsidR="00FE3A09" w:rsidRPr="00FE3A09">
        <w:rPr>
          <w:rFonts w:ascii="Arial" w:hAnsi="Arial" w:cs="Arial"/>
          <w:color w:val="000000"/>
          <w:vertAlign w:val="superscript"/>
          <w:lang w:val="sr-Latn-CS"/>
        </w:rPr>
        <w:t>2</w:t>
      </w:r>
    </w:p>
    <w:p w14:paraId="19E26B8D" w14:textId="77777777" w:rsidR="00653D40" w:rsidRPr="00FE3A09" w:rsidRDefault="00653D40" w:rsidP="00814FAA">
      <w:pPr>
        <w:pStyle w:val="BodyText"/>
        <w:jc w:val="both"/>
        <w:rPr>
          <w:rFonts w:ascii="Arial" w:hAnsi="Arial" w:cs="Arial"/>
          <w:sz w:val="22"/>
          <w:szCs w:val="22"/>
        </w:rPr>
      </w:pPr>
      <w:r w:rsidRPr="00FE3A09">
        <w:rPr>
          <w:rFonts w:ascii="Arial" w:hAnsi="Arial" w:cs="Arial"/>
          <w:sz w:val="22"/>
          <w:szCs w:val="22"/>
        </w:rPr>
        <w:t xml:space="preserve">Da bi se, </w:t>
      </w:r>
      <w:proofErr w:type="spellStart"/>
      <w:r w:rsidRPr="00FE3A09">
        <w:rPr>
          <w:rFonts w:ascii="Arial" w:hAnsi="Arial" w:cs="Arial"/>
          <w:sz w:val="22"/>
          <w:szCs w:val="22"/>
        </w:rPr>
        <w:t>uopšte</w:t>
      </w:r>
      <w:proofErr w:type="spellEnd"/>
      <w:r w:rsidRPr="00FE3A09">
        <w:rPr>
          <w:rFonts w:ascii="Arial" w:hAnsi="Arial" w:cs="Arial"/>
          <w:sz w:val="22"/>
          <w:szCs w:val="22"/>
        </w:rPr>
        <w:t xml:space="preserve">, </w:t>
      </w:r>
      <w:proofErr w:type="spellStart"/>
      <w:r w:rsidRPr="00FE3A09">
        <w:rPr>
          <w:rFonts w:ascii="Arial" w:hAnsi="Arial" w:cs="Arial"/>
          <w:sz w:val="22"/>
          <w:szCs w:val="22"/>
        </w:rPr>
        <w:t>mogla</w:t>
      </w:r>
      <w:proofErr w:type="spellEnd"/>
      <w:r w:rsidRPr="00FE3A09">
        <w:rPr>
          <w:rFonts w:ascii="Arial" w:hAnsi="Arial" w:cs="Arial"/>
          <w:sz w:val="22"/>
          <w:szCs w:val="22"/>
        </w:rPr>
        <w:t xml:space="preserve"> </w:t>
      </w:r>
      <w:proofErr w:type="spellStart"/>
      <w:r w:rsidRPr="00FE3A09">
        <w:rPr>
          <w:rFonts w:ascii="Arial" w:hAnsi="Arial" w:cs="Arial"/>
          <w:sz w:val="22"/>
          <w:szCs w:val="22"/>
        </w:rPr>
        <w:t>planirati</w:t>
      </w:r>
      <w:proofErr w:type="spellEnd"/>
      <w:r w:rsidRPr="00FE3A09">
        <w:rPr>
          <w:rFonts w:ascii="Arial" w:hAnsi="Arial" w:cs="Arial"/>
          <w:sz w:val="22"/>
          <w:szCs w:val="22"/>
        </w:rPr>
        <w:t xml:space="preserve"> </w:t>
      </w:r>
      <w:proofErr w:type="spellStart"/>
      <w:r w:rsidRPr="00FE3A09">
        <w:rPr>
          <w:rFonts w:ascii="Arial" w:hAnsi="Arial" w:cs="Arial"/>
          <w:sz w:val="22"/>
          <w:szCs w:val="22"/>
        </w:rPr>
        <w:t>eksploatacija</w:t>
      </w:r>
      <w:proofErr w:type="spellEnd"/>
      <w:r w:rsidRPr="00FE3A09">
        <w:rPr>
          <w:rFonts w:ascii="Arial" w:hAnsi="Arial" w:cs="Arial"/>
          <w:sz w:val="22"/>
          <w:szCs w:val="22"/>
        </w:rPr>
        <w:t xml:space="preserve"> </w:t>
      </w:r>
      <w:proofErr w:type="spellStart"/>
      <w:r w:rsidRPr="00FE3A09">
        <w:rPr>
          <w:rFonts w:ascii="Arial" w:hAnsi="Arial" w:cs="Arial"/>
          <w:sz w:val="22"/>
          <w:szCs w:val="22"/>
        </w:rPr>
        <w:t>uglja</w:t>
      </w:r>
      <w:proofErr w:type="spellEnd"/>
      <w:r w:rsidRPr="00FE3A09">
        <w:rPr>
          <w:rFonts w:ascii="Arial" w:hAnsi="Arial" w:cs="Arial"/>
          <w:sz w:val="22"/>
          <w:szCs w:val="22"/>
        </w:rPr>
        <w:t xml:space="preserve"> </w:t>
      </w:r>
      <w:proofErr w:type="spellStart"/>
      <w:r w:rsidRPr="00FE3A09">
        <w:rPr>
          <w:rFonts w:ascii="Arial" w:hAnsi="Arial" w:cs="Arial"/>
          <w:sz w:val="22"/>
          <w:szCs w:val="22"/>
        </w:rPr>
        <w:t>ležišta</w:t>
      </w:r>
      <w:proofErr w:type="spellEnd"/>
      <w:r w:rsidRPr="00FE3A09">
        <w:rPr>
          <w:rFonts w:ascii="Arial" w:hAnsi="Arial" w:cs="Arial"/>
          <w:sz w:val="22"/>
          <w:szCs w:val="22"/>
        </w:rPr>
        <w:t xml:space="preserve"> “</w:t>
      </w:r>
      <w:proofErr w:type="spellStart"/>
      <w:r w:rsidRPr="00FE3A09">
        <w:rPr>
          <w:rFonts w:ascii="Arial" w:hAnsi="Arial" w:cs="Arial"/>
          <w:sz w:val="22"/>
          <w:szCs w:val="22"/>
        </w:rPr>
        <w:t>Mataruge</w:t>
      </w:r>
      <w:proofErr w:type="spellEnd"/>
      <w:r w:rsidRPr="00FE3A09">
        <w:rPr>
          <w:rFonts w:ascii="Arial" w:hAnsi="Arial" w:cs="Arial"/>
          <w:sz w:val="22"/>
          <w:szCs w:val="22"/>
        </w:rPr>
        <w:t xml:space="preserve">” </w:t>
      </w:r>
      <w:proofErr w:type="spellStart"/>
      <w:r w:rsidRPr="00FE3A09">
        <w:rPr>
          <w:rFonts w:ascii="Arial" w:hAnsi="Arial" w:cs="Arial"/>
          <w:sz w:val="22"/>
          <w:szCs w:val="22"/>
        </w:rPr>
        <w:t>neophodno</w:t>
      </w:r>
      <w:proofErr w:type="spellEnd"/>
      <w:r w:rsidRPr="00FE3A09">
        <w:rPr>
          <w:rFonts w:ascii="Arial" w:hAnsi="Arial" w:cs="Arial"/>
          <w:sz w:val="22"/>
          <w:szCs w:val="22"/>
        </w:rPr>
        <w:t xml:space="preserve"> je da se </w:t>
      </w:r>
      <w:proofErr w:type="spellStart"/>
      <w:proofErr w:type="gramStart"/>
      <w:r w:rsidRPr="00FE3A09">
        <w:rPr>
          <w:rFonts w:ascii="Arial" w:hAnsi="Arial" w:cs="Arial"/>
          <w:sz w:val="22"/>
          <w:szCs w:val="22"/>
        </w:rPr>
        <w:t>uradi</w:t>
      </w:r>
      <w:proofErr w:type="spellEnd"/>
      <w:r w:rsidRPr="00FE3A09">
        <w:rPr>
          <w:rFonts w:ascii="Arial" w:hAnsi="Arial" w:cs="Arial"/>
          <w:sz w:val="22"/>
          <w:szCs w:val="22"/>
        </w:rPr>
        <w:t xml:space="preserve">  </w:t>
      </w:r>
      <w:proofErr w:type="spellStart"/>
      <w:r w:rsidRPr="00FE3A09">
        <w:rPr>
          <w:rFonts w:ascii="Arial" w:hAnsi="Arial" w:cs="Arial"/>
          <w:sz w:val="22"/>
          <w:szCs w:val="22"/>
        </w:rPr>
        <w:t>Glavni</w:t>
      </w:r>
      <w:proofErr w:type="spellEnd"/>
      <w:proofErr w:type="gramEnd"/>
      <w:r w:rsidRPr="00FE3A09">
        <w:rPr>
          <w:rFonts w:ascii="Arial" w:hAnsi="Arial" w:cs="Arial"/>
          <w:sz w:val="22"/>
          <w:szCs w:val="22"/>
        </w:rPr>
        <w:t xml:space="preserve"> </w:t>
      </w:r>
      <w:proofErr w:type="spellStart"/>
      <w:r w:rsidRPr="00FE3A09">
        <w:rPr>
          <w:rFonts w:ascii="Arial" w:hAnsi="Arial" w:cs="Arial"/>
          <w:sz w:val="22"/>
          <w:szCs w:val="22"/>
        </w:rPr>
        <w:t>rudarski</w:t>
      </w:r>
      <w:proofErr w:type="spellEnd"/>
      <w:r w:rsidRPr="00FE3A09">
        <w:rPr>
          <w:rFonts w:ascii="Arial" w:hAnsi="Arial" w:cs="Arial"/>
          <w:sz w:val="22"/>
          <w:szCs w:val="22"/>
        </w:rPr>
        <w:t xml:space="preserve"> </w:t>
      </w:r>
      <w:proofErr w:type="spellStart"/>
      <w:r w:rsidRPr="00FE3A09">
        <w:rPr>
          <w:rFonts w:ascii="Arial" w:hAnsi="Arial" w:cs="Arial"/>
          <w:sz w:val="22"/>
          <w:szCs w:val="22"/>
        </w:rPr>
        <w:t>projekat</w:t>
      </w:r>
      <w:proofErr w:type="spellEnd"/>
      <w:r w:rsidRPr="00FE3A09">
        <w:rPr>
          <w:rFonts w:ascii="Arial" w:hAnsi="Arial" w:cs="Arial"/>
          <w:sz w:val="22"/>
          <w:szCs w:val="22"/>
        </w:rPr>
        <w:t xml:space="preserve"> </w:t>
      </w:r>
      <w:proofErr w:type="spellStart"/>
      <w:r w:rsidRPr="00FE3A09">
        <w:rPr>
          <w:rFonts w:ascii="Arial" w:hAnsi="Arial" w:cs="Arial"/>
          <w:sz w:val="22"/>
          <w:szCs w:val="22"/>
        </w:rPr>
        <w:t>kojim</w:t>
      </w:r>
      <w:proofErr w:type="spellEnd"/>
      <w:r w:rsidRPr="00FE3A09">
        <w:rPr>
          <w:rFonts w:ascii="Arial" w:hAnsi="Arial" w:cs="Arial"/>
          <w:sz w:val="22"/>
          <w:szCs w:val="22"/>
        </w:rPr>
        <w:t xml:space="preserve"> bi se </w:t>
      </w:r>
      <w:proofErr w:type="spellStart"/>
      <w:r w:rsidRPr="00FE3A09">
        <w:rPr>
          <w:rFonts w:ascii="Arial" w:hAnsi="Arial" w:cs="Arial"/>
          <w:sz w:val="22"/>
          <w:szCs w:val="22"/>
        </w:rPr>
        <w:t>riješili</w:t>
      </w:r>
      <w:proofErr w:type="spellEnd"/>
      <w:r w:rsidRPr="00FE3A09">
        <w:rPr>
          <w:rFonts w:ascii="Arial" w:hAnsi="Arial" w:cs="Arial"/>
          <w:sz w:val="22"/>
          <w:szCs w:val="22"/>
        </w:rPr>
        <w:t xml:space="preserve"> </w:t>
      </w:r>
      <w:proofErr w:type="spellStart"/>
      <w:r w:rsidRPr="00FE3A09">
        <w:rPr>
          <w:rFonts w:ascii="Arial" w:hAnsi="Arial" w:cs="Arial"/>
          <w:sz w:val="22"/>
          <w:szCs w:val="22"/>
        </w:rPr>
        <w:t>svi</w:t>
      </w:r>
      <w:proofErr w:type="spellEnd"/>
      <w:r w:rsidRPr="00FE3A09">
        <w:rPr>
          <w:rFonts w:ascii="Arial" w:hAnsi="Arial" w:cs="Arial"/>
          <w:sz w:val="22"/>
          <w:szCs w:val="22"/>
        </w:rPr>
        <w:t xml:space="preserve"> </w:t>
      </w:r>
      <w:proofErr w:type="spellStart"/>
      <w:r w:rsidRPr="00FE3A09">
        <w:rPr>
          <w:rFonts w:ascii="Arial" w:hAnsi="Arial" w:cs="Arial"/>
          <w:sz w:val="22"/>
          <w:szCs w:val="22"/>
        </w:rPr>
        <w:t>problemi</w:t>
      </w:r>
      <w:proofErr w:type="spellEnd"/>
      <w:r w:rsidRPr="00FE3A09">
        <w:rPr>
          <w:rFonts w:ascii="Arial" w:hAnsi="Arial" w:cs="Arial"/>
          <w:sz w:val="22"/>
          <w:szCs w:val="22"/>
        </w:rPr>
        <w:t xml:space="preserve"> </w:t>
      </w:r>
      <w:proofErr w:type="spellStart"/>
      <w:r w:rsidRPr="00FE3A09">
        <w:rPr>
          <w:rFonts w:ascii="Arial" w:hAnsi="Arial" w:cs="Arial"/>
          <w:sz w:val="22"/>
          <w:szCs w:val="22"/>
        </w:rPr>
        <w:t>vezani</w:t>
      </w:r>
      <w:proofErr w:type="spellEnd"/>
      <w:r w:rsidRPr="00FE3A09">
        <w:rPr>
          <w:rFonts w:ascii="Arial" w:hAnsi="Arial" w:cs="Arial"/>
          <w:sz w:val="22"/>
          <w:szCs w:val="22"/>
        </w:rPr>
        <w:t xml:space="preserve"> </w:t>
      </w:r>
      <w:proofErr w:type="spellStart"/>
      <w:r w:rsidRPr="00FE3A09">
        <w:rPr>
          <w:rFonts w:ascii="Arial" w:hAnsi="Arial" w:cs="Arial"/>
          <w:sz w:val="22"/>
          <w:szCs w:val="22"/>
        </w:rPr>
        <w:t>za</w:t>
      </w:r>
      <w:proofErr w:type="spellEnd"/>
      <w:r w:rsidRPr="00FE3A09">
        <w:rPr>
          <w:rFonts w:ascii="Arial" w:hAnsi="Arial" w:cs="Arial"/>
          <w:sz w:val="22"/>
          <w:szCs w:val="22"/>
        </w:rPr>
        <w:t xml:space="preserve"> </w:t>
      </w:r>
      <w:proofErr w:type="spellStart"/>
      <w:r w:rsidRPr="00FE3A09">
        <w:rPr>
          <w:rFonts w:ascii="Arial" w:hAnsi="Arial" w:cs="Arial"/>
          <w:sz w:val="22"/>
          <w:szCs w:val="22"/>
        </w:rPr>
        <w:t>eksploataciju</w:t>
      </w:r>
      <w:proofErr w:type="spellEnd"/>
      <w:r w:rsidRPr="00FE3A09">
        <w:rPr>
          <w:rFonts w:ascii="Arial" w:hAnsi="Arial" w:cs="Arial"/>
          <w:sz w:val="22"/>
          <w:szCs w:val="22"/>
        </w:rPr>
        <w:t xml:space="preserve"> </w:t>
      </w:r>
      <w:proofErr w:type="spellStart"/>
      <w:r w:rsidRPr="00FE3A09">
        <w:rPr>
          <w:rFonts w:ascii="Arial" w:hAnsi="Arial" w:cs="Arial"/>
          <w:sz w:val="22"/>
          <w:szCs w:val="22"/>
        </w:rPr>
        <w:t>uglja</w:t>
      </w:r>
      <w:proofErr w:type="spellEnd"/>
      <w:r w:rsidRPr="00FE3A09">
        <w:rPr>
          <w:rFonts w:ascii="Arial" w:hAnsi="Arial" w:cs="Arial"/>
          <w:sz w:val="22"/>
          <w:szCs w:val="22"/>
        </w:rPr>
        <w:t xml:space="preserve"> u </w:t>
      </w:r>
      <w:proofErr w:type="spellStart"/>
      <w:r w:rsidRPr="00FE3A09">
        <w:rPr>
          <w:rFonts w:ascii="Arial" w:hAnsi="Arial" w:cs="Arial"/>
          <w:sz w:val="22"/>
          <w:szCs w:val="22"/>
        </w:rPr>
        <w:t>ležištu</w:t>
      </w:r>
      <w:proofErr w:type="spellEnd"/>
      <w:r w:rsidRPr="00FE3A09">
        <w:rPr>
          <w:rFonts w:ascii="Arial" w:hAnsi="Arial" w:cs="Arial"/>
          <w:sz w:val="22"/>
          <w:szCs w:val="22"/>
        </w:rPr>
        <w:t xml:space="preserve"> “</w:t>
      </w:r>
      <w:proofErr w:type="spellStart"/>
      <w:r w:rsidRPr="00FE3A09">
        <w:rPr>
          <w:rFonts w:ascii="Arial" w:hAnsi="Arial" w:cs="Arial"/>
          <w:sz w:val="22"/>
          <w:szCs w:val="22"/>
        </w:rPr>
        <w:t>Mataruge</w:t>
      </w:r>
      <w:proofErr w:type="spellEnd"/>
      <w:r w:rsidRPr="00FE3A09">
        <w:rPr>
          <w:rFonts w:ascii="Arial" w:hAnsi="Arial" w:cs="Arial"/>
          <w:sz w:val="22"/>
          <w:szCs w:val="22"/>
        </w:rPr>
        <w:t>”.</w:t>
      </w:r>
      <w:r w:rsidR="00814FAA" w:rsidRPr="00FE3A09">
        <w:rPr>
          <w:rFonts w:ascii="Arial" w:hAnsi="Arial" w:cs="Arial"/>
          <w:sz w:val="22"/>
          <w:szCs w:val="22"/>
        </w:rPr>
        <w:t xml:space="preserve"> </w:t>
      </w:r>
    </w:p>
    <w:p w14:paraId="1E44BA5F" w14:textId="77777777" w:rsidR="002F24ED" w:rsidRPr="00814FAA" w:rsidRDefault="002F24ED" w:rsidP="00B61E89">
      <w:pPr>
        <w:pStyle w:val="BodyText"/>
        <w:jc w:val="both"/>
        <w:rPr>
          <w:rFonts w:ascii="Arial" w:hAnsi="Arial" w:cs="Arial"/>
          <w:sz w:val="22"/>
          <w:szCs w:val="22"/>
        </w:rPr>
      </w:pPr>
      <w:proofErr w:type="spellStart"/>
      <w:r w:rsidRPr="00814FAA">
        <w:rPr>
          <w:rFonts w:ascii="Arial" w:hAnsi="Arial" w:cs="Arial"/>
          <w:sz w:val="22"/>
          <w:szCs w:val="22"/>
        </w:rPr>
        <w:t>Geometrija</w:t>
      </w:r>
      <w:proofErr w:type="spellEnd"/>
      <w:r w:rsidRPr="00814FAA">
        <w:rPr>
          <w:rFonts w:ascii="Arial" w:hAnsi="Arial" w:cs="Arial"/>
          <w:sz w:val="22"/>
          <w:szCs w:val="22"/>
        </w:rPr>
        <w:t xml:space="preserve"> </w:t>
      </w:r>
      <w:proofErr w:type="spellStart"/>
      <w:r w:rsidRPr="00814FAA">
        <w:rPr>
          <w:rFonts w:ascii="Arial" w:hAnsi="Arial" w:cs="Arial"/>
          <w:sz w:val="22"/>
          <w:szCs w:val="22"/>
        </w:rPr>
        <w:t>budućeg</w:t>
      </w:r>
      <w:proofErr w:type="spellEnd"/>
      <w:r w:rsidRPr="00814FAA">
        <w:rPr>
          <w:rFonts w:ascii="Arial" w:hAnsi="Arial" w:cs="Arial"/>
          <w:sz w:val="22"/>
          <w:szCs w:val="22"/>
        </w:rPr>
        <w:t xml:space="preserve"> </w:t>
      </w:r>
      <w:proofErr w:type="spellStart"/>
      <w:r w:rsidRPr="00814FAA">
        <w:rPr>
          <w:rFonts w:ascii="Arial" w:hAnsi="Arial" w:cs="Arial"/>
          <w:sz w:val="22"/>
          <w:szCs w:val="22"/>
        </w:rPr>
        <w:t>površinskog</w:t>
      </w:r>
      <w:proofErr w:type="spellEnd"/>
      <w:r w:rsidRPr="00814FAA">
        <w:rPr>
          <w:rFonts w:ascii="Arial" w:hAnsi="Arial" w:cs="Arial"/>
          <w:sz w:val="22"/>
          <w:szCs w:val="22"/>
        </w:rPr>
        <w:t xml:space="preserve"> </w:t>
      </w:r>
      <w:proofErr w:type="spellStart"/>
      <w:r w:rsidRPr="00814FAA">
        <w:rPr>
          <w:rFonts w:ascii="Arial" w:hAnsi="Arial" w:cs="Arial"/>
          <w:sz w:val="22"/>
          <w:szCs w:val="22"/>
        </w:rPr>
        <w:t>kopa</w:t>
      </w:r>
      <w:proofErr w:type="spellEnd"/>
      <w:r w:rsidRPr="00814FAA">
        <w:rPr>
          <w:rFonts w:ascii="Arial" w:hAnsi="Arial" w:cs="Arial"/>
          <w:sz w:val="22"/>
          <w:szCs w:val="22"/>
        </w:rPr>
        <w:t xml:space="preserve"> u </w:t>
      </w:r>
      <w:proofErr w:type="spellStart"/>
      <w:r w:rsidRPr="00814FAA">
        <w:rPr>
          <w:rFonts w:ascii="Arial" w:hAnsi="Arial" w:cs="Arial"/>
          <w:sz w:val="22"/>
          <w:szCs w:val="22"/>
        </w:rPr>
        <w:t>funkciji</w:t>
      </w:r>
      <w:proofErr w:type="spellEnd"/>
      <w:r w:rsidRPr="00814FAA">
        <w:rPr>
          <w:rFonts w:ascii="Arial" w:hAnsi="Arial" w:cs="Arial"/>
          <w:sz w:val="22"/>
          <w:szCs w:val="22"/>
        </w:rPr>
        <w:t xml:space="preserve"> je </w:t>
      </w:r>
      <w:proofErr w:type="spellStart"/>
      <w:r w:rsidRPr="00814FAA">
        <w:rPr>
          <w:rFonts w:ascii="Arial" w:hAnsi="Arial" w:cs="Arial"/>
          <w:sz w:val="22"/>
          <w:szCs w:val="22"/>
        </w:rPr>
        <w:t>rudarsko-geoloških</w:t>
      </w:r>
      <w:proofErr w:type="spellEnd"/>
      <w:r w:rsidRPr="00814FAA">
        <w:rPr>
          <w:rFonts w:ascii="Arial" w:hAnsi="Arial" w:cs="Arial"/>
          <w:sz w:val="22"/>
          <w:szCs w:val="22"/>
        </w:rPr>
        <w:t xml:space="preserve"> </w:t>
      </w:r>
      <w:proofErr w:type="spellStart"/>
      <w:r w:rsidRPr="00814FAA">
        <w:rPr>
          <w:rFonts w:ascii="Arial" w:hAnsi="Arial" w:cs="Arial"/>
          <w:sz w:val="22"/>
          <w:szCs w:val="22"/>
        </w:rPr>
        <w:t>uslova</w:t>
      </w:r>
      <w:proofErr w:type="spellEnd"/>
      <w:r w:rsidRPr="00814FAA">
        <w:rPr>
          <w:rFonts w:ascii="Arial" w:hAnsi="Arial" w:cs="Arial"/>
          <w:sz w:val="22"/>
          <w:szCs w:val="22"/>
        </w:rPr>
        <w:t xml:space="preserve"> </w:t>
      </w:r>
      <w:proofErr w:type="spellStart"/>
      <w:r w:rsidRPr="00814FAA">
        <w:rPr>
          <w:rFonts w:ascii="Arial" w:hAnsi="Arial" w:cs="Arial"/>
          <w:sz w:val="22"/>
          <w:szCs w:val="22"/>
        </w:rPr>
        <w:t>eksploatacije</w:t>
      </w:r>
      <w:proofErr w:type="spellEnd"/>
      <w:r w:rsidRPr="00814FAA">
        <w:rPr>
          <w:rFonts w:ascii="Arial" w:hAnsi="Arial" w:cs="Arial"/>
          <w:sz w:val="22"/>
          <w:szCs w:val="22"/>
        </w:rPr>
        <w:t xml:space="preserve">, </w:t>
      </w:r>
      <w:proofErr w:type="spellStart"/>
      <w:r w:rsidRPr="00814FAA">
        <w:rPr>
          <w:rFonts w:ascii="Arial" w:hAnsi="Arial" w:cs="Arial"/>
          <w:sz w:val="22"/>
          <w:szCs w:val="22"/>
        </w:rPr>
        <w:t>mogućnosti</w:t>
      </w:r>
      <w:proofErr w:type="spellEnd"/>
      <w:r w:rsidRPr="00814FAA">
        <w:rPr>
          <w:rFonts w:ascii="Arial" w:hAnsi="Arial" w:cs="Arial"/>
          <w:sz w:val="22"/>
          <w:szCs w:val="22"/>
        </w:rPr>
        <w:t xml:space="preserve"> </w:t>
      </w:r>
      <w:proofErr w:type="spellStart"/>
      <w:r w:rsidRPr="00814FAA">
        <w:rPr>
          <w:rFonts w:ascii="Arial" w:hAnsi="Arial" w:cs="Arial"/>
          <w:sz w:val="22"/>
          <w:szCs w:val="22"/>
        </w:rPr>
        <w:t>razvoja</w:t>
      </w:r>
      <w:proofErr w:type="spellEnd"/>
      <w:r w:rsidRPr="00814FAA">
        <w:rPr>
          <w:rFonts w:ascii="Arial" w:hAnsi="Arial" w:cs="Arial"/>
          <w:sz w:val="22"/>
          <w:szCs w:val="22"/>
        </w:rPr>
        <w:t xml:space="preserve"> </w:t>
      </w:r>
      <w:proofErr w:type="spellStart"/>
      <w:r w:rsidRPr="00814FAA">
        <w:rPr>
          <w:rFonts w:ascii="Arial" w:hAnsi="Arial" w:cs="Arial"/>
          <w:sz w:val="22"/>
          <w:szCs w:val="22"/>
        </w:rPr>
        <w:t>fronta</w:t>
      </w:r>
      <w:proofErr w:type="spellEnd"/>
      <w:r w:rsidRPr="00814FAA">
        <w:rPr>
          <w:rFonts w:ascii="Arial" w:hAnsi="Arial" w:cs="Arial"/>
          <w:sz w:val="22"/>
          <w:szCs w:val="22"/>
        </w:rPr>
        <w:t xml:space="preserve"> </w:t>
      </w:r>
      <w:proofErr w:type="spellStart"/>
      <w:r w:rsidRPr="00814FAA">
        <w:rPr>
          <w:rFonts w:ascii="Arial" w:hAnsi="Arial" w:cs="Arial"/>
          <w:sz w:val="22"/>
          <w:szCs w:val="22"/>
        </w:rPr>
        <w:t>rudarskih</w:t>
      </w:r>
      <w:proofErr w:type="spellEnd"/>
      <w:r w:rsidRPr="00814FAA">
        <w:rPr>
          <w:rFonts w:ascii="Arial" w:hAnsi="Arial" w:cs="Arial"/>
          <w:sz w:val="22"/>
          <w:szCs w:val="22"/>
        </w:rPr>
        <w:t xml:space="preserve"> </w:t>
      </w:r>
      <w:proofErr w:type="spellStart"/>
      <w:r w:rsidRPr="00814FAA">
        <w:rPr>
          <w:rFonts w:ascii="Arial" w:hAnsi="Arial" w:cs="Arial"/>
          <w:sz w:val="22"/>
          <w:szCs w:val="22"/>
        </w:rPr>
        <w:t>radova</w:t>
      </w:r>
      <w:proofErr w:type="spellEnd"/>
      <w:r w:rsidRPr="00814FAA">
        <w:rPr>
          <w:rFonts w:ascii="Arial" w:hAnsi="Arial" w:cs="Arial"/>
          <w:sz w:val="22"/>
          <w:szCs w:val="22"/>
        </w:rPr>
        <w:t xml:space="preserve">, </w:t>
      </w:r>
      <w:proofErr w:type="spellStart"/>
      <w:r w:rsidRPr="00814FAA">
        <w:rPr>
          <w:rFonts w:ascii="Arial" w:hAnsi="Arial" w:cs="Arial"/>
          <w:sz w:val="22"/>
          <w:szCs w:val="22"/>
        </w:rPr>
        <w:t>kvaliteta</w:t>
      </w:r>
      <w:proofErr w:type="spellEnd"/>
      <w:r w:rsidRPr="00814FAA">
        <w:rPr>
          <w:rFonts w:ascii="Arial" w:hAnsi="Arial" w:cs="Arial"/>
          <w:sz w:val="22"/>
          <w:szCs w:val="22"/>
        </w:rPr>
        <w:t xml:space="preserve"> </w:t>
      </w:r>
      <w:proofErr w:type="spellStart"/>
      <w:r w:rsidRPr="00814FAA">
        <w:rPr>
          <w:rFonts w:ascii="Arial" w:hAnsi="Arial" w:cs="Arial"/>
          <w:sz w:val="22"/>
          <w:szCs w:val="22"/>
        </w:rPr>
        <w:t>i</w:t>
      </w:r>
      <w:proofErr w:type="spellEnd"/>
      <w:r w:rsidRPr="00814FAA">
        <w:rPr>
          <w:rFonts w:ascii="Arial" w:hAnsi="Arial" w:cs="Arial"/>
          <w:sz w:val="22"/>
          <w:szCs w:val="22"/>
        </w:rPr>
        <w:t xml:space="preserve"> </w:t>
      </w:r>
      <w:proofErr w:type="spellStart"/>
      <w:r w:rsidRPr="00814FAA">
        <w:rPr>
          <w:rFonts w:ascii="Arial" w:hAnsi="Arial" w:cs="Arial"/>
          <w:sz w:val="22"/>
          <w:szCs w:val="22"/>
        </w:rPr>
        <w:t>tržišta</w:t>
      </w:r>
      <w:proofErr w:type="spellEnd"/>
      <w:r w:rsidRPr="00814FAA">
        <w:rPr>
          <w:rFonts w:ascii="Arial" w:hAnsi="Arial" w:cs="Arial"/>
          <w:sz w:val="22"/>
          <w:szCs w:val="22"/>
        </w:rPr>
        <w:t xml:space="preserve"> </w:t>
      </w:r>
      <w:proofErr w:type="spellStart"/>
      <w:r w:rsidRPr="00814FAA">
        <w:rPr>
          <w:rFonts w:ascii="Arial" w:hAnsi="Arial" w:cs="Arial"/>
          <w:sz w:val="22"/>
          <w:szCs w:val="22"/>
        </w:rPr>
        <w:t>uglja</w:t>
      </w:r>
      <w:proofErr w:type="spellEnd"/>
      <w:r w:rsidRPr="00814FAA">
        <w:rPr>
          <w:rFonts w:ascii="Arial" w:hAnsi="Arial" w:cs="Arial"/>
          <w:sz w:val="22"/>
          <w:szCs w:val="22"/>
        </w:rPr>
        <w:t>.</w:t>
      </w:r>
    </w:p>
    <w:p w14:paraId="4DAE8030" w14:textId="02ED971D" w:rsidR="002F24ED" w:rsidRPr="00814FAA" w:rsidRDefault="002F24ED" w:rsidP="00B61E89">
      <w:pPr>
        <w:pStyle w:val="BodyText"/>
        <w:jc w:val="both"/>
        <w:rPr>
          <w:rFonts w:ascii="Arial" w:hAnsi="Arial" w:cs="Arial"/>
          <w:sz w:val="22"/>
          <w:szCs w:val="22"/>
        </w:rPr>
      </w:pPr>
      <w:proofErr w:type="spellStart"/>
      <w:r w:rsidRPr="00814FAA">
        <w:rPr>
          <w:rFonts w:ascii="Arial" w:hAnsi="Arial" w:cs="Arial"/>
          <w:sz w:val="22"/>
          <w:szCs w:val="22"/>
        </w:rPr>
        <w:t>Analizirajući</w:t>
      </w:r>
      <w:proofErr w:type="spellEnd"/>
      <w:r w:rsidRPr="00814FAA">
        <w:rPr>
          <w:rFonts w:ascii="Arial" w:hAnsi="Arial" w:cs="Arial"/>
          <w:sz w:val="22"/>
          <w:szCs w:val="22"/>
        </w:rPr>
        <w:t xml:space="preserve"> </w:t>
      </w:r>
      <w:proofErr w:type="spellStart"/>
      <w:r w:rsidRPr="00814FAA">
        <w:rPr>
          <w:rFonts w:ascii="Arial" w:hAnsi="Arial" w:cs="Arial"/>
          <w:sz w:val="22"/>
          <w:szCs w:val="22"/>
        </w:rPr>
        <w:t>sve</w:t>
      </w:r>
      <w:proofErr w:type="spellEnd"/>
      <w:r w:rsidRPr="00814FAA">
        <w:rPr>
          <w:rFonts w:ascii="Arial" w:hAnsi="Arial" w:cs="Arial"/>
          <w:sz w:val="22"/>
          <w:szCs w:val="22"/>
        </w:rPr>
        <w:t xml:space="preserve"> </w:t>
      </w:r>
      <w:proofErr w:type="spellStart"/>
      <w:r w:rsidRPr="00814FAA">
        <w:rPr>
          <w:rFonts w:ascii="Arial" w:hAnsi="Arial" w:cs="Arial"/>
          <w:sz w:val="22"/>
          <w:szCs w:val="22"/>
        </w:rPr>
        <w:t>ove</w:t>
      </w:r>
      <w:proofErr w:type="spellEnd"/>
      <w:r w:rsidRPr="00814FAA">
        <w:rPr>
          <w:rFonts w:ascii="Arial" w:hAnsi="Arial" w:cs="Arial"/>
          <w:sz w:val="22"/>
          <w:szCs w:val="22"/>
        </w:rPr>
        <w:t xml:space="preserve"> </w:t>
      </w:r>
      <w:proofErr w:type="spellStart"/>
      <w:r w:rsidRPr="00814FAA">
        <w:rPr>
          <w:rFonts w:ascii="Arial" w:hAnsi="Arial" w:cs="Arial"/>
          <w:sz w:val="22"/>
          <w:szCs w:val="22"/>
        </w:rPr>
        <w:t>parametre</w:t>
      </w:r>
      <w:proofErr w:type="spellEnd"/>
      <w:r w:rsidRPr="00814FAA">
        <w:rPr>
          <w:rFonts w:ascii="Arial" w:hAnsi="Arial" w:cs="Arial"/>
          <w:sz w:val="22"/>
          <w:szCs w:val="22"/>
        </w:rPr>
        <w:t xml:space="preserve">, a </w:t>
      </w:r>
      <w:proofErr w:type="spellStart"/>
      <w:r w:rsidRPr="00814FAA">
        <w:rPr>
          <w:rFonts w:ascii="Arial" w:hAnsi="Arial" w:cs="Arial"/>
          <w:sz w:val="22"/>
          <w:szCs w:val="22"/>
        </w:rPr>
        <w:t>posebno</w:t>
      </w:r>
      <w:proofErr w:type="spellEnd"/>
      <w:r w:rsidRPr="00814FAA">
        <w:rPr>
          <w:rFonts w:ascii="Arial" w:hAnsi="Arial" w:cs="Arial"/>
          <w:sz w:val="22"/>
          <w:szCs w:val="22"/>
        </w:rPr>
        <w:t xml:space="preserve"> </w:t>
      </w:r>
      <w:proofErr w:type="spellStart"/>
      <w:r w:rsidRPr="00814FAA">
        <w:rPr>
          <w:rFonts w:ascii="Arial" w:hAnsi="Arial" w:cs="Arial"/>
          <w:sz w:val="22"/>
          <w:szCs w:val="22"/>
        </w:rPr>
        <w:t>imajući</w:t>
      </w:r>
      <w:proofErr w:type="spellEnd"/>
      <w:r w:rsidRPr="00814FAA">
        <w:rPr>
          <w:rFonts w:ascii="Arial" w:hAnsi="Arial" w:cs="Arial"/>
          <w:sz w:val="22"/>
          <w:szCs w:val="22"/>
        </w:rPr>
        <w:t xml:space="preserve"> u </w:t>
      </w:r>
      <w:proofErr w:type="spellStart"/>
      <w:r w:rsidRPr="00814FAA">
        <w:rPr>
          <w:rFonts w:ascii="Arial" w:hAnsi="Arial" w:cs="Arial"/>
          <w:sz w:val="22"/>
          <w:szCs w:val="22"/>
        </w:rPr>
        <w:t>vidu</w:t>
      </w:r>
      <w:proofErr w:type="spellEnd"/>
      <w:r w:rsidRPr="00814FAA">
        <w:rPr>
          <w:rFonts w:ascii="Arial" w:hAnsi="Arial" w:cs="Arial"/>
          <w:sz w:val="22"/>
          <w:szCs w:val="22"/>
        </w:rPr>
        <w:t xml:space="preserve"> da je </w:t>
      </w:r>
      <w:proofErr w:type="spellStart"/>
      <w:r w:rsidRPr="00814FAA">
        <w:rPr>
          <w:rFonts w:ascii="Arial" w:hAnsi="Arial" w:cs="Arial"/>
          <w:sz w:val="22"/>
          <w:szCs w:val="22"/>
        </w:rPr>
        <w:t>ugalj</w:t>
      </w:r>
      <w:proofErr w:type="spellEnd"/>
      <w:r w:rsidRPr="00814FAA">
        <w:rPr>
          <w:rFonts w:ascii="Arial" w:hAnsi="Arial" w:cs="Arial"/>
          <w:sz w:val="22"/>
          <w:szCs w:val="22"/>
        </w:rPr>
        <w:t xml:space="preserve"> </w:t>
      </w:r>
      <w:proofErr w:type="spellStart"/>
      <w:r w:rsidRPr="00814FAA">
        <w:rPr>
          <w:rFonts w:ascii="Arial" w:hAnsi="Arial" w:cs="Arial"/>
          <w:sz w:val="22"/>
          <w:szCs w:val="22"/>
        </w:rPr>
        <w:t>iz</w:t>
      </w:r>
      <w:proofErr w:type="spellEnd"/>
      <w:r w:rsidRPr="00814FAA">
        <w:rPr>
          <w:rFonts w:ascii="Arial" w:hAnsi="Arial" w:cs="Arial"/>
          <w:sz w:val="22"/>
          <w:szCs w:val="22"/>
        </w:rPr>
        <w:t xml:space="preserve"> </w:t>
      </w:r>
      <w:proofErr w:type="spellStart"/>
      <w:r w:rsidRPr="00814FAA">
        <w:rPr>
          <w:rFonts w:ascii="Arial" w:hAnsi="Arial" w:cs="Arial"/>
          <w:sz w:val="22"/>
          <w:szCs w:val="22"/>
        </w:rPr>
        <w:t>ovog</w:t>
      </w:r>
      <w:proofErr w:type="spellEnd"/>
      <w:r w:rsidRPr="00814FAA">
        <w:rPr>
          <w:rFonts w:ascii="Arial" w:hAnsi="Arial" w:cs="Arial"/>
          <w:sz w:val="22"/>
          <w:szCs w:val="22"/>
        </w:rPr>
        <w:t xml:space="preserve"> </w:t>
      </w:r>
      <w:proofErr w:type="spellStart"/>
      <w:r w:rsidRPr="00814FAA">
        <w:rPr>
          <w:rFonts w:ascii="Arial" w:hAnsi="Arial" w:cs="Arial"/>
          <w:sz w:val="22"/>
          <w:szCs w:val="22"/>
        </w:rPr>
        <w:t>basena</w:t>
      </w:r>
      <w:proofErr w:type="spellEnd"/>
      <w:r w:rsidRPr="00814FAA">
        <w:rPr>
          <w:rFonts w:ascii="Arial" w:hAnsi="Arial" w:cs="Arial"/>
          <w:sz w:val="22"/>
          <w:szCs w:val="22"/>
        </w:rPr>
        <w:t xml:space="preserve"> </w:t>
      </w:r>
      <w:proofErr w:type="spellStart"/>
      <w:r w:rsidRPr="00814FAA">
        <w:rPr>
          <w:rFonts w:ascii="Arial" w:hAnsi="Arial" w:cs="Arial"/>
          <w:sz w:val="22"/>
          <w:szCs w:val="22"/>
        </w:rPr>
        <w:t>termoenergetsko</w:t>
      </w:r>
      <w:proofErr w:type="spellEnd"/>
      <w:r w:rsidRPr="00814FAA">
        <w:rPr>
          <w:rFonts w:ascii="Arial" w:hAnsi="Arial" w:cs="Arial"/>
          <w:sz w:val="22"/>
          <w:szCs w:val="22"/>
        </w:rPr>
        <w:t xml:space="preserve"> </w:t>
      </w:r>
      <w:proofErr w:type="spellStart"/>
      <w:r w:rsidRPr="00814FAA">
        <w:rPr>
          <w:rFonts w:ascii="Arial" w:hAnsi="Arial" w:cs="Arial"/>
          <w:sz w:val="22"/>
          <w:szCs w:val="22"/>
        </w:rPr>
        <w:t>gorivo</w:t>
      </w:r>
      <w:proofErr w:type="spellEnd"/>
      <w:r w:rsidRPr="00814FAA">
        <w:rPr>
          <w:rFonts w:ascii="Arial" w:hAnsi="Arial" w:cs="Arial"/>
          <w:sz w:val="22"/>
          <w:szCs w:val="22"/>
        </w:rPr>
        <w:t xml:space="preserve"> </w:t>
      </w:r>
      <w:proofErr w:type="spellStart"/>
      <w:r w:rsidRPr="00814FAA">
        <w:rPr>
          <w:rFonts w:ascii="Arial" w:hAnsi="Arial" w:cs="Arial"/>
          <w:sz w:val="22"/>
          <w:szCs w:val="22"/>
        </w:rPr>
        <w:t>nižeg</w:t>
      </w:r>
      <w:proofErr w:type="spellEnd"/>
      <w:r w:rsidRPr="00814FAA">
        <w:rPr>
          <w:rFonts w:ascii="Arial" w:hAnsi="Arial" w:cs="Arial"/>
          <w:sz w:val="22"/>
          <w:szCs w:val="22"/>
        </w:rPr>
        <w:t xml:space="preserve"> </w:t>
      </w:r>
      <w:proofErr w:type="spellStart"/>
      <w:r w:rsidRPr="00814FAA">
        <w:rPr>
          <w:rFonts w:ascii="Arial" w:hAnsi="Arial" w:cs="Arial"/>
          <w:sz w:val="22"/>
          <w:szCs w:val="22"/>
        </w:rPr>
        <w:t>kvaliteta</w:t>
      </w:r>
      <w:proofErr w:type="spellEnd"/>
      <w:r w:rsidRPr="00814FAA">
        <w:rPr>
          <w:rFonts w:ascii="Arial" w:hAnsi="Arial" w:cs="Arial"/>
          <w:sz w:val="22"/>
          <w:szCs w:val="22"/>
        </w:rPr>
        <w:t xml:space="preserve"> </w:t>
      </w:r>
      <w:proofErr w:type="spellStart"/>
      <w:proofErr w:type="gramStart"/>
      <w:r w:rsidRPr="00814FAA">
        <w:rPr>
          <w:rFonts w:ascii="Arial" w:hAnsi="Arial" w:cs="Arial"/>
          <w:sz w:val="22"/>
          <w:szCs w:val="22"/>
        </w:rPr>
        <w:t>te</w:t>
      </w:r>
      <w:proofErr w:type="spellEnd"/>
      <w:proofErr w:type="gramEnd"/>
      <w:r w:rsidRPr="00814FAA">
        <w:rPr>
          <w:rFonts w:ascii="Arial" w:hAnsi="Arial" w:cs="Arial"/>
          <w:sz w:val="22"/>
          <w:szCs w:val="22"/>
        </w:rPr>
        <w:t xml:space="preserve"> da se </w:t>
      </w:r>
      <w:proofErr w:type="spellStart"/>
      <w:r w:rsidRPr="00814FAA">
        <w:rPr>
          <w:rFonts w:ascii="Arial" w:hAnsi="Arial" w:cs="Arial"/>
          <w:sz w:val="22"/>
          <w:szCs w:val="22"/>
        </w:rPr>
        <w:t>za</w:t>
      </w:r>
      <w:proofErr w:type="spellEnd"/>
      <w:r w:rsidRPr="00814FAA">
        <w:rPr>
          <w:rFonts w:ascii="Arial" w:hAnsi="Arial" w:cs="Arial"/>
          <w:sz w:val="22"/>
          <w:szCs w:val="22"/>
        </w:rPr>
        <w:t xml:space="preserve"> </w:t>
      </w:r>
      <w:proofErr w:type="spellStart"/>
      <w:r w:rsidRPr="00814FAA">
        <w:rPr>
          <w:rFonts w:ascii="Arial" w:hAnsi="Arial" w:cs="Arial"/>
          <w:sz w:val="22"/>
          <w:szCs w:val="22"/>
        </w:rPr>
        <w:t>njegovo</w:t>
      </w:r>
      <w:proofErr w:type="spellEnd"/>
      <w:r w:rsidRPr="00814FAA">
        <w:rPr>
          <w:rFonts w:ascii="Arial" w:hAnsi="Arial" w:cs="Arial"/>
          <w:sz w:val="22"/>
          <w:szCs w:val="22"/>
        </w:rPr>
        <w:t xml:space="preserve"> </w:t>
      </w:r>
      <w:proofErr w:type="spellStart"/>
      <w:r w:rsidRPr="00814FAA">
        <w:rPr>
          <w:rFonts w:ascii="Arial" w:hAnsi="Arial" w:cs="Arial"/>
          <w:sz w:val="22"/>
          <w:szCs w:val="22"/>
        </w:rPr>
        <w:t>sagorjevanje</w:t>
      </w:r>
      <w:proofErr w:type="spellEnd"/>
      <w:r w:rsidRPr="00814FAA">
        <w:rPr>
          <w:rFonts w:ascii="Arial" w:hAnsi="Arial" w:cs="Arial"/>
          <w:sz w:val="22"/>
          <w:szCs w:val="22"/>
        </w:rPr>
        <w:t xml:space="preserve"> u </w:t>
      </w:r>
      <w:proofErr w:type="spellStart"/>
      <w:r w:rsidRPr="00814FAA">
        <w:rPr>
          <w:rFonts w:ascii="Arial" w:hAnsi="Arial" w:cs="Arial"/>
          <w:sz w:val="22"/>
          <w:szCs w:val="22"/>
        </w:rPr>
        <w:t>postrojenju</w:t>
      </w:r>
      <w:proofErr w:type="spellEnd"/>
      <w:r w:rsidRPr="00814FAA">
        <w:rPr>
          <w:rFonts w:ascii="Arial" w:hAnsi="Arial" w:cs="Arial"/>
          <w:sz w:val="22"/>
          <w:szCs w:val="22"/>
        </w:rPr>
        <w:t xml:space="preserve"> </w:t>
      </w:r>
      <w:proofErr w:type="spellStart"/>
      <w:r w:rsidRPr="00814FAA">
        <w:rPr>
          <w:rFonts w:ascii="Arial" w:hAnsi="Arial" w:cs="Arial"/>
          <w:sz w:val="22"/>
          <w:szCs w:val="22"/>
        </w:rPr>
        <w:t>TE«Pljevlja</w:t>
      </w:r>
      <w:proofErr w:type="spellEnd"/>
      <w:r w:rsidRPr="00814FAA">
        <w:rPr>
          <w:rFonts w:ascii="Arial" w:hAnsi="Arial" w:cs="Arial"/>
          <w:sz w:val="22"/>
          <w:szCs w:val="22"/>
        </w:rPr>
        <w:t xml:space="preserve"> I« </w:t>
      </w:r>
      <w:proofErr w:type="spellStart"/>
      <w:r w:rsidRPr="00814FAA">
        <w:rPr>
          <w:rFonts w:ascii="Arial" w:hAnsi="Arial" w:cs="Arial"/>
          <w:sz w:val="22"/>
          <w:szCs w:val="22"/>
        </w:rPr>
        <w:t>mora</w:t>
      </w:r>
      <w:proofErr w:type="spellEnd"/>
      <w:r w:rsidRPr="00814FAA">
        <w:rPr>
          <w:rFonts w:ascii="Arial" w:hAnsi="Arial" w:cs="Arial"/>
          <w:sz w:val="22"/>
          <w:szCs w:val="22"/>
        </w:rPr>
        <w:t xml:space="preserve"> </w:t>
      </w:r>
      <w:proofErr w:type="spellStart"/>
      <w:r w:rsidRPr="00814FAA">
        <w:rPr>
          <w:rFonts w:ascii="Arial" w:hAnsi="Arial" w:cs="Arial"/>
          <w:sz w:val="22"/>
          <w:szCs w:val="22"/>
        </w:rPr>
        <w:t>vršiti</w:t>
      </w:r>
      <w:proofErr w:type="spellEnd"/>
      <w:r w:rsidRPr="00814FAA">
        <w:rPr>
          <w:rFonts w:ascii="Arial" w:hAnsi="Arial" w:cs="Arial"/>
          <w:sz w:val="22"/>
          <w:szCs w:val="22"/>
        </w:rPr>
        <w:t xml:space="preserve"> </w:t>
      </w:r>
      <w:proofErr w:type="spellStart"/>
      <w:r w:rsidRPr="00814FAA">
        <w:rPr>
          <w:rFonts w:ascii="Arial" w:hAnsi="Arial" w:cs="Arial"/>
          <w:sz w:val="22"/>
          <w:szCs w:val="22"/>
        </w:rPr>
        <w:t>homogenizacija</w:t>
      </w:r>
      <w:proofErr w:type="spellEnd"/>
      <w:r w:rsidRPr="00814FAA">
        <w:rPr>
          <w:rFonts w:ascii="Arial" w:hAnsi="Arial" w:cs="Arial"/>
          <w:sz w:val="22"/>
          <w:szCs w:val="22"/>
        </w:rPr>
        <w:t xml:space="preserve"> </w:t>
      </w:r>
      <w:proofErr w:type="spellStart"/>
      <w:r w:rsidRPr="00814FAA">
        <w:rPr>
          <w:rFonts w:ascii="Arial" w:hAnsi="Arial" w:cs="Arial"/>
          <w:sz w:val="22"/>
          <w:szCs w:val="22"/>
        </w:rPr>
        <w:t>sa</w:t>
      </w:r>
      <w:proofErr w:type="spellEnd"/>
      <w:r w:rsidRPr="00814FAA">
        <w:rPr>
          <w:rFonts w:ascii="Arial" w:hAnsi="Arial" w:cs="Arial"/>
          <w:sz w:val="22"/>
          <w:szCs w:val="22"/>
        </w:rPr>
        <w:t xml:space="preserve"> </w:t>
      </w:r>
      <w:proofErr w:type="spellStart"/>
      <w:r w:rsidRPr="00814FAA">
        <w:rPr>
          <w:rFonts w:ascii="Arial" w:hAnsi="Arial" w:cs="Arial"/>
          <w:sz w:val="22"/>
          <w:szCs w:val="22"/>
        </w:rPr>
        <w:t>ugljevima</w:t>
      </w:r>
      <w:proofErr w:type="spellEnd"/>
      <w:r w:rsidRPr="00814FAA">
        <w:rPr>
          <w:rFonts w:ascii="Arial" w:hAnsi="Arial" w:cs="Arial"/>
          <w:sz w:val="22"/>
          <w:szCs w:val="22"/>
        </w:rPr>
        <w:t xml:space="preserve"> </w:t>
      </w:r>
      <w:proofErr w:type="spellStart"/>
      <w:r w:rsidRPr="00814FAA">
        <w:rPr>
          <w:rFonts w:ascii="Arial" w:hAnsi="Arial" w:cs="Arial"/>
          <w:sz w:val="22"/>
          <w:szCs w:val="22"/>
        </w:rPr>
        <w:t>većeg</w:t>
      </w:r>
      <w:proofErr w:type="spellEnd"/>
      <w:r w:rsidRPr="00814FAA">
        <w:rPr>
          <w:rFonts w:ascii="Arial" w:hAnsi="Arial" w:cs="Arial"/>
          <w:sz w:val="22"/>
          <w:szCs w:val="22"/>
        </w:rPr>
        <w:t xml:space="preserve"> </w:t>
      </w:r>
      <w:proofErr w:type="spellStart"/>
      <w:r w:rsidRPr="00814FAA">
        <w:rPr>
          <w:rFonts w:ascii="Arial" w:hAnsi="Arial" w:cs="Arial"/>
          <w:sz w:val="22"/>
          <w:szCs w:val="22"/>
        </w:rPr>
        <w:t>kvaliteta</w:t>
      </w:r>
      <w:proofErr w:type="spellEnd"/>
      <w:r w:rsidRPr="00814FAA">
        <w:rPr>
          <w:rFonts w:ascii="Arial" w:hAnsi="Arial" w:cs="Arial"/>
          <w:sz w:val="22"/>
          <w:szCs w:val="22"/>
        </w:rPr>
        <w:t xml:space="preserve">, </w:t>
      </w:r>
      <w:proofErr w:type="spellStart"/>
      <w:r w:rsidRPr="00814FAA">
        <w:rPr>
          <w:rFonts w:ascii="Arial" w:hAnsi="Arial" w:cs="Arial"/>
          <w:sz w:val="22"/>
          <w:szCs w:val="22"/>
        </w:rPr>
        <w:t>maksimalna</w:t>
      </w:r>
      <w:proofErr w:type="spellEnd"/>
      <w:r w:rsidRPr="00814FAA">
        <w:rPr>
          <w:rFonts w:ascii="Arial" w:hAnsi="Arial" w:cs="Arial"/>
          <w:sz w:val="22"/>
          <w:szCs w:val="22"/>
        </w:rPr>
        <w:t xml:space="preserve"> </w:t>
      </w:r>
      <w:proofErr w:type="spellStart"/>
      <w:r w:rsidRPr="00814FAA">
        <w:rPr>
          <w:rFonts w:ascii="Arial" w:hAnsi="Arial" w:cs="Arial"/>
          <w:sz w:val="22"/>
          <w:szCs w:val="22"/>
        </w:rPr>
        <w:t>godišnja</w:t>
      </w:r>
      <w:proofErr w:type="spellEnd"/>
      <w:r w:rsidRPr="00814FAA">
        <w:rPr>
          <w:rFonts w:ascii="Arial" w:hAnsi="Arial" w:cs="Arial"/>
          <w:sz w:val="22"/>
          <w:szCs w:val="22"/>
        </w:rPr>
        <w:t xml:space="preserve"> </w:t>
      </w:r>
      <w:proofErr w:type="spellStart"/>
      <w:r w:rsidR="008406A7">
        <w:rPr>
          <w:rFonts w:ascii="Arial" w:hAnsi="Arial" w:cs="Arial"/>
          <w:sz w:val="22"/>
          <w:szCs w:val="22"/>
        </w:rPr>
        <w:t>proizvodnja</w:t>
      </w:r>
      <w:proofErr w:type="spellEnd"/>
      <w:r w:rsidR="008406A7">
        <w:rPr>
          <w:rFonts w:ascii="Arial" w:hAnsi="Arial" w:cs="Arial"/>
          <w:sz w:val="22"/>
          <w:szCs w:val="22"/>
        </w:rPr>
        <w:t xml:space="preserve"> </w:t>
      </w:r>
      <w:proofErr w:type="spellStart"/>
      <w:r w:rsidR="008406A7">
        <w:rPr>
          <w:rFonts w:ascii="Arial" w:hAnsi="Arial" w:cs="Arial"/>
          <w:sz w:val="22"/>
          <w:szCs w:val="22"/>
        </w:rPr>
        <w:t>može</w:t>
      </w:r>
      <w:proofErr w:type="spellEnd"/>
      <w:r w:rsidR="008406A7">
        <w:rPr>
          <w:rFonts w:ascii="Arial" w:hAnsi="Arial" w:cs="Arial"/>
          <w:sz w:val="22"/>
          <w:szCs w:val="22"/>
        </w:rPr>
        <w:t xml:space="preserve"> </w:t>
      </w:r>
      <w:proofErr w:type="spellStart"/>
      <w:r w:rsidR="00F435A5">
        <w:rPr>
          <w:rFonts w:ascii="Arial" w:hAnsi="Arial" w:cs="Arial"/>
          <w:sz w:val="22"/>
          <w:szCs w:val="22"/>
        </w:rPr>
        <w:t>iznositi</w:t>
      </w:r>
      <w:proofErr w:type="spellEnd"/>
      <w:r w:rsidR="00F435A5">
        <w:rPr>
          <w:rFonts w:ascii="Arial" w:hAnsi="Arial" w:cs="Arial"/>
          <w:sz w:val="22"/>
          <w:szCs w:val="22"/>
        </w:rPr>
        <w:t xml:space="preserve"> </w:t>
      </w:r>
      <w:proofErr w:type="spellStart"/>
      <w:r w:rsidR="00F435A5">
        <w:rPr>
          <w:rFonts w:ascii="Arial" w:hAnsi="Arial" w:cs="Arial"/>
          <w:sz w:val="22"/>
          <w:szCs w:val="22"/>
        </w:rPr>
        <w:t>oko</w:t>
      </w:r>
      <w:proofErr w:type="spellEnd"/>
      <w:r w:rsidR="008406A7">
        <w:rPr>
          <w:rFonts w:ascii="Arial" w:hAnsi="Arial" w:cs="Arial"/>
          <w:sz w:val="22"/>
          <w:szCs w:val="22"/>
        </w:rPr>
        <w:t xml:space="preserve"> </w:t>
      </w:r>
      <w:r w:rsidR="009F2F62">
        <w:rPr>
          <w:rFonts w:ascii="Arial" w:hAnsi="Arial" w:cs="Arial"/>
          <w:sz w:val="22"/>
          <w:szCs w:val="22"/>
        </w:rPr>
        <w:t>3</w:t>
      </w:r>
      <w:r w:rsidRPr="00814FAA">
        <w:rPr>
          <w:rFonts w:ascii="Arial" w:hAnsi="Arial" w:cs="Arial"/>
          <w:sz w:val="22"/>
          <w:szCs w:val="22"/>
        </w:rPr>
        <w:t>00.000 t.</w:t>
      </w:r>
    </w:p>
    <w:p w14:paraId="3A789BB0" w14:textId="29C2664C" w:rsidR="002F24ED" w:rsidRPr="00814FAA" w:rsidRDefault="002F24ED" w:rsidP="00B25D4A">
      <w:pPr>
        <w:pStyle w:val="BodyText"/>
        <w:jc w:val="both"/>
        <w:rPr>
          <w:rFonts w:ascii="Arial" w:hAnsi="Arial" w:cs="Arial"/>
          <w:sz w:val="22"/>
          <w:szCs w:val="22"/>
          <w:lang w:val="sl-SI"/>
        </w:rPr>
      </w:pPr>
      <w:r w:rsidRPr="00814FAA">
        <w:rPr>
          <w:rFonts w:ascii="Arial" w:hAnsi="Arial" w:cs="Arial"/>
          <w:sz w:val="22"/>
          <w:szCs w:val="22"/>
        </w:rPr>
        <w:t xml:space="preserve">S </w:t>
      </w:r>
      <w:proofErr w:type="spellStart"/>
      <w:r w:rsidRPr="00814FAA">
        <w:rPr>
          <w:rFonts w:ascii="Arial" w:hAnsi="Arial" w:cs="Arial"/>
          <w:sz w:val="22"/>
          <w:szCs w:val="22"/>
        </w:rPr>
        <w:t>obzirom</w:t>
      </w:r>
      <w:proofErr w:type="spellEnd"/>
      <w:r w:rsidRPr="00814FAA">
        <w:rPr>
          <w:rFonts w:ascii="Arial" w:hAnsi="Arial" w:cs="Arial"/>
          <w:sz w:val="22"/>
          <w:szCs w:val="22"/>
        </w:rPr>
        <w:t xml:space="preserve"> </w:t>
      </w:r>
      <w:proofErr w:type="spellStart"/>
      <w:r w:rsidRPr="00814FAA">
        <w:rPr>
          <w:rFonts w:ascii="Arial" w:hAnsi="Arial" w:cs="Arial"/>
          <w:sz w:val="22"/>
          <w:szCs w:val="22"/>
        </w:rPr>
        <w:t>na</w:t>
      </w:r>
      <w:proofErr w:type="spellEnd"/>
      <w:r w:rsidRPr="00814FAA">
        <w:rPr>
          <w:rFonts w:ascii="Arial" w:hAnsi="Arial" w:cs="Arial"/>
          <w:sz w:val="22"/>
          <w:szCs w:val="22"/>
        </w:rPr>
        <w:t xml:space="preserve"> </w:t>
      </w:r>
      <w:proofErr w:type="spellStart"/>
      <w:r w:rsidRPr="00814FAA">
        <w:rPr>
          <w:rFonts w:ascii="Arial" w:hAnsi="Arial" w:cs="Arial"/>
          <w:sz w:val="22"/>
          <w:szCs w:val="22"/>
        </w:rPr>
        <w:t>očekivane</w:t>
      </w:r>
      <w:proofErr w:type="spellEnd"/>
      <w:r w:rsidRPr="00814FAA">
        <w:rPr>
          <w:rFonts w:ascii="Arial" w:hAnsi="Arial" w:cs="Arial"/>
          <w:sz w:val="22"/>
          <w:szCs w:val="22"/>
        </w:rPr>
        <w:t xml:space="preserve"> </w:t>
      </w:r>
      <w:proofErr w:type="spellStart"/>
      <w:r w:rsidRPr="00814FAA">
        <w:rPr>
          <w:rFonts w:ascii="Arial" w:hAnsi="Arial" w:cs="Arial"/>
          <w:sz w:val="22"/>
          <w:szCs w:val="22"/>
        </w:rPr>
        <w:t>ek</w:t>
      </w:r>
      <w:r w:rsidR="002A5726">
        <w:rPr>
          <w:rFonts w:ascii="Arial" w:hAnsi="Arial" w:cs="Arial"/>
          <w:sz w:val="22"/>
          <w:szCs w:val="22"/>
        </w:rPr>
        <w:t>sploatacione</w:t>
      </w:r>
      <w:proofErr w:type="spellEnd"/>
      <w:r w:rsidR="002A5726">
        <w:rPr>
          <w:rFonts w:ascii="Arial" w:hAnsi="Arial" w:cs="Arial"/>
          <w:sz w:val="22"/>
          <w:szCs w:val="22"/>
        </w:rPr>
        <w:t xml:space="preserve"> </w:t>
      </w:r>
      <w:proofErr w:type="spellStart"/>
      <w:r w:rsidR="002A5726">
        <w:rPr>
          <w:rFonts w:ascii="Arial" w:hAnsi="Arial" w:cs="Arial"/>
          <w:sz w:val="22"/>
          <w:szCs w:val="22"/>
        </w:rPr>
        <w:t>rezerve</w:t>
      </w:r>
      <w:proofErr w:type="spellEnd"/>
      <w:r w:rsidR="002A5726">
        <w:rPr>
          <w:rFonts w:ascii="Arial" w:hAnsi="Arial" w:cs="Arial"/>
          <w:sz w:val="22"/>
          <w:szCs w:val="22"/>
        </w:rPr>
        <w:t xml:space="preserve"> </w:t>
      </w:r>
      <w:proofErr w:type="spellStart"/>
      <w:r w:rsidR="002A5726">
        <w:rPr>
          <w:rFonts w:ascii="Arial" w:hAnsi="Arial" w:cs="Arial"/>
          <w:sz w:val="22"/>
          <w:szCs w:val="22"/>
        </w:rPr>
        <w:t>uglja</w:t>
      </w:r>
      <w:proofErr w:type="spellEnd"/>
      <w:r w:rsidR="002A5726">
        <w:rPr>
          <w:rFonts w:ascii="Arial" w:hAnsi="Arial" w:cs="Arial"/>
          <w:sz w:val="22"/>
          <w:szCs w:val="22"/>
        </w:rPr>
        <w:t xml:space="preserve"> od </w:t>
      </w:r>
      <w:proofErr w:type="gramStart"/>
      <w:r w:rsidR="009F2F62">
        <w:rPr>
          <w:rFonts w:ascii="Arial" w:hAnsi="Arial" w:cs="Arial"/>
          <w:sz w:val="22"/>
          <w:szCs w:val="22"/>
        </w:rPr>
        <w:t>3</w:t>
      </w:r>
      <w:r w:rsidR="002A5726">
        <w:rPr>
          <w:rFonts w:ascii="Arial" w:hAnsi="Arial" w:cs="Arial"/>
          <w:sz w:val="22"/>
          <w:szCs w:val="22"/>
        </w:rPr>
        <w:t>.</w:t>
      </w:r>
      <w:r w:rsidR="009F2F62">
        <w:rPr>
          <w:rFonts w:ascii="Arial" w:hAnsi="Arial" w:cs="Arial"/>
          <w:sz w:val="22"/>
          <w:szCs w:val="22"/>
        </w:rPr>
        <w:t>6</w:t>
      </w:r>
      <w:r w:rsidR="002A5726">
        <w:rPr>
          <w:rFonts w:ascii="Arial" w:hAnsi="Arial" w:cs="Arial"/>
          <w:sz w:val="22"/>
          <w:szCs w:val="22"/>
        </w:rPr>
        <w:t xml:space="preserve">00.000 </w:t>
      </w:r>
      <w:r w:rsidRPr="00814FAA">
        <w:rPr>
          <w:rFonts w:ascii="Arial" w:hAnsi="Arial" w:cs="Arial"/>
          <w:sz w:val="22"/>
          <w:szCs w:val="22"/>
        </w:rPr>
        <w:t xml:space="preserve"> t</w:t>
      </w:r>
      <w:proofErr w:type="gramEnd"/>
      <w:r w:rsidR="008406A7">
        <w:rPr>
          <w:rFonts w:ascii="Arial" w:hAnsi="Arial" w:cs="Arial"/>
          <w:sz w:val="22"/>
          <w:szCs w:val="22"/>
        </w:rPr>
        <w:t xml:space="preserve"> </w:t>
      </w:r>
      <w:proofErr w:type="spellStart"/>
      <w:r w:rsidR="008406A7">
        <w:rPr>
          <w:rFonts w:ascii="Arial" w:hAnsi="Arial" w:cs="Arial"/>
          <w:sz w:val="22"/>
          <w:szCs w:val="22"/>
        </w:rPr>
        <w:t>i</w:t>
      </w:r>
      <w:proofErr w:type="spellEnd"/>
      <w:r w:rsidR="008406A7">
        <w:rPr>
          <w:rFonts w:ascii="Arial" w:hAnsi="Arial" w:cs="Arial"/>
          <w:sz w:val="22"/>
          <w:szCs w:val="22"/>
        </w:rPr>
        <w:t xml:space="preserve"> </w:t>
      </w:r>
      <w:proofErr w:type="spellStart"/>
      <w:r w:rsidR="008406A7">
        <w:rPr>
          <w:rFonts w:ascii="Arial" w:hAnsi="Arial" w:cs="Arial"/>
          <w:sz w:val="22"/>
          <w:szCs w:val="22"/>
        </w:rPr>
        <w:t>planirani</w:t>
      </w:r>
      <w:proofErr w:type="spellEnd"/>
      <w:r w:rsidR="008406A7">
        <w:rPr>
          <w:rFonts w:ascii="Arial" w:hAnsi="Arial" w:cs="Arial"/>
          <w:sz w:val="22"/>
          <w:szCs w:val="22"/>
        </w:rPr>
        <w:t xml:space="preserve"> </w:t>
      </w:r>
      <w:proofErr w:type="spellStart"/>
      <w:r w:rsidR="008406A7">
        <w:rPr>
          <w:rFonts w:ascii="Arial" w:hAnsi="Arial" w:cs="Arial"/>
          <w:sz w:val="22"/>
          <w:szCs w:val="22"/>
        </w:rPr>
        <w:t>godišnji</w:t>
      </w:r>
      <w:proofErr w:type="spellEnd"/>
      <w:r w:rsidR="008406A7">
        <w:rPr>
          <w:rFonts w:ascii="Arial" w:hAnsi="Arial" w:cs="Arial"/>
          <w:sz w:val="22"/>
          <w:szCs w:val="22"/>
        </w:rPr>
        <w:t xml:space="preserve"> </w:t>
      </w:r>
      <w:proofErr w:type="spellStart"/>
      <w:r w:rsidR="008406A7">
        <w:rPr>
          <w:rFonts w:ascii="Arial" w:hAnsi="Arial" w:cs="Arial"/>
          <w:sz w:val="22"/>
          <w:szCs w:val="22"/>
        </w:rPr>
        <w:t>kapacitet</w:t>
      </w:r>
      <w:proofErr w:type="spellEnd"/>
      <w:r w:rsidR="008406A7">
        <w:rPr>
          <w:rFonts w:ascii="Arial" w:hAnsi="Arial" w:cs="Arial"/>
          <w:sz w:val="22"/>
          <w:szCs w:val="22"/>
        </w:rPr>
        <w:t xml:space="preserve"> </w:t>
      </w:r>
      <w:proofErr w:type="spellStart"/>
      <w:r w:rsidR="008406A7">
        <w:rPr>
          <w:rFonts w:ascii="Arial" w:hAnsi="Arial" w:cs="Arial"/>
          <w:sz w:val="22"/>
          <w:szCs w:val="22"/>
        </w:rPr>
        <w:t>eksploatacije</w:t>
      </w:r>
      <w:proofErr w:type="spellEnd"/>
      <w:r w:rsidR="008406A7">
        <w:rPr>
          <w:rFonts w:ascii="Arial" w:hAnsi="Arial" w:cs="Arial"/>
          <w:sz w:val="22"/>
          <w:szCs w:val="22"/>
        </w:rPr>
        <w:t xml:space="preserve"> od </w:t>
      </w:r>
      <w:r w:rsidR="009F2F62">
        <w:rPr>
          <w:rFonts w:ascii="Arial" w:hAnsi="Arial" w:cs="Arial"/>
          <w:sz w:val="22"/>
          <w:szCs w:val="22"/>
        </w:rPr>
        <w:t>3</w:t>
      </w:r>
      <w:r w:rsidR="001B6F18">
        <w:rPr>
          <w:rFonts w:ascii="Arial" w:hAnsi="Arial" w:cs="Arial"/>
          <w:sz w:val="22"/>
          <w:szCs w:val="22"/>
        </w:rPr>
        <w:t>00.</w:t>
      </w:r>
      <w:r w:rsidR="00BF220D">
        <w:rPr>
          <w:rFonts w:ascii="Arial" w:hAnsi="Arial" w:cs="Arial"/>
          <w:sz w:val="22"/>
          <w:szCs w:val="22"/>
        </w:rPr>
        <w:t>000 t (</w:t>
      </w:r>
      <w:proofErr w:type="spellStart"/>
      <w:r w:rsidR="00BF220D">
        <w:rPr>
          <w:rFonts w:ascii="Arial" w:hAnsi="Arial" w:cs="Arial"/>
          <w:sz w:val="22"/>
          <w:szCs w:val="22"/>
        </w:rPr>
        <w:t>podaci</w:t>
      </w:r>
      <w:proofErr w:type="spellEnd"/>
      <w:r w:rsidR="00BF220D">
        <w:rPr>
          <w:rFonts w:ascii="Arial" w:hAnsi="Arial" w:cs="Arial"/>
          <w:sz w:val="22"/>
          <w:szCs w:val="22"/>
        </w:rPr>
        <w:t xml:space="preserve"> </w:t>
      </w:r>
      <w:proofErr w:type="spellStart"/>
      <w:r w:rsidR="00BF220D">
        <w:rPr>
          <w:rFonts w:ascii="Arial" w:hAnsi="Arial" w:cs="Arial"/>
          <w:sz w:val="22"/>
          <w:szCs w:val="22"/>
        </w:rPr>
        <w:t>Rudnika</w:t>
      </w:r>
      <w:proofErr w:type="spellEnd"/>
      <w:r w:rsidR="00BF220D">
        <w:rPr>
          <w:rFonts w:ascii="Arial" w:hAnsi="Arial" w:cs="Arial"/>
          <w:sz w:val="22"/>
          <w:szCs w:val="22"/>
        </w:rPr>
        <w:t xml:space="preserve"> </w:t>
      </w:r>
      <w:proofErr w:type="spellStart"/>
      <w:r w:rsidR="00BF220D">
        <w:rPr>
          <w:rFonts w:ascii="Arial" w:hAnsi="Arial" w:cs="Arial"/>
          <w:sz w:val="22"/>
          <w:szCs w:val="22"/>
        </w:rPr>
        <w:t>uglja</w:t>
      </w:r>
      <w:proofErr w:type="spellEnd"/>
      <w:r w:rsidR="00BF220D">
        <w:rPr>
          <w:rFonts w:ascii="Arial" w:hAnsi="Arial" w:cs="Arial"/>
          <w:sz w:val="22"/>
          <w:szCs w:val="22"/>
        </w:rPr>
        <w:t>)</w:t>
      </w:r>
      <w:r w:rsidRPr="00814FAA">
        <w:rPr>
          <w:rFonts w:ascii="Arial" w:hAnsi="Arial" w:cs="Arial"/>
          <w:sz w:val="22"/>
          <w:szCs w:val="22"/>
        </w:rPr>
        <w:t xml:space="preserve">, </w:t>
      </w:r>
      <w:proofErr w:type="spellStart"/>
      <w:r w:rsidRPr="00814FAA">
        <w:rPr>
          <w:rFonts w:ascii="Arial" w:hAnsi="Arial" w:cs="Arial"/>
          <w:sz w:val="22"/>
          <w:szCs w:val="22"/>
        </w:rPr>
        <w:t>vijek</w:t>
      </w:r>
      <w:proofErr w:type="spellEnd"/>
      <w:r w:rsidRPr="00814FAA">
        <w:rPr>
          <w:rFonts w:ascii="Arial" w:hAnsi="Arial" w:cs="Arial"/>
          <w:sz w:val="22"/>
          <w:szCs w:val="22"/>
        </w:rPr>
        <w:t xml:space="preserve"> </w:t>
      </w:r>
      <w:proofErr w:type="spellStart"/>
      <w:r w:rsidRPr="00FE3A09">
        <w:rPr>
          <w:rFonts w:ascii="Arial" w:hAnsi="Arial" w:cs="Arial"/>
          <w:b/>
          <w:sz w:val="22"/>
          <w:szCs w:val="22"/>
        </w:rPr>
        <w:t>eksploatacije</w:t>
      </w:r>
      <w:proofErr w:type="spellEnd"/>
      <w:r w:rsidRPr="00814FAA">
        <w:rPr>
          <w:rFonts w:ascii="Arial" w:hAnsi="Arial" w:cs="Arial"/>
          <w:sz w:val="22"/>
          <w:szCs w:val="22"/>
        </w:rPr>
        <w:t xml:space="preserve"> </w:t>
      </w:r>
      <w:proofErr w:type="spellStart"/>
      <w:r w:rsidRPr="00814FAA">
        <w:rPr>
          <w:rFonts w:ascii="Arial" w:hAnsi="Arial" w:cs="Arial"/>
          <w:sz w:val="22"/>
          <w:szCs w:val="22"/>
        </w:rPr>
        <w:t>ležišta</w:t>
      </w:r>
      <w:proofErr w:type="spellEnd"/>
      <w:r w:rsidRPr="00814FAA">
        <w:rPr>
          <w:rFonts w:ascii="Arial" w:hAnsi="Arial" w:cs="Arial"/>
          <w:sz w:val="22"/>
          <w:szCs w:val="22"/>
        </w:rPr>
        <w:t xml:space="preserve"> </w:t>
      </w:r>
      <w:proofErr w:type="spellStart"/>
      <w:r w:rsidRPr="00814FAA">
        <w:rPr>
          <w:rFonts w:ascii="Arial" w:hAnsi="Arial" w:cs="Arial"/>
          <w:sz w:val="22"/>
          <w:szCs w:val="22"/>
        </w:rPr>
        <w:t>iznosi</w:t>
      </w:r>
      <w:proofErr w:type="spellEnd"/>
      <w:r w:rsidRPr="00814FAA">
        <w:rPr>
          <w:rFonts w:ascii="Arial" w:hAnsi="Arial" w:cs="Arial"/>
          <w:sz w:val="22"/>
          <w:szCs w:val="22"/>
          <w:lang w:val="sl-SI"/>
        </w:rPr>
        <w:t>:</w:t>
      </w:r>
    </w:p>
    <w:p w14:paraId="3FF97825" w14:textId="1C6809EC" w:rsidR="00EF293A" w:rsidRPr="00FE3A09" w:rsidRDefault="00FE3A09" w:rsidP="004F4C37">
      <w:pPr>
        <w:jc w:val="center"/>
        <w:rPr>
          <w:rFonts w:ascii="Arial" w:hAnsi="Arial" w:cs="Arial"/>
          <w:b/>
          <w:i/>
          <w:lang w:val="sl-SI"/>
        </w:rPr>
      </w:pPr>
      <m:oMath>
        <m:r>
          <m:rPr>
            <m:sty m:val="bi"/>
          </m:rPr>
          <w:rPr>
            <w:rFonts w:ascii="Cambria Math" w:hAnsi="Arial" w:cs="Arial"/>
            <w:lang w:val="sl-SI"/>
          </w:rPr>
          <m:t>n=</m:t>
        </m:r>
        <m:f>
          <m:fPr>
            <m:ctrlPr>
              <w:rPr>
                <w:rFonts w:ascii="Cambria Math" w:hAnsi="Arial" w:cs="Arial"/>
                <w:b/>
                <w:i/>
                <w:lang w:val="sl-SI"/>
              </w:rPr>
            </m:ctrlPr>
          </m:fPr>
          <m:num>
            <m:r>
              <m:rPr>
                <m:sty m:val="bi"/>
              </m:rPr>
              <w:rPr>
                <w:rFonts w:ascii="Cambria Math" w:hAnsi="Arial" w:cs="Arial"/>
                <w:lang w:val="sl-SI"/>
              </w:rPr>
              <m:t>3.600.000</m:t>
            </m:r>
            <m:r>
              <m:rPr>
                <m:sty m:val="bi"/>
              </m:rPr>
              <w:rPr>
                <w:rFonts w:ascii="Cambria Math" w:hAnsi="Arial" w:cs="Arial"/>
                <w:lang w:val="sl-SI"/>
              </w:rPr>
              <m:t>t</m:t>
            </m:r>
          </m:num>
          <m:den>
            <m:r>
              <m:rPr>
                <m:sty m:val="bi"/>
              </m:rPr>
              <w:rPr>
                <w:rFonts w:ascii="Cambria Math" w:hAnsi="Arial" w:cs="Arial"/>
                <w:lang w:val="sl-SI"/>
              </w:rPr>
              <m:t>300.000</m:t>
            </m:r>
            <m:r>
              <m:rPr>
                <m:sty m:val="bi"/>
              </m:rPr>
              <w:rPr>
                <w:rFonts w:ascii="Cambria Math" w:hAnsi="Arial" w:cs="Arial"/>
                <w:lang w:val="sl-SI"/>
              </w:rPr>
              <m:t>t</m:t>
            </m:r>
          </m:den>
        </m:f>
        <m:r>
          <m:rPr>
            <m:sty m:val="bi"/>
          </m:rPr>
          <w:rPr>
            <w:rFonts w:ascii="Cambria Math" w:hAnsi="Arial" w:cs="Arial"/>
            <w:lang w:val="sl-SI"/>
          </w:rPr>
          <m:t>=12</m:t>
        </m:r>
      </m:oMath>
      <w:r w:rsidR="00B73F0C" w:rsidRPr="00FE3A09">
        <w:rPr>
          <w:rFonts w:ascii="Arial" w:hAnsi="Arial" w:cs="Arial"/>
          <w:b/>
          <w:lang w:val="sl-SI"/>
        </w:rPr>
        <w:t xml:space="preserve"> </w:t>
      </w:r>
      <w:r w:rsidR="009E0BEA" w:rsidRPr="00FE3A09">
        <w:rPr>
          <w:rFonts w:ascii="Arial" w:hAnsi="Arial" w:cs="Arial"/>
          <w:b/>
          <w:lang w:val="sl-SI"/>
        </w:rPr>
        <w:t>godina</w:t>
      </w:r>
    </w:p>
    <w:p w14:paraId="6082E8AC" w14:textId="0F95C4A3" w:rsidR="00A64C0B" w:rsidRPr="00F6039B" w:rsidRDefault="00A64C0B" w:rsidP="00A64C0B">
      <w:pPr>
        <w:shd w:val="clear" w:color="auto" w:fill="FFFFFF"/>
        <w:spacing w:after="0" w:line="240" w:lineRule="auto"/>
        <w:jc w:val="both"/>
        <w:rPr>
          <w:rFonts w:ascii="Arial" w:hAnsi="Arial" w:cs="Arial"/>
          <w:b/>
          <w:lang w:val="sr-Latn-CS"/>
        </w:rPr>
      </w:pPr>
      <w:r w:rsidRPr="00F6039B">
        <w:rPr>
          <w:rFonts w:ascii="Arial" w:hAnsi="Arial" w:cs="Arial"/>
          <w:b/>
          <w:lang w:val="sr-Latn-CS"/>
        </w:rPr>
        <w:t>Na osnovu tog</w:t>
      </w:r>
      <w:r w:rsidR="00FE3A09">
        <w:rPr>
          <w:rFonts w:ascii="Arial" w:hAnsi="Arial" w:cs="Arial"/>
          <w:b/>
          <w:lang w:val="sr-Latn-CS"/>
        </w:rPr>
        <w:t xml:space="preserve">a </w:t>
      </w:r>
      <w:r w:rsidR="00814FAA" w:rsidRPr="00F6039B">
        <w:rPr>
          <w:rFonts w:ascii="Arial" w:hAnsi="Arial" w:cs="Arial"/>
          <w:b/>
          <w:lang w:val="sr-Latn-CS"/>
        </w:rPr>
        <w:t xml:space="preserve">ovim koncesionim aktom daje se rok koncesije za eksploataciju </w:t>
      </w:r>
      <w:proofErr w:type="spellStart"/>
      <w:r w:rsidR="00814FAA" w:rsidRPr="00F6039B">
        <w:rPr>
          <w:rFonts w:ascii="Arial" w:hAnsi="Arial" w:cs="Arial"/>
          <w:b/>
        </w:rPr>
        <w:t>uglja</w:t>
      </w:r>
      <w:proofErr w:type="spellEnd"/>
      <w:r w:rsidR="00814FAA" w:rsidRPr="00F6039B">
        <w:rPr>
          <w:rFonts w:ascii="Arial" w:hAnsi="Arial" w:cs="Arial"/>
          <w:b/>
        </w:rPr>
        <w:t xml:space="preserve"> </w:t>
      </w:r>
      <w:proofErr w:type="spellStart"/>
      <w:r w:rsidR="00814FAA" w:rsidRPr="00F6039B">
        <w:rPr>
          <w:rFonts w:ascii="Arial" w:hAnsi="Arial" w:cs="Arial"/>
          <w:b/>
        </w:rPr>
        <w:t>iz</w:t>
      </w:r>
      <w:proofErr w:type="spellEnd"/>
      <w:r w:rsidR="00814FAA" w:rsidRPr="00F6039B">
        <w:rPr>
          <w:rFonts w:ascii="Arial" w:hAnsi="Arial" w:cs="Arial"/>
          <w:b/>
        </w:rPr>
        <w:t xml:space="preserve"> </w:t>
      </w:r>
      <w:proofErr w:type="spellStart"/>
      <w:r w:rsidR="00814FAA" w:rsidRPr="00F6039B">
        <w:rPr>
          <w:rFonts w:ascii="Arial" w:hAnsi="Arial" w:cs="Arial"/>
          <w:b/>
        </w:rPr>
        <w:t>ležišta</w:t>
      </w:r>
      <w:proofErr w:type="spellEnd"/>
      <w:r w:rsidR="00814FAA" w:rsidRPr="00F6039B">
        <w:rPr>
          <w:rFonts w:ascii="Arial" w:hAnsi="Arial" w:cs="Arial"/>
          <w:b/>
        </w:rPr>
        <w:t xml:space="preserve"> “</w:t>
      </w:r>
      <w:proofErr w:type="spellStart"/>
      <w:r w:rsidR="00814FAA" w:rsidRPr="00F6039B">
        <w:rPr>
          <w:rFonts w:ascii="Arial" w:hAnsi="Arial" w:cs="Arial"/>
          <w:b/>
        </w:rPr>
        <w:t>Mataruge</w:t>
      </w:r>
      <w:proofErr w:type="spellEnd"/>
      <w:r w:rsidR="00814FAA" w:rsidRPr="00F6039B">
        <w:rPr>
          <w:rFonts w:ascii="Arial" w:hAnsi="Arial" w:cs="Arial"/>
          <w:b/>
        </w:rPr>
        <w:t>”</w:t>
      </w:r>
      <w:r w:rsidR="00814FAA" w:rsidRPr="00F6039B">
        <w:rPr>
          <w:rFonts w:ascii="Arial" w:hAnsi="Arial" w:cs="Arial"/>
          <w:b/>
          <w:lang w:val="sr-Latn-CS"/>
        </w:rPr>
        <w:t xml:space="preserve">, na period od </w:t>
      </w:r>
      <w:r w:rsidR="00FE3A09">
        <w:rPr>
          <w:rFonts w:ascii="Arial" w:hAnsi="Arial" w:cs="Arial"/>
          <w:b/>
          <w:lang w:val="sr-Latn-CS"/>
        </w:rPr>
        <w:t>(2+</w:t>
      </w:r>
      <w:r w:rsidR="00814FAA" w:rsidRPr="00F6039B">
        <w:rPr>
          <w:rFonts w:ascii="Arial" w:hAnsi="Arial" w:cs="Arial"/>
          <w:b/>
          <w:lang w:val="sr-Latn-CS"/>
        </w:rPr>
        <w:t>1</w:t>
      </w:r>
      <w:r w:rsidR="004F4C37">
        <w:rPr>
          <w:rFonts w:ascii="Arial" w:hAnsi="Arial" w:cs="Arial"/>
          <w:b/>
          <w:lang w:val="sr-Latn-CS"/>
        </w:rPr>
        <w:t>2</w:t>
      </w:r>
      <w:r w:rsidR="00FE3A09">
        <w:rPr>
          <w:rFonts w:ascii="Arial" w:hAnsi="Arial" w:cs="Arial"/>
          <w:b/>
          <w:lang w:val="sr-Latn-CS"/>
        </w:rPr>
        <w:t>)</w:t>
      </w:r>
      <w:r w:rsidR="007D4AC5" w:rsidRPr="00F6039B">
        <w:rPr>
          <w:rFonts w:ascii="Arial" w:hAnsi="Arial" w:cs="Arial"/>
          <w:b/>
          <w:lang w:val="sr-Latn-CS"/>
        </w:rPr>
        <w:t xml:space="preserve"> </w:t>
      </w:r>
      <w:r w:rsidR="00814FAA" w:rsidRPr="00F6039B">
        <w:rPr>
          <w:rFonts w:ascii="Arial" w:hAnsi="Arial" w:cs="Arial"/>
          <w:b/>
          <w:lang w:val="sr-Latn-CS"/>
        </w:rPr>
        <w:t>godina, sa minima</w:t>
      </w:r>
      <w:r w:rsidR="007D4AC5" w:rsidRPr="00F6039B">
        <w:rPr>
          <w:rFonts w:ascii="Arial" w:hAnsi="Arial" w:cs="Arial"/>
          <w:b/>
          <w:lang w:val="sr-Latn-CS"/>
        </w:rPr>
        <w:t xml:space="preserve">lnom godišnjom proizvodnjom od </w:t>
      </w:r>
      <w:r w:rsidR="004F4C37">
        <w:rPr>
          <w:rFonts w:ascii="Arial" w:hAnsi="Arial" w:cs="Arial"/>
          <w:b/>
          <w:lang w:val="sr-Latn-CS"/>
        </w:rPr>
        <w:t>3</w:t>
      </w:r>
      <w:r w:rsidR="00814FAA" w:rsidRPr="00F6039B">
        <w:rPr>
          <w:rFonts w:ascii="Arial" w:hAnsi="Arial" w:cs="Arial"/>
          <w:b/>
          <w:lang w:val="sr-Latn-CS"/>
        </w:rPr>
        <w:t>00 000 t.</w:t>
      </w:r>
    </w:p>
    <w:p w14:paraId="19250865" w14:textId="77777777" w:rsidR="00A64C0B" w:rsidRDefault="00A64C0B" w:rsidP="00A64C0B">
      <w:pPr>
        <w:shd w:val="clear" w:color="auto" w:fill="FFFFFF"/>
        <w:spacing w:after="0" w:line="240" w:lineRule="auto"/>
        <w:jc w:val="both"/>
        <w:rPr>
          <w:rFonts w:ascii="Arial" w:hAnsi="Arial" w:cs="Arial"/>
          <w:lang w:val="sr-Latn-CS"/>
        </w:rPr>
      </w:pPr>
    </w:p>
    <w:p w14:paraId="3CBFD279" w14:textId="4931F8BB" w:rsidR="002A5726" w:rsidRDefault="00A64C0B" w:rsidP="002A5726">
      <w:pPr>
        <w:shd w:val="clear" w:color="auto" w:fill="FFFFFF"/>
        <w:spacing w:after="0" w:line="240" w:lineRule="auto"/>
        <w:jc w:val="both"/>
        <w:rPr>
          <w:rFonts w:ascii="Arial" w:hAnsi="Arial" w:cs="Arial"/>
        </w:rPr>
      </w:pPr>
      <w:r w:rsidRPr="00BA1C52">
        <w:rPr>
          <w:rFonts w:ascii="Arial" w:hAnsi="Arial" w:cs="Arial"/>
        </w:rPr>
        <w:t xml:space="preserve">U </w:t>
      </w:r>
      <w:proofErr w:type="spellStart"/>
      <w:r w:rsidRPr="00BA1C52">
        <w:rPr>
          <w:rFonts w:ascii="Arial" w:hAnsi="Arial" w:cs="Arial"/>
        </w:rPr>
        <w:t>skladu</w:t>
      </w:r>
      <w:proofErr w:type="spellEnd"/>
      <w:r w:rsidRPr="00BA1C52">
        <w:rPr>
          <w:rFonts w:ascii="Arial" w:hAnsi="Arial" w:cs="Arial"/>
        </w:rPr>
        <w:t xml:space="preserve"> </w:t>
      </w:r>
      <w:proofErr w:type="spellStart"/>
      <w:r w:rsidRPr="00BA1C52">
        <w:rPr>
          <w:rFonts w:ascii="Arial" w:hAnsi="Arial" w:cs="Arial"/>
        </w:rPr>
        <w:t>sa</w:t>
      </w:r>
      <w:proofErr w:type="spellEnd"/>
      <w:r w:rsidRPr="00BA1C52">
        <w:rPr>
          <w:rFonts w:ascii="Arial" w:hAnsi="Arial" w:cs="Arial"/>
        </w:rPr>
        <w:t xml:space="preserve"> </w:t>
      </w:r>
      <w:proofErr w:type="spellStart"/>
      <w:r w:rsidRPr="00BA1C52">
        <w:rPr>
          <w:rFonts w:ascii="Arial" w:hAnsi="Arial" w:cs="Arial"/>
        </w:rPr>
        <w:t>naprijed</w:t>
      </w:r>
      <w:proofErr w:type="spellEnd"/>
      <w:r w:rsidRPr="00BA1C52">
        <w:rPr>
          <w:rFonts w:ascii="Arial" w:hAnsi="Arial" w:cs="Arial"/>
        </w:rPr>
        <w:t xml:space="preserve"> </w:t>
      </w:r>
      <w:proofErr w:type="spellStart"/>
      <w:r w:rsidRPr="00BA1C52">
        <w:rPr>
          <w:rFonts w:ascii="Arial" w:hAnsi="Arial" w:cs="Arial"/>
        </w:rPr>
        <w:t>navedenim</w:t>
      </w:r>
      <w:proofErr w:type="spellEnd"/>
      <w:r w:rsidRPr="00BA1C52">
        <w:rPr>
          <w:rFonts w:ascii="Arial" w:hAnsi="Arial" w:cs="Arial"/>
        </w:rPr>
        <w:t xml:space="preserve">, </w:t>
      </w:r>
      <w:proofErr w:type="spellStart"/>
      <w:r w:rsidRPr="00BA1C52">
        <w:rPr>
          <w:rFonts w:ascii="Arial" w:hAnsi="Arial" w:cs="Arial"/>
        </w:rPr>
        <w:t>koncesija</w:t>
      </w:r>
      <w:proofErr w:type="spellEnd"/>
      <w:r w:rsidRPr="00BA1C52">
        <w:rPr>
          <w:rFonts w:ascii="Arial" w:hAnsi="Arial" w:cs="Arial"/>
        </w:rPr>
        <w:t xml:space="preserve"> </w:t>
      </w:r>
      <w:proofErr w:type="spellStart"/>
      <w:r w:rsidRPr="00BA1C52">
        <w:rPr>
          <w:rFonts w:ascii="Arial" w:hAnsi="Arial" w:cs="Arial"/>
        </w:rPr>
        <w:t>za</w:t>
      </w:r>
      <w:proofErr w:type="spellEnd"/>
      <w:r w:rsidRPr="00BA1C52">
        <w:rPr>
          <w:rFonts w:ascii="Arial" w:hAnsi="Arial" w:cs="Arial"/>
        </w:rPr>
        <w:t xml:space="preserve"> </w:t>
      </w:r>
      <w:proofErr w:type="spellStart"/>
      <w:r w:rsidRPr="00BA1C52">
        <w:rPr>
          <w:rFonts w:ascii="Arial" w:hAnsi="Arial" w:cs="Arial"/>
        </w:rPr>
        <w:t>detaljna</w:t>
      </w:r>
      <w:proofErr w:type="spellEnd"/>
      <w:r w:rsidRPr="00BA1C52">
        <w:rPr>
          <w:rFonts w:ascii="Arial" w:hAnsi="Arial" w:cs="Arial"/>
        </w:rPr>
        <w:t xml:space="preserve"> </w:t>
      </w:r>
      <w:proofErr w:type="spellStart"/>
      <w:r w:rsidRPr="00BA1C52">
        <w:rPr>
          <w:rFonts w:ascii="Arial" w:hAnsi="Arial" w:cs="Arial"/>
        </w:rPr>
        <w:t>geološka</w:t>
      </w:r>
      <w:proofErr w:type="spellEnd"/>
      <w:r w:rsidRPr="00BA1C52">
        <w:rPr>
          <w:rFonts w:ascii="Arial" w:hAnsi="Arial" w:cs="Arial"/>
        </w:rPr>
        <w:t xml:space="preserve"> </w:t>
      </w:r>
      <w:proofErr w:type="spellStart"/>
      <w:r w:rsidRPr="00BA1C52">
        <w:rPr>
          <w:rFonts w:ascii="Arial" w:hAnsi="Arial" w:cs="Arial"/>
        </w:rPr>
        <w:t>istraživanja</w:t>
      </w:r>
      <w:proofErr w:type="spellEnd"/>
      <w:r w:rsidRPr="00BA1C52">
        <w:rPr>
          <w:rFonts w:ascii="Arial" w:hAnsi="Arial" w:cs="Arial"/>
        </w:rPr>
        <w:t xml:space="preserve"> </w:t>
      </w:r>
      <w:proofErr w:type="spellStart"/>
      <w:r w:rsidRPr="00BA1C52">
        <w:rPr>
          <w:rFonts w:ascii="Arial" w:hAnsi="Arial" w:cs="Arial"/>
        </w:rPr>
        <w:t>i</w:t>
      </w:r>
      <w:proofErr w:type="spellEnd"/>
      <w:r w:rsidRPr="00BA1C52">
        <w:rPr>
          <w:rFonts w:ascii="Arial" w:hAnsi="Arial" w:cs="Arial"/>
        </w:rPr>
        <w:t xml:space="preserve"> </w:t>
      </w:r>
      <w:proofErr w:type="spellStart"/>
      <w:r w:rsidRPr="00BA1C52">
        <w:rPr>
          <w:rFonts w:ascii="Arial" w:hAnsi="Arial" w:cs="Arial"/>
        </w:rPr>
        <w:t>eksploataciju</w:t>
      </w:r>
      <w:proofErr w:type="spellEnd"/>
      <w:r>
        <w:rPr>
          <w:rFonts w:ascii="Arial" w:hAnsi="Arial" w:cs="Arial"/>
        </w:rPr>
        <w:t xml:space="preserve"> </w:t>
      </w:r>
      <w:proofErr w:type="spellStart"/>
      <w:r>
        <w:rPr>
          <w:rFonts w:ascii="Arial" w:hAnsi="Arial" w:cs="Arial"/>
        </w:rPr>
        <w:t>uglja</w:t>
      </w:r>
      <w:proofErr w:type="spellEnd"/>
      <w:r>
        <w:rPr>
          <w:rFonts w:ascii="Arial" w:hAnsi="Arial" w:cs="Arial"/>
        </w:rPr>
        <w:t xml:space="preserve"> </w:t>
      </w:r>
      <w:proofErr w:type="spellStart"/>
      <w:r w:rsidRPr="00814FAA">
        <w:rPr>
          <w:rFonts w:ascii="Arial" w:hAnsi="Arial" w:cs="Arial"/>
        </w:rPr>
        <w:t>iz</w:t>
      </w:r>
      <w:proofErr w:type="spellEnd"/>
      <w:r w:rsidRPr="00814FAA">
        <w:rPr>
          <w:rFonts w:ascii="Arial" w:hAnsi="Arial" w:cs="Arial"/>
        </w:rPr>
        <w:t xml:space="preserve"> </w:t>
      </w:r>
      <w:proofErr w:type="spellStart"/>
      <w:r w:rsidRPr="00814FAA">
        <w:rPr>
          <w:rFonts w:ascii="Arial" w:hAnsi="Arial" w:cs="Arial"/>
        </w:rPr>
        <w:t>ležišta</w:t>
      </w:r>
      <w:proofErr w:type="spellEnd"/>
      <w:r w:rsidRPr="00814FAA">
        <w:rPr>
          <w:rFonts w:ascii="Arial" w:hAnsi="Arial" w:cs="Arial"/>
        </w:rPr>
        <w:t xml:space="preserve"> “</w:t>
      </w:r>
      <w:proofErr w:type="spellStart"/>
      <w:r w:rsidRPr="00814FAA">
        <w:rPr>
          <w:rFonts w:ascii="Arial" w:hAnsi="Arial" w:cs="Arial"/>
        </w:rPr>
        <w:t>Mataruge</w:t>
      </w:r>
      <w:proofErr w:type="spellEnd"/>
      <w:proofErr w:type="gramStart"/>
      <w:r w:rsidRPr="00814FAA">
        <w:rPr>
          <w:rFonts w:ascii="Arial" w:hAnsi="Arial" w:cs="Arial"/>
        </w:rPr>
        <w:t>”</w:t>
      </w:r>
      <w:r>
        <w:rPr>
          <w:rFonts w:ascii="Arial" w:hAnsi="Arial" w:cs="Arial"/>
        </w:rPr>
        <w:t xml:space="preserve"> </w:t>
      </w:r>
      <w:r w:rsidRPr="00BA1C52">
        <w:rPr>
          <w:rFonts w:ascii="Arial" w:hAnsi="Arial" w:cs="Arial"/>
        </w:rPr>
        <w:t xml:space="preserve"> </w:t>
      </w:r>
      <w:proofErr w:type="spellStart"/>
      <w:r w:rsidRPr="00BA1C52">
        <w:rPr>
          <w:rFonts w:ascii="Arial" w:hAnsi="Arial" w:cs="Arial"/>
        </w:rPr>
        <w:t>daje</w:t>
      </w:r>
      <w:proofErr w:type="spellEnd"/>
      <w:proofErr w:type="gramEnd"/>
      <w:r w:rsidRPr="00BA1C52">
        <w:rPr>
          <w:rFonts w:ascii="Arial" w:hAnsi="Arial" w:cs="Arial"/>
        </w:rPr>
        <w:t xml:space="preserve"> se </w:t>
      </w:r>
      <w:proofErr w:type="spellStart"/>
      <w:r w:rsidRPr="00BA1C52">
        <w:rPr>
          <w:rFonts w:ascii="Arial" w:hAnsi="Arial" w:cs="Arial"/>
        </w:rPr>
        <w:t>na</w:t>
      </w:r>
      <w:proofErr w:type="spellEnd"/>
      <w:r w:rsidRPr="00BA1C52">
        <w:rPr>
          <w:rFonts w:ascii="Arial" w:hAnsi="Arial" w:cs="Arial"/>
        </w:rPr>
        <w:t xml:space="preserve"> period </w:t>
      </w:r>
      <w:proofErr w:type="spellStart"/>
      <w:r w:rsidRPr="00BA1C52">
        <w:rPr>
          <w:rFonts w:ascii="Arial" w:hAnsi="Arial" w:cs="Arial"/>
        </w:rPr>
        <w:t>od</w:t>
      </w:r>
      <w:proofErr w:type="spellEnd"/>
      <w:r w:rsidRPr="00BA1C52">
        <w:rPr>
          <w:rFonts w:ascii="Arial" w:hAnsi="Arial" w:cs="Arial"/>
        </w:rPr>
        <w:t xml:space="preserve"> </w:t>
      </w:r>
      <w:r w:rsidR="004F4C37">
        <w:rPr>
          <w:rFonts w:ascii="Arial" w:hAnsi="Arial" w:cs="Arial"/>
        </w:rPr>
        <w:t xml:space="preserve"> </w:t>
      </w:r>
      <w:r w:rsidRPr="00BA1C52">
        <w:rPr>
          <w:rFonts w:ascii="Arial" w:hAnsi="Arial" w:cs="Arial"/>
        </w:rPr>
        <w:t xml:space="preserve"> </w:t>
      </w:r>
      <w:proofErr w:type="spellStart"/>
      <w:r w:rsidRPr="00BA1C52">
        <w:rPr>
          <w:rFonts w:ascii="Arial" w:hAnsi="Arial" w:cs="Arial"/>
        </w:rPr>
        <w:t>godina</w:t>
      </w:r>
      <w:proofErr w:type="spellEnd"/>
      <w:r w:rsidRPr="00BA1C52">
        <w:rPr>
          <w:rFonts w:ascii="Arial" w:hAnsi="Arial" w:cs="Arial"/>
        </w:rPr>
        <w:t xml:space="preserve">, </w:t>
      </w:r>
      <w:proofErr w:type="spellStart"/>
      <w:r w:rsidRPr="00BA1C52">
        <w:rPr>
          <w:rFonts w:ascii="Arial" w:hAnsi="Arial" w:cs="Arial"/>
        </w:rPr>
        <w:t>i</w:t>
      </w:r>
      <w:proofErr w:type="spellEnd"/>
      <w:r w:rsidRPr="00BA1C52">
        <w:rPr>
          <w:rFonts w:ascii="Arial" w:hAnsi="Arial" w:cs="Arial"/>
        </w:rPr>
        <w:t xml:space="preserve"> to:</w:t>
      </w:r>
    </w:p>
    <w:p w14:paraId="25FA463F" w14:textId="77777777" w:rsidR="0078396C" w:rsidRDefault="0078396C" w:rsidP="002A5726">
      <w:pPr>
        <w:shd w:val="clear" w:color="auto" w:fill="FFFFFF"/>
        <w:spacing w:after="0" w:line="240" w:lineRule="auto"/>
        <w:jc w:val="both"/>
        <w:rPr>
          <w:rFonts w:ascii="Arial" w:hAnsi="Arial" w:cs="Arial"/>
          <w:lang w:val="sr-Latn-CS"/>
        </w:rPr>
      </w:pPr>
    </w:p>
    <w:p w14:paraId="0D65B402" w14:textId="77777777" w:rsidR="002A5726" w:rsidRPr="002A5726" w:rsidRDefault="002A5726" w:rsidP="002A5726">
      <w:pPr>
        <w:shd w:val="clear" w:color="auto" w:fill="FFFFFF"/>
        <w:spacing w:after="0" w:line="240" w:lineRule="auto"/>
        <w:jc w:val="both"/>
        <w:rPr>
          <w:rFonts w:ascii="Arial" w:hAnsi="Arial" w:cs="Arial"/>
          <w:lang w:val="sr-Latn-CS"/>
        </w:rPr>
      </w:pPr>
    </w:p>
    <w:p w14:paraId="11B77165" w14:textId="6F3696F0" w:rsidR="00814FAA" w:rsidRPr="009534C8" w:rsidRDefault="009F2F62" w:rsidP="00B25D4A">
      <w:pPr>
        <w:pStyle w:val="ListParagraph"/>
        <w:numPr>
          <w:ilvl w:val="0"/>
          <w:numId w:val="26"/>
        </w:numPr>
        <w:suppressAutoHyphens w:val="0"/>
        <w:spacing w:after="0"/>
        <w:ind w:left="0" w:firstLine="0"/>
        <w:contextualSpacing w:val="0"/>
        <w:rPr>
          <w:rFonts w:ascii="Arial" w:hAnsi="Arial" w:cs="Arial"/>
        </w:rPr>
      </w:pPr>
      <w:r w:rsidRPr="009F2F62">
        <w:rPr>
          <w:rFonts w:ascii="Arial" w:hAnsi="Arial" w:cs="Arial"/>
          <w:b/>
        </w:rPr>
        <w:lastRenderedPageBreak/>
        <w:t xml:space="preserve">1 </w:t>
      </w:r>
      <w:r>
        <w:rPr>
          <w:rFonts w:ascii="Arial" w:hAnsi="Arial" w:cs="Arial"/>
          <w:lang w:val="sr-Latn-ME"/>
        </w:rPr>
        <w:t>(</w:t>
      </w:r>
      <w:proofErr w:type="spellStart"/>
      <w:r w:rsidR="00814FAA" w:rsidRPr="009534C8">
        <w:rPr>
          <w:rFonts w:ascii="Arial" w:hAnsi="Arial" w:cs="Arial"/>
        </w:rPr>
        <w:t>jedna</w:t>
      </w:r>
      <w:proofErr w:type="spellEnd"/>
      <w:r>
        <w:rPr>
          <w:rFonts w:ascii="Arial" w:hAnsi="Arial" w:cs="Arial"/>
        </w:rPr>
        <w:t>)</w:t>
      </w:r>
      <w:r w:rsidR="00814FAA" w:rsidRPr="009534C8">
        <w:rPr>
          <w:rFonts w:ascii="Arial" w:hAnsi="Arial" w:cs="Arial"/>
        </w:rPr>
        <w:t xml:space="preserve"> </w:t>
      </w:r>
      <w:proofErr w:type="spellStart"/>
      <w:r w:rsidR="00814FAA" w:rsidRPr="009534C8">
        <w:rPr>
          <w:rFonts w:ascii="Arial" w:hAnsi="Arial" w:cs="Arial"/>
        </w:rPr>
        <w:t>godina</w:t>
      </w:r>
      <w:proofErr w:type="spellEnd"/>
      <w:r w:rsidR="00814FAA" w:rsidRPr="009534C8">
        <w:rPr>
          <w:rFonts w:ascii="Arial" w:hAnsi="Arial" w:cs="Arial"/>
        </w:rPr>
        <w:t xml:space="preserve"> </w:t>
      </w:r>
      <w:proofErr w:type="spellStart"/>
      <w:r w:rsidR="00814FAA" w:rsidRPr="009534C8">
        <w:rPr>
          <w:rFonts w:ascii="Arial" w:hAnsi="Arial" w:cs="Arial"/>
        </w:rPr>
        <w:t>za</w:t>
      </w:r>
      <w:proofErr w:type="spellEnd"/>
      <w:r w:rsidR="00814FAA" w:rsidRPr="009534C8">
        <w:rPr>
          <w:rFonts w:ascii="Arial" w:hAnsi="Arial" w:cs="Arial"/>
        </w:rPr>
        <w:t xml:space="preserve"> </w:t>
      </w:r>
      <w:proofErr w:type="spellStart"/>
      <w:r w:rsidR="00814FAA" w:rsidRPr="009534C8">
        <w:rPr>
          <w:rFonts w:ascii="Arial" w:hAnsi="Arial" w:cs="Arial"/>
        </w:rPr>
        <w:t>detaljna</w:t>
      </w:r>
      <w:proofErr w:type="spellEnd"/>
      <w:r w:rsidR="00814FAA" w:rsidRPr="009534C8">
        <w:rPr>
          <w:rFonts w:ascii="Arial" w:hAnsi="Arial" w:cs="Arial"/>
        </w:rPr>
        <w:t xml:space="preserve"> </w:t>
      </w:r>
      <w:proofErr w:type="spellStart"/>
      <w:r w:rsidR="00814FAA" w:rsidRPr="009534C8">
        <w:rPr>
          <w:rFonts w:ascii="Arial" w:hAnsi="Arial" w:cs="Arial"/>
        </w:rPr>
        <w:t>geološka</w:t>
      </w:r>
      <w:proofErr w:type="spellEnd"/>
      <w:r w:rsidR="00814FAA" w:rsidRPr="009534C8">
        <w:rPr>
          <w:rFonts w:ascii="Arial" w:hAnsi="Arial" w:cs="Arial"/>
        </w:rPr>
        <w:t xml:space="preserve"> </w:t>
      </w:r>
      <w:proofErr w:type="spellStart"/>
      <w:r w:rsidR="00814FAA" w:rsidRPr="009534C8">
        <w:rPr>
          <w:rFonts w:ascii="Arial" w:hAnsi="Arial" w:cs="Arial"/>
        </w:rPr>
        <w:t>istraživanja</w:t>
      </w:r>
      <w:proofErr w:type="spellEnd"/>
      <w:r w:rsidR="00814FAA" w:rsidRPr="009534C8">
        <w:rPr>
          <w:rFonts w:ascii="Arial" w:hAnsi="Arial" w:cs="Arial"/>
        </w:rPr>
        <w:t>,</w:t>
      </w:r>
    </w:p>
    <w:p w14:paraId="4585D9CD" w14:textId="6124CF41" w:rsidR="00814FAA" w:rsidRDefault="009F2F62" w:rsidP="00B25D4A">
      <w:pPr>
        <w:pStyle w:val="ListParagraph"/>
        <w:numPr>
          <w:ilvl w:val="0"/>
          <w:numId w:val="26"/>
        </w:numPr>
        <w:suppressAutoHyphens w:val="0"/>
        <w:spacing w:after="0"/>
        <w:ind w:left="709" w:hanging="709"/>
        <w:contextualSpacing w:val="0"/>
        <w:rPr>
          <w:rFonts w:ascii="Arial" w:hAnsi="Arial" w:cs="Arial"/>
        </w:rPr>
      </w:pPr>
      <w:r w:rsidRPr="009F2F62">
        <w:rPr>
          <w:rFonts w:ascii="Arial" w:hAnsi="Arial" w:cs="Arial"/>
          <w:b/>
        </w:rPr>
        <w:t>1</w:t>
      </w:r>
      <w:r>
        <w:rPr>
          <w:rFonts w:ascii="Arial" w:hAnsi="Arial" w:cs="Arial"/>
        </w:rPr>
        <w:t xml:space="preserve"> </w:t>
      </w:r>
      <w:r>
        <w:rPr>
          <w:rFonts w:ascii="Arial" w:hAnsi="Arial" w:cs="Arial"/>
          <w:lang w:val="sr-Latn-ME"/>
        </w:rPr>
        <w:t>(</w:t>
      </w:r>
      <w:proofErr w:type="spellStart"/>
      <w:r w:rsidRPr="009534C8">
        <w:rPr>
          <w:rFonts w:ascii="Arial" w:hAnsi="Arial" w:cs="Arial"/>
        </w:rPr>
        <w:t>jedna</w:t>
      </w:r>
      <w:proofErr w:type="spellEnd"/>
      <w:r>
        <w:rPr>
          <w:rFonts w:ascii="Arial" w:hAnsi="Arial" w:cs="Arial"/>
        </w:rPr>
        <w:t>)</w:t>
      </w:r>
      <w:r w:rsidRPr="009534C8">
        <w:rPr>
          <w:rFonts w:ascii="Arial" w:hAnsi="Arial" w:cs="Arial"/>
        </w:rPr>
        <w:t xml:space="preserve"> </w:t>
      </w:r>
      <w:proofErr w:type="spellStart"/>
      <w:r w:rsidR="00814FAA" w:rsidRPr="009534C8">
        <w:rPr>
          <w:rFonts w:ascii="Arial" w:hAnsi="Arial" w:cs="Arial"/>
        </w:rPr>
        <w:t>godina</w:t>
      </w:r>
      <w:proofErr w:type="spellEnd"/>
      <w:r w:rsidR="00814FAA" w:rsidRPr="009534C8">
        <w:rPr>
          <w:rFonts w:ascii="Arial" w:hAnsi="Arial" w:cs="Arial"/>
        </w:rPr>
        <w:t xml:space="preserve"> </w:t>
      </w:r>
      <w:proofErr w:type="spellStart"/>
      <w:r w:rsidR="00814FAA" w:rsidRPr="009534C8">
        <w:rPr>
          <w:rFonts w:ascii="Arial" w:hAnsi="Arial" w:cs="Arial"/>
        </w:rPr>
        <w:t>za</w:t>
      </w:r>
      <w:proofErr w:type="spellEnd"/>
      <w:r w:rsidR="00814FAA" w:rsidRPr="009534C8">
        <w:rPr>
          <w:rFonts w:ascii="Arial" w:hAnsi="Arial" w:cs="Arial"/>
        </w:rPr>
        <w:t xml:space="preserve">: </w:t>
      </w:r>
      <w:proofErr w:type="spellStart"/>
      <w:r w:rsidR="00814FAA" w:rsidRPr="009534C8">
        <w:rPr>
          <w:rFonts w:ascii="Arial" w:hAnsi="Arial" w:cs="Arial"/>
        </w:rPr>
        <w:t>izradu</w:t>
      </w:r>
      <w:proofErr w:type="spellEnd"/>
      <w:r w:rsidR="00814FAA" w:rsidRPr="009534C8">
        <w:rPr>
          <w:rFonts w:ascii="Arial" w:hAnsi="Arial" w:cs="Arial"/>
        </w:rPr>
        <w:t xml:space="preserve"> </w:t>
      </w:r>
      <w:proofErr w:type="spellStart"/>
      <w:r w:rsidR="00814FAA" w:rsidRPr="009534C8">
        <w:rPr>
          <w:rFonts w:ascii="Arial" w:hAnsi="Arial" w:cs="Arial"/>
        </w:rPr>
        <w:t>rudarske</w:t>
      </w:r>
      <w:proofErr w:type="spellEnd"/>
      <w:r w:rsidR="00814FAA" w:rsidRPr="009534C8">
        <w:rPr>
          <w:rFonts w:ascii="Arial" w:hAnsi="Arial" w:cs="Arial"/>
        </w:rPr>
        <w:t xml:space="preserve"> </w:t>
      </w:r>
      <w:proofErr w:type="spellStart"/>
      <w:r w:rsidR="00814FAA" w:rsidRPr="009534C8">
        <w:rPr>
          <w:rFonts w:ascii="Arial" w:hAnsi="Arial" w:cs="Arial"/>
        </w:rPr>
        <w:t>dokumentacije</w:t>
      </w:r>
      <w:proofErr w:type="spellEnd"/>
      <w:r w:rsidR="00814FAA" w:rsidRPr="009534C8">
        <w:rPr>
          <w:rFonts w:ascii="Arial" w:hAnsi="Arial" w:cs="Arial"/>
        </w:rPr>
        <w:t xml:space="preserve">, </w:t>
      </w:r>
      <w:proofErr w:type="spellStart"/>
      <w:r w:rsidR="00814FAA" w:rsidRPr="009534C8">
        <w:rPr>
          <w:rFonts w:ascii="Arial" w:hAnsi="Arial" w:cs="Arial"/>
        </w:rPr>
        <w:t>pribavljanja</w:t>
      </w:r>
      <w:proofErr w:type="spellEnd"/>
      <w:r w:rsidR="00814FAA" w:rsidRPr="009534C8">
        <w:rPr>
          <w:rFonts w:ascii="Arial" w:hAnsi="Arial" w:cs="Arial"/>
        </w:rPr>
        <w:t xml:space="preserve"> </w:t>
      </w:r>
      <w:proofErr w:type="spellStart"/>
      <w:r w:rsidR="00814FAA" w:rsidRPr="009534C8">
        <w:rPr>
          <w:rFonts w:ascii="Arial" w:hAnsi="Arial" w:cs="Arial"/>
        </w:rPr>
        <w:t>odobrenja</w:t>
      </w:r>
      <w:proofErr w:type="spellEnd"/>
      <w:r w:rsidR="00814FAA" w:rsidRPr="009534C8">
        <w:rPr>
          <w:rFonts w:ascii="Arial" w:hAnsi="Arial" w:cs="Arial"/>
        </w:rPr>
        <w:t xml:space="preserve">, </w:t>
      </w:r>
      <w:proofErr w:type="spellStart"/>
      <w:r w:rsidR="00814FAA" w:rsidRPr="009534C8">
        <w:rPr>
          <w:rFonts w:ascii="Arial" w:hAnsi="Arial" w:cs="Arial"/>
        </w:rPr>
        <w:t>saglasnosti</w:t>
      </w:r>
      <w:proofErr w:type="spellEnd"/>
      <w:r w:rsidR="00814FAA" w:rsidRPr="009534C8">
        <w:rPr>
          <w:rFonts w:ascii="Arial" w:hAnsi="Arial" w:cs="Arial"/>
        </w:rPr>
        <w:t xml:space="preserve"> </w:t>
      </w:r>
      <w:proofErr w:type="spellStart"/>
      <w:r w:rsidR="00814FAA" w:rsidRPr="009534C8">
        <w:rPr>
          <w:rFonts w:ascii="Arial" w:hAnsi="Arial" w:cs="Arial"/>
        </w:rPr>
        <w:t>i</w:t>
      </w:r>
      <w:proofErr w:type="spellEnd"/>
      <w:r w:rsidR="00814FAA" w:rsidRPr="009534C8">
        <w:rPr>
          <w:rFonts w:ascii="Arial" w:hAnsi="Arial" w:cs="Arial"/>
        </w:rPr>
        <w:t xml:space="preserve"> </w:t>
      </w:r>
      <w:proofErr w:type="spellStart"/>
      <w:r w:rsidR="00814FAA" w:rsidRPr="009534C8">
        <w:rPr>
          <w:rFonts w:ascii="Arial" w:hAnsi="Arial" w:cs="Arial"/>
        </w:rPr>
        <w:t>dozvola</w:t>
      </w:r>
      <w:proofErr w:type="spellEnd"/>
      <w:r w:rsidR="00814FAA" w:rsidRPr="009534C8">
        <w:rPr>
          <w:rFonts w:ascii="Arial" w:hAnsi="Arial" w:cs="Arial"/>
        </w:rPr>
        <w:t xml:space="preserve"> </w:t>
      </w:r>
      <w:proofErr w:type="spellStart"/>
      <w:r w:rsidR="00814FAA" w:rsidRPr="00814FAA">
        <w:rPr>
          <w:rFonts w:ascii="Arial" w:hAnsi="Arial" w:cs="Arial"/>
        </w:rPr>
        <w:t>za</w:t>
      </w:r>
      <w:proofErr w:type="spellEnd"/>
      <w:r w:rsidR="00814FAA" w:rsidRPr="00814FAA">
        <w:rPr>
          <w:rFonts w:ascii="Arial" w:hAnsi="Arial" w:cs="Arial"/>
        </w:rPr>
        <w:t xml:space="preserve"> </w:t>
      </w:r>
      <w:proofErr w:type="spellStart"/>
      <w:r w:rsidR="00814FAA" w:rsidRPr="00814FAA">
        <w:rPr>
          <w:rFonts w:ascii="Arial" w:hAnsi="Arial" w:cs="Arial"/>
        </w:rPr>
        <w:t>izvođenje</w:t>
      </w:r>
      <w:proofErr w:type="spellEnd"/>
      <w:r w:rsidR="00814FAA" w:rsidRPr="00814FAA">
        <w:rPr>
          <w:rFonts w:ascii="Arial" w:hAnsi="Arial" w:cs="Arial"/>
        </w:rPr>
        <w:t xml:space="preserve"> </w:t>
      </w:r>
      <w:proofErr w:type="spellStart"/>
      <w:r w:rsidR="00814FAA" w:rsidRPr="00814FAA">
        <w:rPr>
          <w:rFonts w:ascii="Arial" w:hAnsi="Arial" w:cs="Arial"/>
        </w:rPr>
        <w:t>radova</w:t>
      </w:r>
      <w:proofErr w:type="spellEnd"/>
      <w:r w:rsidR="00814FAA" w:rsidRPr="00814FAA">
        <w:rPr>
          <w:rFonts w:ascii="Arial" w:hAnsi="Arial" w:cs="Arial"/>
        </w:rPr>
        <w:t xml:space="preserve"> </w:t>
      </w:r>
      <w:proofErr w:type="spellStart"/>
      <w:r w:rsidR="00814FAA" w:rsidRPr="00814FAA">
        <w:rPr>
          <w:rFonts w:ascii="Arial" w:hAnsi="Arial" w:cs="Arial"/>
        </w:rPr>
        <w:t>po</w:t>
      </w:r>
      <w:proofErr w:type="spellEnd"/>
      <w:r w:rsidR="00814FAA" w:rsidRPr="00814FAA">
        <w:rPr>
          <w:rFonts w:ascii="Arial" w:hAnsi="Arial" w:cs="Arial"/>
        </w:rPr>
        <w:t xml:space="preserve"> </w:t>
      </w:r>
      <w:proofErr w:type="spellStart"/>
      <w:r w:rsidR="00814FAA" w:rsidRPr="00814FAA">
        <w:rPr>
          <w:rFonts w:ascii="Arial" w:hAnsi="Arial" w:cs="Arial"/>
        </w:rPr>
        <w:t>istoj</w:t>
      </w:r>
      <w:proofErr w:type="spellEnd"/>
      <w:r w:rsidR="00814FAA" w:rsidRPr="00814FAA">
        <w:rPr>
          <w:rFonts w:ascii="Arial" w:hAnsi="Arial" w:cs="Arial"/>
        </w:rPr>
        <w:t xml:space="preserve">, </w:t>
      </w:r>
      <w:proofErr w:type="spellStart"/>
      <w:r w:rsidR="00814FAA" w:rsidRPr="00814FAA">
        <w:rPr>
          <w:rFonts w:ascii="Arial" w:hAnsi="Arial" w:cs="Arial"/>
        </w:rPr>
        <w:t>pripremu</w:t>
      </w:r>
      <w:proofErr w:type="spellEnd"/>
      <w:r w:rsidR="00814FAA" w:rsidRPr="00814FAA">
        <w:rPr>
          <w:rFonts w:ascii="Arial" w:hAnsi="Arial" w:cs="Arial"/>
        </w:rPr>
        <w:t xml:space="preserve"> </w:t>
      </w:r>
      <w:proofErr w:type="spellStart"/>
      <w:r w:rsidR="00814FAA" w:rsidRPr="00814FAA">
        <w:rPr>
          <w:rFonts w:ascii="Arial" w:hAnsi="Arial" w:cs="Arial"/>
        </w:rPr>
        <w:t>ležišta</w:t>
      </w:r>
      <w:proofErr w:type="spellEnd"/>
      <w:r w:rsidR="00814FAA" w:rsidRPr="00814FAA">
        <w:rPr>
          <w:rFonts w:ascii="Arial" w:hAnsi="Arial" w:cs="Arial"/>
        </w:rPr>
        <w:t xml:space="preserve"> </w:t>
      </w:r>
      <w:proofErr w:type="spellStart"/>
      <w:r w:rsidR="00814FAA" w:rsidRPr="00814FAA">
        <w:rPr>
          <w:rFonts w:ascii="Arial" w:hAnsi="Arial" w:cs="Arial"/>
        </w:rPr>
        <w:t>za</w:t>
      </w:r>
      <w:proofErr w:type="spellEnd"/>
      <w:r w:rsidR="00814FAA" w:rsidRPr="00814FAA">
        <w:rPr>
          <w:rFonts w:ascii="Arial" w:hAnsi="Arial" w:cs="Arial"/>
        </w:rPr>
        <w:t xml:space="preserve"> </w:t>
      </w:r>
      <w:proofErr w:type="spellStart"/>
      <w:r w:rsidR="00814FAA" w:rsidRPr="00814FAA">
        <w:rPr>
          <w:rFonts w:ascii="Arial" w:hAnsi="Arial" w:cs="Arial"/>
        </w:rPr>
        <w:t>eksploataciju</w:t>
      </w:r>
      <w:proofErr w:type="spellEnd"/>
      <w:r w:rsidR="00814FAA" w:rsidRPr="00814FAA">
        <w:rPr>
          <w:rFonts w:ascii="Arial" w:hAnsi="Arial" w:cs="Arial"/>
        </w:rPr>
        <w:t xml:space="preserve">, </w:t>
      </w:r>
      <w:proofErr w:type="spellStart"/>
      <w:r w:rsidR="00814FAA" w:rsidRPr="00814FAA">
        <w:rPr>
          <w:rFonts w:ascii="Arial" w:hAnsi="Arial" w:cs="Arial"/>
        </w:rPr>
        <w:t>instaliranje</w:t>
      </w:r>
      <w:proofErr w:type="spellEnd"/>
      <w:r w:rsidR="00814FAA" w:rsidRPr="00814FAA">
        <w:rPr>
          <w:rFonts w:ascii="Arial" w:hAnsi="Arial" w:cs="Arial"/>
        </w:rPr>
        <w:t xml:space="preserve"> </w:t>
      </w:r>
      <w:proofErr w:type="spellStart"/>
      <w:r w:rsidR="00814FAA" w:rsidRPr="00814FAA">
        <w:rPr>
          <w:rFonts w:ascii="Arial" w:hAnsi="Arial" w:cs="Arial"/>
        </w:rPr>
        <w:t>postrojenja</w:t>
      </w:r>
      <w:proofErr w:type="spellEnd"/>
      <w:r w:rsidR="00814FAA" w:rsidRPr="00814FAA">
        <w:rPr>
          <w:rFonts w:ascii="Arial" w:hAnsi="Arial" w:cs="Arial"/>
        </w:rPr>
        <w:t xml:space="preserve"> </w:t>
      </w:r>
      <w:proofErr w:type="spellStart"/>
      <w:r w:rsidR="00814FAA" w:rsidRPr="00814FAA">
        <w:rPr>
          <w:rFonts w:ascii="Arial" w:hAnsi="Arial" w:cs="Arial"/>
        </w:rPr>
        <w:t>i</w:t>
      </w:r>
      <w:proofErr w:type="spellEnd"/>
      <w:r w:rsidR="00814FAA" w:rsidRPr="00814FAA">
        <w:rPr>
          <w:rFonts w:ascii="Arial" w:hAnsi="Arial" w:cs="Arial"/>
        </w:rPr>
        <w:t xml:space="preserve"> </w:t>
      </w:r>
      <w:proofErr w:type="spellStart"/>
      <w:r w:rsidR="00814FAA" w:rsidRPr="00814FAA">
        <w:rPr>
          <w:rFonts w:ascii="Arial" w:hAnsi="Arial" w:cs="Arial"/>
        </w:rPr>
        <w:t>opreme</w:t>
      </w:r>
      <w:proofErr w:type="spellEnd"/>
      <w:r w:rsidR="00814FAA" w:rsidRPr="00814FAA">
        <w:rPr>
          <w:rFonts w:ascii="Arial" w:hAnsi="Arial" w:cs="Arial"/>
        </w:rPr>
        <w:t xml:space="preserve"> </w:t>
      </w:r>
      <w:proofErr w:type="spellStart"/>
      <w:r w:rsidR="00814FAA" w:rsidRPr="00814FAA">
        <w:rPr>
          <w:rFonts w:ascii="Arial" w:hAnsi="Arial" w:cs="Arial"/>
        </w:rPr>
        <w:t>potrebne</w:t>
      </w:r>
      <w:proofErr w:type="spellEnd"/>
      <w:r w:rsidR="00814FAA" w:rsidRPr="00814FAA">
        <w:rPr>
          <w:rFonts w:ascii="Arial" w:hAnsi="Arial" w:cs="Arial"/>
        </w:rPr>
        <w:t xml:space="preserve"> </w:t>
      </w:r>
      <w:proofErr w:type="spellStart"/>
      <w:r w:rsidR="00814FAA" w:rsidRPr="00814FAA">
        <w:rPr>
          <w:rFonts w:ascii="Arial" w:hAnsi="Arial" w:cs="Arial"/>
        </w:rPr>
        <w:t>za</w:t>
      </w:r>
      <w:proofErr w:type="spellEnd"/>
      <w:r w:rsidR="00814FAA" w:rsidRPr="00814FAA">
        <w:rPr>
          <w:rFonts w:ascii="Arial" w:hAnsi="Arial" w:cs="Arial"/>
        </w:rPr>
        <w:t xml:space="preserve"> </w:t>
      </w:r>
      <w:proofErr w:type="spellStart"/>
      <w:r w:rsidR="00814FAA" w:rsidRPr="00814FAA">
        <w:rPr>
          <w:rFonts w:ascii="Arial" w:hAnsi="Arial" w:cs="Arial"/>
        </w:rPr>
        <w:t>eksploataciju</w:t>
      </w:r>
      <w:proofErr w:type="spellEnd"/>
      <w:r w:rsidR="00814FAA" w:rsidRPr="00814FAA">
        <w:rPr>
          <w:rFonts w:ascii="Arial" w:hAnsi="Arial" w:cs="Arial"/>
        </w:rPr>
        <w:t xml:space="preserve">, </w:t>
      </w:r>
      <w:proofErr w:type="spellStart"/>
      <w:r w:rsidR="00814FAA" w:rsidRPr="00814FAA">
        <w:rPr>
          <w:rFonts w:ascii="Arial" w:hAnsi="Arial" w:cs="Arial"/>
        </w:rPr>
        <w:t>kao</w:t>
      </w:r>
      <w:proofErr w:type="spellEnd"/>
      <w:r w:rsidR="00814FAA" w:rsidRPr="00814FAA">
        <w:rPr>
          <w:rFonts w:ascii="Arial" w:hAnsi="Arial" w:cs="Arial"/>
        </w:rPr>
        <w:t xml:space="preserve"> </w:t>
      </w:r>
      <w:proofErr w:type="spellStart"/>
      <w:r w:rsidR="00814FAA" w:rsidRPr="00814FAA">
        <w:rPr>
          <w:rFonts w:ascii="Arial" w:hAnsi="Arial" w:cs="Arial"/>
        </w:rPr>
        <w:t>i</w:t>
      </w:r>
      <w:proofErr w:type="spellEnd"/>
      <w:r w:rsidR="00814FAA" w:rsidRPr="00814FAA">
        <w:rPr>
          <w:rFonts w:ascii="Arial" w:hAnsi="Arial" w:cs="Arial"/>
        </w:rPr>
        <w:t xml:space="preserve"> </w:t>
      </w:r>
      <w:proofErr w:type="spellStart"/>
      <w:r w:rsidR="00814FAA" w:rsidRPr="00814FAA">
        <w:rPr>
          <w:rFonts w:ascii="Arial" w:hAnsi="Arial" w:cs="Arial"/>
        </w:rPr>
        <w:t>pribavljanje</w:t>
      </w:r>
      <w:proofErr w:type="spellEnd"/>
      <w:r w:rsidR="00814FAA" w:rsidRPr="00814FAA">
        <w:rPr>
          <w:rFonts w:ascii="Arial" w:hAnsi="Arial" w:cs="Arial"/>
        </w:rPr>
        <w:t xml:space="preserve"> </w:t>
      </w:r>
      <w:proofErr w:type="spellStart"/>
      <w:r w:rsidR="00814FAA" w:rsidRPr="00814FAA">
        <w:rPr>
          <w:rFonts w:ascii="Arial" w:hAnsi="Arial" w:cs="Arial"/>
        </w:rPr>
        <w:t>upotrebn</w:t>
      </w:r>
      <w:r>
        <w:rPr>
          <w:rFonts w:ascii="Arial" w:hAnsi="Arial" w:cs="Arial"/>
        </w:rPr>
        <w:t>e</w:t>
      </w:r>
      <w:proofErr w:type="spellEnd"/>
      <w:r>
        <w:rPr>
          <w:rFonts w:ascii="Arial" w:hAnsi="Arial" w:cs="Arial"/>
        </w:rPr>
        <w:t xml:space="preserve"> </w:t>
      </w:r>
      <w:proofErr w:type="spellStart"/>
      <w:r>
        <w:rPr>
          <w:rFonts w:ascii="Arial" w:hAnsi="Arial" w:cs="Arial"/>
        </w:rPr>
        <w:t>dozvole</w:t>
      </w:r>
      <w:proofErr w:type="spellEnd"/>
      <w:r>
        <w:rPr>
          <w:rFonts w:ascii="Arial" w:hAnsi="Arial" w:cs="Arial"/>
        </w:rPr>
        <w:t xml:space="preserve"> </w:t>
      </w:r>
      <w:proofErr w:type="spellStart"/>
      <w:r>
        <w:rPr>
          <w:rFonts w:ascii="Arial" w:hAnsi="Arial" w:cs="Arial"/>
        </w:rPr>
        <w:t>za</w:t>
      </w:r>
      <w:proofErr w:type="spellEnd"/>
      <w:r>
        <w:rPr>
          <w:rFonts w:ascii="Arial" w:hAnsi="Arial" w:cs="Arial"/>
        </w:rPr>
        <w:t xml:space="preserve"> </w:t>
      </w:r>
      <w:proofErr w:type="spellStart"/>
      <w:r>
        <w:rPr>
          <w:rFonts w:ascii="Arial" w:hAnsi="Arial" w:cs="Arial"/>
        </w:rPr>
        <w:t>izgrađene</w:t>
      </w:r>
      <w:proofErr w:type="spellEnd"/>
      <w:r>
        <w:rPr>
          <w:rFonts w:ascii="Arial" w:hAnsi="Arial" w:cs="Arial"/>
        </w:rPr>
        <w:t xml:space="preserve"> </w:t>
      </w:r>
      <w:proofErr w:type="spellStart"/>
      <w:r>
        <w:rPr>
          <w:rFonts w:ascii="Arial" w:hAnsi="Arial" w:cs="Arial"/>
        </w:rPr>
        <w:t>objekte</w:t>
      </w:r>
      <w:proofErr w:type="spellEnd"/>
      <w:r>
        <w:rPr>
          <w:rFonts w:ascii="Arial" w:hAnsi="Arial" w:cs="Arial"/>
        </w:rPr>
        <w:t xml:space="preserve"> </w:t>
      </w:r>
    </w:p>
    <w:p w14:paraId="3B016A76" w14:textId="0A40C084" w:rsidR="00814FAA" w:rsidRPr="00C64899" w:rsidRDefault="007D4AC5" w:rsidP="00C64899">
      <w:pPr>
        <w:pStyle w:val="ListParagraph"/>
        <w:numPr>
          <w:ilvl w:val="0"/>
          <w:numId w:val="26"/>
        </w:numPr>
        <w:suppressAutoHyphens w:val="0"/>
        <w:spacing w:after="0"/>
        <w:ind w:left="709" w:hanging="709"/>
        <w:contextualSpacing w:val="0"/>
        <w:rPr>
          <w:rFonts w:ascii="Arial" w:hAnsi="Arial" w:cs="Arial"/>
        </w:rPr>
      </w:pPr>
      <w:r w:rsidRPr="007D617C">
        <w:rPr>
          <w:rFonts w:ascii="Arial" w:hAnsi="Arial" w:cs="Arial"/>
          <w:b/>
          <w:bCs/>
        </w:rPr>
        <w:t>1</w:t>
      </w:r>
      <w:r w:rsidR="009F2F62">
        <w:rPr>
          <w:rFonts w:ascii="Arial" w:hAnsi="Arial" w:cs="Arial"/>
          <w:b/>
          <w:bCs/>
        </w:rPr>
        <w:t xml:space="preserve">2 </w:t>
      </w:r>
      <w:r w:rsidR="00814FAA" w:rsidRPr="007D617C">
        <w:rPr>
          <w:rFonts w:ascii="Arial" w:hAnsi="Arial" w:cs="Arial"/>
          <w:b/>
          <w:bCs/>
        </w:rPr>
        <w:t>(</w:t>
      </w:r>
      <w:proofErr w:type="spellStart"/>
      <w:r w:rsidR="009F2F62">
        <w:rPr>
          <w:rFonts w:ascii="Arial" w:hAnsi="Arial" w:cs="Arial"/>
          <w:b/>
          <w:bCs/>
        </w:rPr>
        <w:t>dva</w:t>
      </w:r>
      <w:r w:rsidRPr="007D617C">
        <w:rPr>
          <w:rFonts w:ascii="Arial" w:hAnsi="Arial" w:cs="Arial"/>
          <w:b/>
          <w:bCs/>
        </w:rPr>
        <w:t>naest</w:t>
      </w:r>
      <w:proofErr w:type="spellEnd"/>
      <w:r w:rsidR="00814FAA" w:rsidRPr="007D617C">
        <w:rPr>
          <w:rFonts w:ascii="Arial" w:hAnsi="Arial" w:cs="Arial"/>
          <w:b/>
          <w:bCs/>
        </w:rPr>
        <w:t xml:space="preserve">) </w:t>
      </w:r>
      <w:proofErr w:type="spellStart"/>
      <w:r w:rsidR="00814FAA" w:rsidRPr="007D617C">
        <w:rPr>
          <w:rFonts w:ascii="Arial" w:hAnsi="Arial" w:cs="Arial"/>
          <w:b/>
          <w:bCs/>
        </w:rPr>
        <w:t>godina</w:t>
      </w:r>
      <w:proofErr w:type="spellEnd"/>
      <w:r w:rsidR="00814FAA" w:rsidRPr="007D617C">
        <w:rPr>
          <w:rFonts w:ascii="Arial" w:hAnsi="Arial" w:cs="Arial"/>
          <w:b/>
          <w:bCs/>
        </w:rPr>
        <w:t xml:space="preserve"> </w:t>
      </w:r>
      <w:proofErr w:type="spellStart"/>
      <w:r w:rsidR="00814FAA" w:rsidRPr="007D617C">
        <w:rPr>
          <w:rFonts w:ascii="Arial" w:hAnsi="Arial" w:cs="Arial"/>
          <w:b/>
          <w:bCs/>
        </w:rPr>
        <w:t>za</w:t>
      </w:r>
      <w:proofErr w:type="spellEnd"/>
      <w:r w:rsidR="00814FAA" w:rsidRPr="007D617C">
        <w:rPr>
          <w:rFonts w:ascii="Arial" w:hAnsi="Arial" w:cs="Arial"/>
          <w:b/>
          <w:bCs/>
        </w:rPr>
        <w:t xml:space="preserve"> </w:t>
      </w:r>
      <w:proofErr w:type="spellStart"/>
      <w:r w:rsidR="00814FAA" w:rsidRPr="007D617C">
        <w:rPr>
          <w:rFonts w:ascii="Arial" w:hAnsi="Arial" w:cs="Arial"/>
          <w:b/>
          <w:bCs/>
        </w:rPr>
        <w:t>eksploataciju</w:t>
      </w:r>
      <w:proofErr w:type="spellEnd"/>
      <w:r w:rsidR="00814FAA" w:rsidRPr="00C64899">
        <w:rPr>
          <w:rFonts w:ascii="Arial" w:hAnsi="Arial" w:cs="Arial"/>
        </w:rPr>
        <w:t>.</w:t>
      </w:r>
    </w:p>
    <w:p w14:paraId="405DF44E" w14:textId="77777777" w:rsidR="00814FAA" w:rsidRPr="00814FAA" w:rsidRDefault="00814FAA" w:rsidP="00B25D4A">
      <w:pPr>
        <w:spacing w:after="0"/>
        <w:rPr>
          <w:rFonts w:ascii="Arial" w:hAnsi="Arial" w:cs="Arial"/>
          <w:b/>
        </w:rPr>
      </w:pPr>
    </w:p>
    <w:p w14:paraId="6F721A17" w14:textId="40FE001F" w:rsidR="00814FAA" w:rsidRPr="00A64C0B" w:rsidRDefault="00814FAA" w:rsidP="00814FAA">
      <w:pPr>
        <w:shd w:val="clear" w:color="auto" w:fill="FFFFFF"/>
        <w:suppressAutoHyphens w:val="0"/>
        <w:spacing w:after="0" w:line="240" w:lineRule="auto"/>
        <w:jc w:val="both"/>
        <w:rPr>
          <w:rFonts w:ascii="Arial" w:eastAsia="Times New Roman" w:hAnsi="Arial" w:cs="Arial"/>
          <w:lang w:val="sr-Latn-CS"/>
        </w:rPr>
      </w:pPr>
      <w:r w:rsidRPr="00A64C0B">
        <w:rPr>
          <w:rFonts w:ascii="Arial" w:eastAsia="Times New Roman" w:hAnsi="Arial" w:cs="Arial"/>
          <w:lang w:val="sr-Latn-CS"/>
        </w:rPr>
        <w:t>U</w:t>
      </w:r>
      <w:proofErr w:type="spellStart"/>
      <w:r w:rsidRPr="00A64C0B">
        <w:rPr>
          <w:rFonts w:ascii="Arial" w:eastAsia="Times New Roman" w:hAnsi="Arial" w:cs="Arial"/>
        </w:rPr>
        <w:t>kupan</w:t>
      </w:r>
      <w:proofErr w:type="spellEnd"/>
      <w:r w:rsidRPr="00A64C0B">
        <w:rPr>
          <w:rFonts w:ascii="Arial" w:eastAsia="Times New Roman" w:hAnsi="Arial" w:cs="Arial"/>
        </w:rPr>
        <w:t xml:space="preserve"> </w:t>
      </w:r>
      <w:proofErr w:type="spellStart"/>
      <w:r w:rsidRPr="00A64C0B">
        <w:rPr>
          <w:rFonts w:ascii="Arial" w:eastAsia="Times New Roman" w:hAnsi="Arial" w:cs="Arial"/>
        </w:rPr>
        <w:t>koncesioni</w:t>
      </w:r>
      <w:proofErr w:type="spellEnd"/>
      <w:r w:rsidRPr="00A64C0B">
        <w:rPr>
          <w:rFonts w:ascii="Arial" w:eastAsia="Times New Roman" w:hAnsi="Arial" w:cs="Arial"/>
        </w:rPr>
        <w:t xml:space="preserve"> period</w:t>
      </w:r>
      <w:r w:rsidR="00D853AE">
        <w:rPr>
          <w:rFonts w:ascii="Arial" w:eastAsia="Times New Roman" w:hAnsi="Arial" w:cs="Arial"/>
        </w:rPr>
        <w:t xml:space="preserve"> </w:t>
      </w:r>
      <w:r w:rsidR="00143F0C">
        <w:rPr>
          <w:rFonts w:ascii="Arial" w:eastAsia="Times New Roman" w:hAnsi="Arial" w:cs="Arial"/>
        </w:rPr>
        <w:t xml:space="preserve">(2 </w:t>
      </w:r>
      <w:proofErr w:type="spellStart"/>
      <w:r w:rsidR="00143F0C">
        <w:rPr>
          <w:rFonts w:ascii="Arial" w:eastAsia="Times New Roman" w:hAnsi="Arial" w:cs="Arial"/>
        </w:rPr>
        <w:t>godine</w:t>
      </w:r>
      <w:proofErr w:type="spellEnd"/>
      <w:r w:rsidR="00143F0C">
        <w:rPr>
          <w:rFonts w:ascii="Arial" w:eastAsia="Times New Roman" w:hAnsi="Arial" w:cs="Arial"/>
        </w:rPr>
        <w:t xml:space="preserve"> </w:t>
      </w:r>
      <w:proofErr w:type="spellStart"/>
      <w:r w:rsidR="00143F0C">
        <w:rPr>
          <w:rFonts w:ascii="Arial" w:eastAsia="Times New Roman" w:hAnsi="Arial" w:cs="Arial"/>
        </w:rPr>
        <w:t>za</w:t>
      </w:r>
      <w:proofErr w:type="spellEnd"/>
      <w:r w:rsidR="00143F0C">
        <w:rPr>
          <w:rFonts w:ascii="Arial" w:eastAsia="Times New Roman" w:hAnsi="Arial" w:cs="Arial"/>
        </w:rPr>
        <w:t xml:space="preserve"> </w:t>
      </w:r>
      <w:proofErr w:type="spellStart"/>
      <w:r w:rsidR="00143F0C">
        <w:rPr>
          <w:rFonts w:ascii="Arial" w:eastAsia="Times New Roman" w:hAnsi="Arial" w:cs="Arial"/>
        </w:rPr>
        <w:t>detaljna</w:t>
      </w:r>
      <w:proofErr w:type="spellEnd"/>
      <w:r w:rsidR="00143F0C">
        <w:rPr>
          <w:rFonts w:ascii="Arial" w:eastAsia="Times New Roman" w:hAnsi="Arial" w:cs="Arial"/>
        </w:rPr>
        <w:t xml:space="preserve"> </w:t>
      </w:r>
      <w:proofErr w:type="spellStart"/>
      <w:r w:rsidR="00143F0C">
        <w:rPr>
          <w:rFonts w:ascii="Arial" w:eastAsia="Times New Roman" w:hAnsi="Arial" w:cs="Arial"/>
        </w:rPr>
        <w:t>geološka</w:t>
      </w:r>
      <w:proofErr w:type="spellEnd"/>
      <w:r w:rsidR="00143F0C">
        <w:rPr>
          <w:rFonts w:ascii="Arial" w:eastAsia="Times New Roman" w:hAnsi="Arial" w:cs="Arial"/>
        </w:rPr>
        <w:t xml:space="preserve"> </w:t>
      </w:r>
      <w:proofErr w:type="spellStart"/>
      <w:r w:rsidR="00143F0C">
        <w:rPr>
          <w:rFonts w:ascii="Arial" w:eastAsia="Times New Roman" w:hAnsi="Arial" w:cs="Arial"/>
        </w:rPr>
        <w:t>istraživanja</w:t>
      </w:r>
      <w:proofErr w:type="spellEnd"/>
      <w:r w:rsidR="00143F0C">
        <w:rPr>
          <w:rFonts w:ascii="Arial" w:eastAsia="Times New Roman" w:hAnsi="Arial" w:cs="Arial"/>
        </w:rPr>
        <w:t xml:space="preserve"> </w:t>
      </w:r>
      <w:proofErr w:type="spellStart"/>
      <w:r w:rsidR="00143F0C">
        <w:rPr>
          <w:rFonts w:ascii="Arial" w:eastAsia="Times New Roman" w:hAnsi="Arial" w:cs="Arial"/>
        </w:rPr>
        <w:t>i</w:t>
      </w:r>
      <w:proofErr w:type="spellEnd"/>
      <w:r w:rsidR="00143F0C">
        <w:rPr>
          <w:rFonts w:ascii="Arial" w:eastAsia="Times New Roman" w:hAnsi="Arial" w:cs="Arial"/>
        </w:rPr>
        <w:t xml:space="preserve"> </w:t>
      </w:r>
      <w:proofErr w:type="spellStart"/>
      <w:r w:rsidR="00143F0C">
        <w:rPr>
          <w:rFonts w:ascii="Arial" w:eastAsia="Times New Roman" w:hAnsi="Arial" w:cs="Arial"/>
        </w:rPr>
        <w:t>izradu</w:t>
      </w:r>
      <w:proofErr w:type="spellEnd"/>
      <w:r w:rsidR="00143F0C">
        <w:rPr>
          <w:rFonts w:ascii="Arial" w:eastAsia="Times New Roman" w:hAnsi="Arial" w:cs="Arial"/>
        </w:rPr>
        <w:t xml:space="preserve"> </w:t>
      </w:r>
      <w:proofErr w:type="spellStart"/>
      <w:r w:rsidR="00143F0C">
        <w:rPr>
          <w:rFonts w:ascii="Arial" w:eastAsia="Times New Roman" w:hAnsi="Arial" w:cs="Arial"/>
        </w:rPr>
        <w:t>rudarske</w:t>
      </w:r>
      <w:proofErr w:type="spellEnd"/>
      <w:r w:rsidR="00143F0C">
        <w:rPr>
          <w:rFonts w:ascii="Arial" w:eastAsia="Times New Roman" w:hAnsi="Arial" w:cs="Arial"/>
        </w:rPr>
        <w:t xml:space="preserve"> </w:t>
      </w:r>
      <w:proofErr w:type="spellStart"/>
      <w:r w:rsidR="00143F0C">
        <w:rPr>
          <w:rFonts w:ascii="Arial" w:eastAsia="Times New Roman" w:hAnsi="Arial" w:cs="Arial"/>
        </w:rPr>
        <w:t>dokumentacije</w:t>
      </w:r>
      <w:proofErr w:type="spellEnd"/>
      <w:r w:rsidR="00143F0C">
        <w:rPr>
          <w:rFonts w:ascii="Arial" w:eastAsia="Times New Roman" w:hAnsi="Arial" w:cs="Arial"/>
        </w:rPr>
        <w:t xml:space="preserve"> </w:t>
      </w:r>
      <w:proofErr w:type="spellStart"/>
      <w:r w:rsidR="00143F0C">
        <w:rPr>
          <w:rFonts w:ascii="Arial" w:eastAsia="Times New Roman" w:hAnsi="Arial" w:cs="Arial"/>
        </w:rPr>
        <w:t>i</w:t>
      </w:r>
      <w:proofErr w:type="spellEnd"/>
      <w:r w:rsidR="00143F0C">
        <w:rPr>
          <w:rFonts w:ascii="Arial" w:eastAsia="Times New Roman" w:hAnsi="Arial" w:cs="Arial"/>
        </w:rPr>
        <w:t xml:space="preserve"> 1</w:t>
      </w:r>
      <w:r w:rsidR="00E85264">
        <w:rPr>
          <w:rFonts w:ascii="Arial" w:eastAsia="Times New Roman" w:hAnsi="Arial" w:cs="Arial"/>
        </w:rPr>
        <w:t>2</w:t>
      </w:r>
      <w:r w:rsidR="00143F0C">
        <w:rPr>
          <w:rFonts w:ascii="Arial" w:eastAsia="Times New Roman" w:hAnsi="Arial" w:cs="Arial"/>
        </w:rPr>
        <w:t xml:space="preserve"> </w:t>
      </w:r>
      <w:proofErr w:type="spellStart"/>
      <w:r w:rsidR="00143F0C">
        <w:rPr>
          <w:rFonts w:ascii="Arial" w:eastAsia="Times New Roman" w:hAnsi="Arial" w:cs="Arial"/>
        </w:rPr>
        <w:t>godina</w:t>
      </w:r>
      <w:proofErr w:type="spellEnd"/>
      <w:r w:rsidR="00143F0C">
        <w:rPr>
          <w:rFonts w:ascii="Arial" w:eastAsia="Times New Roman" w:hAnsi="Arial" w:cs="Arial"/>
        </w:rPr>
        <w:t xml:space="preserve"> </w:t>
      </w:r>
      <w:proofErr w:type="spellStart"/>
      <w:r w:rsidR="00143F0C">
        <w:rPr>
          <w:rFonts w:ascii="Arial" w:eastAsia="Times New Roman" w:hAnsi="Arial" w:cs="Arial"/>
        </w:rPr>
        <w:t>za</w:t>
      </w:r>
      <w:proofErr w:type="spellEnd"/>
      <w:r w:rsidR="00143F0C">
        <w:rPr>
          <w:rFonts w:ascii="Arial" w:eastAsia="Times New Roman" w:hAnsi="Arial" w:cs="Arial"/>
        </w:rPr>
        <w:t xml:space="preserve"> </w:t>
      </w:r>
      <w:proofErr w:type="spellStart"/>
      <w:r w:rsidR="00143F0C">
        <w:rPr>
          <w:rFonts w:ascii="Arial" w:eastAsia="Times New Roman" w:hAnsi="Arial" w:cs="Arial"/>
        </w:rPr>
        <w:t>eksploataciju</w:t>
      </w:r>
      <w:proofErr w:type="spellEnd"/>
      <w:r w:rsidR="00143F0C">
        <w:rPr>
          <w:rFonts w:ascii="Arial" w:eastAsia="Times New Roman" w:hAnsi="Arial" w:cs="Arial"/>
        </w:rPr>
        <w:t xml:space="preserve">) </w:t>
      </w:r>
      <w:r w:rsidR="00A64C0B">
        <w:rPr>
          <w:rFonts w:ascii="Arial" w:eastAsia="Times New Roman" w:hAnsi="Arial" w:cs="Arial"/>
        </w:rPr>
        <w:t xml:space="preserve"> je u </w:t>
      </w:r>
      <w:proofErr w:type="spellStart"/>
      <w:r w:rsidR="00A64C0B">
        <w:rPr>
          <w:rFonts w:ascii="Arial" w:eastAsia="Times New Roman" w:hAnsi="Arial" w:cs="Arial"/>
        </w:rPr>
        <w:t>t</w:t>
      </w:r>
      <w:r w:rsidR="00C64899">
        <w:rPr>
          <w:rFonts w:ascii="Arial" w:eastAsia="Times New Roman" w:hAnsi="Arial" w:cs="Arial"/>
        </w:rPr>
        <w:t>r</w:t>
      </w:r>
      <w:r w:rsidR="00A64C0B">
        <w:rPr>
          <w:rFonts w:ascii="Arial" w:eastAsia="Times New Roman" w:hAnsi="Arial" w:cs="Arial"/>
        </w:rPr>
        <w:t>ajanju</w:t>
      </w:r>
      <w:proofErr w:type="spellEnd"/>
      <w:r w:rsidR="00A64C0B">
        <w:rPr>
          <w:rFonts w:ascii="Arial" w:eastAsia="Times New Roman" w:hAnsi="Arial" w:cs="Arial"/>
        </w:rPr>
        <w:t xml:space="preserve"> od </w:t>
      </w:r>
      <w:r w:rsidR="00E85264">
        <w:rPr>
          <w:rFonts w:ascii="Arial" w:eastAsia="Times New Roman" w:hAnsi="Arial" w:cs="Arial"/>
        </w:rPr>
        <w:t>14</w:t>
      </w:r>
      <w:r w:rsidR="00A64C0B">
        <w:rPr>
          <w:rFonts w:ascii="Arial" w:eastAsia="Times New Roman" w:hAnsi="Arial" w:cs="Arial"/>
        </w:rPr>
        <w:t xml:space="preserve"> </w:t>
      </w:r>
      <w:proofErr w:type="spellStart"/>
      <w:r w:rsidR="00A64C0B">
        <w:rPr>
          <w:rFonts w:ascii="Arial" w:eastAsia="Times New Roman" w:hAnsi="Arial" w:cs="Arial"/>
        </w:rPr>
        <w:t>godina</w:t>
      </w:r>
      <w:proofErr w:type="spellEnd"/>
      <w:r w:rsidR="00A64C0B">
        <w:rPr>
          <w:rFonts w:ascii="Arial" w:eastAsia="Times New Roman" w:hAnsi="Arial" w:cs="Arial"/>
        </w:rPr>
        <w:t xml:space="preserve"> </w:t>
      </w:r>
      <w:proofErr w:type="spellStart"/>
      <w:r w:rsidR="00A64C0B">
        <w:rPr>
          <w:rFonts w:ascii="Arial" w:eastAsia="Times New Roman" w:hAnsi="Arial" w:cs="Arial"/>
        </w:rPr>
        <w:t>i</w:t>
      </w:r>
      <w:proofErr w:type="spellEnd"/>
      <w:r w:rsidRPr="00A64C0B">
        <w:rPr>
          <w:rFonts w:ascii="Arial" w:eastAsia="Times New Roman" w:hAnsi="Arial" w:cs="Arial"/>
        </w:rPr>
        <w:t xml:space="preserve"> ne </w:t>
      </w:r>
      <w:proofErr w:type="spellStart"/>
      <w:r w:rsidRPr="00A64C0B">
        <w:rPr>
          <w:rFonts w:ascii="Arial" w:eastAsia="Times New Roman" w:hAnsi="Arial" w:cs="Arial"/>
        </w:rPr>
        <w:t>prelazi</w:t>
      </w:r>
      <w:proofErr w:type="spellEnd"/>
      <w:r w:rsidRPr="00A64C0B">
        <w:rPr>
          <w:rFonts w:ascii="Arial" w:eastAsia="Times New Roman" w:hAnsi="Arial" w:cs="Arial"/>
        </w:rPr>
        <w:t xml:space="preserve"> </w:t>
      </w:r>
      <w:proofErr w:type="spellStart"/>
      <w:r w:rsidRPr="00A64C0B">
        <w:rPr>
          <w:rFonts w:ascii="Arial" w:eastAsia="Times New Roman" w:hAnsi="Arial" w:cs="Arial"/>
        </w:rPr>
        <w:t>zakonom</w:t>
      </w:r>
      <w:proofErr w:type="spellEnd"/>
      <w:r w:rsidRPr="00A64C0B">
        <w:rPr>
          <w:rFonts w:ascii="Arial" w:eastAsia="Times New Roman" w:hAnsi="Arial" w:cs="Arial"/>
        </w:rPr>
        <w:t xml:space="preserve"> </w:t>
      </w:r>
      <w:proofErr w:type="spellStart"/>
      <w:r w:rsidRPr="00A64C0B">
        <w:rPr>
          <w:rFonts w:ascii="Arial" w:eastAsia="Times New Roman" w:hAnsi="Arial" w:cs="Arial"/>
        </w:rPr>
        <w:t>definisan</w:t>
      </w:r>
      <w:proofErr w:type="spellEnd"/>
      <w:r w:rsidRPr="00A64C0B">
        <w:rPr>
          <w:rFonts w:ascii="Arial" w:eastAsia="Times New Roman" w:hAnsi="Arial" w:cs="Arial"/>
        </w:rPr>
        <w:t xml:space="preserve"> </w:t>
      </w:r>
      <w:proofErr w:type="spellStart"/>
      <w:r w:rsidR="00E85264">
        <w:rPr>
          <w:rFonts w:ascii="Arial" w:eastAsia="Times New Roman" w:hAnsi="Arial" w:cs="Arial"/>
        </w:rPr>
        <w:t>maksimalan</w:t>
      </w:r>
      <w:proofErr w:type="spellEnd"/>
      <w:r w:rsidR="00E85264">
        <w:rPr>
          <w:rFonts w:ascii="Arial" w:eastAsia="Times New Roman" w:hAnsi="Arial" w:cs="Arial"/>
        </w:rPr>
        <w:t xml:space="preserve"> </w:t>
      </w:r>
      <w:proofErr w:type="spellStart"/>
      <w:r w:rsidRPr="00A64C0B">
        <w:rPr>
          <w:rFonts w:ascii="Arial" w:eastAsia="Times New Roman" w:hAnsi="Arial" w:cs="Arial"/>
        </w:rPr>
        <w:t>rok</w:t>
      </w:r>
      <w:proofErr w:type="spellEnd"/>
      <w:r w:rsidRPr="00A64C0B">
        <w:rPr>
          <w:rFonts w:ascii="Arial" w:eastAsia="Times New Roman" w:hAnsi="Arial" w:cs="Arial"/>
        </w:rPr>
        <w:t xml:space="preserve"> </w:t>
      </w:r>
      <w:proofErr w:type="spellStart"/>
      <w:r w:rsidRPr="00A64C0B">
        <w:rPr>
          <w:rFonts w:ascii="Arial" w:eastAsia="Times New Roman" w:hAnsi="Arial" w:cs="Arial"/>
        </w:rPr>
        <w:t>trajanja</w:t>
      </w:r>
      <w:proofErr w:type="spellEnd"/>
      <w:r w:rsidRPr="00A64C0B">
        <w:rPr>
          <w:rFonts w:ascii="Arial" w:eastAsia="Times New Roman" w:hAnsi="Arial" w:cs="Arial"/>
        </w:rPr>
        <w:t xml:space="preserve"> </w:t>
      </w:r>
      <w:proofErr w:type="spellStart"/>
      <w:r w:rsidRPr="00A64C0B">
        <w:rPr>
          <w:rFonts w:ascii="Arial" w:eastAsia="Times New Roman" w:hAnsi="Arial" w:cs="Arial"/>
        </w:rPr>
        <w:t>koncesije</w:t>
      </w:r>
      <w:proofErr w:type="spellEnd"/>
      <w:r w:rsidRPr="00A64C0B">
        <w:rPr>
          <w:rFonts w:ascii="Arial" w:eastAsia="Times New Roman" w:hAnsi="Arial" w:cs="Arial"/>
        </w:rPr>
        <w:t xml:space="preserve"> od </w:t>
      </w:r>
      <w:r w:rsidR="00A64C0B" w:rsidRPr="00A64C0B">
        <w:rPr>
          <w:rFonts w:ascii="Arial" w:eastAsia="Times New Roman" w:hAnsi="Arial" w:cs="Arial"/>
        </w:rPr>
        <w:t xml:space="preserve">30 </w:t>
      </w:r>
      <w:proofErr w:type="spellStart"/>
      <w:r w:rsidRPr="00A64C0B">
        <w:rPr>
          <w:rFonts w:ascii="Arial" w:eastAsia="Times New Roman" w:hAnsi="Arial" w:cs="Arial"/>
        </w:rPr>
        <w:t>godina</w:t>
      </w:r>
      <w:proofErr w:type="spellEnd"/>
      <w:r w:rsidRPr="00A64C0B">
        <w:rPr>
          <w:rFonts w:ascii="Arial" w:eastAsia="Times New Roman" w:hAnsi="Arial" w:cs="Arial"/>
        </w:rPr>
        <w:t>.</w:t>
      </w:r>
    </w:p>
    <w:p w14:paraId="075FE8AF" w14:textId="77777777" w:rsidR="00814FAA" w:rsidRPr="00A64C0B" w:rsidRDefault="00814FAA" w:rsidP="00814FAA">
      <w:pPr>
        <w:shd w:val="clear" w:color="auto" w:fill="FFFFFF"/>
        <w:suppressAutoHyphens w:val="0"/>
        <w:spacing w:after="0" w:line="240" w:lineRule="auto"/>
        <w:jc w:val="both"/>
        <w:rPr>
          <w:rFonts w:ascii="Arial" w:eastAsia="Times New Roman" w:hAnsi="Arial" w:cs="Arial"/>
          <w:lang w:val="sr-Latn-CS"/>
        </w:rPr>
      </w:pPr>
    </w:p>
    <w:p w14:paraId="056E2CA9" w14:textId="2152BDEB" w:rsidR="00814FAA" w:rsidRDefault="00814FAA" w:rsidP="00A64C0B">
      <w:pPr>
        <w:pStyle w:val="BodyText"/>
        <w:spacing w:after="0" w:line="240" w:lineRule="auto"/>
        <w:jc w:val="both"/>
        <w:rPr>
          <w:rFonts w:ascii="Arial" w:hAnsi="Arial" w:cs="Arial"/>
          <w:noProof/>
        </w:rPr>
      </w:pPr>
      <w:bookmarkStart w:id="12" w:name="_Toc402262934"/>
      <w:r w:rsidRPr="00A64C0B">
        <w:rPr>
          <w:rFonts w:ascii="Arial" w:hAnsi="Arial" w:cs="Arial"/>
          <w:noProof/>
          <w:sz w:val="22"/>
          <w:szCs w:val="22"/>
        </w:rPr>
        <w:t>Rok trajanja faze detaljnih geoloških istraživanja i izrade rudarske i tehničke dokumentacije i pripremnih radova se ne može mijenjati</w:t>
      </w:r>
      <w:r w:rsidRPr="00A700A0">
        <w:rPr>
          <w:rFonts w:ascii="Arial" w:hAnsi="Arial" w:cs="Arial"/>
          <w:noProof/>
        </w:rPr>
        <w:t>.</w:t>
      </w:r>
    </w:p>
    <w:p w14:paraId="7E4CAC1F" w14:textId="77777777" w:rsidR="007D617C" w:rsidRDefault="007D617C" w:rsidP="00A64C0B">
      <w:pPr>
        <w:pStyle w:val="BodyText"/>
        <w:spacing w:after="0" w:line="240" w:lineRule="auto"/>
        <w:jc w:val="both"/>
        <w:rPr>
          <w:rFonts w:ascii="Arial" w:hAnsi="Arial" w:cs="Arial"/>
          <w:noProof/>
        </w:rPr>
      </w:pPr>
    </w:p>
    <w:p w14:paraId="6EB413E0" w14:textId="77777777" w:rsidR="002A5726" w:rsidRPr="00A700A0" w:rsidRDefault="002A5726" w:rsidP="00A64C0B">
      <w:pPr>
        <w:pStyle w:val="BodyText"/>
        <w:spacing w:after="0" w:line="240" w:lineRule="auto"/>
        <w:jc w:val="both"/>
        <w:rPr>
          <w:rFonts w:ascii="Arial" w:hAnsi="Arial" w:cs="Arial"/>
          <w:noProof/>
        </w:rPr>
      </w:pPr>
    </w:p>
    <w:p w14:paraId="0D6B7954" w14:textId="77777777" w:rsidR="00744584" w:rsidRPr="00DA6313" w:rsidRDefault="000C001B" w:rsidP="00664C2A">
      <w:pPr>
        <w:pStyle w:val="Heading1"/>
        <w:numPr>
          <w:ilvl w:val="0"/>
          <w:numId w:val="24"/>
        </w:numPr>
        <w:jc w:val="both"/>
        <w:rPr>
          <w:rFonts w:ascii="Arial" w:hAnsi="Arial" w:cs="Arial"/>
          <w:noProof/>
          <w:sz w:val="22"/>
          <w:szCs w:val="22"/>
        </w:rPr>
      </w:pPr>
      <w:r w:rsidRPr="00DA6313">
        <w:rPr>
          <w:rFonts w:ascii="Arial" w:hAnsi="Arial" w:cs="Arial"/>
          <w:noProof/>
          <w:sz w:val="22"/>
          <w:szCs w:val="22"/>
        </w:rPr>
        <w:t>OSNOVNI PARAMETRI ZA OCJENU EKONOMSKE OPRAVDANOSTI INVESTICIJE</w:t>
      </w:r>
      <w:bookmarkEnd w:id="12"/>
    </w:p>
    <w:p w14:paraId="6F1A5637" w14:textId="77777777" w:rsidR="00744584" w:rsidRPr="00DA6313" w:rsidRDefault="00744584" w:rsidP="008D2281">
      <w:pPr>
        <w:spacing w:after="0" w:line="240" w:lineRule="auto"/>
        <w:jc w:val="both"/>
        <w:rPr>
          <w:rFonts w:ascii="Arial" w:hAnsi="Arial" w:cs="Arial"/>
          <w:noProof/>
        </w:rPr>
      </w:pPr>
    </w:p>
    <w:p w14:paraId="606A7FDA" w14:textId="77777777" w:rsidR="003E1049" w:rsidRPr="00DA6313" w:rsidRDefault="003E1049" w:rsidP="00993969">
      <w:pPr>
        <w:pStyle w:val="ListParagraph"/>
        <w:spacing w:after="0" w:line="240" w:lineRule="auto"/>
        <w:ind w:left="0"/>
        <w:rPr>
          <w:rFonts w:ascii="Arial" w:hAnsi="Arial" w:cs="Arial"/>
          <w:i/>
          <w:noProof/>
        </w:rPr>
      </w:pPr>
      <w:r w:rsidRPr="00DA6313">
        <w:rPr>
          <w:rFonts w:ascii="Arial" w:hAnsi="Arial" w:cs="Arial"/>
          <w:i/>
          <w:noProof/>
        </w:rPr>
        <w:t>Opis tehničko-tehnološkog procesa eksploatacije</w:t>
      </w:r>
    </w:p>
    <w:p w14:paraId="70B7C268" w14:textId="77777777" w:rsidR="00993969" w:rsidRPr="00DA6313" w:rsidRDefault="00993969" w:rsidP="00993969">
      <w:pPr>
        <w:pStyle w:val="ListParagraph"/>
        <w:spacing w:after="0" w:line="240" w:lineRule="auto"/>
        <w:ind w:left="0"/>
        <w:rPr>
          <w:rFonts w:ascii="Arial" w:hAnsi="Arial" w:cs="Arial"/>
          <w:i/>
          <w:noProof/>
        </w:rPr>
      </w:pPr>
    </w:p>
    <w:p w14:paraId="54AA056B" w14:textId="77777777" w:rsidR="003E1049" w:rsidRPr="00DA6313" w:rsidRDefault="003E1049" w:rsidP="008D2281">
      <w:pPr>
        <w:spacing w:after="0" w:line="240" w:lineRule="auto"/>
        <w:jc w:val="both"/>
        <w:rPr>
          <w:rFonts w:ascii="Arial" w:hAnsi="Arial" w:cs="Arial"/>
          <w:noProof/>
        </w:rPr>
      </w:pPr>
      <w:r w:rsidRPr="00DA6313">
        <w:rPr>
          <w:rFonts w:ascii="Arial" w:hAnsi="Arial" w:cs="Arial"/>
          <w:noProof/>
        </w:rPr>
        <w:t>U ovom poglavlju daju se osnovni parametri koji treba da posluže ponuđačima, odnosno potencijalnim investitorima pri obradi proizvodnog i ekonomskog aspekta ponude i tehničko-ekonomske ocjene opravdanosti ove investicije.</w:t>
      </w:r>
    </w:p>
    <w:p w14:paraId="199EBA9B" w14:textId="77777777" w:rsidR="00744584" w:rsidRPr="00DA6313" w:rsidRDefault="00744584" w:rsidP="008D2281">
      <w:pPr>
        <w:spacing w:after="0" w:line="240" w:lineRule="auto"/>
        <w:jc w:val="both"/>
        <w:rPr>
          <w:rFonts w:ascii="Arial" w:eastAsia="Calibri" w:hAnsi="Arial" w:cs="Arial"/>
          <w:noProof/>
        </w:rPr>
      </w:pPr>
    </w:p>
    <w:p w14:paraId="796992E3" w14:textId="77777777" w:rsidR="00744584" w:rsidRPr="00DA6313" w:rsidRDefault="00744584" w:rsidP="00664C2A">
      <w:pPr>
        <w:pStyle w:val="Heading2"/>
        <w:numPr>
          <w:ilvl w:val="1"/>
          <w:numId w:val="27"/>
        </w:numPr>
      </w:pPr>
      <w:bookmarkStart w:id="13" w:name="_Toc402262936"/>
      <w:r w:rsidRPr="00DA6313">
        <w:t>Ocjena mogućnosti korišćenja mineralne sirovine</w:t>
      </w:r>
      <w:bookmarkEnd w:id="13"/>
    </w:p>
    <w:p w14:paraId="623512B6" w14:textId="77777777" w:rsidR="00744584" w:rsidRPr="00DA6313" w:rsidRDefault="00744584" w:rsidP="008D2281">
      <w:pPr>
        <w:spacing w:after="0" w:line="240" w:lineRule="auto"/>
        <w:jc w:val="both"/>
        <w:rPr>
          <w:rFonts w:ascii="Arial" w:hAnsi="Arial" w:cs="Arial"/>
          <w:noProof/>
        </w:rPr>
      </w:pPr>
    </w:p>
    <w:p w14:paraId="291BC0E3" w14:textId="77777777" w:rsidR="00744584" w:rsidRPr="00DA6313" w:rsidRDefault="008916D9" w:rsidP="008D2281">
      <w:pPr>
        <w:spacing w:after="0" w:line="240" w:lineRule="auto"/>
        <w:jc w:val="both"/>
        <w:rPr>
          <w:rFonts w:ascii="Arial" w:eastAsia="Calibri" w:hAnsi="Arial" w:cs="Arial"/>
          <w:noProof/>
        </w:rPr>
      </w:pPr>
      <w:r w:rsidRPr="00DA6313">
        <w:rPr>
          <w:rFonts w:ascii="Arial" w:eastAsia="Calibri" w:hAnsi="Arial" w:cs="Arial"/>
          <w:noProof/>
        </w:rPr>
        <w:t xml:space="preserve">U poglavlju </w:t>
      </w:r>
      <w:r w:rsidR="003E1049" w:rsidRPr="00DA6313">
        <w:rPr>
          <w:rFonts w:ascii="Arial" w:eastAsia="Calibri" w:hAnsi="Arial" w:cs="Arial"/>
          <w:noProof/>
        </w:rPr>
        <w:t>1</w:t>
      </w:r>
      <w:r w:rsidR="001B62E4" w:rsidRPr="00DA6313">
        <w:rPr>
          <w:rFonts w:ascii="Arial" w:eastAsia="Calibri" w:hAnsi="Arial" w:cs="Arial"/>
          <w:noProof/>
        </w:rPr>
        <w:t>.</w:t>
      </w:r>
      <w:r w:rsidR="00993969" w:rsidRPr="00DA6313">
        <w:rPr>
          <w:rFonts w:ascii="Arial" w:eastAsia="Calibri" w:hAnsi="Arial" w:cs="Arial"/>
          <w:noProof/>
        </w:rPr>
        <w:t>8</w:t>
      </w:r>
      <w:r w:rsidRPr="00DA6313">
        <w:rPr>
          <w:rFonts w:ascii="Arial" w:eastAsia="Calibri" w:hAnsi="Arial" w:cs="Arial"/>
          <w:noProof/>
        </w:rPr>
        <w:t>.</w:t>
      </w:r>
      <w:r w:rsidR="00744584" w:rsidRPr="00DA6313">
        <w:rPr>
          <w:rFonts w:ascii="Arial" w:eastAsia="Calibri" w:hAnsi="Arial" w:cs="Arial"/>
          <w:noProof/>
        </w:rPr>
        <w:t xml:space="preserve"> ovog </w:t>
      </w:r>
      <w:r w:rsidRPr="00DA6313">
        <w:rPr>
          <w:rFonts w:ascii="Arial" w:eastAsia="Calibri" w:hAnsi="Arial" w:cs="Arial"/>
          <w:noProof/>
        </w:rPr>
        <w:t xml:space="preserve">Koncesionog </w:t>
      </w:r>
      <w:r w:rsidR="00744584" w:rsidRPr="00DA6313">
        <w:rPr>
          <w:rFonts w:ascii="Arial" w:eastAsia="Calibri" w:hAnsi="Arial" w:cs="Arial"/>
          <w:noProof/>
        </w:rPr>
        <w:t>akta date su rezerve i kvalitet mineralne sirovine</w:t>
      </w:r>
      <w:r w:rsidR="00754CD0" w:rsidRPr="00DA6313">
        <w:rPr>
          <w:rFonts w:ascii="Arial" w:eastAsia="Calibri" w:hAnsi="Arial" w:cs="Arial"/>
          <w:noProof/>
        </w:rPr>
        <w:t>.</w:t>
      </w:r>
    </w:p>
    <w:p w14:paraId="28C3861B" w14:textId="77777777" w:rsidR="00754CD0" w:rsidRPr="00DA6313" w:rsidRDefault="00754CD0" w:rsidP="008D2281">
      <w:pPr>
        <w:spacing w:after="0" w:line="240" w:lineRule="auto"/>
        <w:jc w:val="both"/>
        <w:rPr>
          <w:rFonts w:ascii="Arial" w:eastAsia="Calibri" w:hAnsi="Arial" w:cs="Arial"/>
          <w:noProof/>
        </w:rPr>
      </w:pPr>
    </w:p>
    <w:p w14:paraId="6FFC71C7" w14:textId="77777777" w:rsidR="00754CD0" w:rsidRPr="00DA6313" w:rsidRDefault="00744584" w:rsidP="00664C2A">
      <w:pPr>
        <w:pStyle w:val="Heading2"/>
        <w:numPr>
          <w:ilvl w:val="1"/>
          <w:numId w:val="27"/>
        </w:numPr>
      </w:pPr>
      <w:bookmarkStart w:id="14" w:name="_Toc402262937"/>
      <w:r w:rsidRPr="00DA6313">
        <w:t>Proizvodni kapacitet i vijek eksploatacije</w:t>
      </w:r>
      <w:bookmarkEnd w:id="14"/>
    </w:p>
    <w:p w14:paraId="42A5D36F" w14:textId="77777777" w:rsidR="00744584" w:rsidRPr="00DA6313" w:rsidRDefault="00744584" w:rsidP="008D2281">
      <w:pPr>
        <w:spacing w:after="0" w:line="240" w:lineRule="auto"/>
        <w:jc w:val="both"/>
        <w:rPr>
          <w:rFonts w:ascii="Arial" w:hAnsi="Arial" w:cs="Arial"/>
          <w:noProof/>
        </w:rPr>
      </w:pPr>
    </w:p>
    <w:p w14:paraId="0C12B933" w14:textId="2BBFFAA9" w:rsidR="007D617C" w:rsidRDefault="00640685" w:rsidP="007D617C">
      <w:pPr>
        <w:spacing w:after="0" w:line="240" w:lineRule="auto"/>
        <w:jc w:val="both"/>
        <w:rPr>
          <w:rFonts w:ascii="Arial" w:hAnsi="Arial" w:cs="Arial"/>
          <w:noProof/>
        </w:rPr>
      </w:pPr>
      <w:r w:rsidRPr="007D4AC5">
        <w:rPr>
          <w:rFonts w:ascii="Arial" w:hAnsi="Arial" w:cs="Arial"/>
          <w:noProof/>
        </w:rPr>
        <w:t xml:space="preserve">S obzirom na očekivane eksploatacione rezerve uglja od </w:t>
      </w:r>
      <w:r w:rsidR="00E85264">
        <w:rPr>
          <w:rFonts w:ascii="Arial" w:hAnsi="Arial" w:cs="Arial"/>
          <w:noProof/>
        </w:rPr>
        <w:t>3</w:t>
      </w:r>
      <w:r w:rsidRPr="007D4AC5">
        <w:rPr>
          <w:rFonts w:ascii="Arial" w:hAnsi="Arial" w:cs="Arial"/>
          <w:noProof/>
        </w:rPr>
        <w:t>.</w:t>
      </w:r>
      <w:r w:rsidR="00E85264">
        <w:rPr>
          <w:rFonts w:ascii="Arial" w:hAnsi="Arial" w:cs="Arial"/>
          <w:noProof/>
        </w:rPr>
        <w:t>6</w:t>
      </w:r>
      <w:r w:rsidR="00A40F06" w:rsidRPr="007D4AC5">
        <w:rPr>
          <w:rFonts w:ascii="Arial" w:hAnsi="Arial" w:cs="Arial"/>
          <w:noProof/>
        </w:rPr>
        <w:t>00.000</w:t>
      </w:r>
      <w:r w:rsidR="007D4AC5" w:rsidRPr="007D4AC5">
        <w:rPr>
          <w:rFonts w:ascii="Arial" w:hAnsi="Arial" w:cs="Arial"/>
          <w:noProof/>
        </w:rPr>
        <w:t xml:space="preserve"> t i </w:t>
      </w:r>
      <w:r w:rsidR="007D4AC5">
        <w:rPr>
          <w:rFonts w:ascii="Arial" w:hAnsi="Arial" w:cs="Arial"/>
          <w:noProof/>
        </w:rPr>
        <w:t xml:space="preserve">planirani godišnji kapacitet eksploatacije od </w:t>
      </w:r>
      <w:r w:rsidR="00E85264">
        <w:rPr>
          <w:rFonts w:ascii="Arial" w:hAnsi="Arial" w:cs="Arial"/>
          <w:noProof/>
        </w:rPr>
        <w:t>3</w:t>
      </w:r>
      <w:r w:rsidR="007D4AC5">
        <w:rPr>
          <w:rFonts w:ascii="Arial" w:hAnsi="Arial" w:cs="Arial"/>
          <w:noProof/>
        </w:rPr>
        <w:t>00.000 t (podaci Rudnika uglja)</w:t>
      </w:r>
      <w:r w:rsidR="007D4AC5" w:rsidRPr="007D4AC5">
        <w:rPr>
          <w:rFonts w:ascii="Arial" w:hAnsi="Arial" w:cs="Arial"/>
          <w:noProof/>
        </w:rPr>
        <w:t xml:space="preserve">, vijek eksploatacije ležišta </w:t>
      </w:r>
      <w:r w:rsidR="007D4AC5">
        <w:rPr>
          <w:rFonts w:ascii="Arial" w:hAnsi="Arial" w:cs="Arial"/>
          <w:noProof/>
        </w:rPr>
        <w:t>je 1</w:t>
      </w:r>
      <w:r w:rsidR="00E85264">
        <w:rPr>
          <w:rFonts w:ascii="Arial" w:hAnsi="Arial" w:cs="Arial"/>
          <w:noProof/>
        </w:rPr>
        <w:t>4</w:t>
      </w:r>
      <w:r w:rsidR="007D4AC5">
        <w:rPr>
          <w:rFonts w:ascii="Arial" w:hAnsi="Arial" w:cs="Arial"/>
          <w:noProof/>
        </w:rPr>
        <w:t xml:space="preserve"> godina.</w:t>
      </w:r>
    </w:p>
    <w:p w14:paraId="57AC8183" w14:textId="77777777" w:rsidR="007D617C" w:rsidRPr="007D617C" w:rsidRDefault="007D617C" w:rsidP="007D617C">
      <w:pPr>
        <w:spacing w:after="0" w:line="240" w:lineRule="auto"/>
        <w:jc w:val="both"/>
        <w:rPr>
          <w:rFonts w:ascii="Arial" w:hAnsi="Arial" w:cs="Arial"/>
          <w:noProof/>
        </w:rPr>
      </w:pPr>
    </w:p>
    <w:p w14:paraId="2D41345E" w14:textId="77777777" w:rsidR="00744584" w:rsidRPr="00DA6313" w:rsidRDefault="00744584" w:rsidP="00664C2A">
      <w:pPr>
        <w:pStyle w:val="Heading2"/>
        <w:numPr>
          <w:ilvl w:val="1"/>
          <w:numId w:val="27"/>
        </w:numPr>
      </w:pPr>
      <w:bookmarkStart w:id="15" w:name="_Toc402262938"/>
      <w:r w:rsidRPr="00DA6313">
        <w:t>Opis tehničko-tehnološkog procesa eksploatacije</w:t>
      </w:r>
      <w:bookmarkEnd w:id="15"/>
    </w:p>
    <w:p w14:paraId="3982CC1F" w14:textId="77777777" w:rsidR="00744584" w:rsidRPr="00DA6313" w:rsidRDefault="00744584" w:rsidP="008D2281">
      <w:pPr>
        <w:spacing w:after="0" w:line="240" w:lineRule="auto"/>
        <w:jc w:val="both"/>
        <w:rPr>
          <w:rFonts w:ascii="Arial" w:hAnsi="Arial" w:cs="Arial"/>
          <w:noProof/>
        </w:rPr>
      </w:pPr>
    </w:p>
    <w:p w14:paraId="69DD9BA9" w14:textId="77777777" w:rsidR="00744584" w:rsidRPr="00F52C98" w:rsidRDefault="00F52C98" w:rsidP="008D2281">
      <w:pPr>
        <w:pStyle w:val="Default"/>
        <w:jc w:val="both"/>
        <w:rPr>
          <w:rFonts w:ascii="Arial" w:hAnsi="Arial" w:cs="Arial"/>
          <w:noProof/>
          <w:color w:val="auto"/>
          <w:sz w:val="22"/>
          <w:szCs w:val="22"/>
        </w:rPr>
      </w:pPr>
      <w:r w:rsidRPr="00F52C98">
        <w:rPr>
          <w:rFonts w:ascii="Arial" w:hAnsi="Arial" w:cs="Arial"/>
          <w:sz w:val="22"/>
          <w:szCs w:val="22"/>
          <w:lang w:val="sl-SI"/>
        </w:rPr>
        <w:t xml:space="preserve">Rudarsko-geološki i rudarsko-tehnički uslovi eksploatacije u ležištu </w:t>
      </w:r>
      <w:r>
        <w:rPr>
          <w:rFonts w:ascii="Arial" w:hAnsi="Arial" w:cs="Arial"/>
          <w:sz w:val="22"/>
          <w:szCs w:val="22"/>
          <w:lang w:val="sl-SI"/>
        </w:rPr>
        <w:t>''Mataruge''</w:t>
      </w:r>
      <w:r w:rsidRPr="00F52C98">
        <w:rPr>
          <w:rFonts w:ascii="Arial" w:hAnsi="Arial" w:cs="Arial"/>
          <w:sz w:val="22"/>
          <w:szCs w:val="22"/>
          <w:lang w:val="sl-SI"/>
        </w:rPr>
        <w:t xml:space="preserve"> i</w:t>
      </w:r>
      <w:r>
        <w:rPr>
          <w:rFonts w:ascii="Arial" w:hAnsi="Arial" w:cs="Arial"/>
          <w:sz w:val="22"/>
          <w:szCs w:val="22"/>
          <w:lang w:val="sl-SI"/>
        </w:rPr>
        <w:t xml:space="preserve"> mogući kapaciteti opredjeljuju </w:t>
      </w:r>
      <w:r w:rsidRPr="00F52C98">
        <w:rPr>
          <w:rFonts w:ascii="Arial" w:hAnsi="Arial" w:cs="Arial"/>
          <w:sz w:val="22"/>
          <w:szCs w:val="22"/>
          <w:lang w:val="sl-SI"/>
        </w:rPr>
        <w:t>diskontinualnu tehnologiju eksploatacije sa srednje kapacitivnom mehanizacijom.</w:t>
      </w:r>
      <w:r>
        <w:rPr>
          <w:rFonts w:ascii="Arial" w:hAnsi="Arial" w:cs="Arial"/>
          <w:sz w:val="22"/>
          <w:szCs w:val="22"/>
          <w:lang w:val="sl-SI"/>
        </w:rPr>
        <w:t xml:space="preserve"> </w:t>
      </w:r>
      <w:r w:rsidR="00744584" w:rsidRPr="00F52C98">
        <w:rPr>
          <w:rFonts w:ascii="Arial" w:hAnsi="Arial" w:cs="Arial"/>
          <w:noProof/>
          <w:color w:val="auto"/>
          <w:sz w:val="22"/>
          <w:szCs w:val="22"/>
        </w:rPr>
        <w:t xml:space="preserve">Tehnološki proces rada na površinskom kopu </w:t>
      </w:r>
      <w:r w:rsidR="007E4CAB" w:rsidRPr="00F52C98">
        <w:rPr>
          <w:rFonts w:ascii="Arial" w:hAnsi="Arial" w:cs="Arial"/>
          <w:noProof/>
          <w:color w:val="auto"/>
          <w:sz w:val="22"/>
          <w:szCs w:val="22"/>
        </w:rPr>
        <w:t>sastoji se od radnih operacija:</w:t>
      </w:r>
    </w:p>
    <w:p w14:paraId="75A9952F" w14:textId="77777777" w:rsidR="007E4CAB" w:rsidRPr="00DA6313" w:rsidRDefault="007E4CAB" w:rsidP="008D2281">
      <w:pPr>
        <w:pStyle w:val="Default"/>
        <w:jc w:val="both"/>
        <w:rPr>
          <w:rFonts w:ascii="Arial" w:hAnsi="Arial" w:cs="Arial"/>
          <w:noProof/>
          <w:color w:val="auto"/>
          <w:sz w:val="22"/>
          <w:szCs w:val="22"/>
        </w:rPr>
      </w:pPr>
    </w:p>
    <w:p w14:paraId="05CD1068" w14:textId="77777777" w:rsidR="00744584" w:rsidRPr="00DA6313" w:rsidRDefault="00744584" w:rsidP="00993969">
      <w:pPr>
        <w:pStyle w:val="Default"/>
        <w:numPr>
          <w:ilvl w:val="0"/>
          <w:numId w:val="4"/>
        </w:numPr>
        <w:ind w:left="567" w:firstLine="0"/>
        <w:jc w:val="both"/>
        <w:rPr>
          <w:rFonts w:ascii="Arial" w:hAnsi="Arial" w:cs="Arial"/>
          <w:noProof/>
          <w:color w:val="auto"/>
          <w:sz w:val="22"/>
          <w:szCs w:val="22"/>
        </w:rPr>
      </w:pPr>
      <w:r w:rsidRPr="00DA6313">
        <w:rPr>
          <w:rFonts w:ascii="Arial" w:hAnsi="Arial" w:cs="Arial"/>
          <w:noProof/>
          <w:color w:val="auto"/>
          <w:sz w:val="22"/>
          <w:szCs w:val="22"/>
        </w:rPr>
        <w:t xml:space="preserve">pripremni radovi, </w:t>
      </w:r>
    </w:p>
    <w:p w14:paraId="26FB21A7" w14:textId="77777777" w:rsidR="00B21747" w:rsidRPr="00DA6313" w:rsidRDefault="00E85160" w:rsidP="00993969">
      <w:pPr>
        <w:pStyle w:val="Default"/>
        <w:numPr>
          <w:ilvl w:val="0"/>
          <w:numId w:val="4"/>
        </w:numPr>
        <w:ind w:left="567" w:firstLine="0"/>
        <w:jc w:val="both"/>
        <w:rPr>
          <w:rFonts w:ascii="Arial" w:hAnsi="Arial" w:cs="Arial"/>
          <w:noProof/>
          <w:color w:val="auto"/>
          <w:sz w:val="22"/>
          <w:szCs w:val="22"/>
        </w:rPr>
      </w:pPr>
      <w:r w:rsidRPr="00DA6313">
        <w:rPr>
          <w:rFonts w:ascii="Arial" w:hAnsi="Arial" w:cs="Arial"/>
          <w:noProof/>
          <w:color w:val="auto"/>
          <w:sz w:val="22"/>
          <w:szCs w:val="22"/>
        </w:rPr>
        <w:t>bušenje i miniranje</w:t>
      </w:r>
      <w:r w:rsidR="00B21747" w:rsidRPr="00DA6313">
        <w:rPr>
          <w:rFonts w:ascii="Arial" w:hAnsi="Arial" w:cs="Arial"/>
          <w:noProof/>
          <w:color w:val="auto"/>
          <w:sz w:val="22"/>
          <w:szCs w:val="22"/>
        </w:rPr>
        <w:t>,</w:t>
      </w:r>
    </w:p>
    <w:p w14:paraId="0B46BC2B" w14:textId="77777777" w:rsidR="00E85160" w:rsidRDefault="00E85160" w:rsidP="00993969">
      <w:pPr>
        <w:pStyle w:val="Default"/>
        <w:numPr>
          <w:ilvl w:val="0"/>
          <w:numId w:val="4"/>
        </w:numPr>
        <w:ind w:left="567" w:firstLine="0"/>
        <w:jc w:val="both"/>
        <w:rPr>
          <w:rFonts w:ascii="Arial" w:hAnsi="Arial" w:cs="Arial"/>
          <w:noProof/>
          <w:color w:val="auto"/>
          <w:sz w:val="22"/>
          <w:szCs w:val="22"/>
        </w:rPr>
      </w:pPr>
      <w:r w:rsidRPr="00DA6313">
        <w:rPr>
          <w:rFonts w:ascii="Arial" w:hAnsi="Arial" w:cs="Arial"/>
          <w:noProof/>
          <w:color w:val="auto"/>
          <w:sz w:val="22"/>
          <w:szCs w:val="22"/>
        </w:rPr>
        <w:t>utovar i transport</w:t>
      </w:r>
      <w:r w:rsidR="00F52C98">
        <w:rPr>
          <w:rFonts w:ascii="Arial" w:hAnsi="Arial" w:cs="Arial"/>
          <w:noProof/>
          <w:color w:val="auto"/>
          <w:sz w:val="22"/>
          <w:szCs w:val="22"/>
        </w:rPr>
        <w:t>,</w:t>
      </w:r>
    </w:p>
    <w:p w14:paraId="33AD6F73" w14:textId="77777777" w:rsidR="00F52C98" w:rsidRDefault="00F52C98" w:rsidP="00993969">
      <w:pPr>
        <w:pStyle w:val="Default"/>
        <w:numPr>
          <w:ilvl w:val="0"/>
          <w:numId w:val="4"/>
        </w:numPr>
        <w:ind w:left="567" w:firstLine="0"/>
        <w:jc w:val="both"/>
        <w:rPr>
          <w:rFonts w:ascii="Arial" w:hAnsi="Arial" w:cs="Arial"/>
          <w:noProof/>
          <w:color w:val="auto"/>
          <w:sz w:val="22"/>
          <w:szCs w:val="22"/>
        </w:rPr>
      </w:pPr>
      <w:r>
        <w:rPr>
          <w:rFonts w:ascii="Arial" w:hAnsi="Arial" w:cs="Arial"/>
          <w:noProof/>
          <w:color w:val="auto"/>
          <w:sz w:val="22"/>
          <w:szCs w:val="22"/>
        </w:rPr>
        <w:t>odlaganje</w:t>
      </w:r>
    </w:p>
    <w:p w14:paraId="1F99609A" w14:textId="77777777" w:rsidR="00B21747" w:rsidRPr="00DA6313" w:rsidRDefault="00B21747" w:rsidP="008D2281">
      <w:pPr>
        <w:pStyle w:val="Default"/>
        <w:jc w:val="both"/>
        <w:rPr>
          <w:rFonts w:ascii="Arial" w:hAnsi="Arial" w:cs="Arial"/>
          <w:noProof/>
          <w:color w:val="auto"/>
          <w:sz w:val="22"/>
          <w:szCs w:val="22"/>
        </w:rPr>
      </w:pPr>
    </w:p>
    <w:p w14:paraId="5A1BB4E8" w14:textId="77777777" w:rsidR="00744584" w:rsidRPr="00E73649" w:rsidRDefault="00744584" w:rsidP="008D2281">
      <w:pPr>
        <w:pStyle w:val="Default"/>
        <w:numPr>
          <w:ilvl w:val="0"/>
          <w:numId w:val="6"/>
        </w:numPr>
        <w:ind w:left="0" w:firstLine="0"/>
        <w:jc w:val="both"/>
        <w:rPr>
          <w:rFonts w:ascii="Arial" w:hAnsi="Arial" w:cs="Arial"/>
          <w:b/>
          <w:bCs/>
          <w:i/>
          <w:iCs/>
          <w:noProof/>
          <w:color w:val="auto"/>
          <w:sz w:val="22"/>
          <w:szCs w:val="22"/>
        </w:rPr>
      </w:pPr>
      <w:r w:rsidRPr="00E73649">
        <w:rPr>
          <w:rFonts w:ascii="Arial" w:hAnsi="Arial" w:cs="Arial"/>
          <w:b/>
          <w:bCs/>
          <w:i/>
          <w:iCs/>
          <w:noProof/>
          <w:color w:val="auto"/>
          <w:sz w:val="22"/>
          <w:szCs w:val="22"/>
        </w:rPr>
        <w:t>Pripremni radovi</w:t>
      </w:r>
    </w:p>
    <w:p w14:paraId="73F814A0" w14:textId="77777777" w:rsidR="00744584" w:rsidRPr="00DA6313" w:rsidRDefault="00744584" w:rsidP="008D2281">
      <w:pPr>
        <w:pStyle w:val="Default"/>
        <w:jc w:val="both"/>
        <w:rPr>
          <w:rFonts w:ascii="Arial" w:hAnsi="Arial" w:cs="Arial"/>
          <w:noProof/>
          <w:color w:val="auto"/>
          <w:sz w:val="22"/>
          <w:szCs w:val="22"/>
        </w:rPr>
      </w:pPr>
    </w:p>
    <w:p w14:paraId="0F3C30FE" w14:textId="77777777" w:rsidR="003C518E" w:rsidRPr="002E14F7" w:rsidRDefault="003C518E" w:rsidP="003C518E">
      <w:pPr>
        <w:jc w:val="both"/>
        <w:rPr>
          <w:rFonts w:ascii="Arial" w:hAnsi="Arial" w:cs="Arial"/>
          <w:lang w:val="sl-SI"/>
        </w:rPr>
      </w:pPr>
      <w:r w:rsidRPr="002E14F7">
        <w:rPr>
          <w:rFonts w:ascii="Arial" w:hAnsi="Arial" w:cs="Arial"/>
          <w:lang w:val="sl-SI"/>
        </w:rPr>
        <w:t>Pripremni radovi obuhvataju skidanje humusnog materijala, njegovo odlaganje i kasnije korišćenje za tehničku rekultivaciju odlagališta. U kasnijoj fazi eksploatacije, humusni materijal direktno će se deponovati i rasprostirati na formiranom unutrašnjem odlagalištu.</w:t>
      </w:r>
    </w:p>
    <w:p w14:paraId="13304549" w14:textId="77777777" w:rsidR="003C518E" w:rsidRDefault="003C518E" w:rsidP="003C518E">
      <w:pPr>
        <w:jc w:val="both"/>
        <w:rPr>
          <w:rFonts w:ascii="Arial" w:hAnsi="Arial" w:cs="Arial"/>
          <w:lang w:val="sl-SI"/>
        </w:rPr>
      </w:pPr>
      <w:r w:rsidRPr="002E14F7">
        <w:rPr>
          <w:rFonts w:ascii="Arial" w:hAnsi="Arial" w:cs="Arial"/>
          <w:lang w:val="sl-SI"/>
        </w:rPr>
        <w:t>Otkopavanje humusa vršiće se buldozerom, utovar utovaračem, a prevoz transportnim sredstvima koja će se koristiti za transport otkrivke. U prvoj fazi deponovanje humusa treba vršiti na eksploatacionom prostoru do stvaranja uslova za njegovo direktno odlaganje na odlagalište otkrivke.</w:t>
      </w:r>
    </w:p>
    <w:p w14:paraId="3DDEC029" w14:textId="77777777" w:rsidR="00C64899" w:rsidRDefault="00C64899" w:rsidP="003C518E">
      <w:pPr>
        <w:jc w:val="both"/>
        <w:rPr>
          <w:rFonts w:ascii="Arial" w:hAnsi="Arial" w:cs="Arial"/>
          <w:lang w:val="sl-SI"/>
        </w:rPr>
      </w:pPr>
    </w:p>
    <w:p w14:paraId="257EB90A" w14:textId="77777777" w:rsidR="00C64899" w:rsidRPr="002E14F7" w:rsidRDefault="00C64899" w:rsidP="003C518E">
      <w:pPr>
        <w:jc w:val="both"/>
        <w:rPr>
          <w:rFonts w:ascii="Arial" w:hAnsi="Arial" w:cs="Arial"/>
          <w:lang w:val="sl-SI"/>
        </w:rPr>
      </w:pPr>
    </w:p>
    <w:p w14:paraId="098D8DCD" w14:textId="77777777" w:rsidR="003C518E" w:rsidRDefault="003C518E" w:rsidP="008D2281">
      <w:pPr>
        <w:pStyle w:val="Default"/>
        <w:jc w:val="both"/>
        <w:rPr>
          <w:rFonts w:ascii="Arial" w:hAnsi="Arial" w:cs="Arial"/>
          <w:noProof/>
          <w:color w:val="auto"/>
          <w:sz w:val="22"/>
          <w:szCs w:val="22"/>
        </w:rPr>
      </w:pPr>
    </w:p>
    <w:p w14:paraId="1685AACC" w14:textId="77777777" w:rsidR="003C518E" w:rsidRDefault="003C518E" w:rsidP="003C518E">
      <w:pPr>
        <w:pStyle w:val="Default"/>
        <w:numPr>
          <w:ilvl w:val="0"/>
          <w:numId w:val="6"/>
        </w:numPr>
        <w:ind w:left="0" w:firstLine="0"/>
        <w:jc w:val="both"/>
        <w:rPr>
          <w:rFonts w:ascii="Arial" w:hAnsi="Arial" w:cs="Arial"/>
          <w:b/>
          <w:bCs/>
          <w:i/>
          <w:iCs/>
          <w:noProof/>
          <w:color w:val="auto"/>
          <w:sz w:val="22"/>
          <w:szCs w:val="22"/>
        </w:rPr>
      </w:pPr>
      <w:r>
        <w:rPr>
          <w:rFonts w:ascii="Arial" w:hAnsi="Arial" w:cs="Arial"/>
          <w:b/>
          <w:bCs/>
          <w:i/>
          <w:iCs/>
          <w:noProof/>
          <w:color w:val="auto"/>
          <w:sz w:val="22"/>
          <w:szCs w:val="22"/>
        </w:rPr>
        <w:t>Bušenje i miniranje</w:t>
      </w:r>
    </w:p>
    <w:p w14:paraId="20F605DD" w14:textId="77777777" w:rsidR="003C518E" w:rsidRPr="003C518E" w:rsidRDefault="003C518E" w:rsidP="003C518E">
      <w:pPr>
        <w:pStyle w:val="Default"/>
        <w:jc w:val="both"/>
        <w:rPr>
          <w:rFonts w:ascii="Arial" w:hAnsi="Arial" w:cs="Arial"/>
          <w:b/>
          <w:bCs/>
          <w:i/>
          <w:iCs/>
          <w:noProof/>
          <w:color w:val="auto"/>
          <w:sz w:val="22"/>
          <w:szCs w:val="22"/>
        </w:rPr>
      </w:pPr>
    </w:p>
    <w:p w14:paraId="194BBA24" w14:textId="77777777" w:rsidR="003C518E" w:rsidRDefault="003C518E" w:rsidP="003C518E">
      <w:pPr>
        <w:jc w:val="both"/>
        <w:rPr>
          <w:rFonts w:ascii="Arial" w:hAnsi="Arial" w:cs="Arial"/>
          <w:lang w:val="sr-Latn-CS"/>
        </w:rPr>
      </w:pPr>
      <w:r w:rsidRPr="00017FA4">
        <w:rPr>
          <w:rFonts w:ascii="Arial" w:hAnsi="Arial" w:cs="Arial"/>
          <w:lang w:val="sr-Latn-CS"/>
        </w:rPr>
        <w:t>Prema dosadašnjim saznanjima o fizičko-mehaničkim karakteristikama ugljenog sloja, prije otkopavanja potrebno je minirati oko 50% od ukupnih količina.</w:t>
      </w:r>
    </w:p>
    <w:p w14:paraId="0930BC2A" w14:textId="77777777" w:rsidR="009E0BEA" w:rsidRPr="009E0BEA" w:rsidRDefault="009E0BEA" w:rsidP="00C64899">
      <w:pPr>
        <w:shd w:val="clear" w:color="auto" w:fill="FFFFFF"/>
        <w:suppressAutoHyphens w:val="0"/>
        <w:autoSpaceDE w:val="0"/>
        <w:autoSpaceDN w:val="0"/>
        <w:adjustRightInd w:val="0"/>
        <w:spacing w:after="0" w:line="240" w:lineRule="auto"/>
        <w:rPr>
          <w:rFonts w:ascii="Arial" w:eastAsia="Times New Roman" w:hAnsi="Arial" w:cs="Arial"/>
          <w:kern w:val="0"/>
        </w:rPr>
      </w:pPr>
      <w:proofErr w:type="spellStart"/>
      <w:r w:rsidRPr="009E0BEA">
        <w:rPr>
          <w:rFonts w:ascii="Arial" w:eastAsia="Times New Roman" w:hAnsi="Arial" w:cs="Arial"/>
          <w:kern w:val="0"/>
        </w:rPr>
        <w:t>Bušenje</w:t>
      </w:r>
      <w:proofErr w:type="spellEnd"/>
      <w:r w:rsidRPr="009E0BEA">
        <w:rPr>
          <w:rFonts w:ascii="Arial" w:eastAsia="Times New Roman" w:hAnsi="Arial" w:cs="Arial"/>
          <w:kern w:val="0"/>
        </w:rPr>
        <w:t xml:space="preserve"> </w:t>
      </w:r>
      <w:proofErr w:type="spellStart"/>
      <w:r w:rsidRPr="009E0BEA">
        <w:rPr>
          <w:rFonts w:ascii="Arial" w:eastAsia="Times New Roman" w:hAnsi="Arial" w:cs="Arial"/>
          <w:kern w:val="0"/>
        </w:rPr>
        <w:t>minskih</w:t>
      </w:r>
      <w:proofErr w:type="spellEnd"/>
      <w:r w:rsidRPr="009E0BEA">
        <w:rPr>
          <w:rFonts w:ascii="Arial" w:eastAsia="Times New Roman" w:hAnsi="Arial" w:cs="Arial"/>
          <w:kern w:val="0"/>
        </w:rPr>
        <w:t xml:space="preserve"> </w:t>
      </w:r>
      <w:proofErr w:type="spellStart"/>
      <w:r w:rsidRPr="009E0BEA">
        <w:rPr>
          <w:rFonts w:ascii="Arial" w:eastAsia="Times New Roman" w:hAnsi="Arial" w:cs="Arial"/>
          <w:kern w:val="0"/>
        </w:rPr>
        <w:t>b</w:t>
      </w:r>
      <w:r w:rsidR="00C64899">
        <w:rPr>
          <w:rFonts w:ascii="Arial" w:eastAsia="Times New Roman" w:hAnsi="Arial" w:cs="Arial"/>
          <w:kern w:val="0"/>
        </w:rPr>
        <w:t>ušotina</w:t>
      </w:r>
      <w:proofErr w:type="spellEnd"/>
      <w:r w:rsidR="00C64899">
        <w:rPr>
          <w:rFonts w:ascii="Arial" w:eastAsia="Times New Roman" w:hAnsi="Arial" w:cs="Arial"/>
          <w:kern w:val="0"/>
        </w:rPr>
        <w:t xml:space="preserve"> </w:t>
      </w:r>
      <w:proofErr w:type="spellStart"/>
      <w:r w:rsidR="00C64899">
        <w:rPr>
          <w:rFonts w:ascii="Arial" w:eastAsia="Times New Roman" w:hAnsi="Arial" w:cs="Arial"/>
          <w:kern w:val="0"/>
        </w:rPr>
        <w:t>vršilo</w:t>
      </w:r>
      <w:proofErr w:type="spellEnd"/>
      <w:r w:rsidR="00C64899">
        <w:rPr>
          <w:rFonts w:ascii="Arial" w:eastAsia="Times New Roman" w:hAnsi="Arial" w:cs="Arial"/>
          <w:kern w:val="0"/>
        </w:rPr>
        <w:t xml:space="preserve"> bi se </w:t>
      </w:r>
      <w:proofErr w:type="spellStart"/>
      <w:r w:rsidR="00C64899">
        <w:rPr>
          <w:rFonts w:ascii="Arial" w:eastAsia="Times New Roman" w:hAnsi="Arial" w:cs="Arial"/>
          <w:kern w:val="0"/>
        </w:rPr>
        <w:t>sa</w:t>
      </w:r>
      <w:proofErr w:type="spellEnd"/>
      <w:r w:rsidR="00C64899">
        <w:rPr>
          <w:rFonts w:ascii="Arial" w:eastAsia="Times New Roman" w:hAnsi="Arial" w:cs="Arial"/>
          <w:kern w:val="0"/>
        </w:rPr>
        <w:t xml:space="preserve"> </w:t>
      </w:r>
      <w:proofErr w:type="spellStart"/>
      <w:r w:rsidR="00C64899">
        <w:rPr>
          <w:rFonts w:ascii="Arial" w:eastAsia="Times New Roman" w:hAnsi="Arial" w:cs="Arial"/>
          <w:kern w:val="0"/>
        </w:rPr>
        <w:t>udarno</w:t>
      </w:r>
      <w:r w:rsidRPr="009E0BEA">
        <w:rPr>
          <w:rFonts w:ascii="Arial" w:eastAsia="Times New Roman" w:hAnsi="Arial" w:cs="Arial"/>
          <w:kern w:val="0"/>
        </w:rPr>
        <w:t>-rotacionom</w:t>
      </w:r>
      <w:proofErr w:type="spellEnd"/>
      <w:r w:rsidRPr="009E0BEA">
        <w:rPr>
          <w:rFonts w:ascii="Arial" w:eastAsia="Times New Roman" w:hAnsi="Arial" w:cs="Arial"/>
          <w:kern w:val="0"/>
        </w:rPr>
        <w:t xml:space="preserve"> </w:t>
      </w:r>
      <w:proofErr w:type="spellStart"/>
      <w:r w:rsidRPr="009E0BEA">
        <w:rPr>
          <w:rFonts w:ascii="Arial" w:eastAsia="Times New Roman" w:hAnsi="Arial" w:cs="Arial"/>
          <w:kern w:val="0"/>
        </w:rPr>
        <w:t>bušilicom</w:t>
      </w:r>
      <w:proofErr w:type="spellEnd"/>
      <w:r w:rsidRPr="009E0BEA">
        <w:rPr>
          <w:rFonts w:ascii="Arial" w:eastAsia="Times New Roman" w:hAnsi="Arial" w:cs="Arial"/>
          <w:kern w:val="0"/>
        </w:rPr>
        <w:t xml:space="preserve"> </w:t>
      </w:r>
      <w:r w:rsidRPr="00017FA4">
        <w:rPr>
          <w:rFonts w:ascii="Arial" w:hAnsi="Arial" w:cs="Arial"/>
          <w:lang w:val="sl-SI"/>
        </w:rPr>
        <w:t>većeg kapaciteta</w:t>
      </w:r>
      <w:r w:rsidRPr="009E0BEA">
        <w:rPr>
          <w:rFonts w:ascii="Arial" w:eastAsia="Times New Roman" w:hAnsi="Arial" w:cs="Arial"/>
          <w:kern w:val="0"/>
        </w:rPr>
        <w:t xml:space="preserve">. </w:t>
      </w:r>
    </w:p>
    <w:p w14:paraId="2DAF5CDE" w14:textId="77777777" w:rsidR="003C518E" w:rsidRPr="009E0BEA" w:rsidRDefault="009E0BEA" w:rsidP="00C64899">
      <w:pPr>
        <w:rPr>
          <w:rFonts w:ascii="Arial" w:hAnsi="Arial" w:cs="Arial"/>
          <w:lang w:val="sr-Latn-CS"/>
        </w:rPr>
      </w:pPr>
      <w:proofErr w:type="spellStart"/>
      <w:r>
        <w:rPr>
          <w:rFonts w:ascii="Arial" w:hAnsi="Arial" w:cs="Arial"/>
        </w:rPr>
        <w:t>Miniranje</w:t>
      </w:r>
      <w:proofErr w:type="spellEnd"/>
      <w:r>
        <w:rPr>
          <w:rFonts w:ascii="Arial" w:hAnsi="Arial" w:cs="Arial"/>
        </w:rPr>
        <w:t xml:space="preserve"> </w:t>
      </w:r>
      <w:proofErr w:type="spellStart"/>
      <w:r>
        <w:rPr>
          <w:rFonts w:ascii="Arial" w:hAnsi="Arial" w:cs="Arial"/>
        </w:rPr>
        <w:t>krečnjaka</w:t>
      </w:r>
      <w:proofErr w:type="spellEnd"/>
      <w:r w:rsidRPr="007B37D3">
        <w:rPr>
          <w:rFonts w:ascii="Arial" w:hAnsi="Arial" w:cs="Arial"/>
        </w:rPr>
        <w:t xml:space="preserve"> </w:t>
      </w:r>
      <w:proofErr w:type="spellStart"/>
      <w:r w:rsidRPr="007B37D3">
        <w:rPr>
          <w:rFonts w:ascii="Arial" w:hAnsi="Arial" w:cs="Arial"/>
        </w:rPr>
        <w:t>vršilo</w:t>
      </w:r>
      <w:proofErr w:type="spellEnd"/>
      <w:r w:rsidRPr="007B37D3">
        <w:rPr>
          <w:rFonts w:ascii="Arial" w:hAnsi="Arial" w:cs="Arial"/>
        </w:rPr>
        <w:t xml:space="preserve"> bi se </w:t>
      </w:r>
      <w:proofErr w:type="spellStart"/>
      <w:r w:rsidRPr="007B37D3">
        <w:rPr>
          <w:rFonts w:ascii="Arial" w:hAnsi="Arial" w:cs="Arial"/>
        </w:rPr>
        <w:t>praškastim</w:t>
      </w:r>
      <w:proofErr w:type="spellEnd"/>
      <w:r w:rsidRPr="007B37D3">
        <w:rPr>
          <w:rFonts w:ascii="Arial" w:hAnsi="Arial" w:cs="Arial"/>
        </w:rPr>
        <w:t xml:space="preserve"> </w:t>
      </w:r>
      <w:proofErr w:type="spellStart"/>
      <w:r w:rsidRPr="007B37D3">
        <w:rPr>
          <w:rFonts w:ascii="Arial" w:hAnsi="Arial" w:cs="Arial"/>
        </w:rPr>
        <w:t>eksplozivom</w:t>
      </w:r>
      <w:proofErr w:type="spellEnd"/>
      <w:r>
        <w:rPr>
          <w:rFonts w:ascii="Arial" w:hAnsi="Arial" w:cs="Arial"/>
        </w:rPr>
        <w:t>.</w:t>
      </w:r>
    </w:p>
    <w:p w14:paraId="3B8A80AC" w14:textId="77777777" w:rsidR="003C518E" w:rsidRPr="00017FA4" w:rsidRDefault="003C518E" w:rsidP="003C518E">
      <w:pPr>
        <w:jc w:val="both"/>
        <w:rPr>
          <w:rFonts w:ascii="Arial" w:hAnsi="Arial" w:cs="Arial"/>
          <w:lang w:val="sl-SI"/>
        </w:rPr>
      </w:pPr>
      <w:r w:rsidRPr="00017FA4">
        <w:rPr>
          <w:rFonts w:ascii="Arial" w:hAnsi="Arial" w:cs="Arial"/>
          <w:lang w:val="sl-SI"/>
        </w:rPr>
        <w:t>Sredstva za iniciranje su: rudarske kapisle, sporogoreći štapin, detonirajući štapin i usporivači.</w:t>
      </w:r>
    </w:p>
    <w:p w14:paraId="4B772006" w14:textId="77777777" w:rsidR="00744584" w:rsidRPr="00DA6313" w:rsidRDefault="00B12945" w:rsidP="008D2281">
      <w:pPr>
        <w:pStyle w:val="Default"/>
        <w:numPr>
          <w:ilvl w:val="0"/>
          <w:numId w:val="6"/>
        </w:numPr>
        <w:ind w:left="0" w:firstLine="0"/>
        <w:jc w:val="both"/>
        <w:rPr>
          <w:rFonts w:ascii="Arial" w:hAnsi="Arial" w:cs="Arial"/>
          <w:b/>
          <w:bCs/>
          <w:i/>
          <w:iCs/>
          <w:noProof/>
          <w:color w:val="auto"/>
          <w:sz w:val="22"/>
          <w:szCs w:val="22"/>
        </w:rPr>
      </w:pPr>
      <w:r w:rsidRPr="00DA6313">
        <w:rPr>
          <w:rFonts w:ascii="Arial" w:hAnsi="Arial" w:cs="Arial"/>
          <w:b/>
          <w:bCs/>
          <w:i/>
          <w:iCs/>
          <w:noProof/>
          <w:color w:val="auto"/>
          <w:sz w:val="22"/>
          <w:szCs w:val="22"/>
        </w:rPr>
        <w:t xml:space="preserve">Utovar i transport </w:t>
      </w:r>
      <w:r w:rsidR="00744584" w:rsidRPr="00DA6313">
        <w:rPr>
          <w:rFonts w:ascii="Arial" w:hAnsi="Arial" w:cs="Arial"/>
          <w:b/>
          <w:bCs/>
          <w:i/>
          <w:iCs/>
          <w:noProof/>
          <w:color w:val="auto"/>
          <w:sz w:val="22"/>
          <w:szCs w:val="22"/>
        </w:rPr>
        <w:t xml:space="preserve"> </w:t>
      </w:r>
    </w:p>
    <w:p w14:paraId="34146258" w14:textId="77777777" w:rsidR="00744584" w:rsidRPr="00DA6313" w:rsidRDefault="00744584" w:rsidP="008D2281">
      <w:pPr>
        <w:pStyle w:val="Default"/>
        <w:jc w:val="both"/>
        <w:rPr>
          <w:rFonts w:ascii="Arial" w:hAnsi="Arial" w:cs="Arial"/>
          <w:noProof/>
          <w:color w:val="auto"/>
          <w:sz w:val="22"/>
          <w:szCs w:val="22"/>
        </w:rPr>
      </w:pPr>
    </w:p>
    <w:p w14:paraId="0D0D8D7C" w14:textId="77777777" w:rsidR="003C518E" w:rsidRPr="00017FA4" w:rsidRDefault="003C518E" w:rsidP="009E0BEA">
      <w:pPr>
        <w:jc w:val="both"/>
        <w:rPr>
          <w:rFonts w:ascii="Arial" w:hAnsi="Arial" w:cs="Arial"/>
          <w:lang w:val="sl-SI"/>
        </w:rPr>
      </w:pPr>
      <w:r w:rsidRPr="00017FA4">
        <w:rPr>
          <w:rFonts w:ascii="Arial" w:hAnsi="Arial" w:cs="Arial"/>
          <w:lang w:val="sl-SI"/>
        </w:rPr>
        <w:t>Za otkopavanje otkrivke i uglja koristiće se dizel-hidraulični bager sa dubinskim radom. Utovar odminiranog materijala vršiće se na nivou stajanja bagera ili na donjem planumu u zavisnosti od transportnih i drugih prilika.</w:t>
      </w:r>
    </w:p>
    <w:p w14:paraId="5BF97469" w14:textId="77777777" w:rsidR="00754CD0" w:rsidRDefault="003C518E" w:rsidP="003C518E">
      <w:pPr>
        <w:pStyle w:val="Default"/>
        <w:jc w:val="both"/>
        <w:rPr>
          <w:rFonts w:ascii="Arial" w:hAnsi="Arial" w:cs="Arial"/>
          <w:sz w:val="22"/>
          <w:szCs w:val="22"/>
          <w:lang w:val="sl-SI"/>
        </w:rPr>
      </w:pPr>
      <w:r w:rsidRPr="00017FA4">
        <w:rPr>
          <w:rFonts w:ascii="Arial" w:hAnsi="Arial" w:cs="Arial"/>
          <w:sz w:val="22"/>
          <w:szCs w:val="22"/>
          <w:lang w:val="sl-SI"/>
        </w:rPr>
        <w:t>Potrebni kapacitet može ostvariti sa 2 (dva) bagera zapremine kašike 3 do 3,5 m</w:t>
      </w:r>
      <w:r w:rsidRPr="00017FA4">
        <w:rPr>
          <w:rFonts w:ascii="Arial" w:hAnsi="Arial" w:cs="Arial"/>
          <w:sz w:val="22"/>
          <w:szCs w:val="22"/>
          <w:vertAlign w:val="superscript"/>
          <w:lang w:val="sl-SI"/>
        </w:rPr>
        <w:t>3</w:t>
      </w:r>
      <w:r w:rsidRPr="00017FA4">
        <w:rPr>
          <w:rFonts w:ascii="Arial" w:hAnsi="Arial" w:cs="Arial"/>
          <w:sz w:val="22"/>
          <w:szCs w:val="22"/>
          <w:lang w:val="sl-SI"/>
        </w:rPr>
        <w:t>.</w:t>
      </w:r>
    </w:p>
    <w:p w14:paraId="0BF3B9FD" w14:textId="77777777" w:rsidR="003C518E" w:rsidRPr="003C518E" w:rsidRDefault="003C518E" w:rsidP="009E0BEA">
      <w:pPr>
        <w:suppressAutoHyphens w:val="0"/>
        <w:spacing w:after="0" w:line="240" w:lineRule="auto"/>
        <w:jc w:val="both"/>
        <w:rPr>
          <w:rFonts w:ascii="Arial" w:hAnsi="Arial" w:cs="Arial"/>
          <w:lang w:val="sl-SI"/>
        </w:rPr>
      </w:pPr>
    </w:p>
    <w:p w14:paraId="2032CA39" w14:textId="77777777" w:rsidR="003C518E" w:rsidRPr="003C518E" w:rsidRDefault="003C518E" w:rsidP="003C518E">
      <w:pPr>
        <w:jc w:val="both"/>
        <w:rPr>
          <w:rFonts w:ascii="Arial" w:hAnsi="Arial" w:cs="Arial"/>
          <w:lang w:val="sl-SI"/>
        </w:rPr>
      </w:pPr>
      <w:r w:rsidRPr="003C518E">
        <w:rPr>
          <w:rFonts w:ascii="Arial" w:hAnsi="Arial" w:cs="Arial"/>
          <w:lang w:val="sl-SI"/>
        </w:rPr>
        <w:t>Potreban kapacitet kamiona, računajući potpuno iskorišćenje bagerskih kapaciteta iznosi 214 m</w:t>
      </w:r>
      <w:r w:rsidRPr="003C518E">
        <w:rPr>
          <w:rFonts w:ascii="Arial" w:hAnsi="Arial" w:cs="Arial"/>
          <w:vertAlign w:val="superscript"/>
          <w:lang w:val="sl-SI"/>
        </w:rPr>
        <w:t>3</w:t>
      </w:r>
      <w:r w:rsidR="00A40F06">
        <w:rPr>
          <w:rFonts w:ascii="Arial" w:hAnsi="Arial" w:cs="Arial"/>
          <w:vertAlign w:val="superscript"/>
          <w:lang w:val="sl-SI"/>
        </w:rPr>
        <w:t xml:space="preserve"> </w:t>
      </w:r>
      <w:r w:rsidRPr="003C518E">
        <w:rPr>
          <w:rFonts w:ascii="Arial" w:hAnsi="Arial" w:cs="Arial"/>
          <w:lang w:val="sl-SI"/>
        </w:rPr>
        <w:t>č</w:t>
      </w:r>
      <w:r w:rsidR="0057133F">
        <w:rPr>
          <w:rFonts w:ascii="Arial" w:hAnsi="Arial" w:cs="Arial"/>
          <w:lang w:val="sl-SI"/>
        </w:rPr>
        <w:t>.</w:t>
      </w:r>
      <w:r w:rsidRPr="003C518E">
        <w:rPr>
          <w:rFonts w:ascii="Arial" w:hAnsi="Arial" w:cs="Arial"/>
          <w:lang w:val="sl-SI"/>
        </w:rPr>
        <w:t>m/h odnosno 278 m</w:t>
      </w:r>
      <w:r w:rsidRPr="003C518E">
        <w:rPr>
          <w:rFonts w:ascii="Arial" w:hAnsi="Arial" w:cs="Arial"/>
          <w:vertAlign w:val="superscript"/>
          <w:lang w:val="sl-SI"/>
        </w:rPr>
        <w:t>3</w:t>
      </w:r>
      <w:r w:rsidR="005931FB">
        <w:rPr>
          <w:rFonts w:ascii="Arial" w:hAnsi="Arial" w:cs="Arial"/>
          <w:vertAlign w:val="superscript"/>
          <w:lang w:val="sl-SI"/>
        </w:rPr>
        <w:t xml:space="preserve"> </w:t>
      </w:r>
      <w:r w:rsidR="00A40F06">
        <w:rPr>
          <w:rFonts w:ascii="Arial" w:hAnsi="Arial" w:cs="Arial"/>
          <w:vertAlign w:val="superscript"/>
          <w:lang w:val="sl-SI"/>
        </w:rPr>
        <w:t xml:space="preserve"> </w:t>
      </w:r>
      <w:r w:rsidRPr="003C518E">
        <w:rPr>
          <w:rFonts w:ascii="Arial" w:hAnsi="Arial" w:cs="Arial"/>
          <w:lang w:val="sl-SI"/>
        </w:rPr>
        <w:t>r</w:t>
      </w:r>
      <w:r w:rsidR="0057133F">
        <w:rPr>
          <w:rFonts w:ascii="Arial" w:hAnsi="Arial" w:cs="Arial"/>
          <w:lang w:val="sl-SI"/>
        </w:rPr>
        <w:t>.</w:t>
      </w:r>
      <w:r w:rsidRPr="003C518E">
        <w:rPr>
          <w:rFonts w:ascii="Arial" w:hAnsi="Arial" w:cs="Arial"/>
          <w:lang w:val="sl-SI"/>
        </w:rPr>
        <w:t>m</w:t>
      </w:r>
      <w:r w:rsidR="00356105">
        <w:rPr>
          <w:rFonts w:ascii="Arial" w:hAnsi="Arial" w:cs="Arial"/>
          <w:lang w:val="sl-SI"/>
        </w:rPr>
        <w:t>/h</w:t>
      </w:r>
      <w:r w:rsidRPr="003C518E">
        <w:rPr>
          <w:rFonts w:ascii="Arial" w:hAnsi="Arial" w:cs="Arial"/>
          <w:lang w:val="sl-SI"/>
        </w:rPr>
        <w:t>.</w:t>
      </w:r>
    </w:p>
    <w:p w14:paraId="57849FBB" w14:textId="77777777" w:rsidR="003C518E" w:rsidRPr="003C518E" w:rsidRDefault="003C518E" w:rsidP="0057133F">
      <w:pPr>
        <w:jc w:val="both"/>
        <w:rPr>
          <w:rFonts w:ascii="Arial" w:hAnsi="Arial" w:cs="Arial"/>
          <w:lang w:val="sl-SI"/>
        </w:rPr>
      </w:pPr>
      <w:r w:rsidRPr="003C518E">
        <w:rPr>
          <w:rFonts w:ascii="Arial" w:hAnsi="Arial" w:cs="Arial"/>
          <w:lang w:val="sl-SI"/>
        </w:rPr>
        <w:t>Potreb</w:t>
      </w:r>
      <w:r w:rsidR="009E0BEA">
        <w:rPr>
          <w:rFonts w:ascii="Arial" w:hAnsi="Arial" w:cs="Arial"/>
          <w:lang w:val="sl-SI"/>
        </w:rPr>
        <w:t>no</w:t>
      </w:r>
      <w:r w:rsidRPr="003C518E">
        <w:rPr>
          <w:rFonts w:ascii="Arial" w:hAnsi="Arial" w:cs="Arial"/>
          <w:lang w:val="sl-SI"/>
        </w:rPr>
        <w:t xml:space="preserve"> </w:t>
      </w:r>
      <w:r w:rsidR="009E0BEA">
        <w:rPr>
          <w:rFonts w:ascii="Arial" w:hAnsi="Arial" w:cs="Arial"/>
          <w:lang w:val="sl-SI"/>
        </w:rPr>
        <w:t>je 7</w:t>
      </w:r>
      <w:r w:rsidRPr="003C518E">
        <w:rPr>
          <w:rFonts w:ascii="Arial" w:hAnsi="Arial" w:cs="Arial"/>
          <w:lang w:val="sl-SI"/>
        </w:rPr>
        <w:t xml:space="preserve"> kamiona</w:t>
      </w:r>
      <w:r w:rsidR="009E0BEA">
        <w:rPr>
          <w:rFonts w:ascii="Arial" w:hAnsi="Arial" w:cs="Arial"/>
          <w:lang w:val="sl-SI"/>
        </w:rPr>
        <w:t>.</w:t>
      </w:r>
    </w:p>
    <w:p w14:paraId="15F0BD86" w14:textId="77777777" w:rsidR="008E36B7" w:rsidRDefault="008E36B7" w:rsidP="008E36B7">
      <w:pPr>
        <w:pStyle w:val="Default"/>
        <w:numPr>
          <w:ilvl w:val="0"/>
          <w:numId w:val="6"/>
        </w:numPr>
        <w:ind w:left="0" w:firstLine="0"/>
        <w:jc w:val="both"/>
        <w:rPr>
          <w:rFonts w:ascii="Arial" w:hAnsi="Arial" w:cs="Arial"/>
          <w:b/>
          <w:bCs/>
          <w:i/>
          <w:iCs/>
          <w:noProof/>
          <w:color w:val="auto"/>
          <w:sz w:val="22"/>
          <w:szCs w:val="22"/>
        </w:rPr>
      </w:pPr>
      <w:r>
        <w:rPr>
          <w:rFonts w:ascii="Arial" w:hAnsi="Arial" w:cs="Arial"/>
          <w:b/>
          <w:bCs/>
          <w:i/>
          <w:iCs/>
          <w:noProof/>
          <w:color w:val="auto"/>
          <w:sz w:val="22"/>
          <w:szCs w:val="22"/>
        </w:rPr>
        <w:t>Odlaganje</w:t>
      </w:r>
    </w:p>
    <w:p w14:paraId="4FA3896E" w14:textId="77777777" w:rsidR="008E36B7" w:rsidRDefault="008E36B7" w:rsidP="008E36B7">
      <w:pPr>
        <w:pStyle w:val="Default"/>
        <w:jc w:val="both"/>
        <w:rPr>
          <w:rFonts w:ascii="Arial" w:hAnsi="Arial" w:cs="Arial"/>
          <w:b/>
          <w:bCs/>
          <w:i/>
          <w:iCs/>
          <w:noProof/>
          <w:color w:val="auto"/>
          <w:sz w:val="22"/>
          <w:szCs w:val="22"/>
        </w:rPr>
      </w:pPr>
    </w:p>
    <w:p w14:paraId="4FDC334D" w14:textId="77777777" w:rsidR="008E36B7" w:rsidRPr="00D9364E" w:rsidRDefault="008E36B7" w:rsidP="009E0BEA">
      <w:pPr>
        <w:jc w:val="both"/>
        <w:rPr>
          <w:rFonts w:ascii="Arial" w:hAnsi="Arial" w:cs="Arial"/>
          <w:i/>
          <w:lang w:val="sl-SI"/>
        </w:rPr>
      </w:pPr>
      <w:r w:rsidRPr="00D9364E">
        <w:rPr>
          <w:rFonts w:ascii="Arial" w:hAnsi="Arial" w:cs="Arial"/>
          <w:lang w:val="sl-SI"/>
        </w:rPr>
        <w:t>Odlaganje otkrivke vršiće se na spoljašnjem (faza otvaranja kopa) i unutrašnjem odlagalištu. Odlaganje će se vršiti buldozerom, a rad buldozera na ovoj operaciji iznosi 20% od rada otkopno-utovarne meh</w:t>
      </w:r>
      <w:r>
        <w:rPr>
          <w:rFonts w:ascii="Arial" w:hAnsi="Arial" w:cs="Arial"/>
          <w:lang w:val="sl-SI"/>
        </w:rPr>
        <w:t>anizacije na otkrivci</w:t>
      </w:r>
      <w:r w:rsidR="009E0BEA">
        <w:rPr>
          <w:rFonts w:ascii="Arial" w:hAnsi="Arial" w:cs="Arial"/>
          <w:lang w:val="sl-SI"/>
        </w:rPr>
        <w:t>.</w:t>
      </w:r>
    </w:p>
    <w:p w14:paraId="4DA8F1DB" w14:textId="77777777" w:rsidR="008E36B7" w:rsidRPr="008E36B7" w:rsidRDefault="008E36B7" w:rsidP="008E36B7">
      <w:pPr>
        <w:jc w:val="both"/>
        <w:rPr>
          <w:rFonts w:ascii="Arial" w:hAnsi="Arial" w:cs="Arial"/>
          <w:lang w:val="sl-SI"/>
        </w:rPr>
      </w:pPr>
      <w:r w:rsidRPr="00D9364E">
        <w:rPr>
          <w:rFonts w:ascii="Arial" w:hAnsi="Arial" w:cs="Arial"/>
          <w:lang w:val="sl-SI"/>
        </w:rPr>
        <w:t>Za obavljanje ove radne oparacije potrebno je angažovati buldozer snage 30</w:t>
      </w:r>
      <w:r>
        <w:rPr>
          <w:rFonts w:ascii="Arial" w:hAnsi="Arial" w:cs="Arial"/>
          <w:lang w:val="sl-SI"/>
        </w:rPr>
        <w:t>0 kW.</w:t>
      </w:r>
    </w:p>
    <w:p w14:paraId="65533313" w14:textId="77777777" w:rsidR="00744584" w:rsidRPr="00DA6313" w:rsidRDefault="00744584" w:rsidP="00664C2A">
      <w:pPr>
        <w:pStyle w:val="Heading2"/>
        <w:numPr>
          <w:ilvl w:val="1"/>
          <w:numId w:val="27"/>
        </w:numPr>
      </w:pPr>
      <w:bookmarkStart w:id="16" w:name="_Toc402262939"/>
      <w:r w:rsidRPr="00DA6313">
        <w:t>Snabdijevanje električnom energijom, gorivom, vodom i eksplozivom i eksplozivnim sredstvima</w:t>
      </w:r>
      <w:bookmarkEnd w:id="16"/>
    </w:p>
    <w:p w14:paraId="43DB5BE9" w14:textId="77777777" w:rsidR="00933594" w:rsidRPr="00DA6313" w:rsidRDefault="00933594" w:rsidP="008D2281">
      <w:pPr>
        <w:spacing w:after="0" w:line="240" w:lineRule="auto"/>
        <w:jc w:val="both"/>
        <w:rPr>
          <w:rFonts w:ascii="Arial" w:hAnsi="Arial" w:cs="Arial"/>
          <w:noProof/>
        </w:rPr>
      </w:pPr>
    </w:p>
    <w:p w14:paraId="5161C4B9" w14:textId="77777777" w:rsidR="003C518E" w:rsidRPr="00017FA4" w:rsidRDefault="003C518E" w:rsidP="003C518E">
      <w:pPr>
        <w:jc w:val="both"/>
        <w:rPr>
          <w:rFonts w:ascii="Arial" w:hAnsi="Arial" w:cs="Arial"/>
          <w:lang w:val="sr-Latn-CS"/>
        </w:rPr>
      </w:pPr>
      <w:bookmarkStart w:id="17" w:name="_Toc402262940"/>
      <w:r w:rsidRPr="00017FA4">
        <w:rPr>
          <w:rFonts w:ascii="Arial" w:hAnsi="Arial" w:cs="Arial"/>
          <w:lang w:val="sr-Latn-CS"/>
        </w:rPr>
        <w:t>Za snabdijevanje kopa električnom energijom potrebno je izgraditi novu trafostanicu snage 1 MW. Ova trafostanica obezbjeđivaće električnu energiju za potrebe kopa i postrojenja za pripremu uglja. Dovod električne energije najpogodnije je uraditi iz TS</w:t>
      </w:r>
      <w:r w:rsidR="005931FB">
        <w:rPr>
          <w:rFonts w:ascii="Arial" w:hAnsi="Arial" w:cs="Arial"/>
          <w:lang w:val="sr-Latn-CS"/>
        </w:rPr>
        <w:t xml:space="preserve"> </w:t>
      </w:r>
      <w:r w:rsidR="00551497">
        <w:rPr>
          <w:rFonts w:ascii="Arial" w:hAnsi="Arial" w:cs="Arial"/>
          <w:lang w:val="sr-Latn-CS"/>
        </w:rPr>
        <w:t>“</w:t>
      </w:r>
      <w:r w:rsidRPr="00017FA4">
        <w:rPr>
          <w:rFonts w:ascii="Arial" w:hAnsi="Arial" w:cs="Arial"/>
          <w:lang w:val="sr-Latn-CS"/>
        </w:rPr>
        <w:t>Mataruge</w:t>
      </w:r>
      <w:r w:rsidR="00551497">
        <w:rPr>
          <w:rFonts w:ascii="Arial" w:hAnsi="Arial" w:cs="Arial"/>
          <w:lang w:val="sr-Latn-CS"/>
        </w:rPr>
        <w:t>“</w:t>
      </w:r>
      <w:r w:rsidRPr="00017FA4">
        <w:rPr>
          <w:rFonts w:ascii="Arial" w:hAnsi="Arial" w:cs="Arial"/>
          <w:lang w:val="sr-Latn-CS"/>
        </w:rPr>
        <w:t xml:space="preserve"> koji se nalazi na udaljenosti oko 500 m od budućeg kopa. U ovoj trafostanici potrebno je instalirati trafo snage 1 MW.</w:t>
      </w:r>
    </w:p>
    <w:p w14:paraId="2EC4C733" w14:textId="77777777" w:rsidR="003C518E" w:rsidRPr="00017FA4" w:rsidRDefault="003C518E" w:rsidP="003C518E">
      <w:pPr>
        <w:jc w:val="both"/>
        <w:rPr>
          <w:rFonts w:ascii="Arial" w:hAnsi="Arial" w:cs="Arial"/>
          <w:lang w:val="sr-Latn-CS"/>
        </w:rPr>
      </w:pPr>
      <w:r w:rsidRPr="00017FA4">
        <w:rPr>
          <w:rFonts w:ascii="Arial" w:hAnsi="Arial" w:cs="Arial"/>
          <w:lang w:val="sr-Latn-CS"/>
        </w:rPr>
        <w:t xml:space="preserve">Snabdijevanje naftom i naftinim derivatima treba vršiti cisternom za gorivo koja bi se snabdijevala </w:t>
      </w:r>
      <w:r>
        <w:rPr>
          <w:rFonts w:ascii="Arial" w:hAnsi="Arial" w:cs="Arial"/>
          <w:lang w:val="sr-Latn-CS"/>
        </w:rPr>
        <w:t>na javnim pumpama u Pljevljima.</w:t>
      </w:r>
    </w:p>
    <w:p w14:paraId="4E1AA8C6" w14:textId="77777777" w:rsidR="00E66CB9" w:rsidRPr="00551497" w:rsidRDefault="003C518E" w:rsidP="00551497">
      <w:pPr>
        <w:jc w:val="both"/>
        <w:rPr>
          <w:sz w:val="28"/>
          <w:szCs w:val="28"/>
          <w:lang w:val="sr-Latn-CS"/>
        </w:rPr>
      </w:pPr>
      <w:r w:rsidRPr="00017FA4">
        <w:rPr>
          <w:rFonts w:ascii="Arial" w:hAnsi="Arial" w:cs="Arial"/>
          <w:lang w:val="sr-Latn-CS"/>
        </w:rPr>
        <w:t>Za skladištenje eksploziva potrebno je uraditi magacin eksploziva i eksplozivnih sredstava.</w:t>
      </w:r>
    </w:p>
    <w:p w14:paraId="6FC98513" w14:textId="77777777" w:rsidR="00551497" w:rsidRPr="0057133F" w:rsidRDefault="00744584" w:rsidP="00664C2A">
      <w:pPr>
        <w:pStyle w:val="Heading2"/>
        <w:numPr>
          <w:ilvl w:val="1"/>
          <w:numId w:val="27"/>
        </w:numPr>
      </w:pPr>
      <w:r w:rsidRPr="00DA6313">
        <w:t>Potrebna oprema i mehanizacija</w:t>
      </w:r>
      <w:bookmarkEnd w:id="17"/>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52"/>
        <w:gridCol w:w="5072"/>
        <w:gridCol w:w="1215"/>
      </w:tblGrid>
      <w:tr w:rsidR="005931FB" w:rsidRPr="00B1792D" w14:paraId="6AB68C81" w14:textId="77777777" w:rsidTr="00C824E0">
        <w:trPr>
          <w:trHeight w:val="332"/>
          <w:jc w:val="center"/>
        </w:trPr>
        <w:tc>
          <w:tcPr>
            <w:tcW w:w="1452" w:type="dxa"/>
            <w:shd w:val="clear" w:color="auto" w:fill="auto"/>
            <w:vAlign w:val="center"/>
          </w:tcPr>
          <w:p w14:paraId="21031F3E" w14:textId="77777777" w:rsidR="005931FB" w:rsidRPr="0057133F" w:rsidRDefault="005931FB" w:rsidP="00C824E0">
            <w:pPr>
              <w:spacing w:after="0" w:line="240" w:lineRule="auto"/>
              <w:rPr>
                <w:rFonts w:ascii="Arial" w:hAnsi="Arial" w:cs="Arial"/>
                <w:b/>
                <w:sz w:val="20"/>
                <w:szCs w:val="20"/>
                <w:lang w:val="fr-FR"/>
              </w:rPr>
            </w:pPr>
            <w:proofErr w:type="spellStart"/>
            <w:r w:rsidRPr="0057133F">
              <w:rPr>
                <w:rFonts w:ascii="Arial" w:hAnsi="Arial" w:cs="Arial"/>
                <w:b/>
                <w:sz w:val="20"/>
                <w:szCs w:val="20"/>
              </w:rPr>
              <w:t>Red</w:t>
            </w:r>
            <w:r w:rsidR="00C824E0" w:rsidRPr="0057133F">
              <w:rPr>
                <w:rFonts w:ascii="Arial" w:hAnsi="Arial" w:cs="Arial"/>
                <w:b/>
                <w:sz w:val="20"/>
                <w:szCs w:val="20"/>
              </w:rPr>
              <w:t>ni</w:t>
            </w:r>
            <w:proofErr w:type="spellEnd"/>
            <w:r w:rsidR="00C824E0" w:rsidRPr="0057133F">
              <w:rPr>
                <w:rFonts w:ascii="Arial" w:hAnsi="Arial" w:cs="Arial"/>
                <w:b/>
                <w:sz w:val="20"/>
                <w:szCs w:val="20"/>
              </w:rPr>
              <w:t xml:space="preserve"> </w:t>
            </w:r>
            <w:proofErr w:type="spellStart"/>
            <w:r w:rsidRPr="0057133F">
              <w:rPr>
                <w:rFonts w:ascii="Arial" w:hAnsi="Arial" w:cs="Arial"/>
                <w:b/>
                <w:sz w:val="20"/>
                <w:szCs w:val="20"/>
              </w:rPr>
              <w:t>br</w:t>
            </w:r>
            <w:r w:rsidR="00C824E0" w:rsidRPr="0057133F">
              <w:rPr>
                <w:rFonts w:ascii="Arial" w:hAnsi="Arial" w:cs="Arial"/>
                <w:b/>
                <w:sz w:val="20"/>
                <w:szCs w:val="20"/>
              </w:rPr>
              <w:t>oj</w:t>
            </w:r>
            <w:proofErr w:type="spellEnd"/>
          </w:p>
        </w:tc>
        <w:tc>
          <w:tcPr>
            <w:tcW w:w="5072" w:type="dxa"/>
            <w:shd w:val="clear" w:color="auto" w:fill="auto"/>
            <w:vAlign w:val="center"/>
          </w:tcPr>
          <w:p w14:paraId="0FD25263" w14:textId="77777777" w:rsidR="005931FB" w:rsidRPr="0057133F" w:rsidRDefault="005931FB" w:rsidP="00551497">
            <w:pPr>
              <w:overflowPunct w:val="0"/>
              <w:autoSpaceDE w:val="0"/>
              <w:autoSpaceDN w:val="0"/>
              <w:adjustRightInd w:val="0"/>
              <w:spacing w:after="0" w:line="240" w:lineRule="auto"/>
              <w:jc w:val="center"/>
              <w:rPr>
                <w:rFonts w:ascii="Arial" w:hAnsi="Arial" w:cs="Arial"/>
                <w:b/>
                <w:sz w:val="20"/>
                <w:szCs w:val="20"/>
                <w:lang w:val="fr-FR"/>
              </w:rPr>
            </w:pPr>
            <w:proofErr w:type="spellStart"/>
            <w:r w:rsidRPr="0057133F">
              <w:rPr>
                <w:rFonts w:ascii="Arial" w:hAnsi="Arial" w:cs="Arial"/>
                <w:b/>
                <w:sz w:val="20"/>
                <w:szCs w:val="20"/>
              </w:rPr>
              <w:t>Potrebna</w:t>
            </w:r>
            <w:proofErr w:type="spellEnd"/>
            <w:r w:rsidRPr="0057133F">
              <w:rPr>
                <w:rFonts w:ascii="Arial" w:hAnsi="Arial" w:cs="Arial"/>
                <w:b/>
                <w:sz w:val="20"/>
                <w:szCs w:val="20"/>
              </w:rPr>
              <w:t xml:space="preserve"> </w:t>
            </w:r>
            <w:proofErr w:type="spellStart"/>
            <w:r w:rsidRPr="0057133F">
              <w:rPr>
                <w:rFonts w:ascii="Arial" w:hAnsi="Arial" w:cs="Arial"/>
                <w:b/>
                <w:sz w:val="20"/>
                <w:szCs w:val="20"/>
              </w:rPr>
              <w:t>rudarska</w:t>
            </w:r>
            <w:proofErr w:type="spellEnd"/>
            <w:r w:rsidRPr="0057133F">
              <w:rPr>
                <w:rFonts w:ascii="Arial" w:hAnsi="Arial" w:cs="Arial"/>
                <w:b/>
                <w:sz w:val="20"/>
                <w:szCs w:val="20"/>
              </w:rPr>
              <w:t xml:space="preserve"> </w:t>
            </w:r>
            <w:proofErr w:type="spellStart"/>
            <w:r w:rsidRPr="0057133F">
              <w:rPr>
                <w:rFonts w:ascii="Arial" w:hAnsi="Arial" w:cs="Arial"/>
                <w:b/>
                <w:sz w:val="20"/>
                <w:szCs w:val="20"/>
              </w:rPr>
              <w:t>oprema</w:t>
            </w:r>
            <w:proofErr w:type="spellEnd"/>
          </w:p>
        </w:tc>
        <w:tc>
          <w:tcPr>
            <w:tcW w:w="1215" w:type="dxa"/>
            <w:shd w:val="clear" w:color="auto" w:fill="auto"/>
            <w:vAlign w:val="center"/>
          </w:tcPr>
          <w:p w14:paraId="12AF50AC" w14:textId="77777777" w:rsidR="005931FB" w:rsidRPr="0057133F" w:rsidRDefault="005931FB" w:rsidP="00551497">
            <w:pPr>
              <w:overflowPunct w:val="0"/>
              <w:autoSpaceDE w:val="0"/>
              <w:autoSpaceDN w:val="0"/>
              <w:adjustRightInd w:val="0"/>
              <w:spacing w:after="0" w:line="240" w:lineRule="auto"/>
              <w:jc w:val="center"/>
              <w:rPr>
                <w:rFonts w:ascii="Arial" w:hAnsi="Arial" w:cs="Arial"/>
                <w:b/>
                <w:sz w:val="20"/>
                <w:szCs w:val="20"/>
                <w:lang w:val="fr-FR"/>
              </w:rPr>
            </w:pPr>
            <w:proofErr w:type="spellStart"/>
            <w:r w:rsidRPr="0057133F">
              <w:rPr>
                <w:rFonts w:ascii="Arial" w:hAnsi="Arial" w:cs="Arial"/>
                <w:b/>
                <w:sz w:val="20"/>
                <w:szCs w:val="20"/>
              </w:rPr>
              <w:t>Količina</w:t>
            </w:r>
            <w:proofErr w:type="spellEnd"/>
          </w:p>
        </w:tc>
      </w:tr>
      <w:tr w:rsidR="005931FB" w:rsidRPr="00B1792D" w14:paraId="5BFC64F3" w14:textId="77777777" w:rsidTr="00C824E0">
        <w:trPr>
          <w:trHeight w:val="207"/>
          <w:jc w:val="center"/>
        </w:trPr>
        <w:tc>
          <w:tcPr>
            <w:tcW w:w="1452" w:type="dxa"/>
            <w:shd w:val="clear" w:color="auto" w:fill="auto"/>
            <w:vAlign w:val="center"/>
          </w:tcPr>
          <w:p w14:paraId="78392FA4"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lang w:val="fr-FR"/>
              </w:rPr>
            </w:pPr>
            <w:r w:rsidRPr="0057133F">
              <w:rPr>
                <w:rFonts w:ascii="Arial" w:hAnsi="Arial" w:cs="Arial"/>
                <w:sz w:val="20"/>
                <w:szCs w:val="20"/>
              </w:rPr>
              <w:t>1.</w:t>
            </w:r>
          </w:p>
        </w:tc>
        <w:tc>
          <w:tcPr>
            <w:tcW w:w="5072" w:type="dxa"/>
            <w:shd w:val="clear" w:color="auto" w:fill="auto"/>
            <w:vAlign w:val="center"/>
          </w:tcPr>
          <w:p w14:paraId="44E58D4E" w14:textId="77777777" w:rsidR="005931FB" w:rsidRPr="0057133F" w:rsidRDefault="005931FB" w:rsidP="00551497">
            <w:pPr>
              <w:overflowPunct w:val="0"/>
              <w:autoSpaceDE w:val="0"/>
              <w:autoSpaceDN w:val="0"/>
              <w:adjustRightInd w:val="0"/>
              <w:spacing w:after="0" w:line="240" w:lineRule="auto"/>
              <w:jc w:val="both"/>
              <w:rPr>
                <w:rFonts w:ascii="Arial" w:hAnsi="Arial" w:cs="Arial"/>
                <w:sz w:val="20"/>
                <w:szCs w:val="20"/>
                <w:vertAlign w:val="superscript"/>
                <w:lang w:val="fr-FR"/>
              </w:rPr>
            </w:pPr>
            <w:proofErr w:type="spellStart"/>
            <w:r w:rsidRPr="0057133F">
              <w:rPr>
                <w:rFonts w:ascii="Arial" w:hAnsi="Arial" w:cs="Arial"/>
                <w:sz w:val="20"/>
                <w:szCs w:val="20"/>
                <w:lang w:val="fr-FR"/>
              </w:rPr>
              <w:t>Bager</w:t>
            </w:r>
            <w:proofErr w:type="spellEnd"/>
            <w:r w:rsidRPr="0057133F">
              <w:rPr>
                <w:rFonts w:ascii="Arial" w:hAnsi="Arial" w:cs="Arial"/>
                <w:sz w:val="20"/>
                <w:szCs w:val="20"/>
                <w:lang w:val="fr-FR"/>
              </w:rPr>
              <w:t xml:space="preserve"> 5,0 – 7,0 m</w:t>
            </w:r>
            <w:r w:rsidRPr="0057133F">
              <w:rPr>
                <w:rFonts w:ascii="Arial" w:hAnsi="Arial" w:cs="Arial"/>
                <w:sz w:val="20"/>
                <w:szCs w:val="20"/>
                <w:vertAlign w:val="superscript"/>
                <w:lang w:val="fr-FR"/>
              </w:rPr>
              <w:t>3</w:t>
            </w:r>
          </w:p>
        </w:tc>
        <w:tc>
          <w:tcPr>
            <w:tcW w:w="1215" w:type="dxa"/>
            <w:shd w:val="clear" w:color="auto" w:fill="auto"/>
            <w:vAlign w:val="center"/>
          </w:tcPr>
          <w:p w14:paraId="356AC460"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lang w:val="fr-FR"/>
              </w:rPr>
            </w:pPr>
            <w:r w:rsidRPr="0057133F">
              <w:rPr>
                <w:rFonts w:ascii="Arial" w:hAnsi="Arial" w:cs="Arial"/>
                <w:sz w:val="20"/>
                <w:szCs w:val="20"/>
                <w:lang w:val="fr-FR"/>
              </w:rPr>
              <w:t>1</w:t>
            </w:r>
          </w:p>
        </w:tc>
      </w:tr>
      <w:tr w:rsidR="005931FB" w:rsidRPr="00B1792D" w14:paraId="5481E03E" w14:textId="77777777" w:rsidTr="00C824E0">
        <w:trPr>
          <w:trHeight w:val="199"/>
          <w:jc w:val="center"/>
        </w:trPr>
        <w:tc>
          <w:tcPr>
            <w:tcW w:w="1452" w:type="dxa"/>
            <w:shd w:val="clear" w:color="auto" w:fill="auto"/>
            <w:vAlign w:val="center"/>
          </w:tcPr>
          <w:p w14:paraId="7CB9A274"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2.</w:t>
            </w:r>
          </w:p>
        </w:tc>
        <w:tc>
          <w:tcPr>
            <w:tcW w:w="5072" w:type="dxa"/>
            <w:shd w:val="clear" w:color="auto" w:fill="auto"/>
            <w:vAlign w:val="center"/>
          </w:tcPr>
          <w:p w14:paraId="789A36B8" w14:textId="77777777" w:rsidR="005931FB" w:rsidRPr="0057133F" w:rsidRDefault="005931FB" w:rsidP="00551497">
            <w:pPr>
              <w:overflowPunct w:val="0"/>
              <w:autoSpaceDE w:val="0"/>
              <w:autoSpaceDN w:val="0"/>
              <w:adjustRightInd w:val="0"/>
              <w:spacing w:after="0" w:line="240" w:lineRule="auto"/>
              <w:jc w:val="both"/>
              <w:rPr>
                <w:rFonts w:ascii="Arial" w:hAnsi="Arial" w:cs="Arial"/>
                <w:sz w:val="20"/>
                <w:szCs w:val="20"/>
                <w:vertAlign w:val="superscript"/>
                <w:lang w:val="fr-FR"/>
              </w:rPr>
            </w:pPr>
            <w:proofErr w:type="spellStart"/>
            <w:r w:rsidRPr="0057133F">
              <w:rPr>
                <w:rFonts w:ascii="Arial" w:hAnsi="Arial" w:cs="Arial"/>
                <w:sz w:val="20"/>
                <w:szCs w:val="20"/>
                <w:lang w:val="fr-FR"/>
              </w:rPr>
              <w:t>Bager</w:t>
            </w:r>
            <w:proofErr w:type="spellEnd"/>
            <w:r w:rsidRPr="0057133F">
              <w:rPr>
                <w:rFonts w:ascii="Arial" w:hAnsi="Arial" w:cs="Arial"/>
                <w:sz w:val="20"/>
                <w:szCs w:val="20"/>
                <w:lang w:val="fr-FR"/>
              </w:rPr>
              <w:t xml:space="preserve"> 3 – 3,5 m</w:t>
            </w:r>
            <w:r w:rsidRPr="0057133F">
              <w:rPr>
                <w:rFonts w:ascii="Arial" w:hAnsi="Arial" w:cs="Arial"/>
                <w:sz w:val="20"/>
                <w:szCs w:val="20"/>
                <w:vertAlign w:val="superscript"/>
                <w:lang w:val="fr-FR"/>
              </w:rPr>
              <w:t>3</w:t>
            </w:r>
          </w:p>
        </w:tc>
        <w:tc>
          <w:tcPr>
            <w:tcW w:w="1215" w:type="dxa"/>
            <w:shd w:val="clear" w:color="auto" w:fill="auto"/>
            <w:vAlign w:val="center"/>
          </w:tcPr>
          <w:p w14:paraId="4F323757"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lang w:val="fr-FR"/>
              </w:rPr>
            </w:pPr>
            <w:r w:rsidRPr="0057133F">
              <w:rPr>
                <w:rFonts w:ascii="Arial" w:hAnsi="Arial" w:cs="Arial"/>
                <w:sz w:val="20"/>
                <w:szCs w:val="20"/>
                <w:lang w:val="fr-FR"/>
              </w:rPr>
              <w:t>2</w:t>
            </w:r>
          </w:p>
        </w:tc>
      </w:tr>
      <w:tr w:rsidR="005931FB" w:rsidRPr="00B1792D" w14:paraId="352EF8A0" w14:textId="77777777" w:rsidTr="00C824E0">
        <w:trPr>
          <w:trHeight w:val="284"/>
          <w:jc w:val="center"/>
        </w:trPr>
        <w:tc>
          <w:tcPr>
            <w:tcW w:w="1452" w:type="dxa"/>
            <w:shd w:val="clear" w:color="auto" w:fill="auto"/>
            <w:vAlign w:val="center"/>
          </w:tcPr>
          <w:p w14:paraId="158489FC"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3.</w:t>
            </w:r>
          </w:p>
        </w:tc>
        <w:tc>
          <w:tcPr>
            <w:tcW w:w="5072" w:type="dxa"/>
            <w:shd w:val="clear" w:color="auto" w:fill="auto"/>
            <w:vAlign w:val="center"/>
          </w:tcPr>
          <w:p w14:paraId="18AE4BC3" w14:textId="77777777" w:rsidR="005931FB" w:rsidRPr="0057133F" w:rsidRDefault="005931FB" w:rsidP="00551497">
            <w:pPr>
              <w:overflowPunct w:val="0"/>
              <w:autoSpaceDE w:val="0"/>
              <w:autoSpaceDN w:val="0"/>
              <w:adjustRightInd w:val="0"/>
              <w:spacing w:after="0" w:line="240" w:lineRule="auto"/>
              <w:jc w:val="both"/>
              <w:rPr>
                <w:rFonts w:ascii="Arial" w:hAnsi="Arial" w:cs="Arial"/>
                <w:sz w:val="20"/>
                <w:szCs w:val="20"/>
                <w:vertAlign w:val="superscript"/>
                <w:lang w:val="fr-FR"/>
              </w:rPr>
            </w:pPr>
            <w:proofErr w:type="spellStart"/>
            <w:r w:rsidRPr="0057133F">
              <w:rPr>
                <w:rFonts w:ascii="Arial" w:hAnsi="Arial" w:cs="Arial"/>
                <w:sz w:val="20"/>
                <w:szCs w:val="20"/>
                <w:lang w:val="fr-FR"/>
              </w:rPr>
              <w:t>Utovarač</w:t>
            </w:r>
            <w:proofErr w:type="spellEnd"/>
            <w:r w:rsidRPr="0057133F">
              <w:rPr>
                <w:rFonts w:ascii="Arial" w:hAnsi="Arial" w:cs="Arial"/>
                <w:sz w:val="20"/>
                <w:szCs w:val="20"/>
                <w:lang w:val="fr-FR"/>
              </w:rPr>
              <w:t xml:space="preserve"> 3,0 m</w:t>
            </w:r>
            <w:r w:rsidRPr="0057133F">
              <w:rPr>
                <w:rFonts w:ascii="Arial" w:hAnsi="Arial" w:cs="Arial"/>
                <w:sz w:val="20"/>
                <w:szCs w:val="20"/>
                <w:vertAlign w:val="superscript"/>
                <w:lang w:val="fr-FR"/>
              </w:rPr>
              <w:t>3</w:t>
            </w:r>
          </w:p>
        </w:tc>
        <w:tc>
          <w:tcPr>
            <w:tcW w:w="1215" w:type="dxa"/>
            <w:shd w:val="clear" w:color="auto" w:fill="auto"/>
            <w:vAlign w:val="center"/>
          </w:tcPr>
          <w:p w14:paraId="719D28B1"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lang w:val="fr-FR"/>
              </w:rPr>
            </w:pPr>
            <w:r w:rsidRPr="0057133F">
              <w:rPr>
                <w:rFonts w:ascii="Arial" w:hAnsi="Arial" w:cs="Arial"/>
                <w:sz w:val="20"/>
                <w:szCs w:val="20"/>
                <w:lang w:val="fr-FR"/>
              </w:rPr>
              <w:t>2</w:t>
            </w:r>
          </w:p>
        </w:tc>
      </w:tr>
      <w:tr w:rsidR="005931FB" w:rsidRPr="00B1792D" w14:paraId="170BB579" w14:textId="77777777" w:rsidTr="00C824E0">
        <w:trPr>
          <w:trHeight w:val="250"/>
          <w:jc w:val="center"/>
        </w:trPr>
        <w:tc>
          <w:tcPr>
            <w:tcW w:w="1452" w:type="dxa"/>
            <w:shd w:val="clear" w:color="auto" w:fill="auto"/>
            <w:vAlign w:val="center"/>
          </w:tcPr>
          <w:p w14:paraId="6604E25F"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4.</w:t>
            </w:r>
          </w:p>
        </w:tc>
        <w:tc>
          <w:tcPr>
            <w:tcW w:w="5072" w:type="dxa"/>
            <w:shd w:val="clear" w:color="auto" w:fill="auto"/>
            <w:vAlign w:val="center"/>
          </w:tcPr>
          <w:p w14:paraId="646D44F4" w14:textId="77777777" w:rsidR="005931FB" w:rsidRPr="0057133F" w:rsidRDefault="005931FB" w:rsidP="00551497">
            <w:pPr>
              <w:overflowPunct w:val="0"/>
              <w:autoSpaceDE w:val="0"/>
              <w:autoSpaceDN w:val="0"/>
              <w:adjustRightInd w:val="0"/>
              <w:spacing w:after="0" w:line="240" w:lineRule="auto"/>
              <w:jc w:val="both"/>
              <w:rPr>
                <w:rFonts w:ascii="Arial" w:hAnsi="Arial" w:cs="Arial"/>
                <w:sz w:val="20"/>
                <w:szCs w:val="20"/>
                <w:lang w:val="fr-FR"/>
              </w:rPr>
            </w:pPr>
            <w:proofErr w:type="spellStart"/>
            <w:r w:rsidRPr="0057133F">
              <w:rPr>
                <w:rFonts w:ascii="Arial" w:hAnsi="Arial" w:cs="Arial"/>
                <w:sz w:val="20"/>
                <w:szCs w:val="20"/>
              </w:rPr>
              <w:t>Buldozer</w:t>
            </w:r>
            <w:proofErr w:type="spellEnd"/>
            <w:r w:rsidRPr="0057133F">
              <w:rPr>
                <w:rFonts w:ascii="Arial" w:hAnsi="Arial" w:cs="Arial"/>
                <w:sz w:val="20"/>
                <w:szCs w:val="20"/>
              </w:rPr>
              <w:t xml:space="preserve"> </w:t>
            </w:r>
            <w:proofErr w:type="spellStart"/>
            <w:r w:rsidRPr="0057133F">
              <w:rPr>
                <w:rFonts w:ascii="Arial" w:hAnsi="Arial" w:cs="Arial"/>
                <w:sz w:val="20"/>
                <w:szCs w:val="20"/>
              </w:rPr>
              <w:t>snage</w:t>
            </w:r>
            <w:proofErr w:type="spellEnd"/>
            <w:r w:rsidRPr="0057133F">
              <w:rPr>
                <w:rFonts w:ascii="Arial" w:hAnsi="Arial" w:cs="Arial"/>
                <w:sz w:val="20"/>
                <w:szCs w:val="20"/>
              </w:rPr>
              <w:t xml:space="preserve"> 300 kW</w:t>
            </w:r>
          </w:p>
        </w:tc>
        <w:tc>
          <w:tcPr>
            <w:tcW w:w="1215" w:type="dxa"/>
            <w:shd w:val="clear" w:color="auto" w:fill="auto"/>
            <w:vAlign w:val="center"/>
          </w:tcPr>
          <w:p w14:paraId="4EFB3ACD"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lang w:val="fr-FR"/>
              </w:rPr>
            </w:pPr>
            <w:r w:rsidRPr="0057133F">
              <w:rPr>
                <w:rFonts w:ascii="Arial" w:hAnsi="Arial" w:cs="Arial"/>
                <w:sz w:val="20"/>
                <w:szCs w:val="20"/>
              </w:rPr>
              <w:t>2</w:t>
            </w:r>
          </w:p>
        </w:tc>
      </w:tr>
      <w:tr w:rsidR="005931FB" w:rsidRPr="00B1792D" w14:paraId="3FD24B83" w14:textId="77777777" w:rsidTr="00C824E0">
        <w:trPr>
          <w:trHeight w:val="241"/>
          <w:jc w:val="center"/>
        </w:trPr>
        <w:tc>
          <w:tcPr>
            <w:tcW w:w="1452" w:type="dxa"/>
            <w:shd w:val="clear" w:color="auto" w:fill="auto"/>
            <w:vAlign w:val="center"/>
          </w:tcPr>
          <w:p w14:paraId="373DA51F"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5.</w:t>
            </w:r>
          </w:p>
        </w:tc>
        <w:tc>
          <w:tcPr>
            <w:tcW w:w="5072" w:type="dxa"/>
            <w:shd w:val="clear" w:color="auto" w:fill="auto"/>
            <w:vAlign w:val="center"/>
          </w:tcPr>
          <w:p w14:paraId="52F458A6" w14:textId="77777777" w:rsidR="005931FB" w:rsidRPr="0057133F" w:rsidRDefault="005931FB" w:rsidP="00551497">
            <w:pPr>
              <w:overflowPunct w:val="0"/>
              <w:autoSpaceDE w:val="0"/>
              <w:autoSpaceDN w:val="0"/>
              <w:adjustRightInd w:val="0"/>
              <w:spacing w:after="0" w:line="240" w:lineRule="auto"/>
              <w:jc w:val="both"/>
              <w:rPr>
                <w:rFonts w:ascii="Arial" w:hAnsi="Arial" w:cs="Arial"/>
                <w:sz w:val="20"/>
                <w:szCs w:val="20"/>
              </w:rPr>
            </w:pPr>
            <w:proofErr w:type="spellStart"/>
            <w:r w:rsidRPr="0057133F">
              <w:rPr>
                <w:rFonts w:ascii="Arial" w:hAnsi="Arial" w:cs="Arial"/>
                <w:sz w:val="20"/>
                <w:szCs w:val="20"/>
              </w:rPr>
              <w:t>Kamion</w:t>
            </w:r>
            <w:proofErr w:type="spellEnd"/>
            <w:r w:rsidRPr="0057133F">
              <w:rPr>
                <w:rFonts w:ascii="Arial" w:hAnsi="Arial" w:cs="Arial"/>
                <w:sz w:val="20"/>
                <w:szCs w:val="20"/>
              </w:rPr>
              <w:t xml:space="preserve"> </w:t>
            </w:r>
            <w:proofErr w:type="spellStart"/>
            <w:r w:rsidRPr="0057133F">
              <w:rPr>
                <w:rFonts w:ascii="Arial" w:hAnsi="Arial" w:cs="Arial"/>
                <w:sz w:val="20"/>
                <w:szCs w:val="20"/>
              </w:rPr>
              <w:t>nosivosti</w:t>
            </w:r>
            <w:proofErr w:type="spellEnd"/>
            <w:r w:rsidRPr="0057133F">
              <w:rPr>
                <w:rFonts w:ascii="Arial" w:hAnsi="Arial" w:cs="Arial"/>
                <w:sz w:val="20"/>
                <w:szCs w:val="20"/>
              </w:rPr>
              <w:t xml:space="preserve"> 25 t</w:t>
            </w:r>
          </w:p>
        </w:tc>
        <w:tc>
          <w:tcPr>
            <w:tcW w:w="1215" w:type="dxa"/>
            <w:shd w:val="clear" w:color="auto" w:fill="auto"/>
            <w:vAlign w:val="center"/>
          </w:tcPr>
          <w:p w14:paraId="02F9AF9A"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11</w:t>
            </w:r>
          </w:p>
        </w:tc>
      </w:tr>
      <w:tr w:rsidR="005931FB" w:rsidRPr="00B1792D" w14:paraId="185B3261" w14:textId="77777777" w:rsidTr="00C824E0">
        <w:trPr>
          <w:trHeight w:val="241"/>
          <w:jc w:val="center"/>
        </w:trPr>
        <w:tc>
          <w:tcPr>
            <w:tcW w:w="1452" w:type="dxa"/>
            <w:shd w:val="clear" w:color="auto" w:fill="auto"/>
            <w:vAlign w:val="center"/>
          </w:tcPr>
          <w:p w14:paraId="01A7ACA6"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6.</w:t>
            </w:r>
          </w:p>
        </w:tc>
        <w:tc>
          <w:tcPr>
            <w:tcW w:w="5072" w:type="dxa"/>
            <w:shd w:val="clear" w:color="auto" w:fill="auto"/>
            <w:vAlign w:val="center"/>
          </w:tcPr>
          <w:p w14:paraId="18970E6F" w14:textId="77777777" w:rsidR="005931FB" w:rsidRPr="0057133F" w:rsidRDefault="005931FB" w:rsidP="00551497">
            <w:pPr>
              <w:overflowPunct w:val="0"/>
              <w:autoSpaceDE w:val="0"/>
              <w:autoSpaceDN w:val="0"/>
              <w:adjustRightInd w:val="0"/>
              <w:spacing w:after="0" w:line="240" w:lineRule="auto"/>
              <w:jc w:val="both"/>
              <w:rPr>
                <w:rFonts w:ascii="Arial" w:hAnsi="Arial" w:cs="Arial"/>
                <w:sz w:val="20"/>
                <w:szCs w:val="20"/>
              </w:rPr>
            </w:pPr>
            <w:proofErr w:type="spellStart"/>
            <w:r w:rsidRPr="0057133F">
              <w:rPr>
                <w:rFonts w:ascii="Arial" w:hAnsi="Arial" w:cs="Arial"/>
                <w:sz w:val="20"/>
                <w:szCs w:val="20"/>
              </w:rPr>
              <w:t>Bušilica</w:t>
            </w:r>
            <w:proofErr w:type="spellEnd"/>
          </w:p>
        </w:tc>
        <w:tc>
          <w:tcPr>
            <w:tcW w:w="1215" w:type="dxa"/>
            <w:shd w:val="clear" w:color="auto" w:fill="auto"/>
            <w:vAlign w:val="center"/>
          </w:tcPr>
          <w:p w14:paraId="76117FA7"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1</w:t>
            </w:r>
          </w:p>
        </w:tc>
      </w:tr>
      <w:tr w:rsidR="005931FB" w:rsidRPr="00B1792D" w14:paraId="7941EB2E" w14:textId="77777777" w:rsidTr="00C824E0">
        <w:trPr>
          <w:trHeight w:val="241"/>
          <w:jc w:val="center"/>
        </w:trPr>
        <w:tc>
          <w:tcPr>
            <w:tcW w:w="1452" w:type="dxa"/>
            <w:shd w:val="clear" w:color="auto" w:fill="auto"/>
            <w:vAlign w:val="center"/>
          </w:tcPr>
          <w:p w14:paraId="7DA8631D"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7.</w:t>
            </w:r>
          </w:p>
        </w:tc>
        <w:tc>
          <w:tcPr>
            <w:tcW w:w="5072" w:type="dxa"/>
            <w:shd w:val="clear" w:color="auto" w:fill="auto"/>
            <w:vAlign w:val="center"/>
          </w:tcPr>
          <w:p w14:paraId="3FEF525C" w14:textId="77777777" w:rsidR="005931FB" w:rsidRPr="0057133F" w:rsidRDefault="005931FB" w:rsidP="00551497">
            <w:pPr>
              <w:overflowPunct w:val="0"/>
              <w:autoSpaceDE w:val="0"/>
              <w:autoSpaceDN w:val="0"/>
              <w:adjustRightInd w:val="0"/>
              <w:spacing w:after="0" w:line="240" w:lineRule="auto"/>
              <w:jc w:val="both"/>
              <w:rPr>
                <w:rFonts w:ascii="Arial" w:hAnsi="Arial" w:cs="Arial"/>
                <w:sz w:val="20"/>
                <w:szCs w:val="20"/>
              </w:rPr>
            </w:pPr>
            <w:proofErr w:type="spellStart"/>
            <w:r w:rsidRPr="0057133F">
              <w:rPr>
                <w:rFonts w:ascii="Arial" w:hAnsi="Arial" w:cs="Arial"/>
                <w:sz w:val="20"/>
                <w:szCs w:val="20"/>
              </w:rPr>
              <w:t>Vozilo</w:t>
            </w:r>
            <w:proofErr w:type="spellEnd"/>
            <w:r w:rsidRPr="0057133F">
              <w:rPr>
                <w:rFonts w:ascii="Arial" w:hAnsi="Arial" w:cs="Arial"/>
                <w:sz w:val="20"/>
                <w:szCs w:val="20"/>
              </w:rPr>
              <w:t xml:space="preserve"> </w:t>
            </w:r>
            <w:proofErr w:type="spellStart"/>
            <w:r w:rsidRPr="0057133F">
              <w:rPr>
                <w:rFonts w:ascii="Arial" w:hAnsi="Arial" w:cs="Arial"/>
                <w:sz w:val="20"/>
                <w:szCs w:val="20"/>
              </w:rPr>
              <w:t>za</w:t>
            </w:r>
            <w:proofErr w:type="spellEnd"/>
            <w:r w:rsidRPr="0057133F">
              <w:rPr>
                <w:rFonts w:ascii="Arial" w:hAnsi="Arial" w:cs="Arial"/>
                <w:sz w:val="20"/>
                <w:szCs w:val="20"/>
              </w:rPr>
              <w:t xml:space="preserve"> </w:t>
            </w:r>
            <w:proofErr w:type="spellStart"/>
            <w:r w:rsidRPr="0057133F">
              <w:rPr>
                <w:rFonts w:ascii="Arial" w:hAnsi="Arial" w:cs="Arial"/>
                <w:sz w:val="20"/>
                <w:szCs w:val="20"/>
              </w:rPr>
              <w:t>eksploziv</w:t>
            </w:r>
            <w:proofErr w:type="spellEnd"/>
          </w:p>
        </w:tc>
        <w:tc>
          <w:tcPr>
            <w:tcW w:w="1215" w:type="dxa"/>
            <w:shd w:val="clear" w:color="auto" w:fill="auto"/>
            <w:vAlign w:val="center"/>
          </w:tcPr>
          <w:p w14:paraId="5B3772F4"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1</w:t>
            </w:r>
          </w:p>
        </w:tc>
      </w:tr>
      <w:tr w:rsidR="005931FB" w:rsidRPr="00B1792D" w14:paraId="371876AF" w14:textId="77777777" w:rsidTr="00C824E0">
        <w:trPr>
          <w:trHeight w:val="241"/>
          <w:jc w:val="center"/>
        </w:trPr>
        <w:tc>
          <w:tcPr>
            <w:tcW w:w="1452" w:type="dxa"/>
            <w:shd w:val="clear" w:color="auto" w:fill="auto"/>
            <w:vAlign w:val="center"/>
          </w:tcPr>
          <w:p w14:paraId="70E83D2B"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lastRenderedPageBreak/>
              <w:t>8.</w:t>
            </w:r>
          </w:p>
        </w:tc>
        <w:tc>
          <w:tcPr>
            <w:tcW w:w="5072" w:type="dxa"/>
            <w:shd w:val="clear" w:color="auto" w:fill="auto"/>
            <w:vAlign w:val="center"/>
          </w:tcPr>
          <w:p w14:paraId="187F8566" w14:textId="77777777" w:rsidR="005931FB" w:rsidRPr="0057133F" w:rsidRDefault="005931FB" w:rsidP="00551497">
            <w:pPr>
              <w:overflowPunct w:val="0"/>
              <w:autoSpaceDE w:val="0"/>
              <w:autoSpaceDN w:val="0"/>
              <w:adjustRightInd w:val="0"/>
              <w:spacing w:after="0" w:line="240" w:lineRule="auto"/>
              <w:jc w:val="both"/>
              <w:rPr>
                <w:rFonts w:ascii="Arial" w:hAnsi="Arial" w:cs="Arial"/>
                <w:sz w:val="20"/>
                <w:szCs w:val="20"/>
              </w:rPr>
            </w:pPr>
            <w:r w:rsidRPr="0057133F">
              <w:rPr>
                <w:rFonts w:ascii="Arial" w:hAnsi="Arial" w:cs="Arial"/>
                <w:sz w:val="20"/>
                <w:szCs w:val="20"/>
              </w:rPr>
              <w:t xml:space="preserve">Cisterna </w:t>
            </w:r>
            <w:proofErr w:type="spellStart"/>
            <w:r w:rsidRPr="0057133F">
              <w:rPr>
                <w:rFonts w:ascii="Arial" w:hAnsi="Arial" w:cs="Arial"/>
                <w:sz w:val="20"/>
                <w:szCs w:val="20"/>
              </w:rPr>
              <w:t>za</w:t>
            </w:r>
            <w:proofErr w:type="spellEnd"/>
            <w:r w:rsidRPr="0057133F">
              <w:rPr>
                <w:rFonts w:ascii="Arial" w:hAnsi="Arial" w:cs="Arial"/>
                <w:sz w:val="20"/>
                <w:szCs w:val="20"/>
              </w:rPr>
              <w:t xml:space="preserve"> </w:t>
            </w:r>
            <w:proofErr w:type="spellStart"/>
            <w:r w:rsidRPr="0057133F">
              <w:rPr>
                <w:rFonts w:ascii="Arial" w:hAnsi="Arial" w:cs="Arial"/>
                <w:sz w:val="20"/>
                <w:szCs w:val="20"/>
              </w:rPr>
              <w:t>gorivo</w:t>
            </w:r>
            <w:proofErr w:type="spellEnd"/>
          </w:p>
        </w:tc>
        <w:tc>
          <w:tcPr>
            <w:tcW w:w="1215" w:type="dxa"/>
            <w:shd w:val="clear" w:color="auto" w:fill="auto"/>
            <w:vAlign w:val="center"/>
          </w:tcPr>
          <w:p w14:paraId="6F2D4762"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1</w:t>
            </w:r>
          </w:p>
        </w:tc>
      </w:tr>
      <w:tr w:rsidR="005931FB" w:rsidRPr="00B1792D" w14:paraId="18EB2D96" w14:textId="77777777" w:rsidTr="00C824E0">
        <w:trPr>
          <w:trHeight w:val="241"/>
          <w:jc w:val="center"/>
        </w:trPr>
        <w:tc>
          <w:tcPr>
            <w:tcW w:w="1452" w:type="dxa"/>
            <w:shd w:val="clear" w:color="auto" w:fill="auto"/>
            <w:vAlign w:val="center"/>
          </w:tcPr>
          <w:p w14:paraId="408DE99F"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9.</w:t>
            </w:r>
          </w:p>
        </w:tc>
        <w:tc>
          <w:tcPr>
            <w:tcW w:w="5072" w:type="dxa"/>
            <w:shd w:val="clear" w:color="auto" w:fill="auto"/>
            <w:vAlign w:val="center"/>
          </w:tcPr>
          <w:p w14:paraId="1F484EA2" w14:textId="77777777" w:rsidR="005931FB" w:rsidRPr="0057133F" w:rsidRDefault="005931FB" w:rsidP="00551497">
            <w:pPr>
              <w:overflowPunct w:val="0"/>
              <w:autoSpaceDE w:val="0"/>
              <w:autoSpaceDN w:val="0"/>
              <w:adjustRightInd w:val="0"/>
              <w:spacing w:after="0" w:line="240" w:lineRule="auto"/>
              <w:jc w:val="both"/>
              <w:rPr>
                <w:rFonts w:ascii="Arial" w:hAnsi="Arial" w:cs="Arial"/>
                <w:sz w:val="20"/>
                <w:szCs w:val="20"/>
              </w:rPr>
            </w:pPr>
            <w:r w:rsidRPr="0057133F">
              <w:rPr>
                <w:rFonts w:ascii="Arial" w:hAnsi="Arial" w:cs="Arial"/>
                <w:sz w:val="20"/>
                <w:szCs w:val="20"/>
              </w:rPr>
              <w:t xml:space="preserve">Cisterna </w:t>
            </w:r>
            <w:proofErr w:type="spellStart"/>
            <w:r w:rsidRPr="0057133F">
              <w:rPr>
                <w:rFonts w:ascii="Arial" w:hAnsi="Arial" w:cs="Arial"/>
                <w:sz w:val="20"/>
                <w:szCs w:val="20"/>
              </w:rPr>
              <w:t>za</w:t>
            </w:r>
            <w:proofErr w:type="spellEnd"/>
            <w:r w:rsidRPr="0057133F">
              <w:rPr>
                <w:rFonts w:ascii="Arial" w:hAnsi="Arial" w:cs="Arial"/>
                <w:sz w:val="20"/>
                <w:szCs w:val="20"/>
              </w:rPr>
              <w:t xml:space="preserve"> </w:t>
            </w:r>
            <w:proofErr w:type="spellStart"/>
            <w:r w:rsidRPr="0057133F">
              <w:rPr>
                <w:rFonts w:ascii="Arial" w:hAnsi="Arial" w:cs="Arial"/>
                <w:sz w:val="20"/>
                <w:szCs w:val="20"/>
              </w:rPr>
              <w:t>vodu</w:t>
            </w:r>
            <w:proofErr w:type="spellEnd"/>
          </w:p>
        </w:tc>
        <w:tc>
          <w:tcPr>
            <w:tcW w:w="1215" w:type="dxa"/>
            <w:shd w:val="clear" w:color="auto" w:fill="auto"/>
            <w:vAlign w:val="center"/>
          </w:tcPr>
          <w:p w14:paraId="33FD5679"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1</w:t>
            </w:r>
          </w:p>
        </w:tc>
      </w:tr>
      <w:tr w:rsidR="005931FB" w:rsidRPr="00B1792D" w14:paraId="23B6712D" w14:textId="77777777" w:rsidTr="00C824E0">
        <w:trPr>
          <w:trHeight w:val="233"/>
          <w:jc w:val="center"/>
        </w:trPr>
        <w:tc>
          <w:tcPr>
            <w:tcW w:w="1452" w:type="dxa"/>
            <w:shd w:val="clear" w:color="auto" w:fill="auto"/>
            <w:vAlign w:val="center"/>
          </w:tcPr>
          <w:p w14:paraId="11408DDD"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10.</w:t>
            </w:r>
          </w:p>
        </w:tc>
        <w:tc>
          <w:tcPr>
            <w:tcW w:w="5072" w:type="dxa"/>
            <w:shd w:val="clear" w:color="auto" w:fill="auto"/>
            <w:vAlign w:val="center"/>
          </w:tcPr>
          <w:p w14:paraId="748F1DDD" w14:textId="77777777" w:rsidR="005931FB" w:rsidRPr="0057133F" w:rsidRDefault="005931FB" w:rsidP="00551497">
            <w:pPr>
              <w:overflowPunct w:val="0"/>
              <w:autoSpaceDE w:val="0"/>
              <w:autoSpaceDN w:val="0"/>
              <w:adjustRightInd w:val="0"/>
              <w:spacing w:after="0" w:line="240" w:lineRule="auto"/>
              <w:jc w:val="both"/>
              <w:rPr>
                <w:rFonts w:ascii="Arial" w:hAnsi="Arial" w:cs="Arial"/>
                <w:sz w:val="20"/>
                <w:szCs w:val="20"/>
              </w:rPr>
            </w:pPr>
            <w:proofErr w:type="spellStart"/>
            <w:r w:rsidRPr="0057133F">
              <w:rPr>
                <w:rFonts w:ascii="Arial" w:hAnsi="Arial" w:cs="Arial"/>
                <w:sz w:val="20"/>
                <w:szCs w:val="20"/>
              </w:rPr>
              <w:t>Terensko</w:t>
            </w:r>
            <w:proofErr w:type="spellEnd"/>
            <w:r w:rsidRPr="0057133F">
              <w:rPr>
                <w:rFonts w:ascii="Arial" w:hAnsi="Arial" w:cs="Arial"/>
                <w:sz w:val="20"/>
                <w:szCs w:val="20"/>
              </w:rPr>
              <w:t xml:space="preserve"> </w:t>
            </w:r>
            <w:proofErr w:type="spellStart"/>
            <w:r w:rsidRPr="0057133F">
              <w:rPr>
                <w:rFonts w:ascii="Arial" w:hAnsi="Arial" w:cs="Arial"/>
                <w:sz w:val="20"/>
                <w:szCs w:val="20"/>
              </w:rPr>
              <w:t>vozilo</w:t>
            </w:r>
            <w:proofErr w:type="spellEnd"/>
          </w:p>
        </w:tc>
        <w:tc>
          <w:tcPr>
            <w:tcW w:w="1215" w:type="dxa"/>
            <w:shd w:val="clear" w:color="auto" w:fill="auto"/>
            <w:vAlign w:val="center"/>
          </w:tcPr>
          <w:p w14:paraId="3179AB89"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3</w:t>
            </w:r>
          </w:p>
        </w:tc>
      </w:tr>
      <w:tr w:rsidR="005931FB" w:rsidRPr="00B1792D" w14:paraId="6224C40B" w14:textId="77777777" w:rsidTr="00C824E0">
        <w:trPr>
          <w:trHeight w:val="255"/>
          <w:jc w:val="center"/>
        </w:trPr>
        <w:tc>
          <w:tcPr>
            <w:tcW w:w="1452" w:type="dxa"/>
            <w:shd w:val="clear" w:color="auto" w:fill="auto"/>
            <w:vAlign w:val="center"/>
          </w:tcPr>
          <w:p w14:paraId="29208CFD"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11.</w:t>
            </w:r>
          </w:p>
        </w:tc>
        <w:tc>
          <w:tcPr>
            <w:tcW w:w="5072" w:type="dxa"/>
            <w:shd w:val="clear" w:color="auto" w:fill="auto"/>
            <w:vAlign w:val="center"/>
          </w:tcPr>
          <w:p w14:paraId="60CD7DE1" w14:textId="77777777" w:rsidR="005931FB" w:rsidRPr="0057133F" w:rsidRDefault="005931FB" w:rsidP="00B1792D">
            <w:pPr>
              <w:overflowPunct w:val="0"/>
              <w:autoSpaceDE w:val="0"/>
              <w:autoSpaceDN w:val="0"/>
              <w:adjustRightInd w:val="0"/>
              <w:spacing w:after="0" w:line="240" w:lineRule="auto"/>
              <w:rPr>
                <w:rFonts w:ascii="Arial" w:hAnsi="Arial" w:cs="Arial"/>
                <w:sz w:val="20"/>
                <w:szCs w:val="20"/>
              </w:rPr>
            </w:pPr>
            <w:proofErr w:type="spellStart"/>
            <w:r w:rsidRPr="0057133F">
              <w:rPr>
                <w:rFonts w:ascii="Arial" w:hAnsi="Arial" w:cs="Arial"/>
                <w:sz w:val="20"/>
                <w:szCs w:val="20"/>
              </w:rPr>
              <w:t>Pumpa</w:t>
            </w:r>
            <w:proofErr w:type="spellEnd"/>
            <w:r w:rsidRPr="0057133F">
              <w:rPr>
                <w:rFonts w:ascii="Arial" w:hAnsi="Arial" w:cs="Arial"/>
                <w:sz w:val="20"/>
                <w:szCs w:val="20"/>
              </w:rPr>
              <w:t xml:space="preserve"> </w:t>
            </w:r>
            <w:proofErr w:type="spellStart"/>
            <w:r w:rsidRPr="0057133F">
              <w:rPr>
                <w:rFonts w:ascii="Arial" w:hAnsi="Arial" w:cs="Arial"/>
                <w:sz w:val="20"/>
                <w:szCs w:val="20"/>
              </w:rPr>
              <w:t>za</w:t>
            </w:r>
            <w:proofErr w:type="spellEnd"/>
            <w:r w:rsidRPr="0057133F">
              <w:rPr>
                <w:rFonts w:ascii="Arial" w:hAnsi="Arial" w:cs="Arial"/>
                <w:sz w:val="20"/>
                <w:szCs w:val="20"/>
              </w:rPr>
              <w:t xml:space="preserve"> </w:t>
            </w:r>
            <w:proofErr w:type="spellStart"/>
            <w:r w:rsidRPr="0057133F">
              <w:rPr>
                <w:rFonts w:ascii="Arial" w:hAnsi="Arial" w:cs="Arial"/>
                <w:sz w:val="20"/>
                <w:szCs w:val="20"/>
              </w:rPr>
              <w:t>vodu</w:t>
            </w:r>
            <w:proofErr w:type="spellEnd"/>
            <w:r w:rsidRPr="0057133F">
              <w:rPr>
                <w:rFonts w:ascii="Arial" w:hAnsi="Arial" w:cs="Arial"/>
                <w:sz w:val="20"/>
                <w:szCs w:val="20"/>
              </w:rPr>
              <w:t xml:space="preserve"> </w:t>
            </w:r>
            <w:proofErr w:type="spellStart"/>
            <w:r w:rsidRPr="0057133F">
              <w:rPr>
                <w:rFonts w:ascii="Arial" w:hAnsi="Arial" w:cs="Arial"/>
                <w:sz w:val="20"/>
                <w:szCs w:val="20"/>
              </w:rPr>
              <w:t>sa</w:t>
            </w:r>
            <w:proofErr w:type="spellEnd"/>
            <w:r w:rsidRPr="0057133F">
              <w:rPr>
                <w:rFonts w:ascii="Arial" w:hAnsi="Arial" w:cs="Arial"/>
                <w:sz w:val="20"/>
                <w:szCs w:val="20"/>
              </w:rPr>
              <w:t xml:space="preserve"> </w:t>
            </w:r>
            <w:proofErr w:type="spellStart"/>
            <w:r w:rsidRPr="0057133F">
              <w:rPr>
                <w:rFonts w:ascii="Arial" w:hAnsi="Arial" w:cs="Arial"/>
                <w:sz w:val="20"/>
                <w:szCs w:val="20"/>
              </w:rPr>
              <w:t>opremom</w:t>
            </w:r>
            <w:proofErr w:type="spellEnd"/>
            <w:r w:rsidRPr="0057133F">
              <w:rPr>
                <w:rFonts w:ascii="Arial" w:hAnsi="Arial" w:cs="Arial"/>
                <w:sz w:val="20"/>
                <w:szCs w:val="20"/>
              </w:rPr>
              <w:t xml:space="preserve"> </w:t>
            </w:r>
            <w:proofErr w:type="spellStart"/>
            <w:r w:rsidRPr="0057133F">
              <w:rPr>
                <w:rFonts w:ascii="Arial" w:hAnsi="Arial" w:cs="Arial"/>
                <w:sz w:val="20"/>
                <w:szCs w:val="20"/>
              </w:rPr>
              <w:t>za</w:t>
            </w:r>
            <w:proofErr w:type="spellEnd"/>
            <w:r w:rsidRPr="0057133F">
              <w:rPr>
                <w:rFonts w:ascii="Arial" w:hAnsi="Arial" w:cs="Arial"/>
                <w:sz w:val="20"/>
                <w:szCs w:val="20"/>
              </w:rPr>
              <w:t xml:space="preserve"> </w:t>
            </w:r>
            <w:proofErr w:type="spellStart"/>
            <w:r w:rsidRPr="0057133F">
              <w:rPr>
                <w:rFonts w:ascii="Arial" w:hAnsi="Arial" w:cs="Arial"/>
                <w:sz w:val="20"/>
                <w:szCs w:val="20"/>
              </w:rPr>
              <w:t>odvodnjavanje</w:t>
            </w:r>
            <w:proofErr w:type="spellEnd"/>
          </w:p>
        </w:tc>
        <w:tc>
          <w:tcPr>
            <w:tcW w:w="1215" w:type="dxa"/>
            <w:shd w:val="clear" w:color="auto" w:fill="auto"/>
            <w:vAlign w:val="center"/>
          </w:tcPr>
          <w:p w14:paraId="466314E1" w14:textId="77777777" w:rsidR="005931FB" w:rsidRPr="0057133F" w:rsidRDefault="005931FB" w:rsidP="00551497">
            <w:pPr>
              <w:overflowPunct w:val="0"/>
              <w:autoSpaceDE w:val="0"/>
              <w:autoSpaceDN w:val="0"/>
              <w:adjustRightInd w:val="0"/>
              <w:spacing w:after="0" w:line="240" w:lineRule="auto"/>
              <w:jc w:val="center"/>
              <w:rPr>
                <w:rFonts w:ascii="Arial" w:hAnsi="Arial" w:cs="Arial"/>
                <w:sz w:val="20"/>
                <w:szCs w:val="20"/>
              </w:rPr>
            </w:pPr>
            <w:r w:rsidRPr="0057133F">
              <w:rPr>
                <w:rFonts w:ascii="Arial" w:hAnsi="Arial" w:cs="Arial"/>
                <w:sz w:val="20"/>
                <w:szCs w:val="20"/>
              </w:rPr>
              <w:t>1</w:t>
            </w:r>
          </w:p>
        </w:tc>
      </w:tr>
    </w:tbl>
    <w:p w14:paraId="3781BEB3" w14:textId="77777777" w:rsidR="00E66CB9" w:rsidRPr="00DA6313" w:rsidRDefault="00E66CB9" w:rsidP="00E66CB9">
      <w:pPr>
        <w:spacing w:after="0"/>
        <w:rPr>
          <w:rFonts w:ascii="Arial" w:hAnsi="Arial" w:cs="Arial"/>
          <w:lang w:val="sr-Latn-CS"/>
        </w:rPr>
      </w:pPr>
      <w:bookmarkStart w:id="18" w:name="_Toc402262941"/>
    </w:p>
    <w:p w14:paraId="077DB7AA" w14:textId="77777777" w:rsidR="00E66CB9" w:rsidRPr="0057133F" w:rsidRDefault="00744584" w:rsidP="00664C2A">
      <w:pPr>
        <w:pStyle w:val="Heading2"/>
        <w:numPr>
          <w:ilvl w:val="1"/>
          <w:numId w:val="27"/>
        </w:numPr>
      </w:pPr>
      <w:r w:rsidRPr="00DA6313">
        <w:t>Objekti</w:t>
      </w:r>
      <w:bookmarkEnd w:id="18"/>
    </w:p>
    <w:tbl>
      <w:tblPr>
        <w:tblW w:w="39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5047"/>
        <w:gridCol w:w="1461"/>
      </w:tblGrid>
      <w:tr w:rsidR="005931FB" w:rsidRPr="00DA6313" w14:paraId="13E35F6E" w14:textId="77777777" w:rsidTr="00C824E0">
        <w:trPr>
          <w:jc w:val="center"/>
        </w:trPr>
        <w:tc>
          <w:tcPr>
            <w:tcW w:w="853" w:type="pct"/>
            <w:vAlign w:val="center"/>
          </w:tcPr>
          <w:p w14:paraId="7CFBB80A" w14:textId="77777777" w:rsidR="005931FB" w:rsidRPr="0057133F" w:rsidRDefault="005931FB" w:rsidP="008D2281">
            <w:pPr>
              <w:spacing w:after="0" w:line="240" w:lineRule="auto"/>
              <w:jc w:val="center"/>
              <w:rPr>
                <w:rFonts w:ascii="Arial" w:hAnsi="Arial" w:cs="Arial"/>
                <w:b/>
                <w:noProof/>
                <w:sz w:val="20"/>
                <w:szCs w:val="20"/>
              </w:rPr>
            </w:pPr>
            <w:r w:rsidRPr="0057133F">
              <w:rPr>
                <w:rFonts w:ascii="Arial" w:hAnsi="Arial" w:cs="Arial"/>
                <w:b/>
                <w:noProof/>
                <w:sz w:val="20"/>
                <w:szCs w:val="20"/>
              </w:rPr>
              <w:t>Redni broj</w:t>
            </w:r>
          </w:p>
        </w:tc>
        <w:tc>
          <w:tcPr>
            <w:tcW w:w="3216" w:type="pct"/>
            <w:vAlign w:val="center"/>
          </w:tcPr>
          <w:p w14:paraId="5FD05C2E" w14:textId="77777777" w:rsidR="005931FB" w:rsidRPr="0057133F" w:rsidRDefault="005931FB" w:rsidP="008D2281">
            <w:pPr>
              <w:spacing w:after="0" w:line="240" w:lineRule="auto"/>
              <w:jc w:val="center"/>
              <w:rPr>
                <w:rFonts w:ascii="Arial" w:hAnsi="Arial" w:cs="Arial"/>
                <w:b/>
                <w:noProof/>
                <w:sz w:val="20"/>
                <w:szCs w:val="20"/>
              </w:rPr>
            </w:pPr>
            <w:r w:rsidRPr="0057133F">
              <w:rPr>
                <w:rFonts w:ascii="Arial" w:hAnsi="Arial" w:cs="Arial"/>
                <w:b/>
                <w:noProof/>
                <w:sz w:val="20"/>
                <w:szCs w:val="20"/>
              </w:rPr>
              <w:t>Naziv</w:t>
            </w:r>
          </w:p>
        </w:tc>
        <w:tc>
          <w:tcPr>
            <w:tcW w:w="931" w:type="pct"/>
            <w:vAlign w:val="center"/>
          </w:tcPr>
          <w:p w14:paraId="576D36FD" w14:textId="77777777" w:rsidR="005931FB" w:rsidRPr="0057133F" w:rsidRDefault="005931FB" w:rsidP="008D2281">
            <w:pPr>
              <w:spacing w:after="0" w:line="240" w:lineRule="auto"/>
              <w:jc w:val="center"/>
              <w:rPr>
                <w:rFonts w:ascii="Arial" w:hAnsi="Arial" w:cs="Arial"/>
                <w:b/>
                <w:noProof/>
                <w:sz w:val="20"/>
                <w:szCs w:val="20"/>
              </w:rPr>
            </w:pPr>
            <w:r w:rsidRPr="0057133F">
              <w:rPr>
                <w:rFonts w:ascii="Arial" w:hAnsi="Arial" w:cs="Arial"/>
                <w:b/>
                <w:noProof/>
                <w:sz w:val="20"/>
                <w:szCs w:val="20"/>
              </w:rPr>
              <w:t>Količina</w:t>
            </w:r>
          </w:p>
        </w:tc>
      </w:tr>
      <w:tr w:rsidR="005931FB" w:rsidRPr="007E3723" w14:paraId="23D14803" w14:textId="77777777" w:rsidTr="00C824E0">
        <w:trPr>
          <w:jc w:val="center"/>
        </w:trPr>
        <w:tc>
          <w:tcPr>
            <w:tcW w:w="853" w:type="pct"/>
            <w:vAlign w:val="center"/>
          </w:tcPr>
          <w:p w14:paraId="14D0B86F" w14:textId="77777777" w:rsidR="005931FB" w:rsidRPr="0057133F" w:rsidRDefault="005931FB" w:rsidP="008D2281">
            <w:pPr>
              <w:spacing w:after="0" w:line="240" w:lineRule="auto"/>
              <w:jc w:val="center"/>
              <w:rPr>
                <w:rFonts w:ascii="Arial" w:hAnsi="Arial" w:cs="Arial"/>
                <w:noProof/>
                <w:sz w:val="20"/>
                <w:szCs w:val="20"/>
              </w:rPr>
            </w:pPr>
            <w:r w:rsidRPr="0057133F">
              <w:rPr>
                <w:rFonts w:ascii="Arial" w:hAnsi="Arial" w:cs="Arial"/>
                <w:noProof/>
                <w:sz w:val="20"/>
                <w:szCs w:val="20"/>
              </w:rPr>
              <w:t>1.</w:t>
            </w:r>
          </w:p>
        </w:tc>
        <w:tc>
          <w:tcPr>
            <w:tcW w:w="3216" w:type="pct"/>
          </w:tcPr>
          <w:p w14:paraId="26403A04" w14:textId="77777777" w:rsidR="005931FB" w:rsidRPr="0057133F" w:rsidRDefault="005931FB" w:rsidP="00DD7E4A">
            <w:pPr>
              <w:spacing w:after="0" w:line="240" w:lineRule="auto"/>
              <w:rPr>
                <w:rFonts w:ascii="Arial" w:hAnsi="Arial" w:cs="Arial"/>
                <w:noProof/>
                <w:sz w:val="20"/>
                <w:szCs w:val="20"/>
              </w:rPr>
            </w:pPr>
            <w:r w:rsidRPr="0057133F">
              <w:rPr>
                <w:rFonts w:ascii="Arial" w:hAnsi="Arial" w:cs="Arial"/>
                <w:noProof/>
                <w:sz w:val="20"/>
                <w:szCs w:val="20"/>
              </w:rPr>
              <w:t>Upravno-poslovni objekat</w:t>
            </w:r>
          </w:p>
        </w:tc>
        <w:tc>
          <w:tcPr>
            <w:tcW w:w="931" w:type="pct"/>
            <w:vAlign w:val="center"/>
          </w:tcPr>
          <w:p w14:paraId="08FE6E11" w14:textId="77777777" w:rsidR="005931FB" w:rsidRPr="0057133F" w:rsidRDefault="005931FB" w:rsidP="008D2281">
            <w:pPr>
              <w:spacing w:after="0" w:line="240" w:lineRule="auto"/>
              <w:jc w:val="center"/>
              <w:rPr>
                <w:rFonts w:ascii="Arial" w:hAnsi="Arial" w:cs="Arial"/>
                <w:noProof/>
                <w:sz w:val="20"/>
                <w:szCs w:val="20"/>
              </w:rPr>
            </w:pPr>
            <w:r w:rsidRPr="0057133F">
              <w:rPr>
                <w:rFonts w:ascii="Arial" w:hAnsi="Arial" w:cs="Arial"/>
                <w:noProof/>
                <w:sz w:val="20"/>
                <w:szCs w:val="20"/>
              </w:rPr>
              <w:t>1</w:t>
            </w:r>
          </w:p>
        </w:tc>
      </w:tr>
      <w:tr w:rsidR="005931FB" w:rsidRPr="007E3723" w14:paraId="13056A72" w14:textId="77777777" w:rsidTr="00C824E0">
        <w:trPr>
          <w:jc w:val="center"/>
        </w:trPr>
        <w:tc>
          <w:tcPr>
            <w:tcW w:w="853" w:type="pct"/>
            <w:vAlign w:val="center"/>
          </w:tcPr>
          <w:p w14:paraId="2EC459A8" w14:textId="77777777" w:rsidR="005931FB" w:rsidRPr="0057133F" w:rsidRDefault="005931FB" w:rsidP="008D2281">
            <w:pPr>
              <w:spacing w:after="0" w:line="240" w:lineRule="auto"/>
              <w:jc w:val="center"/>
              <w:rPr>
                <w:rFonts w:ascii="Arial" w:hAnsi="Arial" w:cs="Arial"/>
                <w:noProof/>
                <w:sz w:val="20"/>
                <w:szCs w:val="20"/>
              </w:rPr>
            </w:pPr>
            <w:r w:rsidRPr="0057133F">
              <w:rPr>
                <w:rFonts w:ascii="Arial" w:hAnsi="Arial" w:cs="Arial"/>
                <w:noProof/>
                <w:sz w:val="20"/>
                <w:szCs w:val="20"/>
              </w:rPr>
              <w:t>2.</w:t>
            </w:r>
          </w:p>
        </w:tc>
        <w:tc>
          <w:tcPr>
            <w:tcW w:w="3216" w:type="pct"/>
          </w:tcPr>
          <w:p w14:paraId="3DB04F35" w14:textId="77777777" w:rsidR="005931FB" w:rsidRPr="0057133F" w:rsidRDefault="005931FB" w:rsidP="007E3723">
            <w:pPr>
              <w:spacing w:after="0" w:line="240" w:lineRule="auto"/>
              <w:rPr>
                <w:rFonts w:ascii="Arial" w:hAnsi="Arial" w:cs="Arial"/>
                <w:iCs/>
                <w:noProof/>
                <w:sz w:val="20"/>
                <w:szCs w:val="20"/>
              </w:rPr>
            </w:pPr>
            <w:r w:rsidRPr="0057133F">
              <w:rPr>
                <w:rFonts w:ascii="Arial" w:hAnsi="Arial" w:cs="Arial"/>
                <w:iCs/>
                <w:noProof/>
                <w:sz w:val="20"/>
                <w:szCs w:val="20"/>
              </w:rPr>
              <w:t>Postrojenje za drobljenje</w:t>
            </w:r>
          </w:p>
        </w:tc>
        <w:tc>
          <w:tcPr>
            <w:tcW w:w="931" w:type="pct"/>
            <w:vAlign w:val="center"/>
          </w:tcPr>
          <w:p w14:paraId="2FDB818A" w14:textId="77777777" w:rsidR="005931FB" w:rsidRPr="0057133F" w:rsidRDefault="005931FB" w:rsidP="008D2281">
            <w:pPr>
              <w:spacing w:after="0" w:line="240" w:lineRule="auto"/>
              <w:jc w:val="center"/>
              <w:rPr>
                <w:rFonts w:ascii="Arial" w:hAnsi="Arial" w:cs="Arial"/>
                <w:noProof/>
                <w:sz w:val="20"/>
                <w:szCs w:val="20"/>
              </w:rPr>
            </w:pPr>
            <w:r w:rsidRPr="0057133F">
              <w:rPr>
                <w:rFonts w:ascii="Arial" w:hAnsi="Arial" w:cs="Arial"/>
                <w:noProof/>
                <w:sz w:val="20"/>
                <w:szCs w:val="20"/>
              </w:rPr>
              <w:t>1</w:t>
            </w:r>
          </w:p>
        </w:tc>
      </w:tr>
      <w:tr w:rsidR="005931FB" w:rsidRPr="007E3723" w14:paraId="2AD956EC" w14:textId="77777777" w:rsidTr="00C824E0">
        <w:trPr>
          <w:jc w:val="center"/>
        </w:trPr>
        <w:tc>
          <w:tcPr>
            <w:tcW w:w="853" w:type="pct"/>
            <w:vAlign w:val="center"/>
          </w:tcPr>
          <w:p w14:paraId="51D14CB0" w14:textId="77777777" w:rsidR="005931FB" w:rsidRPr="0057133F" w:rsidRDefault="005931FB" w:rsidP="008D2281">
            <w:pPr>
              <w:spacing w:after="0" w:line="240" w:lineRule="auto"/>
              <w:jc w:val="center"/>
              <w:rPr>
                <w:rFonts w:ascii="Arial" w:hAnsi="Arial" w:cs="Arial"/>
                <w:noProof/>
                <w:sz w:val="20"/>
                <w:szCs w:val="20"/>
              </w:rPr>
            </w:pPr>
            <w:r w:rsidRPr="0057133F">
              <w:rPr>
                <w:rFonts w:ascii="Arial" w:hAnsi="Arial" w:cs="Arial"/>
                <w:noProof/>
                <w:sz w:val="20"/>
                <w:szCs w:val="20"/>
              </w:rPr>
              <w:t>3.</w:t>
            </w:r>
          </w:p>
        </w:tc>
        <w:tc>
          <w:tcPr>
            <w:tcW w:w="3216" w:type="pct"/>
          </w:tcPr>
          <w:p w14:paraId="6577DB65" w14:textId="77777777" w:rsidR="005931FB" w:rsidRPr="0057133F" w:rsidRDefault="005931FB" w:rsidP="007E3723">
            <w:pPr>
              <w:spacing w:after="0" w:line="240" w:lineRule="auto"/>
              <w:rPr>
                <w:rFonts w:ascii="Arial" w:hAnsi="Arial" w:cs="Arial"/>
                <w:iCs/>
                <w:noProof/>
                <w:sz w:val="20"/>
                <w:szCs w:val="20"/>
              </w:rPr>
            </w:pPr>
            <w:r w:rsidRPr="0057133F">
              <w:rPr>
                <w:rFonts w:ascii="Arial" w:hAnsi="Arial" w:cs="Arial"/>
                <w:iCs/>
                <w:noProof/>
                <w:sz w:val="20"/>
                <w:szCs w:val="20"/>
              </w:rPr>
              <w:t>Nabavka i izgradnja trafostanice 1.0 MW</w:t>
            </w:r>
          </w:p>
        </w:tc>
        <w:tc>
          <w:tcPr>
            <w:tcW w:w="931" w:type="pct"/>
            <w:vAlign w:val="center"/>
          </w:tcPr>
          <w:p w14:paraId="42289B44" w14:textId="77777777" w:rsidR="005931FB" w:rsidRPr="0057133F" w:rsidRDefault="005931FB" w:rsidP="008D2281">
            <w:pPr>
              <w:spacing w:after="0" w:line="240" w:lineRule="auto"/>
              <w:jc w:val="center"/>
              <w:rPr>
                <w:rFonts w:ascii="Arial" w:hAnsi="Arial" w:cs="Arial"/>
                <w:noProof/>
                <w:sz w:val="20"/>
                <w:szCs w:val="20"/>
              </w:rPr>
            </w:pPr>
            <w:r w:rsidRPr="0057133F">
              <w:rPr>
                <w:rFonts w:ascii="Arial" w:hAnsi="Arial" w:cs="Arial"/>
                <w:noProof/>
                <w:sz w:val="20"/>
                <w:szCs w:val="20"/>
              </w:rPr>
              <w:t>1</w:t>
            </w:r>
          </w:p>
        </w:tc>
      </w:tr>
      <w:tr w:rsidR="005931FB" w:rsidRPr="007E3723" w14:paraId="25B5A402" w14:textId="77777777" w:rsidTr="00C824E0">
        <w:trPr>
          <w:trHeight w:val="152"/>
          <w:jc w:val="center"/>
        </w:trPr>
        <w:tc>
          <w:tcPr>
            <w:tcW w:w="853" w:type="pct"/>
            <w:vAlign w:val="center"/>
          </w:tcPr>
          <w:p w14:paraId="6EE85FB1" w14:textId="77777777" w:rsidR="005931FB" w:rsidRPr="0057133F" w:rsidRDefault="005931FB" w:rsidP="008D2281">
            <w:pPr>
              <w:spacing w:after="0" w:line="240" w:lineRule="auto"/>
              <w:jc w:val="center"/>
              <w:rPr>
                <w:rFonts w:ascii="Arial" w:hAnsi="Arial" w:cs="Arial"/>
                <w:noProof/>
                <w:sz w:val="20"/>
                <w:szCs w:val="20"/>
              </w:rPr>
            </w:pPr>
            <w:r w:rsidRPr="0057133F">
              <w:rPr>
                <w:rFonts w:ascii="Arial" w:hAnsi="Arial" w:cs="Arial"/>
                <w:noProof/>
                <w:sz w:val="20"/>
                <w:szCs w:val="20"/>
              </w:rPr>
              <w:t>4.</w:t>
            </w:r>
          </w:p>
        </w:tc>
        <w:tc>
          <w:tcPr>
            <w:tcW w:w="3216" w:type="pct"/>
          </w:tcPr>
          <w:p w14:paraId="63ABFFD6" w14:textId="77777777" w:rsidR="005931FB" w:rsidRPr="0057133F" w:rsidRDefault="005931FB" w:rsidP="007E3723">
            <w:pPr>
              <w:spacing w:after="0" w:line="240" w:lineRule="auto"/>
              <w:rPr>
                <w:rFonts w:ascii="Arial" w:hAnsi="Arial" w:cs="Arial"/>
                <w:iCs/>
                <w:noProof/>
                <w:sz w:val="20"/>
                <w:szCs w:val="20"/>
              </w:rPr>
            </w:pPr>
            <w:r w:rsidRPr="0057133F">
              <w:rPr>
                <w:rFonts w:ascii="Arial" w:hAnsi="Arial" w:cs="Arial"/>
                <w:iCs/>
                <w:noProof/>
                <w:sz w:val="20"/>
                <w:szCs w:val="20"/>
              </w:rPr>
              <w:t>Izgradnja visoko-naponskog dalekovoda 10 kW</w:t>
            </w:r>
          </w:p>
        </w:tc>
        <w:tc>
          <w:tcPr>
            <w:tcW w:w="931" w:type="pct"/>
            <w:vAlign w:val="center"/>
          </w:tcPr>
          <w:p w14:paraId="58829C5E" w14:textId="77777777" w:rsidR="005931FB" w:rsidRPr="0057133F" w:rsidRDefault="005931FB" w:rsidP="008D2281">
            <w:pPr>
              <w:spacing w:after="0" w:line="240" w:lineRule="auto"/>
              <w:jc w:val="center"/>
              <w:rPr>
                <w:rFonts w:ascii="Arial" w:hAnsi="Arial" w:cs="Arial"/>
                <w:noProof/>
                <w:sz w:val="20"/>
                <w:szCs w:val="20"/>
              </w:rPr>
            </w:pPr>
            <w:r w:rsidRPr="0057133F">
              <w:rPr>
                <w:rFonts w:ascii="Arial" w:hAnsi="Arial" w:cs="Arial"/>
                <w:noProof/>
                <w:sz w:val="20"/>
                <w:szCs w:val="20"/>
              </w:rPr>
              <w:t>1</w:t>
            </w:r>
          </w:p>
        </w:tc>
      </w:tr>
    </w:tbl>
    <w:p w14:paraId="44619CBF" w14:textId="77777777" w:rsidR="0057133F" w:rsidRDefault="0057133F" w:rsidP="00D62A70">
      <w:pPr>
        <w:pStyle w:val="Heading2"/>
      </w:pPr>
      <w:bookmarkStart w:id="19" w:name="_Toc402262942"/>
    </w:p>
    <w:p w14:paraId="6FC711D1" w14:textId="77777777" w:rsidR="009F41AA" w:rsidRPr="009F41AA" w:rsidRDefault="00744584" w:rsidP="00664C2A">
      <w:pPr>
        <w:pStyle w:val="Heading2"/>
        <w:numPr>
          <w:ilvl w:val="1"/>
          <w:numId w:val="27"/>
        </w:numPr>
      </w:pPr>
      <w:r w:rsidRPr="00DA6313">
        <w:t>Radna snaga</w:t>
      </w:r>
      <w:bookmarkEnd w:id="19"/>
    </w:p>
    <w:p w14:paraId="4303753D" w14:textId="77777777" w:rsidR="00E66CB9" w:rsidRPr="009F41AA" w:rsidRDefault="009F41AA" w:rsidP="009F41AA">
      <w:pPr>
        <w:jc w:val="both"/>
        <w:rPr>
          <w:rFonts w:ascii="Arial" w:hAnsi="Arial" w:cs="Arial"/>
        </w:rPr>
      </w:pPr>
      <w:proofErr w:type="spellStart"/>
      <w:r w:rsidRPr="004F1CD7">
        <w:rPr>
          <w:rFonts w:ascii="Arial" w:hAnsi="Arial" w:cs="Arial"/>
        </w:rPr>
        <w:t>Za</w:t>
      </w:r>
      <w:proofErr w:type="spellEnd"/>
      <w:r w:rsidRPr="004F1CD7">
        <w:rPr>
          <w:rFonts w:ascii="Arial" w:hAnsi="Arial" w:cs="Arial"/>
        </w:rPr>
        <w:t xml:space="preserve"> </w:t>
      </w:r>
      <w:proofErr w:type="spellStart"/>
      <w:r w:rsidRPr="004F1CD7">
        <w:rPr>
          <w:rFonts w:ascii="Arial" w:hAnsi="Arial" w:cs="Arial"/>
        </w:rPr>
        <w:t>predviđenu</w:t>
      </w:r>
      <w:proofErr w:type="spellEnd"/>
      <w:r w:rsidRPr="004F1CD7">
        <w:rPr>
          <w:rFonts w:ascii="Arial" w:hAnsi="Arial" w:cs="Arial"/>
        </w:rPr>
        <w:t xml:space="preserve"> </w:t>
      </w:r>
      <w:proofErr w:type="spellStart"/>
      <w:r w:rsidRPr="004F1CD7">
        <w:rPr>
          <w:rFonts w:ascii="Arial" w:hAnsi="Arial" w:cs="Arial"/>
        </w:rPr>
        <w:t>tehnologiju</w:t>
      </w:r>
      <w:proofErr w:type="spellEnd"/>
      <w:r w:rsidRPr="004F1CD7">
        <w:rPr>
          <w:rFonts w:ascii="Arial" w:hAnsi="Arial" w:cs="Arial"/>
        </w:rPr>
        <w:t xml:space="preserve"> </w:t>
      </w:r>
      <w:proofErr w:type="spellStart"/>
      <w:r w:rsidRPr="004F1CD7">
        <w:rPr>
          <w:rFonts w:ascii="Arial" w:hAnsi="Arial" w:cs="Arial"/>
        </w:rPr>
        <w:t>površinske</w:t>
      </w:r>
      <w:proofErr w:type="spellEnd"/>
      <w:r w:rsidRPr="004F1CD7">
        <w:rPr>
          <w:rFonts w:ascii="Arial" w:hAnsi="Arial" w:cs="Arial"/>
        </w:rPr>
        <w:t xml:space="preserve"> </w:t>
      </w:r>
      <w:proofErr w:type="spellStart"/>
      <w:r w:rsidRPr="004F1CD7">
        <w:rPr>
          <w:rFonts w:ascii="Arial" w:hAnsi="Arial" w:cs="Arial"/>
        </w:rPr>
        <w:t>eksploatacije</w:t>
      </w:r>
      <w:proofErr w:type="spellEnd"/>
      <w:r w:rsidRPr="004F1CD7">
        <w:rPr>
          <w:rFonts w:ascii="Arial" w:hAnsi="Arial" w:cs="Arial"/>
        </w:rPr>
        <w:t xml:space="preserve"> </w:t>
      </w:r>
      <w:proofErr w:type="spellStart"/>
      <w:r w:rsidRPr="004F1CD7">
        <w:rPr>
          <w:rFonts w:ascii="Arial" w:hAnsi="Arial" w:cs="Arial"/>
        </w:rPr>
        <w:t>na</w:t>
      </w:r>
      <w:proofErr w:type="spellEnd"/>
      <w:r w:rsidRPr="004F1CD7">
        <w:rPr>
          <w:rFonts w:ascii="Arial" w:hAnsi="Arial" w:cs="Arial"/>
        </w:rPr>
        <w:t xml:space="preserve"> </w:t>
      </w:r>
      <w:proofErr w:type="spellStart"/>
      <w:r w:rsidRPr="004F1CD7">
        <w:rPr>
          <w:rFonts w:ascii="Arial" w:hAnsi="Arial" w:cs="Arial"/>
        </w:rPr>
        <w:t>kopu</w:t>
      </w:r>
      <w:proofErr w:type="spellEnd"/>
      <w:r w:rsidRPr="004F1CD7">
        <w:rPr>
          <w:rFonts w:ascii="Arial" w:hAnsi="Arial" w:cs="Arial"/>
        </w:rPr>
        <w:t xml:space="preserve"> </w:t>
      </w:r>
      <w:r w:rsidRPr="004F1CD7">
        <w:rPr>
          <w:rFonts w:ascii="Arial" w:hAnsi="Arial" w:cs="Arial"/>
          <w:lang w:val="sl-SI"/>
        </w:rPr>
        <w:t xml:space="preserve">»Mataruge« </w:t>
      </w:r>
      <w:r w:rsidRPr="004F1CD7">
        <w:rPr>
          <w:rFonts w:ascii="Arial" w:hAnsi="Arial" w:cs="Arial"/>
        </w:rPr>
        <w:t xml:space="preserve">rad bi se </w:t>
      </w:r>
      <w:proofErr w:type="spellStart"/>
      <w:r w:rsidRPr="004F1CD7">
        <w:rPr>
          <w:rFonts w:ascii="Arial" w:hAnsi="Arial" w:cs="Arial"/>
        </w:rPr>
        <w:t>odvijao</w:t>
      </w:r>
      <w:proofErr w:type="spellEnd"/>
      <w:r w:rsidRPr="004F1CD7">
        <w:rPr>
          <w:rFonts w:ascii="Arial" w:hAnsi="Arial" w:cs="Arial"/>
        </w:rPr>
        <w:t xml:space="preserve"> u tri </w:t>
      </w:r>
      <w:proofErr w:type="spellStart"/>
      <w:r w:rsidRPr="004F1CD7">
        <w:rPr>
          <w:rFonts w:ascii="Arial" w:hAnsi="Arial" w:cs="Arial"/>
        </w:rPr>
        <w:t>smjene</w:t>
      </w:r>
      <w:proofErr w:type="spellEnd"/>
      <w:r w:rsidRPr="004F1CD7">
        <w:rPr>
          <w:rFonts w:ascii="Arial" w:hAnsi="Arial" w:cs="Arial"/>
        </w:rPr>
        <w:t xml:space="preserve">, a </w:t>
      </w:r>
      <w:proofErr w:type="spellStart"/>
      <w:r w:rsidRPr="004F1CD7">
        <w:rPr>
          <w:rFonts w:ascii="Arial" w:hAnsi="Arial" w:cs="Arial"/>
        </w:rPr>
        <w:t>potreban</w:t>
      </w:r>
      <w:proofErr w:type="spellEnd"/>
      <w:r w:rsidRPr="004F1CD7">
        <w:rPr>
          <w:rFonts w:ascii="Arial" w:hAnsi="Arial" w:cs="Arial"/>
        </w:rPr>
        <w:t xml:space="preserve"> </w:t>
      </w:r>
      <w:proofErr w:type="spellStart"/>
      <w:r w:rsidRPr="004F1CD7">
        <w:rPr>
          <w:rFonts w:ascii="Arial" w:hAnsi="Arial" w:cs="Arial"/>
        </w:rPr>
        <w:t>broj</w:t>
      </w:r>
      <w:proofErr w:type="spellEnd"/>
      <w:r w:rsidRPr="004F1CD7">
        <w:rPr>
          <w:rFonts w:ascii="Arial" w:hAnsi="Arial" w:cs="Arial"/>
        </w:rPr>
        <w:t xml:space="preserve"> </w:t>
      </w:r>
      <w:proofErr w:type="spellStart"/>
      <w:r w:rsidRPr="004F1CD7">
        <w:rPr>
          <w:rFonts w:ascii="Arial" w:hAnsi="Arial" w:cs="Arial"/>
        </w:rPr>
        <w:t>rad</w:t>
      </w:r>
      <w:r>
        <w:rPr>
          <w:rFonts w:ascii="Arial" w:hAnsi="Arial" w:cs="Arial"/>
        </w:rPr>
        <w:t>nika</w:t>
      </w:r>
      <w:proofErr w:type="spellEnd"/>
      <w:r>
        <w:rPr>
          <w:rFonts w:ascii="Arial" w:hAnsi="Arial" w:cs="Arial"/>
        </w:rPr>
        <w:t xml:space="preserve"> </w:t>
      </w:r>
      <w:proofErr w:type="spellStart"/>
      <w:r>
        <w:rPr>
          <w:rFonts w:ascii="Arial" w:hAnsi="Arial" w:cs="Arial"/>
        </w:rPr>
        <w:t>daje</w:t>
      </w:r>
      <w:proofErr w:type="spellEnd"/>
      <w:r>
        <w:rPr>
          <w:rFonts w:ascii="Arial" w:hAnsi="Arial" w:cs="Arial"/>
        </w:rPr>
        <w:t xml:space="preserve"> se u </w:t>
      </w:r>
      <w:proofErr w:type="spellStart"/>
      <w:r>
        <w:rPr>
          <w:rFonts w:ascii="Arial" w:hAnsi="Arial" w:cs="Arial"/>
        </w:rPr>
        <w:t>narednoj</w:t>
      </w:r>
      <w:proofErr w:type="spellEnd"/>
      <w:r>
        <w:rPr>
          <w:rFonts w:ascii="Arial" w:hAnsi="Arial" w:cs="Arial"/>
        </w:rPr>
        <w:t xml:space="preserve"> </w:t>
      </w:r>
      <w:proofErr w:type="spellStart"/>
      <w:r>
        <w:rPr>
          <w:rFonts w:ascii="Arial" w:hAnsi="Arial" w:cs="Arial"/>
        </w:rPr>
        <w:t>tabeli</w:t>
      </w:r>
      <w:proofErr w:type="spellEnd"/>
      <w:r>
        <w:rPr>
          <w:rFonts w:ascii="Arial" w:hAnsi="Arial" w:cs="Arial"/>
        </w:rPr>
        <w:t>:</w:t>
      </w:r>
    </w:p>
    <w:tbl>
      <w:tblPr>
        <w:tblW w:w="1008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967"/>
        <w:gridCol w:w="5333"/>
        <w:gridCol w:w="2047"/>
        <w:gridCol w:w="1733"/>
      </w:tblGrid>
      <w:tr w:rsidR="009F41AA" w:rsidRPr="009F41AA" w14:paraId="3EEBD122" w14:textId="77777777" w:rsidTr="0057133F">
        <w:trPr>
          <w:trHeight w:val="647"/>
        </w:trPr>
        <w:tc>
          <w:tcPr>
            <w:tcW w:w="967" w:type="dxa"/>
            <w:shd w:val="clear" w:color="auto" w:fill="auto"/>
            <w:vAlign w:val="center"/>
          </w:tcPr>
          <w:p w14:paraId="76B577CE" w14:textId="77777777" w:rsidR="009F41AA" w:rsidRPr="009F41AA" w:rsidRDefault="009F41AA" w:rsidP="009F41AA">
            <w:pPr>
              <w:spacing w:after="0"/>
              <w:jc w:val="center"/>
              <w:rPr>
                <w:rFonts w:ascii="Arial" w:hAnsi="Arial" w:cs="Arial"/>
                <w:b/>
              </w:rPr>
            </w:pPr>
            <w:r w:rsidRPr="009F41AA">
              <w:rPr>
                <w:rFonts w:ascii="Arial" w:hAnsi="Arial" w:cs="Arial"/>
                <w:b/>
              </w:rPr>
              <w:t>Red</w:t>
            </w:r>
          </w:p>
          <w:p w14:paraId="2AC20117" w14:textId="77777777" w:rsidR="009F41AA" w:rsidRPr="009F41AA" w:rsidRDefault="009F41AA" w:rsidP="009F41AA">
            <w:pPr>
              <w:spacing w:after="0"/>
              <w:jc w:val="center"/>
              <w:rPr>
                <w:rFonts w:ascii="Arial" w:hAnsi="Arial" w:cs="Arial"/>
                <w:b/>
              </w:rPr>
            </w:pPr>
            <w:r w:rsidRPr="009F41AA">
              <w:rPr>
                <w:rFonts w:ascii="Arial" w:hAnsi="Arial" w:cs="Arial"/>
                <w:b/>
              </w:rPr>
              <w:t>br.</w:t>
            </w:r>
          </w:p>
        </w:tc>
        <w:tc>
          <w:tcPr>
            <w:tcW w:w="5333" w:type="dxa"/>
            <w:shd w:val="clear" w:color="auto" w:fill="auto"/>
            <w:vAlign w:val="center"/>
          </w:tcPr>
          <w:p w14:paraId="6FB08E84" w14:textId="77777777" w:rsidR="009F41AA" w:rsidRPr="009F41AA" w:rsidRDefault="009F41AA" w:rsidP="009F41AA">
            <w:pPr>
              <w:spacing w:after="0"/>
              <w:jc w:val="center"/>
              <w:rPr>
                <w:rFonts w:ascii="Arial" w:hAnsi="Arial" w:cs="Arial"/>
                <w:b/>
              </w:rPr>
            </w:pPr>
            <w:proofErr w:type="spellStart"/>
            <w:r w:rsidRPr="009F41AA">
              <w:rPr>
                <w:rFonts w:ascii="Arial" w:hAnsi="Arial" w:cs="Arial"/>
                <w:b/>
              </w:rPr>
              <w:t>Naziv</w:t>
            </w:r>
            <w:proofErr w:type="spellEnd"/>
            <w:r w:rsidRPr="009F41AA">
              <w:rPr>
                <w:rFonts w:ascii="Arial" w:hAnsi="Arial" w:cs="Arial"/>
                <w:b/>
              </w:rPr>
              <w:t xml:space="preserve"> </w:t>
            </w:r>
            <w:proofErr w:type="spellStart"/>
            <w:r w:rsidRPr="009F41AA">
              <w:rPr>
                <w:rFonts w:ascii="Arial" w:hAnsi="Arial" w:cs="Arial"/>
                <w:b/>
              </w:rPr>
              <w:t>radnog</w:t>
            </w:r>
            <w:proofErr w:type="spellEnd"/>
            <w:r w:rsidRPr="009F41AA">
              <w:rPr>
                <w:rFonts w:ascii="Arial" w:hAnsi="Arial" w:cs="Arial"/>
                <w:b/>
              </w:rPr>
              <w:t xml:space="preserve"> </w:t>
            </w:r>
            <w:proofErr w:type="spellStart"/>
            <w:r w:rsidRPr="009F41AA">
              <w:rPr>
                <w:rFonts w:ascii="Arial" w:hAnsi="Arial" w:cs="Arial"/>
                <w:b/>
              </w:rPr>
              <w:t>mjesta</w:t>
            </w:r>
            <w:proofErr w:type="spellEnd"/>
          </w:p>
        </w:tc>
        <w:tc>
          <w:tcPr>
            <w:tcW w:w="2047" w:type="dxa"/>
            <w:shd w:val="clear" w:color="auto" w:fill="auto"/>
            <w:vAlign w:val="center"/>
          </w:tcPr>
          <w:p w14:paraId="635862E0" w14:textId="77777777" w:rsidR="009F41AA" w:rsidRPr="009F41AA" w:rsidRDefault="009F41AA" w:rsidP="009F41AA">
            <w:pPr>
              <w:spacing w:after="0"/>
              <w:jc w:val="center"/>
              <w:rPr>
                <w:rFonts w:ascii="Arial" w:hAnsi="Arial" w:cs="Arial"/>
                <w:b/>
              </w:rPr>
            </w:pPr>
            <w:proofErr w:type="spellStart"/>
            <w:r w:rsidRPr="009F41AA">
              <w:rPr>
                <w:rFonts w:ascii="Arial" w:hAnsi="Arial" w:cs="Arial"/>
                <w:b/>
              </w:rPr>
              <w:t>Kvalifikacija</w:t>
            </w:r>
            <w:proofErr w:type="spellEnd"/>
          </w:p>
        </w:tc>
        <w:tc>
          <w:tcPr>
            <w:tcW w:w="1733" w:type="dxa"/>
            <w:shd w:val="clear" w:color="auto" w:fill="auto"/>
            <w:vAlign w:val="center"/>
          </w:tcPr>
          <w:p w14:paraId="50D60E34" w14:textId="77777777" w:rsidR="009F41AA" w:rsidRPr="009F41AA" w:rsidRDefault="009F41AA" w:rsidP="009F41AA">
            <w:pPr>
              <w:spacing w:after="0"/>
              <w:jc w:val="center"/>
              <w:rPr>
                <w:rFonts w:ascii="Arial" w:hAnsi="Arial" w:cs="Arial"/>
                <w:b/>
              </w:rPr>
            </w:pPr>
            <w:proofErr w:type="spellStart"/>
            <w:r w:rsidRPr="009F41AA">
              <w:rPr>
                <w:rFonts w:ascii="Arial" w:hAnsi="Arial" w:cs="Arial"/>
                <w:b/>
              </w:rPr>
              <w:t>Potreban</w:t>
            </w:r>
            <w:proofErr w:type="spellEnd"/>
            <w:r w:rsidRPr="009F41AA">
              <w:rPr>
                <w:rFonts w:ascii="Arial" w:hAnsi="Arial" w:cs="Arial"/>
                <w:b/>
              </w:rPr>
              <w:t xml:space="preserve"> </w:t>
            </w:r>
            <w:proofErr w:type="spellStart"/>
            <w:r w:rsidRPr="009F41AA">
              <w:rPr>
                <w:rFonts w:ascii="Arial" w:hAnsi="Arial" w:cs="Arial"/>
                <w:b/>
              </w:rPr>
              <w:t>broj</w:t>
            </w:r>
            <w:proofErr w:type="spellEnd"/>
            <w:r w:rsidRPr="009F41AA">
              <w:rPr>
                <w:rFonts w:ascii="Arial" w:hAnsi="Arial" w:cs="Arial"/>
                <w:b/>
              </w:rPr>
              <w:t xml:space="preserve"> </w:t>
            </w:r>
            <w:proofErr w:type="spellStart"/>
            <w:r w:rsidRPr="009F41AA">
              <w:rPr>
                <w:rFonts w:ascii="Arial" w:hAnsi="Arial" w:cs="Arial"/>
                <w:b/>
              </w:rPr>
              <w:t>izvršilaca</w:t>
            </w:r>
            <w:proofErr w:type="spellEnd"/>
          </w:p>
        </w:tc>
      </w:tr>
      <w:tr w:rsidR="009F41AA" w:rsidRPr="009F41AA" w14:paraId="30434D27" w14:textId="77777777" w:rsidTr="0057133F">
        <w:tc>
          <w:tcPr>
            <w:tcW w:w="967" w:type="dxa"/>
            <w:shd w:val="clear" w:color="auto" w:fill="auto"/>
            <w:vAlign w:val="center"/>
          </w:tcPr>
          <w:p w14:paraId="77C2E2EF"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1.</w:t>
            </w:r>
          </w:p>
        </w:tc>
        <w:tc>
          <w:tcPr>
            <w:tcW w:w="5333" w:type="dxa"/>
            <w:shd w:val="clear" w:color="auto" w:fill="auto"/>
            <w:vAlign w:val="center"/>
          </w:tcPr>
          <w:p w14:paraId="0A88E603"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Upravnik</w:t>
            </w:r>
            <w:proofErr w:type="spellEnd"/>
            <w:r w:rsidRPr="007D617C">
              <w:rPr>
                <w:rFonts w:ascii="Arial" w:hAnsi="Arial" w:cs="Arial"/>
                <w:sz w:val="20"/>
                <w:szCs w:val="20"/>
              </w:rPr>
              <w:t xml:space="preserve"> </w:t>
            </w:r>
            <w:proofErr w:type="spellStart"/>
            <w:r w:rsidRPr="007D617C">
              <w:rPr>
                <w:rFonts w:ascii="Arial" w:hAnsi="Arial" w:cs="Arial"/>
                <w:sz w:val="20"/>
                <w:szCs w:val="20"/>
              </w:rPr>
              <w:t>kopa</w:t>
            </w:r>
            <w:proofErr w:type="spellEnd"/>
          </w:p>
        </w:tc>
        <w:tc>
          <w:tcPr>
            <w:tcW w:w="2047" w:type="dxa"/>
            <w:shd w:val="clear" w:color="auto" w:fill="FFFFFF"/>
            <w:vAlign w:val="center"/>
          </w:tcPr>
          <w:p w14:paraId="40ECA5E1"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VSS</w:t>
            </w:r>
          </w:p>
        </w:tc>
        <w:tc>
          <w:tcPr>
            <w:tcW w:w="1733" w:type="dxa"/>
            <w:shd w:val="clear" w:color="auto" w:fill="auto"/>
            <w:vAlign w:val="center"/>
          </w:tcPr>
          <w:p w14:paraId="51A489B2"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1</w:t>
            </w:r>
          </w:p>
        </w:tc>
      </w:tr>
      <w:tr w:rsidR="009F41AA" w:rsidRPr="009F41AA" w14:paraId="4293575F" w14:textId="77777777" w:rsidTr="0057133F">
        <w:tc>
          <w:tcPr>
            <w:tcW w:w="967" w:type="dxa"/>
            <w:shd w:val="clear" w:color="auto" w:fill="auto"/>
            <w:vAlign w:val="center"/>
          </w:tcPr>
          <w:p w14:paraId="20F3A2B1"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2.</w:t>
            </w:r>
          </w:p>
        </w:tc>
        <w:tc>
          <w:tcPr>
            <w:tcW w:w="5333" w:type="dxa"/>
            <w:shd w:val="clear" w:color="auto" w:fill="auto"/>
            <w:vAlign w:val="center"/>
          </w:tcPr>
          <w:p w14:paraId="3DB52BC1" w14:textId="77777777" w:rsidR="009F41AA" w:rsidRPr="007D617C" w:rsidRDefault="009F41AA" w:rsidP="009F41AA">
            <w:pPr>
              <w:spacing w:after="0"/>
              <w:rPr>
                <w:rFonts w:ascii="Arial" w:hAnsi="Arial" w:cs="Arial"/>
                <w:sz w:val="20"/>
                <w:szCs w:val="20"/>
                <w:lang w:val="sr-Latn-CS"/>
              </w:rPr>
            </w:pPr>
            <w:r w:rsidRPr="007D617C">
              <w:rPr>
                <w:rFonts w:ascii="Arial" w:hAnsi="Arial" w:cs="Arial"/>
                <w:sz w:val="20"/>
                <w:szCs w:val="20"/>
                <w:lang w:val="it-IT"/>
              </w:rPr>
              <w:t>In</w:t>
            </w:r>
            <w:r w:rsidRPr="007D617C">
              <w:rPr>
                <w:rFonts w:ascii="Arial" w:hAnsi="Arial" w:cs="Arial"/>
                <w:sz w:val="20"/>
                <w:szCs w:val="20"/>
                <w:lang w:val="sr-Latn-CS"/>
              </w:rPr>
              <w:t>ženjer za praćenje i razvoj</w:t>
            </w:r>
          </w:p>
        </w:tc>
        <w:tc>
          <w:tcPr>
            <w:tcW w:w="2047" w:type="dxa"/>
            <w:shd w:val="clear" w:color="auto" w:fill="FFFFFF"/>
            <w:vAlign w:val="center"/>
          </w:tcPr>
          <w:p w14:paraId="6A5C6194" w14:textId="77777777" w:rsidR="009F41AA" w:rsidRPr="007D617C" w:rsidRDefault="009F41AA" w:rsidP="009F41AA">
            <w:pPr>
              <w:spacing w:after="0"/>
              <w:jc w:val="center"/>
              <w:rPr>
                <w:rFonts w:ascii="Arial" w:hAnsi="Arial" w:cs="Arial"/>
                <w:sz w:val="20"/>
                <w:szCs w:val="20"/>
                <w:lang w:val="sr-Latn-CS"/>
              </w:rPr>
            </w:pPr>
            <w:r w:rsidRPr="007D617C">
              <w:rPr>
                <w:rFonts w:ascii="Arial" w:hAnsi="Arial" w:cs="Arial"/>
                <w:sz w:val="20"/>
                <w:szCs w:val="20"/>
                <w:lang w:val="sr-Latn-CS"/>
              </w:rPr>
              <w:t>VSS</w:t>
            </w:r>
          </w:p>
        </w:tc>
        <w:tc>
          <w:tcPr>
            <w:tcW w:w="1733" w:type="dxa"/>
            <w:shd w:val="clear" w:color="auto" w:fill="auto"/>
            <w:vAlign w:val="center"/>
          </w:tcPr>
          <w:p w14:paraId="75185C21"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1</w:t>
            </w:r>
          </w:p>
        </w:tc>
      </w:tr>
      <w:tr w:rsidR="009F41AA" w:rsidRPr="009F41AA" w14:paraId="72ED3BC0" w14:textId="77777777" w:rsidTr="0057133F">
        <w:tc>
          <w:tcPr>
            <w:tcW w:w="967" w:type="dxa"/>
            <w:shd w:val="clear" w:color="auto" w:fill="auto"/>
            <w:vAlign w:val="center"/>
          </w:tcPr>
          <w:p w14:paraId="298BBB3E"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3.</w:t>
            </w:r>
          </w:p>
        </w:tc>
        <w:tc>
          <w:tcPr>
            <w:tcW w:w="5333" w:type="dxa"/>
            <w:shd w:val="clear" w:color="auto" w:fill="auto"/>
            <w:vAlign w:val="center"/>
          </w:tcPr>
          <w:p w14:paraId="709B0A4B" w14:textId="77777777" w:rsidR="009F41AA" w:rsidRPr="007D617C" w:rsidRDefault="009F41AA" w:rsidP="009F41AA">
            <w:pPr>
              <w:spacing w:after="0"/>
              <w:rPr>
                <w:rFonts w:ascii="Arial" w:hAnsi="Arial" w:cs="Arial"/>
                <w:sz w:val="20"/>
                <w:szCs w:val="20"/>
                <w:lang w:val="it-IT"/>
              </w:rPr>
            </w:pPr>
            <w:r w:rsidRPr="007D617C">
              <w:rPr>
                <w:rFonts w:ascii="Arial" w:hAnsi="Arial" w:cs="Arial"/>
                <w:sz w:val="20"/>
                <w:szCs w:val="20"/>
                <w:lang w:val="it-IT"/>
              </w:rPr>
              <w:t>Inženjer za geološke poslove</w:t>
            </w:r>
          </w:p>
        </w:tc>
        <w:tc>
          <w:tcPr>
            <w:tcW w:w="2047" w:type="dxa"/>
            <w:shd w:val="clear" w:color="auto" w:fill="FFFFFF"/>
            <w:vAlign w:val="center"/>
          </w:tcPr>
          <w:p w14:paraId="06E6D81C"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VSS</w:t>
            </w:r>
          </w:p>
        </w:tc>
        <w:tc>
          <w:tcPr>
            <w:tcW w:w="1733" w:type="dxa"/>
            <w:shd w:val="clear" w:color="auto" w:fill="auto"/>
            <w:vAlign w:val="center"/>
          </w:tcPr>
          <w:p w14:paraId="60FD5D32"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1</w:t>
            </w:r>
          </w:p>
        </w:tc>
      </w:tr>
      <w:tr w:rsidR="009F41AA" w:rsidRPr="009F41AA" w14:paraId="10B5DCBC" w14:textId="77777777" w:rsidTr="0057133F">
        <w:tc>
          <w:tcPr>
            <w:tcW w:w="967" w:type="dxa"/>
            <w:shd w:val="clear" w:color="auto" w:fill="auto"/>
            <w:vAlign w:val="center"/>
          </w:tcPr>
          <w:p w14:paraId="121A26DE"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4.</w:t>
            </w:r>
          </w:p>
        </w:tc>
        <w:tc>
          <w:tcPr>
            <w:tcW w:w="5333" w:type="dxa"/>
            <w:shd w:val="clear" w:color="auto" w:fill="auto"/>
            <w:vAlign w:val="center"/>
          </w:tcPr>
          <w:p w14:paraId="1051DEB4"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Inženjer</w:t>
            </w:r>
            <w:proofErr w:type="spellEnd"/>
            <w:r w:rsidRPr="007D617C">
              <w:rPr>
                <w:rFonts w:ascii="Arial" w:hAnsi="Arial" w:cs="Arial"/>
                <w:sz w:val="20"/>
                <w:szCs w:val="20"/>
              </w:rPr>
              <w:t xml:space="preserve"> </w:t>
            </w:r>
            <w:proofErr w:type="spellStart"/>
            <w:r w:rsidRPr="007D617C">
              <w:rPr>
                <w:rFonts w:ascii="Arial" w:hAnsi="Arial" w:cs="Arial"/>
                <w:sz w:val="20"/>
                <w:szCs w:val="20"/>
              </w:rPr>
              <w:t>za</w:t>
            </w:r>
            <w:proofErr w:type="spellEnd"/>
            <w:r w:rsidRPr="007D617C">
              <w:rPr>
                <w:rFonts w:ascii="Arial" w:hAnsi="Arial" w:cs="Arial"/>
                <w:sz w:val="20"/>
                <w:szCs w:val="20"/>
              </w:rPr>
              <w:t xml:space="preserve"> </w:t>
            </w:r>
            <w:proofErr w:type="spellStart"/>
            <w:r w:rsidRPr="007D617C">
              <w:rPr>
                <w:rFonts w:ascii="Arial" w:hAnsi="Arial" w:cs="Arial"/>
                <w:sz w:val="20"/>
                <w:szCs w:val="20"/>
              </w:rPr>
              <w:t>mašinsko</w:t>
            </w:r>
            <w:proofErr w:type="spellEnd"/>
            <w:r w:rsidRPr="007D617C">
              <w:rPr>
                <w:rFonts w:ascii="Arial" w:hAnsi="Arial" w:cs="Arial"/>
                <w:sz w:val="20"/>
                <w:szCs w:val="20"/>
              </w:rPr>
              <w:t xml:space="preserve"> </w:t>
            </w:r>
            <w:proofErr w:type="spellStart"/>
            <w:r w:rsidRPr="007D617C">
              <w:rPr>
                <w:rFonts w:ascii="Arial" w:hAnsi="Arial" w:cs="Arial"/>
                <w:sz w:val="20"/>
                <w:szCs w:val="20"/>
              </w:rPr>
              <w:t>i</w:t>
            </w:r>
            <w:proofErr w:type="spellEnd"/>
            <w:r w:rsidRPr="007D617C">
              <w:rPr>
                <w:rFonts w:ascii="Arial" w:hAnsi="Arial" w:cs="Arial"/>
                <w:sz w:val="20"/>
                <w:szCs w:val="20"/>
              </w:rPr>
              <w:t xml:space="preserve"> </w:t>
            </w:r>
            <w:proofErr w:type="spellStart"/>
            <w:r w:rsidRPr="007D617C">
              <w:rPr>
                <w:rFonts w:ascii="Arial" w:hAnsi="Arial" w:cs="Arial"/>
                <w:sz w:val="20"/>
                <w:szCs w:val="20"/>
              </w:rPr>
              <w:t>elektro</w:t>
            </w:r>
            <w:proofErr w:type="spellEnd"/>
            <w:r w:rsidRPr="007D617C">
              <w:rPr>
                <w:rFonts w:ascii="Arial" w:hAnsi="Arial" w:cs="Arial"/>
                <w:sz w:val="20"/>
                <w:szCs w:val="20"/>
              </w:rPr>
              <w:t xml:space="preserve"> </w:t>
            </w:r>
            <w:proofErr w:type="spellStart"/>
            <w:r w:rsidRPr="007D617C">
              <w:rPr>
                <w:rFonts w:ascii="Arial" w:hAnsi="Arial" w:cs="Arial"/>
                <w:sz w:val="20"/>
                <w:szCs w:val="20"/>
              </w:rPr>
              <w:t>održavanje</w:t>
            </w:r>
            <w:proofErr w:type="spellEnd"/>
          </w:p>
        </w:tc>
        <w:tc>
          <w:tcPr>
            <w:tcW w:w="2047" w:type="dxa"/>
            <w:shd w:val="clear" w:color="auto" w:fill="FFFFFF"/>
            <w:vAlign w:val="center"/>
          </w:tcPr>
          <w:p w14:paraId="2FD960E1"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VSS</w:t>
            </w:r>
          </w:p>
        </w:tc>
        <w:tc>
          <w:tcPr>
            <w:tcW w:w="1733" w:type="dxa"/>
            <w:shd w:val="clear" w:color="auto" w:fill="auto"/>
            <w:vAlign w:val="center"/>
          </w:tcPr>
          <w:p w14:paraId="41666823"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1</w:t>
            </w:r>
          </w:p>
        </w:tc>
      </w:tr>
      <w:tr w:rsidR="009F41AA" w:rsidRPr="009F41AA" w14:paraId="28C9CC3D" w14:textId="77777777" w:rsidTr="0057133F">
        <w:tc>
          <w:tcPr>
            <w:tcW w:w="967" w:type="dxa"/>
            <w:shd w:val="clear" w:color="auto" w:fill="auto"/>
            <w:vAlign w:val="center"/>
          </w:tcPr>
          <w:p w14:paraId="2BE1DFDB"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5.</w:t>
            </w:r>
          </w:p>
        </w:tc>
        <w:tc>
          <w:tcPr>
            <w:tcW w:w="5333" w:type="dxa"/>
            <w:shd w:val="clear" w:color="auto" w:fill="auto"/>
            <w:vAlign w:val="center"/>
          </w:tcPr>
          <w:p w14:paraId="135599F2" w14:textId="77777777" w:rsidR="009F41AA" w:rsidRPr="007D617C" w:rsidRDefault="009F41AA" w:rsidP="009F41AA">
            <w:pPr>
              <w:spacing w:after="0"/>
              <w:rPr>
                <w:rFonts w:ascii="Arial" w:hAnsi="Arial" w:cs="Arial"/>
                <w:sz w:val="20"/>
                <w:szCs w:val="20"/>
                <w:lang w:val="it-IT"/>
              </w:rPr>
            </w:pPr>
            <w:r w:rsidRPr="007D617C">
              <w:rPr>
                <w:rFonts w:ascii="Arial" w:hAnsi="Arial" w:cs="Arial"/>
                <w:sz w:val="20"/>
                <w:szCs w:val="20"/>
                <w:lang w:val="it-IT"/>
              </w:rPr>
              <w:t>Inženjer zaštite na radu</w:t>
            </w:r>
          </w:p>
        </w:tc>
        <w:tc>
          <w:tcPr>
            <w:tcW w:w="2047" w:type="dxa"/>
            <w:shd w:val="clear" w:color="auto" w:fill="FFFFFF"/>
            <w:vAlign w:val="center"/>
          </w:tcPr>
          <w:p w14:paraId="55FF9408"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VSS</w:t>
            </w:r>
          </w:p>
        </w:tc>
        <w:tc>
          <w:tcPr>
            <w:tcW w:w="1733" w:type="dxa"/>
            <w:shd w:val="clear" w:color="auto" w:fill="auto"/>
            <w:vAlign w:val="center"/>
          </w:tcPr>
          <w:p w14:paraId="48DEDCCF"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1</w:t>
            </w:r>
          </w:p>
        </w:tc>
      </w:tr>
      <w:tr w:rsidR="009F41AA" w:rsidRPr="009F41AA" w14:paraId="627873C4" w14:textId="77777777" w:rsidTr="0057133F">
        <w:tc>
          <w:tcPr>
            <w:tcW w:w="967" w:type="dxa"/>
            <w:shd w:val="clear" w:color="auto" w:fill="auto"/>
            <w:vAlign w:val="center"/>
          </w:tcPr>
          <w:p w14:paraId="60AD0E3C"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6.</w:t>
            </w:r>
          </w:p>
        </w:tc>
        <w:tc>
          <w:tcPr>
            <w:tcW w:w="5333" w:type="dxa"/>
            <w:shd w:val="clear" w:color="auto" w:fill="auto"/>
            <w:vAlign w:val="center"/>
          </w:tcPr>
          <w:p w14:paraId="6A07F7F9"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Tehničar</w:t>
            </w:r>
            <w:proofErr w:type="spellEnd"/>
            <w:r w:rsidRPr="007D617C">
              <w:rPr>
                <w:rFonts w:ascii="Arial" w:hAnsi="Arial" w:cs="Arial"/>
                <w:sz w:val="20"/>
                <w:szCs w:val="20"/>
              </w:rPr>
              <w:t xml:space="preserve"> </w:t>
            </w:r>
            <w:proofErr w:type="spellStart"/>
            <w:r w:rsidRPr="007D617C">
              <w:rPr>
                <w:rFonts w:ascii="Arial" w:hAnsi="Arial" w:cs="Arial"/>
                <w:sz w:val="20"/>
                <w:szCs w:val="20"/>
              </w:rPr>
              <w:t>za</w:t>
            </w:r>
            <w:proofErr w:type="spellEnd"/>
            <w:r w:rsidRPr="007D617C">
              <w:rPr>
                <w:rFonts w:ascii="Arial" w:hAnsi="Arial" w:cs="Arial"/>
                <w:sz w:val="20"/>
                <w:szCs w:val="20"/>
              </w:rPr>
              <w:t xml:space="preserve"> </w:t>
            </w:r>
            <w:proofErr w:type="spellStart"/>
            <w:r w:rsidRPr="007D617C">
              <w:rPr>
                <w:rFonts w:ascii="Arial" w:hAnsi="Arial" w:cs="Arial"/>
                <w:sz w:val="20"/>
                <w:szCs w:val="20"/>
              </w:rPr>
              <w:t>praćenje</w:t>
            </w:r>
            <w:proofErr w:type="spellEnd"/>
            <w:r w:rsidRPr="007D617C">
              <w:rPr>
                <w:rFonts w:ascii="Arial" w:hAnsi="Arial" w:cs="Arial"/>
                <w:sz w:val="20"/>
                <w:szCs w:val="20"/>
              </w:rPr>
              <w:t xml:space="preserve"> </w:t>
            </w:r>
            <w:proofErr w:type="spellStart"/>
            <w:r w:rsidRPr="007D617C">
              <w:rPr>
                <w:rFonts w:ascii="Arial" w:hAnsi="Arial" w:cs="Arial"/>
                <w:sz w:val="20"/>
                <w:szCs w:val="20"/>
              </w:rPr>
              <w:t>i</w:t>
            </w:r>
            <w:proofErr w:type="spellEnd"/>
            <w:r w:rsidRPr="007D617C">
              <w:rPr>
                <w:rFonts w:ascii="Arial" w:hAnsi="Arial" w:cs="Arial"/>
                <w:sz w:val="20"/>
                <w:szCs w:val="20"/>
              </w:rPr>
              <w:t xml:space="preserve"> </w:t>
            </w:r>
            <w:proofErr w:type="spellStart"/>
            <w:r w:rsidRPr="007D617C">
              <w:rPr>
                <w:rFonts w:ascii="Arial" w:hAnsi="Arial" w:cs="Arial"/>
                <w:sz w:val="20"/>
                <w:szCs w:val="20"/>
              </w:rPr>
              <w:t>obradu</w:t>
            </w:r>
            <w:proofErr w:type="spellEnd"/>
            <w:r w:rsidRPr="007D617C">
              <w:rPr>
                <w:rFonts w:ascii="Arial" w:hAnsi="Arial" w:cs="Arial"/>
                <w:sz w:val="20"/>
                <w:szCs w:val="20"/>
              </w:rPr>
              <w:t xml:space="preserve"> </w:t>
            </w:r>
            <w:proofErr w:type="spellStart"/>
            <w:r w:rsidRPr="007D617C">
              <w:rPr>
                <w:rFonts w:ascii="Arial" w:hAnsi="Arial" w:cs="Arial"/>
                <w:sz w:val="20"/>
                <w:szCs w:val="20"/>
              </w:rPr>
              <w:t>podataka</w:t>
            </w:r>
            <w:proofErr w:type="spellEnd"/>
          </w:p>
        </w:tc>
        <w:tc>
          <w:tcPr>
            <w:tcW w:w="2047" w:type="dxa"/>
            <w:shd w:val="clear" w:color="auto" w:fill="FFFFFF"/>
            <w:vAlign w:val="center"/>
          </w:tcPr>
          <w:p w14:paraId="4EC1060A"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SSS</w:t>
            </w:r>
          </w:p>
        </w:tc>
        <w:tc>
          <w:tcPr>
            <w:tcW w:w="1733" w:type="dxa"/>
            <w:shd w:val="clear" w:color="auto" w:fill="auto"/>
            <w:vAlign w:val="center"/>
          </w:tcPr>
          <w:p w14:paraId="5E118DC4"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2</w:t>
            </w:r>
          </w:p>
        </w:tc>
      </w:tr>
      <w:tr w:rsidR="009F41AA" w:rsidRPr="009F41AA" w14:paraId="4A47A009" w14:textId="77777777" w:rsidTr="0057133F">
        <w:tc>
          <w:tcPr>
            <w:tcW w:w="967" w:type="dxa"/>
            <w:shd w:val="clear" w:color="auto" w:fill="auto"/>
            <w:vAlign w:val="center"/>
          </w:tcPr>
          <w:p w14:paraId="41FDFEB2"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7.</w:t>
            </w:r>
          </w:p>
        </w:tc>
        <w:tc>
          <w:tcPr>
            <w:tcW w:w="5333" w:type="dxa"/>
            <w:shd w:val="clear" w:color="auto" w:fill="auto"/>
            <w:vAlign w:val="center"/>
          </w:tcPr>
          <w:p w14:paraId="4820B9FF" w14:textId="77777777" w:rsidR="009F41AA" w:rsidRPr="007D617C" w:rsidRDefault="009F41AA" w:rsidP="009F41AA">
            <w:pPr>
              <w:spacing w:after="0"/>
              <w:rPr>
                <w:rFonts w:ascii="Arial" w:hAnsi="Arial" w:cs="Arial"/>
                <w:sz w:val="20"/>
                <w:szCs w:val="20"/>
                <w:lang w:val="it-IT"/>
              </w:rPr>
            </w:pPr>
            <w:r w:rsidRPr="007D617C">
              <w:rPr>
                <w:rFonts w:ascii="Arial" w:hAnsi="Arial" w:cs="Arial"/>
                <w:sz w:val="20"/>
                <w:szCs w:val="20"/>
                <w:lang w:val="it-IT"/>
              </w:rPr>
              <w:t>Tehničar za geodetske poslove</w:t>
            </w:r>
          </w:p>
        </w:tc>
        <w:tc>
          <w:tcPr>
            <w:tcW w:w="2047" w:type="dxa"/>
            <w:shd w:val="clear" w:color="auto" w:fill="FFFFFF"/>
            <w:vAlign w:val="center"/>
          </w:tcPr>
          <w:p w14:paraId="2A8C427B"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SSS</w:t>
            </w:r>
          </w:p>
        </w:tc>
        <w:tc>
          <w:tcPr>
            <w:tcW w:w="1733" w:type="dxa"/>
            <w:shd w:val="clear" w:color="auto" w:fill="auto"/>
            <w:vAlign w:val="center"/>
          </w:tcPr>
          <w:p w14:paraId="61DF302A"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1</w:t>
            </w:r>
          </w:p>
        </w:tc>
      </w:tr>
      <w:tr w:rsidR="009F41AA" w:rsidRPr="009F41AA" w14:paraId="2D6F817E" w14:textId="77777777" w:rsidTr="0057133F">
        <w:tc>
          <w:tcPr>
            <w:tcW w:w="967" w:type="dxa"/>
            <w:shd w:val="clear" w:color="auto" w:fill="auto"/>
            <w:vAlign w:val="center"/>
          </w:tcPr>
          <w:p w14:paraId="38D35EE0"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8.</w:t>
            </w:r>
          </w:p>
        </w:tc>
        <w:tc>
          <w:tcPr>
            <w:tcW w:w="5333" w:type="dxa"/>
            <w:shd w:val="clear" w:color="auto" w:fill="auto"/>
            <w:vAlign w:val="center"/>
          </w:tcPr>
          <w:p w14:paraId="1FEB768B" w14:textId="77777777" w:rsidR="009F41AA" w:rsidRPr="007D617C" w:rsidRDefault="009F41AA" w:rsidP="009F41AA">
            <w:pPr>
              <w:spacing w:after="0"/>
              <w:rPr>
                <w:rFonts w:ascii="Arial" w:hAnsi="Arial" w:cs="Arial"/>
                <w:sz w:val="20"/>
                <w:szCs w:val="20"/>
                <w:lang w:val="it-IT"/>
              </w:rPr>
            </w:pPr>
            <w:r w:rsidRPr="007D617C">
              <w:rPr>
                <w:rFonts w:ascii="Arial" w:hAnsi="Arial" w:cs="Arial"/>
                <w:sz w:val="20"/>
                <w:szCs w:val="20"/>
                <w:lang w:val="it-IT"/>
              </w:rPr>
              <w:t>Tehničar zaštite na radu</w:t>
            </w:r>
          </w:p>
        </w:tc>
        <w:tc>
          <w:tcPr>
            <w:tcW w:w="2047" w:type="dxa"/>
            <w:shd w:val="clear" w:color="auto" w:fill="FFFFFF"/>
            <w:vAlign w:val="center"/>
          </w:tcPr>
          <w:p w14:paraId="272F6AB2"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SSS</w:t>
            </w:r>
          </w:p>
        </w:tc>
        <w:tc>
          <w:tcPr>
            <w:tcW w:w="1733" w:type="dxa"/>
            <w:shd w:val="clear" w:color="auto" w:fill="auto"/>
            <w:vAlign w:val="center"/>
          </w:tcPr>
          <w:p w14:paraId="611CEAFB"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1</w:t>
            </w:r>
          </w:p>
        </w:tc>
      </w:tr>
      <w:tr w:rsidR="009F41AA" w:rsidRPr="009F41AA" w14:paraId="07A6EFFE" w14:textId="77777777" w:rsidTr="0057133F">
        <w:tc>
          <w:tcPr>
            <w:tcW w:w="967" w:type="dxa"/>
            <w:shd w:val="clear" w:color="auto" w:fill="auto"/>
            <w:vAlign w:val="center"/>
          </w:tcPr>
          <w:p w14:paraId="29C77E3D"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9.</w:t>
            </w:r>
          </w:p>
        </w:tc>
        <w:tc>
          <w:tcPr>
            <w:tcW w:w="5333" w:type="dxa"/>
            <w:shd w:val="clear" w:color="auto" w:fill="auto"/>
            <w:vAlign w:val="center"/>
          </w:tcPr>
          <w:p w14:paraId="6542BE3A" w14:textId="77777777" w:rsidR="009F41AA" w:rsidRPr="007D617C" w:rsidRDefault="009F41AA" w:rsidP="009F41AA">
            <w:pPr>
              <w:spacing w:after="0"/>
              <w:rPr>
                <w:rFonts w:ascii="Arial" w:hAnsi="Arial" w:cs="Arial"/>
                <w:sz w:val="20"/>
                <w:szCs w:val="20"/>
                <w:lang w:val="it-IT"/>
              </w:rPr>
            </w:pPr>
            <w:r w:rsidRPr="007D617C">
              <w:rPr>
                <w:rFonts w:ascii="Arial" w:hAnsi="Arial" w:cs="Arial"/>
                <w:sz w:val="20"/>
                <w:szCs w:val="20"/>
                <w:lang w:val="it-IT"/>
              </w:rPr>
              <w:t>Referent za ekonomske i finansijske poslove</w:t>
            </w:r>
          </w:p>
        </w:tc>
        <w:tc>
          <w:tcPr>
            <w:tcW w:w="2047" w:type="dxa"/>
            <w:shd w:val="clear" w:color="auto" w:fill="FFFFFF"/>
            <w:vAlign w:val="center"/>
          </w:tcPr>
          <w:p w14:paraId="4C88AFA1"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VSS</w:t>
            </w:r>
          </w:p>
        </w:tc>
        <w:tc>
          <w:tcPr>
            <w:tcW w:w="1733" w:type="dxa"/>
            <w:shd w:val="clear" w:color="auto" w:fill="auto"/>
            <w:vAlign w:val="center"/>
          </w:tcPr>
          <w:p w14:paraId="32C6974B"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2</w:t>
            </w:r>
          </w:p>
        </w:tc>
      </w:tr>
      <w:tr w:rsidR="009F41AA" w:rsidRPr="009F41AA" w14:paraId="4276E9FE" w14:textId="77777777" w:rsidTr="0057133F">
        <w:tc>
          <w:tcPr>
            <w:tcW w:w="967" w:type="dxa"/>
            <w:shd w:val="clear" w:color="auto" w:fill="auto"/>
            <w:vAlign w:val="center"/>
          </w:tcPr>
          <w:p w14:paraId="2A518B49"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10.</w:t>
            </w:r>
          </w:p>
        </w:tc>
        <w:tc>
          <w:tcPr>
            <w:tcW w:w="5333" w:type="dxa"/>
            <w:shd w:val="clear" w:color="auto" w:fill="auto"/>
            <w:vAlign w:val="center"/>
          </w:tcPr>
          <w:p w14:paraId="15594936" w14:textId="77777777" w:rsidR="009F41AA" w:rsidRPr="007D617C" w:rsidRDefault="009F41AA" w:rsidP="009F41AA">
            <w:pPr>
              <w:spacing w:after="0"/>
              <w:rPr>
                <w:rFonts w:ascii="Arial" w:hAnsi="Arial" w:cs="Arial"/>
                <w:sz w:val="20"/>
                <w:szCs w:val="20"/>
                <w:lang w:val="it-IT"/>
              </w:rPr>
            </w:pPr>
            <w:r w:rsidRPr="007D617C">
              <w:rPr>
                <w:rFonts w:ascii="Arial" w:hAnsi="Arial" w:cs="Arial"/>
                <w:sz w:val="20"/>
                <w:szCs w:val="20"/>
                <w:lang w:val="it-IT"/>
              </w:rPr>
              <w:t>Ekonomski tehničar</w:t>
            </w:r>
          </w:p>
        </w:tc>
        <w:tc>
          <w:tcPr>
            <w:tcW w:w="2047" w:type="dxa"/>
            <w:shd w:val="clear" w:color="auto" w:fill="FFFFFF"/>
            <w:vAlign w:val="center"/>
          </w:tcPr>
          <w:p w14:paraId="1D5A605B"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SSS</w:t>
            </w:r>
          </w:p>
        </w:tc>
        <w:tc>
          <w:tcPr>
            <w:tcW w:w="1733" w:type="dxa"/>
            <w:shd w:val="clear" w:color="auto" w:fill="auto"/>
            <w:vAlign w:val="center"/>
          </w:tcPr>
          <w:p w14:paraId="2F2F3E54"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2</w:t>
            </w:r>
          </w:p>
        </w:tc>
      </w:tr>
      <w:tr w:rsidR="009F41AA" w:rsidRPr="009F41AA" w14:paraId="2559BBB1" w14:textId="77777777" w:rsidTr="0057133F">
        <w:tc>
          <w:tcPr>
            <w:tcW w:w="967" w:type="dxa"/>
            <w:shd w:val="clear" w:color="auto" w:fill="auto"/>
            <w:vAlign w:val="center"/>
          </w:tcPr>
          <w:p w14:paraId="66FB8811"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11.</w:t>
            </w:r>
          </w:p>
        </w:tc>
        <w:tc>
          <w:tcPr>
            <w:tcW w:w="5333" w:type="dxa"/>
            <w:shd w:val="clear" w:color="auto" w:fill="auto"/>
            <w:vAlign w:val="center"/>
          </w:tcPr>
          <w:p w14:paraId="5A9FE95D" w14:textId="77777777" w:rsidR="009F41AA" w:rsidRPr="007D617C" w:rsidRDefault="009F41AA" w:rsidP="009F41AA">
            <w:pPr>
              <w:spacing w:after="0"/>
              <w:rPr>
                <w:rFonts w:ascii="Arial" w:hAnsi="Arial" w:cs="Arial"/>
                <w:sz w:val="20"/>
                <w:szCs w:val="20"/>
                <w:lang w:val="it-IT"/>
              </w:rPr>
            </w:pPr>
            <w:r w:rsidRPr="007D617C">
              <w:rPr>
                <w:rFonts w:ascii="Arial" w:hAnsi="Arial" w:cs="Arial"/>
                <w:sz w:val="20"/>
                <w:szCs w:val="20"/>
                <w:lang w:val="it-IT"/>
              </w:rPr>
              <w:t>Referent za pravne poslove</w:t>
            </w:r>
          </w:p>
        </w:tc>
        <w:tc>
          <w:tcPr>
            <w:tcW w:w="2047" w:type="dxa"/>
            <w:shd w:val="clear" w:color="auto" w:fill="FFFFFF"/>
            <w:vAlign w:val="center"/>
          </w:tcPr>
          <w:p w14:paraId="43C871EC"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VSS</w:t>
            </w:r>
          </w:p>
        </w:tc>
        <w:tc>
          <w:tcPr>
            <w:tcW w:w="1733" w:type="dxa"/>
            <w:shd w:val="clear" w:color="auto" w:fill="auto"/>
            <w:vAlign w:val="center"/>
          </w:tcPr>
          <w:p w14:paraId="7BC73C1A"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1</w:t>
            </w:r>
          </w:p>
        </w:tc>
      </w:tr>
      <w:tr w:rsidR="009F41AA" w:rsidRPr="009F41AA" w14:paraId="20D730AB" w14:textId="77777777" w:rsidTr="0057133F">
        <w:tc>
          <w:tcPr>
            <w:tcW w:w="967" w:type="dxa"/>
            <w:shd w:val="clear" w:color="auto" w:fill="auto"/>
            <w:vAlign w:val="center"/>
          </w:tcPr>
          <w:p w14:paraId="7E822DB8"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12.</w:t>
            </w:r>
          </w:p>
        </w:tc>
        <w:tc>
          <w:tcPr>
            <w:tcW w:w="5333" w:type="dxa"/>
            <w:shd w:val="clear" w:color="auto" w:fill="auto"/>
            <w:vAlign w:val="center"/>
          </w:tcPr>
          <w:p w14:paraId="6320E36D" w14:textId="77777777" w:rsidR="009F41AA" w:rsidRPr="007D617C" w:rsidRDefault="009F41AA" w:rsidP="009F41AA">
            <w:pPr>
              <w:spacing w:after="0"/>
              <w:rPr>
                <w:rFonts w:ascii="Arial" w:hAnsi="Arial" w:cs="Arial"/>
                <w:sz w:val="20"/>
                <w:szCs w:val="20"/>
                <w:lang w:val="it-IT"/>
              </w:rPr>
            </w:pPr>
            <w:r w:rsidRPr="007D617C">
              <w:rPr>
                <w:rFonts w:ascii="Arial" w:hAnsi="Arial" w:cs="Arial"/>
                <w:sz w:val="20"/>
                <w:szCs w:val="20"/>
                <w:lang w:val="it-IT"/>
              </w:rPr>
              <w:t>Kontrola kvaliteta uglja i zaštita okoline</w:t>
            </w:r>
          </w:p>
        </w:tc>
        <w:tc>
          <w:tcPr>
            <w:tcW w:w="2047" w:type="dxa"/>
            <w:shd w:val="clear" w:color="auto" w:fill="FFFFFF"/>
            <w:vAlign w:val="center"/>
          </w:tcPr>
          <w:p w14:paraId="7FC1C8E6"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SSS</w:t>
            </w:r>
          </w:p>
        </w:tc>
        <w:tc>
          <w:tcPr>
            <w:tcW w:w="1733" w:type="dxa"/>
            <w:shd w:val="clear" w:color="auto" w:fill="auto"/>
            <w:vAlign w:val="center"/>
          </w:tcPr>
          <w:p w14:paraId="48452CDF" w14:textId="77777777" w:rsidR="009F41AA" w:rsidRPr="007D617C" w:rsidRDefault="009F41AA" w:rsidP="009F41AA">
            <w:pPr>
              <w:spacing w:after="0"/>
              <w:jc w:val="center"/>
              <w:rPr>
                <w:rFonts w:ascii="Arial" w:hAnsi="Arial" w:cs="Arial"/>
                <w:sz w:val="20"/>
                <w:szCs w:val="20"/>
                <w:lang w:val="it-IT"/>
              </w:rPr>
            </w:pPr>
            <w:r w:rsidRPr="007D617C">
              <w:rPr>
                <w:rFonts w:ascii="Arial" w:hAnsi="Arial" w:cs="Arial"/>
                <w:sz w:val="20"/>
                <w:szCs w:val="20"/>
                <w:lang w:val="it-IT"/>
              </w:rPr>
              <w:t>4</w:t>
            </w:r>
          </w:p>
        </w:tc>
      </w:tr>
      <w:tr w:rsidR="009F41AA" w:rsidRPr="009F41AA" w14:paraId="1E6D0CED" w14:textId="77777777" w:rsidTr="0057133F">
        <w:tc>
          <w:tcPr>
            <w:tcW w:w="967" w:type="dxa"/>
            <w:shd w:val="clear" w:color="auto" w:fill="auto"/>
            <w:vAlign w:val="center"/>
          </w:tcPr>
          <w:p w14:paraId="7A72D8CC"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13.</w:t>
            </w:r>
          </w:p>
        </w:tc>
        <w:tc>
          <w:tcPr>
            <w:tcW w:w="5333" w:type="dxa"/>
            <w:shd w:val="clear" w:color="auto" w:fill="auto"/>
            <w:vAlign w:val="center"/>
          </w:tcPr>
          <w:p w14:paraId="22F411A8"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Poslovođa</w:t>
            </w:r>
            <w:proofErr w:type="spellEnd"/>
          </w:p>
        </w:tc>
        <w:tc>
          <w:tcPr>
            <w:tcW w:w="2047" w:type="dxa"/>
            <w:shd w:val="clear" w:color="auto" w:fill="auto"/>
            <w:vAlign w:val="center"/>
          </w:tcPr>
          <w:p w14:paraId="08562424"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SSS</w:t>
            </w:r>
          </w:p>
        </w:tc>
        <w:tc>
          <w:tcPr>
            <w:tcW w:w="1733" w:type="dxa"/>
            <w:shd w:val="clear" w:color="auto" w:fill="auto"/>
            <w:vAlign w:val="center"/>
          </w:tcPr>
          <w:p w14:paraId="6BB51ED7"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2</w:t>
            </w:r>
          </w:p>
        </w:tc>
      </w:tr>
      <w:tr w:rsidR="009F41AA" w:rsidRPr="009F41AA" w14:paraId="3D4948AE" w14:textId="77777777" w:rsidTr="0057133F">
        <w:tc>
          <w:tcPr>
            <w:tcW w:w="967" w:type="dxa"/>
            <w:shd w:val="clear" w:color="auto" w:fill="auto"/>
            <w:vAlign w:val="center"/>
          </w:tcPr>
          <w:p w14:paraId="5895AC73"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14.</w:t>
            </w:r>
          </w:p>
        </w:tc>
        <w:tc>
          <w:tcPr>
            <w:tcW w:w="5333" w:type="dxa"/>
            <w:shd w:val="clear" w:color="auto" w:fill="auto"/>
            <w:vAlign w:val="center"/>
          </w:tcPr>
          <w:p w14:paraId="01059524"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Smjenski</w:t>
            </w:r>
            <w:proofErr w:type="spellEnd"/>
            <w:r w:rsidRPr="007D617C">
              <w:rPr>
                <w:rFonts w:ascii="Arial" w:hAnsi="Arial" w:cs="Arial"/>
                <w:sz w:val="20"/>
                <w:szCs w:val="20"/>
              </w:rPr>
              <w:t xml:space="preserve"> </w:t>
            </w:r>
            <w:proofErr w:type="spellStart"/>
            <w:r w:rsidRPr="007D617C">
              <w:rPr>
                <w:rFonts w:ascii="Arial" w:hAnsi="Arial" w:cs="Arial"/>
                <w:sz w:val="20"/>
                <w:szCs w:val="20"/>
              </w:rPr>
              <w:t>nadzornik</w:t>
            </w:r>
            <w:proofErr w:type="spellEnd"/>
          </w:p>
        </w:tc>
        <w:tc>
          <w:tcPr>
            <w:tcW w:w="2047" w:type="dxa"/>
            <w:shd w:val="clear" w:color="auto" w:fill="auto"/>
            <w:vAlign w:val="center"/>
          </w:tcPr>
          <w:p w14:paraId="4E3745FE"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SSS</w:t>
            </w:r>
          </w:p>
        </w:tc>
        <w:tc>
          <w:tcPr>
            <w:tcW w:w="1733" w:type="dxa"/>
            <w:shd w:val="clear" w:color="auto" w:fill="auto"/>
            <w:vAlign w:val="center"/>
          </w:tcPr>
          <w:p w14:paraId="3984F8CB"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3</w:t>
            </w:r>
          </w:p>
        </w:tc>
      </w:tr>
      <w:tr w:rsidR="009F41AA" w:rsidRPr="009F41AA" w14:paraId="4582D5FA" w14:textId="77777777" w:rsidTr="0057133F">
        <w:tc>
          <w:tcPr>
            <w:tcW w:w="967" w:type="dxa"/>
            <w:shd w:val="clear" w:color="auto" w:fill="auto"/>
            <w:vAlign w:val="center"/>
          </w:tcPr>
          <w:p w14:paraId="3F76193F"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15.</w:t>
            </w:r>
          </w:p>
        </w:tc>
        <w:tc>
          <w:tcPr>
            <w:tcW w:w="5333" w:type="dxa"/>
            <w:shd w:val="clear" w:color="auto" w:fill="auto"/>
            <w:vAlign w:val="center"/>
          </w:tcPr>
          <w:p w14:paraId="30B35E27"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Rukovaoc</w:t>
            </w:r>
            <w:proofErr w:type="spellEnd"/>
            <w:r w:rsidRPr="007D617C">
              <w:rPr>
                <w:rFonts w:ascii="Arial" w:hAnsi="Arial" w:cs="Arial"/>
                <w:sz w:val="20"/>
                <w:szCs w:val="20"/>
              </w:rPr>
              <w:t xml:space="preserve"> </w:t>
            </w:r>
            <w:proofErr w:type="spellStart"/>
            <w:r w:rsidRPr="007D617C">
              <w:rPr>
                <w:rFonts w:ascii="Arial" w:hAnsi="Arial" w:cs="Arial"/>
                <w:sz w:val="20"/>
                <w:szCs w:val="20"/>
              </w:rPr>
              <w:t>hidrauličnog</w:t>
            </w:r>
            <w:proofErr w:type="spellEnd"/>
            <w:r w:rsidRPr="007D617C">
              <w:rPr>
                <w:rFonts w:ascii="Arial" w:hAnsi="Arial" w:cs="Arial"/>
                <w:sz w:val="20"/>
                <w:szCs w:val="20"/>
              </w:rPr>
              <w:t xml:space="preserve"> </w:t>
            </w:r>
            <w:proofErr w:type="spellStart"/>
            <w:r w:rsidRPr="007D617C">
              <w:rPr>
                <w:rFonts w:ascii="Arial" w:hAnsi="Arial" w:cs="Arial"/>
                <w:sz w:val="20"/>
                <w:szCs w:val="20"/>
              </w:rPr>
              <w:t>bagera</w:t>
            </w:r>
            <w:proofErr w:type="spellEnd"/>
          </w:p>
        </w:tc>
        <w:tc>
          <w:tcPr>
            <w:tcW w:w="2047" w:type="dxa"/>
            <w:shd w:val="clear" w:color="auto" w:fill="auto"/>
            <w:vAlign w:val="center"/>
          </w:tcPr>
          <w:p w14:paraId="6C2FD6F5"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VKV</w:t>
            </w:r>
          </w:p>
        </w:tc>
        <w:tc>
          <w:tcPr>
            <w:tcW w:w="1733" w:type="dxa"/>
            <w:shd w:val="clear" w:color="auto" w:fill="auto"/>
            <w:vAlign w:val="center"/>
          </w:tcPr>
          <w:p w14:paraId="02565837"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8</w:t>
            </w:r>
          </w:p>
        </w:tc>
      </w:tr>
      <w:tr w:rsidR="009F41AA" w:rsidRPr="009F41AA" w14:paraId="2A2E3CE6" w14:textId="77777777" w:rsidTr="0057133F">
        <w:tc>
          <w:tcPr>
            <w:tcW w:w="967" w:type="dxa"/>
            <w:shd w:val="clear" w:color="auto" w:fill="auto"/>
            <w:vAlign w:val="center"/>
          </w:tcPr>
          <w:p w14:paraId="4757A0CD"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16.</w:t>
            </w:r>
          </w:p>
        </w:tc>
        <w:tc>
          <w:tcPr>
            <w:tcW w:w="5333" w:type="dxa"/>
            <w:shd w:val="clear" w:color="auto" w:fill="auto"/>
            <w:vAlign w:val="center"/>
          </w:tcPr>
          <w:p w14:paraId="07C0C62C"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Pomoćnik</w:t>
            </w:r>
            <w:proofErr w:type="spellEnd"/>
            <w:r w:rsidRPr="007D617C">
              <w:rPr>
                <w:rFonts w:ascii="Arial" w:hAnsi="Arial" w:cs="Arial"/>
                <w:sz w:val="20"/>
                <w:szCs w:val="20"/>
              </w:rPr>
              <w:t xml:space="preserve"> </w:t>
            </w:r>
            <w:proofErr w:type="spellStart"/>
            <w:r w:rsidRPr="007D617C">
              <w:rPr>
                <w:rFonts w:ascii="Arial" w:hAnsi="Arial" w:cs="Arial"/>
                <w:sz w:val="20"/>
                <w:szCs w:val="20"/>
              </w:rPr>
              <w:t>rukovaoca</w:t>
            </w:r>
            <w:proofErr w:type="spellEnd"/>
            <w:r w:rsidRPr="007D617C">
              <w:rPr>
                <w:rFonts w:ascii="Arial" w:hAnsi="Arial" w:cs="Arial"/>
                <w:sz w:val="20"/>
                <w:szCs w:val="20"/>
              </w:rPr>
              <w:t xml:space="preserve"> </w:t>
            </w:r>
            <w:proofErr w:type="spellStart"/>
            <w:r w:rsidRPr="007D617C">
              <w:rPr>
                <w:rFonts w:ascii="Arial" w:hAnsi="Arial" w:cs="Arial"/>
                <w:sz w:val="20"/>
                <w:szCs w:val="20"/>
              </w:rPr>
              <w:t>bagera</w:t>
            </w:r>
            <w:proofErr w:type="spellEnd"/>
          </w:p>
        </w:tc>
        <w:tc>
          <w:tcPr>
            <w:tcW w:w="2047" w:type="dxa"/>
            <w:shd w:val="clear" w:color="auto" w:fill="auto"/>
            <w:vAlign w:val="center"/>
          </w:tcPr>
          <w:p w14:paraId="097F3677"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KV</w:t>
            </w:r>
          </w:p>
        </w:tc>
        <w:tc>
          <w:tcPr>
            <w:tcW w:w="1733" w:type="dxa"/>
            <w:shd w:val="clear" w:color="auto" w:fill="auto"/>
            <w:vAlign w:val="center"/>
          </w:tcPr>
          <w:p w14:paraId="70593AB6"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3</w:t>
            </w:r>
          </w:p>
        </w:tc>
      </w:tr>
      <w:tr w:rsidR="009F41AA" w:rsidRPr="009F41AA" w14:paraId="51493788" w14:textId="77777777" w:rsidTr="0057133F">
        <w:tc>
          <w:tcPr>
            <w:tcW w:w="967" w:type="dxa"/>
            <w:shd w:val="clear" w:color="auto" w:fill="auto"/>
            <w:vAlign w:val="center"/>
          </w:tcPr>
          <w:p w14:paraId="4AE302DE"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17.</w:t>
            </w:r>
          </w:p>
        </w:tc>
        <w:tc>
          <w:tcPr>
            <w:tcW w:w="5333" w:type="dxa"/>
            <w:shd w:val="clear" w:color="auto" w:fill="auto"/>
            <w:vAlign w:val="center"/>
          </w:tcPr>
          <w:p w14:paraId="01F1EB26"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Rukovaoc</w:t>
            </w:r>
            <w:proofErr w:type="spellEnd"/>
            <w:r w:rsidRPr="007D617C">
              <w:rPr>
                <w:rFonts w:ascii="Arial" w:hAnsi="Arial" w:cs="Arial"/>
                <w:sz w:val="20"/>
                <w:szCs w:val="20"/>
              </w:rPr>
              <w:t xml:space="preserve"> </w:t>
            </w:r>
            <w:proofErr w:type="spellStart"/>
            <w:r w:rsidRPr="007D617C">
              <w:rPr>
                <w:rFonts w:ascii="Arial" w:hAnsi="Arial" w:cs="Arial"/>
                <w:sz w:val="20"/>
                <w:szCs w:val="20"/>
              </w:rPr>
              <w:t>buldozera</w:t>
            </w:r>
            <w:proofErr w:type="spellEnd"/>
          </w:p>
        </w:tc>
        <w:tc>
          <w:tcPr>
            <w:tcW w:w="2047" w:type="dxa"/>
            <w:shd w:val="clear" w:color="auto" w:fill="auto"/>
            <w:vAlign w:val="center"/>
          </w:tcPr>
          <w:p w14:paraId="38D6C4E1"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VKV</w:t>
            </w:r>
          </w:p>
        </w:tc>
        <w:tc>
          <w:tcPr>
            <w:tcW w:w="1733" w:type="dxa"/>
            <w:shd w:val="clear" w:color="auto" w:fill="auto"/>
            <w:vAlign w:val="center"/>
          </w:tcPr>
          <w:p w14:paraId="224BCECC"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4</w:t>
            </w:r>
          </w:p>
        </w:tc>
      </w:tr>
      <w:tr w:rsidR="009F41AA" w:rsidRPr="009F41AA" w14:paraId="22F7EF31" w14:textId="77777777" w:rsidTr="0057133F">
        <w:tc>
          <w:tcPr>
            <w:tcW w:w="967" w:type="dxa"/>
            <w:shd w:val="clear" w:color="auto" w:fill="auto"/>
            <w:vAlign w:val="center"/>
          </w:tcPr>
          <w:p w14:paraId="00E44AEE"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18.</w:t>
            </w:r>
          </w:p>
        </w:tc>
        <w:tc>
          <w:tcPr>
            <w:tcW w:w="5333" w:type="dxa"/>
            <w:shd w:val="clear" w:color="auto" w:fill="auto"/>
            <w:vAlign w:val="center"/>
          </w:tcPr>
          <w:p w14:paraId="511B3CDD"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Pomoćnik</w:t>
            </w:r>
            <w:proofErr w:type="spellEnd"/>
            <w:r w:rsidRPr="007D617C">
              <w:rPr>
                <w:rFonts w:ascii="Arial" w:hAnsi="Arial" w:cs="Arial"/>
                <w:sz w:val="20"/>
                <w:szCs w:val="20"/>
              </w:rPr>
              <w:t xml:space="preserve"> </w:t>
            </w:r>
            <w:proofErr w:type="spellStart"/>
            <w:r w:rsidRPr="007D617C">
              <w:rPr>
                <w:rFonts w:ascii="Arial" w:hAnsi="Arial" w:cs="Arial"/>
                <w:sz w:val="20"/>
                <w:szCs w:val="20"/>
              </w:rPr>
              <w:t>rukovaoca</w:t>
            </w:r>
            <w:proofErr w:type="spellEnd"/>
            <w:r w:rsidRPr="007D617C">
              <w:rPr>
                <w:rFonts w:ascii="Arial" w:hAnsi="Arial" w:cs="Arial"/>
                <w:sz w:val="20"/>
                <w:szCs w:val="20"/>
              </w:rPr>
              <w:t xml:space="preserve"> </w:t>
            </w:r>
            <w:proofErr w:type="spellStart"/>
            <w:r w:rsidRPr="007D617C">
              <w:rPr>
                <w:rFonts w:ascii="Arial" w:hAnsi="Arial" w:cs="Arial"/>
                <w:sz w:val="20"/>
                <w:szCs w:val="20"/>
              </w:rPr>
              <w:t>buldozera</w:t>
            </w:r>
            <w:proofErr w:type="spellEnd"/>
          </w:p>
        </w:tc>
        <w:tc>
          <w:tcPr>
            <w:tcW w:w="2047" w:type="dxa"/>
            <w:shd w:val="clear" w:color="auto" w:fill="auto"/>
            <w:vAlign w:val="center"/>
          </w:tcPr>
          <w:p w14:paraId="1CFAD12A"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KV</w:t>
            </w:r>
          </w:p>
        </w:tc>
        <w:tc>
          <w:tcPr>
            <w:tcW w:w="1733" w:type="dxa"/>
            <w:shd w:val="clear" w:color="auto" w:fill="auto"/>
            <w:vAlign w:val="center"/>
          </w:tcPr>
          <w:p w14:paraId="5D370642"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2</w:t>
            </w:r>
          </w:p>
        </w:tc>
      </w:tr>
      <w:tr w:rsidR="009F41AA" w:rsidRPr="009F41AA" w14:paraId="61168448" w14:textId="77777777" w:rsidTr="0057133F">
        <w:tc>
          <w:tcPr>
            <w:tcW w:w="967" w:type="dxa"/>
            <w:shd w:val="clear" w:color="auto" w:fill="auto"/>
            <w:vAlign w:val="center"/>
          </w:tcPr>
          <w:p w14:paraId="1C9FDCC8"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19.</w:t>
            </w:r>
          </w:p>
        </w:tc>
        <w:tc>
          <w:tcPr>
            <w:tcW w:w="5333" w:type="dxa"/>
            <w:shd w:val="clear" w:color="auto" w:fill="auto"/>
            <w:vAlign w:val="center"/>
          </w:tcPr>
          <w:p w14:paraId="3BE59E0D"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Vozač</w:t>
            </w:r>
            <w:proofErr w:type="spellEnd"/>
            <w:r w:rsidRPr="007D617C">
              <w:rPr>
                <w:rFonts w:ascii="Arial" w:hAnsi="Arial" w:cs="Arial"/>
                <w:sz w:val="20"/>
                <w:szCs w:val="20"/>
              </w:rPr>
              <w:t xml:space="preserve"> </w:t>
            </w:r>
            <w:proofErr w:type="spellStart"/>
            <w:r w:rsidRPr="007D617C">
              <w:rPr>
                <w:rFonts w:ascii="Arial" w:hAnsi="Arial" w:cs="Arial"/>
                <w:sz w:val="20"/>
                <w:szCs w:val="20"/>
              </w:rPr>
              <w:t>kamiona</w:t>
            </w:r>
            <w:proofErr w:type="spellEnd"/>
          </w:p>
        </w:tc>
        <w:tc>
          <w:tcPr>
            <w:tcW w:w="2047" w:type="dxa"/>
            <w:shd w:val="clear" w:color="auto" w:fill="auto"/>
            <w:vAlign w:val="center"/>
          </w:tcPr>
          <w:p w14:paraId="72ED37CE"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VKV</w:t>
            </w:r>
          </w:p>
        </w:tc>
        <w:tc>
          <w:tcPr>
            <w:tcW w:w="1733" w:type="dxa"/>
            <w:shd w:val="clear" w:color="auto" w:fill="auto"/>
            <w:vAlign w:val="center"/>
          </w:tcPr>
          <w:p w14:paraId="1182C6EF"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24</w:t>
            </w:r>
          </w:p>
        </w:tc>
      </w:tr>
      <w:tr w:rsidR="009F41AA" w:rsidRPr="009F41AA" w14:paraId="58490BD6" w14:textId="77777777" w:rsidTr="0057133F">
        <w:tc>
          <w:tcPr>
            <w:tcW w:w="967" w:type="dxa"/>
            <w:shd w:val="clear" w:color="auto" w:fill="auto"/>
            <w:vAlign w:val="center"/>
          </w:tcPr>
          <w:p w14:paraId="37DDA69B"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20.</w:t>
            </w:r>
          </w:p>
        </w:tc>
        <w:tc>
          <w:tcPr>
            <w:tcW w:w="5333" w:type="dxa"/>
            <w:shd w:val="clear" w:color="auto" w:fill="auto"/>
            <w:vAlign w:val="center"/>
          </w:tcPr>
          <w:p w14:paraId="4D4D6A17" w14:textId="77777777" w:rsidR="009F41AA" w:rsidRPr="007D617C" w:rsidRDefault="009F41AA" w:rsidP="009F41AA">
            <w:pPr>
              <w:spacing w:after="0"/>
              <w:rPr>
                <w:rFonts w:ascii="Arial" w:hAnsi="Arial" w:cs="Arial"/>
                <w:sz w:val="20"/>
                <w:szCs w:val="20"/>
                <w:lang w:val="it-IT"/>
              </w:rPr>
            </w:pPr>
            <w:r w:rsidRPr="007D617C">
              <w:rPr>
                <w:rFonts w:ascii="Arial" w:hAnsi="Arial" w:cs="Arial"/>
                <w:sz w:val="20"/>
                <w:szCs w:val="20"/>
                <w:lang w:val="it-IT"/>
              </w:rPr>
              <w:t>Vozač cisterne za gorivo, vozila za eksploziv</w:t>
            </w:r>
          </w:p>
        </w:tc>
        <w:tc>
          <w:tcPr>
            <w:tcW w:w="2047" w:type="dxa"/>
            <w:shd w:val="clear" w:color="auto" w:fill="auto"/>
            <w:vAlign w:val="center"/>
          </w:tcPr>
          <w:p w14:paraId="2DEBCFC5"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KV</w:t>
            </w:r>
          </w:p>
        </w:tc>
        <w:tc>
          <w:tcPr>
            <w:tcW w:w="1733" w:type="dxa"/>
            <w:shd w:val="clear" w:color="auto" w:fill="auto"/>
            <w:vAlign w:val="center"/>
          </w:tcPr>
          <w:p w14:paraId="4A8E831F"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2</w:t>
            </w:r>
          </w:p>
        </w:tc>
      </w:tr>
      <w:tr w:rsidR="009F41AA" w:rsidRPr="009F41AA" w14:paraId="2632B4E5" w14:textId="77777777" w:rsidTr="0057133F">
        <w:tc>
          <w:tcPr>
            <w:tcW w:w="967" w:type="dxa"/>
            <w:shd w:val="clear" w:color="auto" w:fill="auto"/>
            <w:vAlign w:val="center"/>
          </w:tcPr>
          <w:p w14:paraId="0557E6D7"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21.</w:t>
            </w:r>
          </w:p>
        </w:tc>
        <w:tc>
          <w:tcPr>
            <w:tcW w:w="5333" w:type="dxa"/>
            <w:shd w:val="clear" w:color="auto" w:fill="auto"/>
            <w:vAlign w:val="center"/>
          </w:tcPr>
          <w:p w14:paraId="183F6E45"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Radnik</w:t>
            </w:r>
            <w:proofErr w:type="spellEnd"/>
            <w:r w:rsidRPr="007D617C">
              <w:rPr>
                <w:rFonts w:ascii="Arial" w:hAnsi="Arial" w:cs="Arial"/>
                <w:sz w:val="20"/>
                <w:szCs w:val="20"/>
              </w:rPr>
              <w:t xml:space="preserve"> </w:t>
            </w:r>
            <w:proofErr w:type="spellStart"/>
            <w:r w:rsidRPr="007D617C">
              <w:rPr>
                <w:rFonts w:ascii="Arial" w:hAnsi="Arial" w:cs="Arial"/>
                <w:sz w:val="20"/>
                <w:szCs w:val="20"/>
              </w:rPr>
              <w:t>na</w:t>
            </w:r>
            <w:proofErr w:type="spellEnd"/>
            <w:r w:rsidRPr="007D617C">
              <w:rPr>
                <w:rFonts w:ascii="Arial" w:hAnsi="Arial" w:cs="Arial"/>
                <w:sz w:val="20"/>
                <w:szCs w:val="20"/>
              </w:rPr>
              <w:t xml:space="preserve"> </w:t>
            </w:r>
            <w:proofErr w:type="spellStart"/>
            <w:r w:rsidRPr="007D617C">
              <w:rPr>
                <w:rFonts w:ascii="Arial" w:hAnsi="Arial" w:cs="Arial"/>
                <w:sz w:val="20"/>
                <w:szCs w:val="20"/>
              </w:rPr>
              <w:t>drobilani</w:t>
            </w:r>
            <w:proofErr w:type="spellEnd"/>
          </w:p>
        </w:tc>
        <w:tc>
          <w:tcPr>
            <w:tcW w:w="2047" w:type="dxa"/>
            <w:shd w:val="clear" w:color="auto" w:fill="auto"/>
            <w:vAlign w:val="center"/>
          </w:tcPr>
          <w:p w14:paraId="54760E54"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KV</w:t>
            </w:r>
          </w:p>
        </w:tc>
        <w:tc>
          <w:tcPr>
            <w:tcW w:w="1733" w:type="dxa"/>
            <w:shd w:val="clear" w:color="auto" w:fill="auto"/>
            <w:vAlign w:val="center"/>
          </w:tcPr>
          <w:p w14:paraId="50108E5F"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6</w:t>
            </w:r>
          </w:p>
        </w:tc>
      </w:tr>
      <w:tr w:rsidR="009F41AA" w:rsidRPr="009F41AA" w14:paraId="30FFDFF5" w14:textId="77777777" w:rsidTr="0057133F">
        <w:tc>
          <w:tcPr>
            <w:tcW w:w="967" w:type="dxa"/>
            <w:shd w:val="clear" w:color="auto" w:fill="auto"/>
            <w:vAlign w:val="center"/>
          </w:tcPr>
          <w:p w14:paraId="02527BA1"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22.</w:t>
            </w:r>
          </w:p>
        </w:tc>
        <w:tc>
          <w:tcPr>
            <w:tcW w:w="5333" w:type="dxa"/>
            <w:shd w:val="clear" w:color="auto" w:fill="auto"/>
            <w:vAlign w:val="center"/>
          </w:tcPr>
          <w:p w14:paraId="315D7913"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Bušač</w:t>
            </w:r>
            <w:proofErr w:type="spellEnd"/>
            <w:r w:rsidRPr="007D617C">
              <w:rPr>
                <w:rFonts w:ascii="Arial" w:hAnsi="Arial" w:cs="Arial"/>
                <w:sz w:val="20"/>
                <w:szCs w:val="20"/>
              </w:rPr>
              <w:t xml:space="preserve"> – </w:t>
            </w:r>
            <w:proofErr w:type="spellStart"/>
            <w:r w:rsidRPr="007D617C">
              <w:rPr>
                <w:rFonts w:ascii="Arial" w:hAnsi="Arial" w:cs="Arial"/>
                <w:sz w:val="20"/>
                <w:szCs w:val="20"/>
              </w:rPr>
              <w:t>palioc</w:t>
            </w:r>
            <w:proofErr w:type="spellEnd"/>
            <w:r w:rsidRPr="007D617C">
              <w:rPr>
                <w:rFonts w:ascii="Arial" w:hAnsi="Arial" w:cs="Arial"/>
                <w:sz w:val="20"/>
                <w:szCs w:val="20"/>
              </w:rPr>
              <w:t xml:space="preserve"> mina</w:t>
            </w:r>
          </w:p>
        </w:tc>
        <w:tc>
          <w:tcPr>
            <w:tcW w:w="2047" w:type="dxa"/>
            <w:shd w:val="clear" w:color="auto" w:fill="auto"/>
            <w:vAlign w:val="center"/>
          </w:tcPr>
          <w:p w14:paraId="69FAA079"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KV</w:t>
            </w:r>
          </w:p>
        </w:tc>
        <w:tc>
          <w:tcPr>
            <w:tcW w:w="1733" w:type="dxa"/>
            <w:shd w:val="clear" w:color="auto" w:fill="auto"/>
            <w:vAlign w:val="center"/>
          </w:tcPr>
          <w:p w14:paraId="4EEB393E"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3</w:t>
            </w:r>
          </w:p>
        </w:tc>
      </w:tr>
      <w:tr w:rsidR="009F41AA" w:rsidRPr="009F41AA" w14:paraId="5B357BDE" w14:textId="77777777" w:rsidTr="0057133F">
        <w:tc>
          <w:tcPr>
            <w:tcW w:w="967" w:type="dxa"/>
            <w:shd w:val="clear" w:color="auto" w:fill="auto"/>
            <w:vAlign w:val="center"/>
          </w:tcPr>
          <w:p w14:paraId="633F8B13"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23.</w:t>
            </w:r>
          </w:p>
        </w:tc>
        <w:tc>
          <w:tcPr>
            <w:tcW w:w="5333" w:type="dxa"/>
            <w:shd w:val="clear" w:color="auto" w:fill="auto"/>
            <w:vAlign w:val="center"/>
          </w:tcPr>
          <w:p w14:paraId="17C74646"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Magacioner</w:t>
            </w:r>
            <w:proofErr w:type="spellEnd"/>
            <w:r w:rsidRPr="007D617C">
              <w:rPr>
                <w:rFonts w:ascii="Arial" w:hAnsi="Arial" w:cs="Arial"/>
                <w:sz w:val="20"/>
                <w:szCs w:val="20"/>
              </w:rPr>
              <w:t xml:space="preserve"> </w:t>
            </w:r>
            <w:proofErr w:type="spellStart"/>
            <w:r w:rsidRPr="007D617C">
              <w:rPr>
                <w:rFonts w:ascii="Arial" w:hAnsi="Arial" w:cs="Arial"/>
                <w:sz w:val="20"/>
                <w:szCs w:val="20"/>
              </w:rPr>
              <w:t>eksploziva</w:t>
            </w:r>
            <w:proofErr w:type="spellEnd"/>
          </w:p>
        </w:tc>
        <w:tc>
          <w:tcPr>
            <w:tcW w:w="2047" w:type="dxa"/>
            <w:shd w:val="clear" w:color="auto" w:fill="auto"/>
            <w:vAlign w:val="center"/>
          </w:tcPr>
          <w:p w14:paraId="52DFB442"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KV</w:t>
            </w:r>
          </w:p>
        </w:tc>
        <w:tc>
          <w:tcPr>
            <w:tcW w:w="1733" w:type="dxa"/>
            <w:shd w:val="clear" w:color="auto" w:fill="auto"/>
            <w:vAlign w:val="center"/>
          </w:tcPr>
          <w:p w14:paraId="6B133718"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1</w:t>
            </w:r>
          </w:p>
        </w:tc>
      </w:tr>
      <w:tr w:rsidR="009F41AA" w:rsidRPr="009F41AA" w14:paraId="62070042" w14:textId="77777777" w:rsidTr="0057133F">
        <w:tc>
          <w:tcPr>
            <w:tcW w:w="967" w:type="dxa"/>
            <w:shd w:val="clear" w:color="auto" w:fill="auto"/>
            <w:vAlign w:val="center"/>
          </w:tcPr>
          <w:p w14:paraId="2DDDE012"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24.</w:t>
            </w:r>
          </w:p>
        </w:tc>
        <w:tc>
          <w:tcPr>
            <w:tcW w:w="5333" w:type="dxa"/>
            <w:shd w:val="clear" w:color="auto" w:fill="auto"/>
            <w:vAlign w:val="center"/>
          </w:tcPr>
          <w:p w14:paraId="33E9E603"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Pumpar</w:t>
            </w:r>
            <w:proofErr w:type="spellEnd"/>
          </w:p>
        </w:tc>
        <w:tc>
          <w:tcPr>
            <w:tcW w:w="2047" w:type="dxa"/>
            <w:shd w:val="clear" w:color="auto" w:fill="auto"/>
            <w:vAlign w:val="center"/>
          </w:tcPr>
          <w:p w14:paraId="2F29C1E7"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KV</w:t>
            </w:r>
          </w:p>
        </w:tc>
        <w:tc>
          <w:tcPr>
            <w:tcW w:w="1733" w:type="dxa"/>
            <w:shd w:val="clear" w:color="auto" w:fill="auto"/>
            <w:vAlign w:val="center"/>
          </w:tcPr>
          <w:p w14:paraId="70009953"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4</w:t>
            </w:r>
          </w:p>
        </w:tc>
      </w:tr>
      <w:tr w:rsidR="009F41AA" w:rsidRPr="009F41AA" w14:paraId="501EAFED" w14:textId="77777777" w:rsidTr="0057133F">
        <w:tc>
          <w:tcPr>
            <w:tcW w:w="967" w:type="dxa"/>
            <w:shd w:val="clear" w:color="auto" w:fill="auto"/>
            <w:vAlign w:val="center"/>
          </w:tcPr>
          <w:p w14:paraId="41A1CE9A"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25.</w:t>
            </w:r>
          </w:p>
        </w:tc>
        <w:tc>
          <w:tcPr>
            <w:tcW w:w="5333" w:type="dxa"/>
            <w:shd w:val="clear" w:color="auto" w:fill="auto"/>
            <w:vAlign w:val="center"/>
          </w:tcPr>
          <w:p w14:paraId="777FAFA0"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Bravar</w:t>
            </w:r>
            <w:proofErr w:type="spellEnd"/>
          </w:p>
        </w:tc>
        <w:tc>
          <w:tcPr>
            <w:tcW w:w="2047" w:type="dxa"/>
            <w:shd w:val="clear" w:color="auto" w:fill="auto"/>
            <w:vAlign w:val="center"/>
          </w:tcPr>
          <w:p w14:paraId="78818A7A"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VKV</w:t>
            </w:r>
          </w:p>
        </w:tc>
        <w:tc>
          <w:tcPr>
            <w:tcW w:w="1733" w:type="dxa"/>
            <w:shd w:val="clear" w:color="auto" w:fill="auto"/>
            <w:vAlign w:val="center"/>
          </w:tcPr>
          <w:p w14:paraId="1CAA662E"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5</w:t>
            </w:r>
          </w:p>
        </w:tc>
      </w:tr>
      <w:tr w:rsidR="009F41AA" w:rsidRPr="009F41AA" w14:paraId="74550947" w14:textId="77777777" w:rsidTr="0057133F">
        <w:tc>
          <w:tcPr>
            <w:tcW w:w="967" w:type="dxa"/>
            <w:shd w:val="clear" w:color="auto" w:fill="auto"/>
            <w:vAlign w:val="center"/>
          </w:tcPr>
          <w:p w14:paraId="4450004C"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26.</w:t>
            </w:r>
          </w:p>
        </w:tc>
        <w:tc>
          <w:tcPr>
            <w:tcW w:w="5333" w:type="dxa"/>
            <w:shd w:val="clear" w:color="auto" w:fill="auto"/>
            <w:vAlign w:val="center"/>
          </w:tcPr>
          <w:p w14:paraId="4C283E59"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Električar</w:t>
            </w:r>
            <w:proofErr w:type="spellEnd"/>
          </w:p>
        </w:tc>
        <w:tc>
          <w:tcPr>
            <w:tcW w:w="2047" w:type="dxa"/>
            <w:shd w:val="clear" w:color="auto" w:fill="auto"/>
            <w:vAlign w:val="center"/>
          </w:tcPr>
          <w:p w14:paraId="3EECB4E6"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KV</w:t>
            </w:r>
          </w:p>
        </w:tc>
        <w:tc>
          <w:tcPr>
            <w:tcW w:w="1733" w:type="dxa"/>
            <w:shd w:val="clear" w:color="auto" w:fill="auto"/>
            <w:vAlign w:val="center"/>
          </w:tcPr>
          <w:p w14:paraId="19E4A9DB"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3</w:t>
            </w:r>
          </w:p>
        </w:tc>
      </w:tr>
      <w:tr w:rsidR="009F41AA" w:rsidRPr="009F41AA" w14:paraId="271AF16B" w14:textId="77777777" w:rsidTr="0057133F">
        <w:tc>
          <w:tcPr>
            <w:tcW w:w="967" w:type="dxa"/>
            <w:shd w:val="clear" w:color="auto" w:fill="auto"/>
            <w:vAlign w:val="center"/>
          </w:tcPr>
          <w:p w14:paraId="7D51D702" w14:textId="77777777" w:rsidR="009F41AA" w:rsidRPr="0057133F" w:rsidRDefault="009F41AA" w:rsidP="009F41AA">
            <w:pPr>
              <w:spacing w:after="0"/>
              <w:jc w:val="center"/>
              <w:rPr>
                <w:rFonts w:ascii="Arial" w:hAnsi="Arial" w:cs="Arial"/>
                <w:sz w:val="20"/>
                <w:szCs w:val="20"/>
              </w:rPr>
            </w:pPr>
            <w:r w:rsidRPr="0057133F">
              <w:rPr>
                <w:rFonts w:ascii="Arial" w:hAnsi="Arial" w:cs="Arial"/>
                <w:sz w:val="20"/>
                <w:szCs w:val="20"/>
              </w:rPr>
              <w:t>27.</w:t>
            </w:r>
          </w:p>
        </w:tc>
        <w:tc>
          <w:tcPr>
            <w:tcW w:w="5333" w:type="dxa"/>
            <w:shd w:val="clear" w:color="auto" w:fill="auto"/>
            <w:vAlign w:val="center"/>
          </w:tcPr>
          <w:p w14:paraId="47B26F6C"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Autoelektričar</w:t>
            </w:r>
            <w:proofErr w:type="spellEnd"/>
          </w:p>
        </w:tc>
        <w:tc>
          <w:tcPr>
            <w:tcW w:w="2047" w:type="dxa"/>
            <w:shd w:val="clear" w:color="auto" w:fill="auto"/>
            <w:vAlign w:val="center"/>
          </w:tcPr>
          <w:p w14:paraId="23695A47"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VKV</w:t>
            </w:r>
          </w:p>
        </w:tc>
        <w:tc>
          <w:tcPr>
            <w:tcW w:w="1733" w:type="dxa"/>
            <w:shd w:val="clear" w:color="auto" w:fill="auto"/>
            <w:vAlign w:val="center"/>
          </w:tcPr>
          <w:p w14:paraId="1BB919AE"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2</w:t>
            </w:r>
          </w:p>
        </w:tc>
      </w:tr>
      <w:tr w:rsidR="009F41AA" w:rsidRPr="009F41AA" w14:paraId="500661CF" w14:textId="77777777" w:rsidTr="0057133F">
        <w:tc>
          <w:tcPr>
            <w:tcW w:w="967" w:type="dxa"/>
            <w:shd w:val="clear" w:color="auto" w:fill="auto"/>
            <w:vAlign w:val="center"/>
          </w:tcPr>
          <w:p w14:paraId="4FAC5B1B" w14:textId="77777777" w:rsidR="009F41AA" w:rsidRPr="009F41AA" w:rsidRDefault="009F41AA" w:rsidP="009F41AA">
            <w:pPr>
              <w:spacing w:after="0"/>
              <w:jc w:val="center"/>
              <w:rPr>
                <w:rFonts w:ascii="Arial" w:hAnsi="Arial" w:cs="Arial"/>
              </w:rPr>
            </w:pPr>
            <w:r w:rsidRPr="009F41AA">
              <w:rPr>
                <w:rFonts w:ascii="Arial" w:hAnsi="Arial" w:cs="Arial"/>
              </w:rPr>
              <w:t>28.</w:t>
            </w:r>
          </w:p>
        </w:tc>
        <w:tc>
          <w:tcPr>
            <w:tcW w:w="5333" w:type="dxa"/>
            <w:shd w:val="clear" w:color="auto" w:fill="auto"/>
            <w:vAlign w:val="center"/>
          </w:tcPr>
          <w:p w14:paraId="222FEE5B"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Automehaničar</w:t>
            </w:r>
            <w:proofErr w:type="spellEnd"/>
          </w:p>
        </w:tc>
        <w:tc>
          <w:tcPr>
            <w:tcW w:w="2047" w:type="dxa"/>
            <w:shd w:val="clear" w:color="auto" w:fill="auto"/>
            <w:vAlign w:val="center"/>
          </w:tcPr>
          <w:p w14:paraId="23D7E0D8"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VKV</w:t>
            </w:r>
          </w:p>
        </w:tc>
        <w:tc>
          <w:tcPr>
            <w:tcW w:w="1733" w:type="dxa"/>
            <w:shd w:val="clear" w:color="auto" w:fill="auto"/>
            <w:vAlign w:val="center"/>
          </w:tcPr>
          <w:p w14:paraId="2BD97265"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6</w:t>
            </w:r>
          </w:p>
        </w:tc>
      </w:tr>
      <w:tr w:rsidR="009F41AA" w:rsidRPr="009F41AA" w14:paraId="0DDA49CF" w14:textId="77777777" w:rsidTr="0057133F">
        <w:tc>
          <w:tcPr>
            <w:tcW w:w="967" w:type="dxa"/>
            <w:shd w:val="clear" w:color="auto" w:fill="auto"/>
            <w:vAlign w:val="center"/>
          </w:tcPr>
          <w:p w14:paraId="1FE3293A" w14:textId="77777777" w:rsidR="009F41AA" w:rsidRPr="009F41AA" w:rsidRDefault="009F41AA" w:rsidP="009F41AA">
            <w:pPr>
              <w:spacing w:after="0"/>
              <w:jc w:val="center"/>
              <w:rPr>
                <w:rFonts w:ascii="Arial" w:hAnsi="Arial" w:cs="Arial"/>
              </w:rPr>
            </w:pPr>
            <w:r w:rsidRPr="009F41AA">
              <w:rPr>
                <w:rFonts w:ascii="Arial" w:hAnsi="Arial" w:cs="Arial"/>
              </w:rPr>
              <w:t>29.</w:t>
            </w:r>
          </w:p>
        </w:tc>
        <w:tc>
          <w:tcPr>
            <w:tcW w:w="5333" w:type="dxa"/>
            <w:shd w:val="clear" w:color="auto" w:fill="auto"/>
            <w:vAlign w:val="center"/>
          </w:tcPr>
          <w:p w14:paraId="68B1668B"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Stražar</w:t>
            </w:r>
            <w:proofErr w:type="spellEnd"/>
          </w:p>
        </w:tc>
        <w:tc>
          <w:tcPr>
            <w:tcW w:w="2047" w:type="dxa"/>
            <w:shd w:val="clear" w:color="auto" w:fill="auto"/>
            <w:vAlign w:val="center"/>
          </w:tcPr>
          <w:p w14:paraId="78B7BF7B"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KV</w:t>
            </w:r>
          </w:p>
        </w:tc>
        <w:tc>
          <w:tcPr>
            <w:tcW w:w="1733" w:type="dxa"/>
            <w:shd w:val="clear" w:color="auto" w:fill="auto"/>
            <w:vAlign w:val="center"/>
          </w:tcPr>
          <w:p w14:paraId="3C39BB7C"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4</w:t>
            </w:r>
          </w:p>
        </w:tc>
      </w:tr>
      <w:tr w:rsidR="009F41AA" w:rsidRPr="009F41AA" w14:paraId="35B3893B" w14:textId="77777777" w:rsidTr="0057133F">
        <w:tc>
          <w:tcPr>
            <w:tcW w:w="967" w:type="dxa"/>
            <w:shd w:val="clear" w:color="auto" w:fill="auto"/>
            <w:vAlign w:val="center"/>
          </w:tcPr>
          <w:p w14:paraId="0A4E41CD" w14:textId="77777777" w:rsidR="009F41AA" w:rsidRPr="009F41AA" w:rsidRDefault="009F41AA" w:rsidP="009F41AA">
            <w:pPr>
              <w:spacing w:after="0"/>
              <w:jc w:val="center"/>
              <w:rPr>
                <w:rFonts w:ascii="Arial" w:hAnsi="Arial" w:cs="Arial"/>
              </w:rPr>
            </w:pPr>
            <w:r w:rsidRPr="009F41AA">
              <w:rPr>
                <w:rFonts w:ascii="Arial" w:hAnsi="Arial" w:cs="Arial"/>
              </w:rPr>
              <w:t>30.</w:t>
            </w:r>
          </w:p>
        </w:tc>
        <w:tc>
          <w:tcPr>
            <w:tcW w:w="5333" w:type="dxa"/>
            <w:shd w:val="clear" w:color="auto" w:fill="auto"/>
            <w:vAlign w:val="center"/>
          </w:tcPr>
          <w:p w14:paraId="773F0067" w14:textId="77777777" w:rsidR="009F41AA" w:rsidRPr="007D617C" w:rsidRDefault="009F41AA" w:rsidP="009F41AA">
            <w:pPr>
              <w:spacing w:after="0"/>
              <w:rPr>
                <w:rFonts w:ascii="Arial" w:hAnsi="Arial" w:cs="Arial"/>
                <w:sz w:val="20"/>
                <w:szCs w:val="20"/>
              </w:rPr>
            </w:pPr>
            <w:proofErr w:type="spellStart"/>
            <w:r w:rsidRPr="007D617C">
              <w:rPr>
                <w:rFonts w:ascii="Arial" w:hAnsi="Arial" w:cs="Arial"/>
                <w:sz w:val="20"/>
                <w:szCs w:val="20"/>
              </w:rPr>
              <w:t>Pomoćni</w:t>
            </w:r>
            <w:proofErr w:type="spellEnd"/>
            <w:r w:rsidRPr="007D617C">
              <w:rPr>
                <w:rFonts w:ascii="Arial" w:hAnsi="Arial" w:cs="Arial"/>
                <w:sz w:val="20"/>
                <w:szCs w:val="20"/>
              </w:rPr>
              <w:t xml:space="preserve"> </w:t>
            </w:r>
            <w:proofErr w:type="spellStart"/>
            <w:r w:rsidRPr="007D617C">
              <w:rPr>
                <w:rFonts w:ascii="Arial" w:hAnsi="Arial" w:cs="Arial"/>
                <w:sz w:val="20"/>
                <w:szCs w:val="20"/>
              </w:rPr>
              <w:t>radnik</w:t>
            </w:r>
            <w:proofErr w:type="spellEnd"/>
          </w:p>
        </w:tc>
        <w:tc>
          <w:tcPr>
            <w:tcW w:w="2047" w:type="dxa"/>
            <w:shd w:val="clear" w:color="auto" w:fill="auto"/>
            <w:vAlign w:val="center"/>
          </w:tcPr>
          <w:p w14:paraId="46FF72B1"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NKV</w:t>
            </w:r>
          </w:p>
        </w:tc>
        <w:tc>
          <w:tcPr>
            <w:tcW w:w="1733" w:type="dxa"/>
            <w:shd w:val="clear" w:color="auto" w:fill="auto"/>
            <w:vAlign w:val="center"/>
          </w:tcPr>
          <w:p w14:paraId="50DFD321" w14:textId="77777777" w:rsidR="009F41AA" w:rsidRPr="007D617C" w:rsidRDefault="009F41AA" w:rsidP="009F41AA">
            <w:pPr>
              <w:spacing w:after="0"/>
              <w:jc w:val="center"/>
              <w:rPr>
                <w:rFonts w:ascii="Arial" w:hAnsi="Arial" w:cs="Arial"/>
                <w:sz w:val="20"/>
                <w:szCs w:val="20"/>
              </w:rPr>
            </w:pPr>
            <w:r w:rsidRPr="007D617C">
              <w:rPr>
                <w:rFonts w:ascii="Arial" w:hAnsi="Arial" w:cs="Arial"/>
                <w:sz w:val="20"/>
                <w:szCs w:val="20"/>
              </w:rPr>
              <w:t>6</w:t>
            </w:r>
          </w:p>
        </w:tc>
      </w:tr>
      <w:tr w:rsidR="009F41AA" w:rsidRPr="009F41AA" w14:paraId="0341C65F" w14:textId="77777777" w:rsidTr="0057133F">
        <w:tc>
          <w:tcPr>
            <w:tcW w:w="8347" w:type="dxa"/>
            <w:gridSpan w:val="3"/>
            <w:shd w:val="clear" w:color="auto" w:fill="auto"/>
            <w:vAlign w:val="center"/>
          </w:tcPr>
          <w:p w14:paraId="43A47A05" w14:textId="77777777" w:rsidR="009F41AA" w:rsidRPr="007D617C" w:rsidRDefault="009F41AA" w:rsidP="009F41AA">
            <w:pPr>
              <w:spacing w:after="0"/>
              <w:jc w:val="center"/>
              <w:rPr>
                <w:rFonts w:ascii="Arial" w:hAnsi="Arial" w:cs="Arial"/>
                <w:b/>
                <w:sz w:val="20"/>
                <w:szCs w:val="20"/>
              </w:rPr>
            </w:pPr>
            <w:r w:rsidRPr="007D617C">
              <w:rPr>
                <w:rFonts w:ascii="Arial" w:hAnsi="Arial" w:cs="Arial"/>
                <w:b/>
                <w:sz w:val="20"/>
                <w:szCs w:val="20"/>
              </w:rPr>
              <w:t>UKUPNO:</w:t>
            </w:r>
          </w:p>
        </w:tc>
        <w:tc>
          <w:tcPr>
            <w:tcW w:w="1733" w:type="dxa"/>
            <w:shd w:val="clear" w:color="auto" w:fill="auto"/>
            <w:vAlign w:val="center"/>
          </w:tcPr>
          <w:p w14:paraId="17E9E6A3" w14:textId="77777777" w:rsidR="009F41AA" w:rsidRPr="007D617C" w:rsidRDefault="009F41AA" w:rsidP="009F41AA">
            <w:pPr>
              <w:spacing w:after="0"/>
              <w:jc w:val="center"/>
              <w:rPr>
                <w:rFonts w:ascii="Arial" w:hAnsi="Arial" w:cs="Arial"/>
                <w:b/>
                <w:sz w:val="20"/>
                <w:szCs w:val="20"/>
              </w:rPr>
            </w:pPr>
            <w:r w:rsidRPr="007D617C">
              <w:rPr>
                <w:rFonts w:ascii="Arial" w:hAnsi="Arial" w:cs="Arial"/>
                <w:b/>
                <w:sz w:val="20"/>
                <w:szCs w:val="20"/>
              </w:rPr>
              <w:t>103</w:t>
            </w:r>
          </w:p>
        </w:tc>
      </w:tr>
    </w:tbl>
    <w:p w14:paraId="0D63E51C" w14:textId="77777777" w:rsidR="00744584" w:rsidRPr="00DA6313" w:rsidRDefault="00744584" w:rsidP="008D2281">
      <w:pPr>
        <w:spacing w:after="0" w:line="240" w:lineRule="auto"/>
        <w:jc w:val="both"/>
        <w:rPr>
          <w:rFonts w:ascii="Arial" w:eastAsia="Calibri" w:hAnsi="Arial" w:cs="Arial"/>
          <w:noProof/>
        </w:rPr>
      </w:pPr>
      <w:r w:rsidRPr="00DA6313">
        <w:rPr>
          <w:rFonts w:ascii="Arial" w:eastAsia="Calibri" w:hAnsi="Arial" w:cs="Arial"/>
          <w:b/>
          <w:noProof/>
        </w:rPr>
        <w:t>Napomena:</w:t>
      </w:r>
      <w:r w:rsidRPr="00DA6313">
        <w:rPr>
          <w:rFonts w:ascii="Arial" w:eastAsia="Calibri" w:hAnsi="Arial" w:cs="Arial"/>
          <w:noProof/>
        </w:rPr>
        <w:t xml:space="preserve"> Zaposleni treba da ispunjavaju uslove propisane čl. 93 Zakona o rudarstvu („Sl. list CG“, br. 65/08, 74/10 i 40/11). </w:t>
      </w:r>
    </w:p>
    <w:p w14:paraId="4C59184C" w14:textId="77777777" w:rsidR="00560683" w:rsidRDefault="00560683" w:rsidP="008D2281">
      <w:pPr>
        <w:spacing w:after="0" w:line="240" w:lineRule="auto"/>
        <w:jc w:val="both"/>
        <w:rPr>
          <w:rFonts w:ascii="Arial" w:hAnsi="Arial" w:cs="Arial"/>
          <w:noProof/>
        </w:rPr>
      </w:pPr>
    </w:p>
    <w:p w14:paraId="11060423" w14:textId="77777777" w:rsidR="00744584" w:rsidRPr="00DA6313" w:rsidRDefault="002C4C57" w:rsidP="00664C2A">
      <w:pPr>
        <w:pStyle w:val="Heading1"/>
        <w:numPr>
          <w:ilvl w:val="0"/>
          <w:numId w:val="24"/>
        </w:numPr>
        <w:jc w:val="both"/>
        <w:rPr>
          <w:rFonts w:ascii="Arial" w:hAnsi="Arial" w:cs="Arial"/>
          <w:noProof/>
          <w:sz w:val="22"/>
          <w:szCs w:val="22"/>
        </w:rPr>
      </w:pPr>
      <w:bookmarkStart w:id="20" w:name="_Toc402262948"/>
      <w:r w:rsidRPr="00DA6313">
        <w:rPr>
          <w:rFonts w:ascii="Arial" w:hAnsi="Arial" w:cs="Arial"/>
          <w:noProof/>
          <w:sz w:val="22"/>
          <w:szCs w:val="22"/>
        </w:rPr>
        <w:lastRenderedPageBreak/>
        <w:t>MJERE ZA ZAŠTITU ŽIVOTNE SREDINE</w:t>
      </w:r>
      <w:bookmarkEnd w:id="20"/>
    </w:p>
    <w:p w14:paraId="2ED9751A" w14:textId="77777777" w:rsidR="00744584" w:rsidRPr="00DA6313" w:rsidRDefault="00744584" w:rsidP="008D2281">
      <w:pPr>
        <w:spacing w:after="0" w:line="240" w:lineRule="auto"/>
        <w:jc w:val="both"/>
        <w:rPr>
          <w:rFonts w:ascii="Arial" w:hAnsi="Arial" w:cs="Arial"/>
          <w:noProof/>
        </w:rPr>
      </w:pPr>
    </w:p>
    <w:p w14:paraId="676E3DBC" w14:textId="77777777" w:rsidR="00744584" w:rsidRPr="00DA6313" w:rsidRDefault="00744584" w:rsidP="007D617C">
      <w:pPr>
        <w:spacing w:after="0" w:line="240" w:lineRule="auto"/>
        <w:jc w:val="both"/>
        <w:rPr>
          <w:rFonts w:ascii="Arial" w:hAnsi="Arial" w:cs="Arial"/>
          <w:noProof/>
        </w:rPr>
      </w:pPr>
      <w:r w:rsidRPr="00DA6313">
        <w:rPr>
          <w:rFonts w:ascii="Arial" w:hAnsi="Arial" w:cs="Arial"/>
          <w:noProof/>
        </w:rPr>
        <w:t xml:space="preserve">Detaljna geološka istraživanja u manjoj mjeri mogu imati uticaj na životnu sredinu, dok eksploatacija i obrada mineralne sirovine, a time i </w:t>
      </w:r>
      <w:r w:rsidR="001F241E">
        <w:rPr>
          <w:rFonts w:ascii="Arial" w:hAnsi="Arial" w:cs="Arial"/>
          <w:noProof/>
        </w:rPr>
        <w:t>uglja</w:t>
      </w:r>
      <w:r w:rsidRPr="00DA6313">
        <w:rPr>
          <w:rFonts w:ascii="Arial" w:hAnsi="Arial" w:cs="Arial"/>
          <w:noProof/>
        </w:rPr>
        <w:t>, je proces koji se, sa aspekta ekologije, smatra rizičnim.</w:t>
      </w:r>
    </w:p>
    <w:p w14:paraId="0B434698" w14:textId="77777777" w:rsidR="00744584" w:rsidRPr="00DA6313" w:rsidRDefault="00744584" w:rsidP="007D617C">
      <w:pPr>
        <w:spacing w:after="0" w:line="240" w:lineRule="auto"/>
        <w:jc w:val="both"/>
        <w:rPr>
          <w:rFonts w:ascii="Arial" w:hAnsi="Arial" w:cs="Arial"/>
          <w:noProof/>
        </w:rPr>
      </w:pPr>
    </w:p>
    <w:p w14:paraId="2EF7DAE9" w14:textId="77777777" w:rsidR="00744584" w:rsidRPr="00DA6313" w:rsidRDefault="00744584" w:rsidP="007D617C">
      <w:pPr>
        <w:spacing w:after="0" w:line="240" w:lineRule="auto"/>
        <w:jc w:val="both"/>
        <w:rPr>
          <w:rFonts w:ascii="Arial" w:hAnsi="Arial" w:cs="Arial"/>
          <w:noProof/>
        </w:rPr>
      </w:pPr>
      <w:r w:rsidRPr="00DA6313">
        <w:rPr>
          <w:rFonts w:ascii="Arial" w:hAnsi="Arial" w:cs="Arial"/>
          <w:noProof/>
        </w:rPr>
        <w:t>U zakonskim propisima koji regulušu zaštitu životne sredine naglašeni su osnovni principi njene zaštite, i to: prirodnih vrijednosti zemljišta, vode i vazduha, kao i biodiverziteta (biljni i životinjski svijet).</w:t>
      </w:r>
    </w:p>
    <w:p w14:paraId="7595DE21" w14:textId="77777777" w:rsidR="00744584" w:rsidRPr="00DA6313" w:rsidRDefault="00744584" w:rsidP="007D617C">
      <w:pPr>
        <w:spacing w:after="0" w:line="240" w:lineRule="auto"/>
        <w:jc w:val="both"/>
        <w:rPr>
          <w:rFonts w:ascii="Arial" w:hAnsi="Arial" w:cs="Arial"/>
          <w:noProof/>
        </w:rPr>
      </w:pPr>
    </w:p>
    <w:p w14:paraId="11778EC1" w14:textId="77777777" w:rsidR="00744584" w:rsidRPr="00DA6313" w:rsidRDefault="00744584" w:rsidP="007D617C">
      <w:pPr>
        <w:spacing w:after="0" w:line="240" w:lineRule="auto"/>
        <w:jc w:val="both"/>
        <w:rPr>
          <w:rFonts w:ascii="Arial" w:hAnsi="Arial" w:cs="Arial"/>
          <w:noProof/>
        </w:rPr>
      </w:pPr>
      <w:r w:rsidRPr="00DA6313">
        <w:rPr>
          <w:rFonts w:ascii="Arial" w:hAnsi="Arial" w:cs="Arial"/>
          <w:noProof/>
        </w:rPr>
        <w:t>Shodno naprijed navedenom, Koncesinar je dužan da na istražno-eksploatacio</w:t>
      </w:r>
      <w:r w:rsidR="0014416D" w:rsidRPr="00DA6313">
        <w:rPr>
          <w:rFonts w:ascii="Arial" w:hAnsi="Arial" w:cs="Arial"/>
          <w:noProof/>
        </w:rPr>
        <w:t>nom prostoru „</w:t>
      </w:r>
      <w:r w:rsidR="001F241E">
        <w:rPr>
          <w:rFonts w:ascii="Arial" w:hAnsi="Arial" w:cs="Arial"/>
          <w:noProof/>
        </w:rPr>
        <w:t>Mataruge</w:t>
      </w:r>
      <w:r w:rsidRPr="00DA6313">
        <w:rPr>
          <w:rFonts w:ascii="Arial" w:hAnsi="Arial" w:cs="Arial"/>
          <w:noProof/>
        </w:rPr>
        <w:t>“, pri planiranju i sprovođenju investicionog zahvata, sprovode postupak prethodne procjene uticaja na životnu sredinu, u s</w:t>
      </w:r>
      <w:r w:rsidR="00E25CCE" w:rsidRPr="00DA6313">
        <w:rPr>
          <w:rFonts w:ascii="Arial" w:hAnsi="Arial" w:cs="Arial"/>
          <w:noProof/>
        </w:rPr>
        <w:t>k</w:t>
      </w:r>
      <w:r w:rsidRPr="00DA6313">
        <w:rPr>
          <w:rFonts w:ascii="Arial" w:hAnsi="Arial" w:cs="Arial"/>
          <w:noProof/>
        </w:rPr>
        <w:t>ladu sa zakonom.</w:t>
      </w:r>
    </w:p>
    <w:p w14:paraId="32AC31D8" w14:textId="77777777" w:rsidR="00744584" w:rsidRPr="00DA6313" w:rsidRDefault="00744584" w:rsidP="007D617C">
      <w:pPr>
        <w:spacing w:after="0" w:line="240" w:lineRule="auto"/>
        <w:jc w:val="both"/>
        <w:rPr>
          <w:rFonts w:ascii="Arial" w:hAnsi="Arial" w:cs="Arial"/>
          <w:noProof/>
        </w:rPr>
      </w:pPr>
    </w:p>
    <w:p w14:paraId="1300F9FF" w14:textId="77777777" w:rsidR="00744584" w:rsidRPr="00DA6313" w:rsidRDefault="00744584" w:rsidP="007D617C">
      <w:pPr>
        <w:spacing w:after="0" w:line="240" w:lineRule="auto"/>
        <w:jc w:val="both"/>
        <w:rPr>
          <w:rFonts w:ascii="Arial" w:hAnsi="Arial" w:cs="Arial"/>
          <w:noProof/>
        </w:rPr>
      </w:pPr>
      <w:r w:rsidRPr="00DA6313">
        <w:rPr>
          <w:rFonts w:ascii="Arial" w:hAnsi="Arial" w:cs="Arial"/>
          <w:noProof/>
        </w:rPr>
        <w:t>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w:t>
      </w:r>
      <w:r w:rsidR="001F241E">
        <w:rPr>
          <w:rFonts w:ascii="Arial" w:hAnsi="Arial" w:cs="Arial"/>
          <w:noProof/>
        </w:rPr>
        <w:t xml:space="preserve"> i ugljenom</w:t>
      </w:r>
      <w:r w:rsidRPr="00DA6313">
        <w:rPr>
          <w:rFonts w:ascii="Arial" w:hAnsi="Arial" w:cs="Arial"/>
          <w:noProof/>
        </w:rPr>
        <w:t xml:space="preserve"> prašinom. </w:t>
      </w:r>
    </w:p>
    <w:p w14:paraId="27836CE7" w14:textId="77777777" w:rsidR="00744584" w:rsidRPr="00DA6313" w:rsidRDefault="00744584" w:rsidP="007D617C">
      <w:pPr>
        <w:spacing w:after="0" w:line="240" w:lineRule="auto"/>
        <w:jc w:val="both"/>
        <w:rPr>
          <w:rFonts w:ascii="Arial" w:hAnsi="Arial" w:cs="Arial"/>
          <w:noProof/>
        </w:rPr>
      </w:pPr>
    </w:p>
    <w:p w14:paraId="77F59568" w14:textId="77777777" w:rsidR="00744584" w:rsidRPr="00DA6313" w:rsidRDefault="00744584" w:rsidP="007D617C">
      <w:pPr>
        <w:spacing w:after="0" w:line="240" w:lineRule="auto"/>
        <w:jc w:val="both"/>
        <w:rPr>
          <w:rFonts w:ascii="Arial" w:hAnsi="Arial" w:cs="Arial"/>
          <w:noProof/>
        </w:rPr>
      </w:pPr>
      <w:r w:rsidRPr="00DA6313">
        <w:rPr>
          <w:rFonts w:ascii="Arial" w:hAnsi="Arial" w:cs="Arial"/>
          <w:noProof/>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2371BF87" w14:textId="77777777" w:rsidR="00744584" w:rsidRPr="00DA6313" w:rsidRDefault="00744584" w:rsidP="007D617C">
      <w:pPr>
        <w:spacing w:after="0" w:line="240" w:lineRule="auto"/>
        <w:jc w:val="both"/>
        <w:rPr>
          <w:rFonts w:ascii="Arial" w:hAnsi="Arial" w:cs="Arial"/>
          <w:noProof/>
        </w:rPr>
      </w:pPr>
    </w:p>
    <w:p w14:paraId="5DCD648D" w14:textId="77777777" w:rsidR="00F4223B" w:rsidRPr="00DA6313" w:rsidRDefault="00F4223B" w:rsidP="007D617C">
      <w:pPr>
        <w:spacing w:after="0" w:line="240" w:lineRule="auto"/>
        <w:jc w:val="both"/>
        <w:rPr>
          <w:rFonts w:ascii="Arial" w:hAnsi="Arial" w:cs="Arial"/>
          <w:noProof/>
        </w:rPr>
      </w:pPr>
      <w:r w:rsidRPr="00DA6313">
        <w:rPr>
          <w:rFonts w:ascii="Arial" w:hAnsi="Arial" w:cs="Arial"/>
          <w:noProof/>
        </w:rPr>
        <w:t xml:space="preserve">Nadležni državni organ procjenjuje potrebu izrade Elaborata o procjeni uticaja zahvata na životnu sredinu, koji se radi u skladu sa Zakonom o </w:t>
      </w:r>
      <w:r w:rsidRPr="00026F4F">
        <w:rPr>
          <w:rFonts w:ascii="Arial" w:hAnsi="Arial" w:cs="Arial"/>
          <w:noProof/>
        </w:rPr>
        <w:t>procjeni uticaja na životnu sredinu</w:t>
      </w:r>
      <w:r w:rsidRPr="00DA6313">
        <w:rPr>
          <w:rFonts w:ascii="Arial" w:hAnsi="Arial" w:cs="Arial"/>
          <w:noProof/>
        </w:rPr>
        <w:t xml:space="preserve"> („Sl. list RCG“, br. 80/05 i „Sl. list CG“, br. </w:t>
      </w:r>
      <w:r w:rsidR="00026F4F">
        <w:rPr>
          <w:rFonts w:ascii="Arial" w:hAnsi="Arial" w:cs="Arial"/>
          <w:noProof/>
        </w:rPr>
        <w:t>75/18</w:t>
      </w:r>
      <w:r w:rsidRPr="00DA6313">
        <w:rPr>
          <w:rFonts w:ascii="Arial" w:hAnsi="Arial" w:cs="Arial"/>
          <w:noProof/>
        </w:rPr>
        <w:t>).</w:t>
      </w:r>
    </w:p>
    <w:p w14:paraId="2B974C24" w14:textId="77777777" w:rsidR="00F4223B" w:rsidRPr="00DA6313" w:rsidRDefault="00F4223B" w:rsidP="007D617C">
      <w:pPr>
        <w:spacing w:after="0" w:line="240" w:lineRule="auto"/>
        <w:jc w:val="both"/>
        <w:rPr>
          <w:rFonts w:ascii="Arial" w:hAnsi="Arial" w:cs="Arial"/>
          <w:noProof/>
        </w:rPr>
      </w:pPr>
    </w:p>
    <w:p w14:paraId="6650CF87" w14:textId="77777777" w:rsidR="00F4223B" w:rsidRPr="00DA6313" w:rsidRDefault="00F4223B" w:rsidP="007D617C">
      <w:pPr>
        <w:spacing w:after="0" w:line="240" w:lineRule="auto"/>
        <w:jc w:val="both"/>
        <w:rPr>
          <w:rFonts w:ascii="Arial" w:hAnsi="Arial" w:cs="Arial"/>
          <w:noProof/>
        </w:rPr>
      </w:pPr>
      <w:r w:rsidRPr="00DA6313">
        <w:rPr>
          <w:rFonts w:ascii="Arial" w:hAnsi="Arial" w:cs="Arial"/>
          <w:noProof/>
        </w:rPr>
        <w:t>S obzirom na značaj očuvanja životne sredine, Koncesionar je dužan da se pridržava svih mjera zaštite u skladu sa zakonskim propisima.</w:t>
      </w:r>
    </w:p>
    <w:p w14:paraId="45364EB3" w14:textId="77777777" w:rsidR="00DA6313" w:rsidRPr="00DA6313" w:rsidRDefault="00DA6313" w:rsidP="007D617C">
      <w:pPr>
        <w:spacing w:after="0" w:line="240" w:lineRule="auto"/>
        <w:jc w:val="both"/>
        <w:rPr>
          <w:rFonts w:ascii="Arial" w:hAnsi="Arial" w:cs="Arial"/>
          <w:noProof/>
        </w:rPr>
      </w:pPr>
    </w:p>
    <w:p w14:paraId="4F760F01" w14:textId="77777777" w:rsidR="00F4223B" w:rsidRPr="00DA6313" w:rsidRDefault="00F4223B" w:rsidP="007D617C">
      <w:pPr>
        <w:spacing w:after="0" w:line="240" w:lineRule="auto"/>
        <w:jc w:val="both"/>
        <w:rPr>
          <w:rFonts w:ascii="Arial" w:hAnsi="Arial" w:cs="Arial"/>
          <w:noProof/>
        </w:rPr>
      </w:pPr>
      <w:r w:rsidRPr="00DA6313">
        <w:rPr>
          <w:rFonts w:ascii="Arial" w:hAnsi="Arial" w:cs="Arial"/>
          <w:noProof/>
        </w:rPr>
        <w:t>Zakonska regulativa koja uređuje ovu djelatnost je sljedeća:</w:t>
      </w:r>
    </w:p>
    <w:p w14:paraId="7F2A7B5E" w14:textId="77777777" w:rsidR="00DA6313" w:rsidRPr="00DA6313" w:rsidRDefault="00DA6313" w:rsidP="007D617C">
      <w:pPr>
        <w:spacing w:after="0" w:line="240" w:lineRule="auto"/>
        <w:jc w:val="both"/>
        <w:rPr>
          <w:rFonts w:ascii="Arial" w:hAnsi="Arial" w:cs="Arial"/>
          <w:noProof/>
        </w:rPr>
      </w:pPr>
    </w:p>
    <w:p w14:paraId="1BCBB578" w14:textId="77777777" w:rsidR="00F4223B" w:rsidRPr="00DA6313" w:rsidRDefault="00F4223B" w:rsidP="007D617C">
      <w:pPr>
        <w:pStyle w:val="ListParagraph"/>
        <w:numPr>
          <w:ilvl w:val="0"/>
          <w:numId w:val="18"/>
        </w:numPr>
        <w:tabs>
          <w:tab w:val="clear" w:pos="0"/>
        </w:tabs>
        <w:spacing w:after="0" w:line="240" w:lineRule="auto"/>
        <w:ind w:left="567" w:hanging="283"/>
        <w:jc w:val="both"/>
        <w:rPr>
          <w:rFonts w:ascii="Arial" w:hAnsi="Arial" w:cs="Arial"/>
          <w:noProof/>
        </w:rPr>
      </w:pPr>
      <w:r w:rsidRPr="00DA6313">
        <w:rPr>
          <w:rFonts w:ascii="Arial" w:hAnsi="Arial" w:cs="Arial"/>
          <w:noProof/>
        </w:rPr>
        <w:t>Zakon o procjeni uticaja na životnu sredinu („Sl. list RCG“, b</w:t>
      </w:r>
      <w:r w:rsidR="00E73649">
        <w:rPr>
          <w:rFonts w:ascii="Arial" w:hAnsi="Arial" w:cs="Arial"/>
          <w:noProof/>
        </w:rPr>
        <w:t>r. 75/18</w:t>
      </w:r>
      <w:r w:rsidRPr="00DA6313">
        <w:rPr>
          <w:rFonts w:ascii="Arial" w:hAnsi="Arial" w:cs="Arial"/>
          <w:noProof/>
        </w:rPr>
        <w:t>);</w:t>
      </w:r>
    </w:p>
    <w:p w14:paraId="70FD7ADB" w14:textId="77777777" w:rsidR="00F4223B" w:rsidRPr="00DA6313" w:rsidRDefault="00F4223B" w:rsidP="007D617C">
      <w:pPr>
        <w:pStyle w:val="ListParagraph"/>
        <w:numPr>
          <w:ilvl w:val="0"/>
          <w:numId w:val="18"/>
        </w:numPr>
        <w:tabs>
          <w:tab w:val="clear" w:pos="0"/>
        </w:tabs>
        <w:spacing w:after="0" w:line="240" w:lineRule="auto"/>
        <w:ind w:left="567" w:hanging="283"/>
        <w:jc w:val="both"/>
        <w:rPr>
          <w:rFonts w:ascii="Arial" w:hAnsi="Arial" w:cs="Arial"/>
          <w:noProof/>
        </w:rPr>
      </w:pPr>
      <w:r w:rsidRPr="00DA6313">
        <w:rPr>
          <w:rFonts w:ascii="Arial" w:hAnsi="Arial" w:cs="Arial"/>
          <w:noProof/>
        </w:rPr>
        <w:t>Zakon o zaštiti prirode („Sl. list</w:t>
      </w:r>
      <w:r w:rsidR="00E73649">
        <w:rPr>
          <w:rFonts w:ascii="Arial" w:hAnsi="Arial" w:cs="Arial"/>
          <w:noProof/>
        </w:rPr>
        <w:t xml:space="preserve"> CG“, br. </w:t>
      </w:r>
      <w:r w:rsidR="00B74AD2">
        <w:rPr>
          <w:rFonts w:ascii="Arial" w:hAnsi="Arial" w:cs="Arial"/>
          <w:noProof/>
        </w:rPr>
        <w:t>54/16</w:t>
      </w:r>
      <w:r w:rsidR="00E73649">
        <w:rPr>
          <w:rFonts w:ascii="Arial" w:hAnsi="Arial" w:cs="Arial"/>
          <w:noProof/>
        </w:rPr>
        <w:t xml:space="preserve"> i 18/19</w:t>
      </w:r>
      <w:r w:rsidRPr="00DA6313">
        <w:rPr>
          <w:rFonts w:ascii="Arial" w:hAnsi="Arial" w:cs="Arial"/>
          <w:noProof/>
        </w:rPr>
        <w:t>);</w:t>
      </w:r>
    </w:p>
    <w:p w14:paraId="475F2196" w14:textId="77777777" w:rsidR="00F4223B" w:rsidRPr="00DA6313" w:rsidRDefault="00F4223B" w:rsidP="007D617C">
      <w:pPr>
        <w:pStyle w:val="ListParagraph"/>
        <w:numPr>
          <w:ilvl w:val="0"/>
          <w:numId w:val="18"/>
        </w:numPr>
        <w:tabs>
          <w:tab w:val="clear" w:pos="0"/>
        </w:tabs>
        <w:spacing w:after="0" w:line="240" w:lineRule="auto"/>
        <w:ind w:left="567" w:hanging="283"/>
        <w:jc w:val="both"/>
        <w:rPr>
          <w:rFonts w:ascii="Arial" w:hAnsi="Arial" w:cs="Arial"/>
          <w:noProof/>
        </w:rPr>
      </w:pPr>
      <w:r w:rsidRPr="00DA6313">
        <w:rPr>
          <w:rFonts w:ascii="Arial" w:hAnsi="Arial" w:cs="Arial"/>
          <w:noProof/>
        </w:rPr>
        <w:t>Uredba o projektima za koje se vrši procjena uticaja na životnu sredinu („Sl. list RCG“, br. 20/07 i „Sl. list CG“, br. 47/13</w:t>
      </w:r>
      <w:r w:rsidR="00E73649">
        <w:rPr>
          <w:rFonts w:ascii="Arial" w:hAnsi="Arial" w:cs="Arial"/>
          <w:noProof/>
        </w:rPr>
        <w:t xml:space="preserve">, </w:t>
      </w:r>
      <w:r w:rsidR="00142C1B" w:rsidRPr="00DA6313">
        <w:rPr>
          <w:rFonts w:ascii="Arial" w:hAnsi="Arial" w:cs="Arial"/>
          <w:noProof/>
        </w:rPr>
        <w:t>53/14</w:t>
      </w:r>
      <w:r w:rsidR="00E73649">
        <w:rPr>
          <w:rFonts w:ascii="Arial" w:hAnsi="Arial" w:cs="Arial"/>
          <w:noProof/>
        </w:rPr>
        <w:t xml:space="preserve"> i 37/18</w:t>
      </w:r>
      <w:r w:rsidRPr="00DA6313">
        <w:rPr>
          <w:rFonts w:ascii="Arial" w:hAnsi="Arial" w:cs="Arial"/>
          <w:noProof/>
        </w:rPr>
        <w:t>);</w:t>
      </w:r>
    </w:p>
    <w:p w14:paraId="2798656A" w14:textId="77777777" w:rsidR="00F4223B" w:rsidRPr="00BC074D" w:rsidRDefault="00F4223B" w:rsidP="007D617C">
      <w:pPr>
        <w:pStyle w:val="ListParagraph"/>
        <w:numPr>
          <w:ilvl w:val="0"/>
          <w:numId w:val="18"/>
        </w:numPr>
        <w:tabs>
          <w:tab w:val="clear" w:pos="0"/>
        </w:tabs>
        <w:spacing w:after="0" w:line="240" w:lineRule="auto"/>
        <w:ind w:left="567" w:hanging="283"/>
        <w:jc w:val="both"/>
        <w:rPr>
          <w:rFonts w:ascii="Arial" w:hAnsi="Arial" w:cs="Arial"/>
          <w:noProof/>
        </w:rPr>
      </w:pPr>
      <w:r w:rsidRPr="00BC074D">
        <w:rPr>
          <w:rFonts w:ascii="Arial" w:hAnsi="Arial" w:cs="Arial"/>
          <w:noProof/>
        </w:rPr>
        <w:t>Uredba o visini naknada, načinu obračuna i plaćanja naknada zbog zagađenja životne sredine („Sl. list RCG“, br. 26/97, 09/00 i 52/00 i „Sl. list CG“, br. 33/08, 05/09, 64/09, 40/11 i 49/11);</w:t>
      </w:r>
    </w:p>
    <w:p w14:paraId="1C7758E5" w14:textId="77777777" w:rsidR="00F4223B" w:rsidRPr="00BC074D" w:rsidRDefault="00F4223B" w:rsidP="007D617C">
      <w:pPr>
        <w:pStyle w:val="ListParagraph"/>
        <w:numPr>
          <w:ilvl w:val="0"/>
          <w:numId w:val="18"/>
        </w:numPr>
        <w:tabs>
          <w:tab w:val="clear" w:pos="0"/>
        </w:tabs>
        <w:spacing w:after="0" w:line="240" w:lineRule="auto"/>
        <w:ind w:left="567" w:hanging="283"/>
        <w:jc w:val="both"/>
        <w:rPr>
          <w:rFonts w:ascii="Arial" w:hAnsi="Arial" w:cs="Arial"/>
          <w:noProof/>
        </w:rPr>
      </w:pPr>
      <w:r w:rsidRPr="00BC074D">
        <w:rPr>
          <w:rFonts w:ascii="Arial" w:hAnsi="Arial" w:cs="Arial"/>
          <w:noProof/>
        </w:rPr>
        <w:t>Pravilnik o sadržaju dokumentacije koja se podnosi uz zahtjev za odlučivanje o potrebi procjene uticaja na životnu sredinu („Sl. list CG“, br. 14/07);</w:t>
      </w:r>
    </w:p>
    <w:p w14:paraId="299A0450" w14:textId="77777777" w:rsidR="00F4223B" w:rsidRPr="00BC074D" w:rsidRDefault="00F4223B" w:rsidP="007D617C">
      <w:pPr>
        <w:pStyle w:val="ListParagraph"/>
        <w:numPr>
          <w:ilvl w:val="0"/>
          <w:numId w:val="18"/>
        </w:numPr>
        <w:tabs>
          <w:tab w:val="clear" w:pos="0"/>
        </w:tabs>
        <w:spacing w:after="0" w:line="240" w:lineRule="auto"/>
        <w:ind w:left="567" w:hanging="283"/>
        <w:jc w:val="both"/>
        <w:rPr>
          <w:rFonts w:ascii="Arial" w:hAnsi="Arial" w:cs="Arial"/>
          <w:noProof/>
        </w:rPr>
      </w:pPr>
      <w:r w:rsidRPr="00BC074D">
        <w:rPr>
          <w:rFonts w:ascii="Arial" w:hAnsi="Arial" w:cs="Arial"/>
          <w:noProof/>
        </w:rPr>
        <w:t>Pravilnik o sadržaju dokumentacije koja se podnosi uz zahtjev za određivanje obima i sadržaja Elaborata o procjeni uticaja na životnu sredinu („Sl. list CG“, br. 14/07); i</w:t>
      </w:r>
    </w:p>
    <w:p w14:paraId="14A4309B" w14:textId="77777777" w:rsidR="00F4223B" w:rsidRPr="00980865" w:rsidRDefault="00F4223B" w:rsidP="007D617C">
      <w:pPr>
        <w:pStyle w:val="ListParagraph"/>
        <w:numPr>
          <w:ilvl w:val="0"/>
          <w:numId w:val="18"/>
        </w:numPr>
        <w:tabs>
          <w:tab w:val="clear" w:pos="0"/>
        </w:tabs>
        <w:spacing w:after="0" w:line="240" w:lineRule="auto"/>
        <w:ind w:left="567" w:hanging="283"/>
        <w:jc w:val="both"/>
        <w:rPr>
          <w:rFonts w:ascii="Arial" w:hAnsi="Arial" w:cs="Arial"/>
          <w:noProof/>
        </w:rPr>
      </w:pPr>
      <w:r w:rsidRPr="00980865">
        <w:rPr>
          <w:rFonts w:ascii="Arial" w:hAnsi="Arial" w:cs="Arial"/>
          <w:noProof/>
        </w:rPr>
        <w:t xml:space="preserve">Pravilnik o </w:t>
      </w:r>
      <w:r w:rsidR="00980865" w:rsidRPr="00980865">
        <w:rPr>
          <w:rFonts w:ascii="Arial" w:hAnsi="Arial" w:cs="Arial"/>
          <w:noProof/>
        </w:rPr>
        <w:t xml:space="preserve">bližoj </w:t>
      </w:r>
      <w:r w:rsidRPr="00980865">
        <w:rPr>
          <w:rFonts w:ascii="Arial" w:hAnsi="Arial" w:cs="Arial"/>
          <w:noProof/>
        </w:rPr>
        <w:t>sadržini Elaborata o procjeni uticaja na životnu sredinu („Sl. list CG“, br</w:t>
      </w:r>
      <w:r w:rsidR="00980865" w:rsidRPr="00980865">
        <w:rPr>
          <w:rFonts w:ascii="Arial" w:hAnsi="Arial" w:cs="Arial"/>
          <w:noProof/>
        </w:rPr>
        <w:t>. 19/19</w:t>
      </w:r>
      <w:r w:rsidRPr="00980865">
        <w:rPr>
          <w:rFonts w:ascii="Arial" w:hAnsi="Arial" w:cs="Arial"/>
          <w:noProof/>
        </w:rPr>
        <w:t>).</w:t>
      </w:r>
    </w:p>
    <w:p w14:paraId="79E95EFB" w14:textId="0960DCD6" w:rsidR="00EB6A56" w:rsidRDefault="00EB6A56" w:rsidP="007D617C">
      <w:pPr>
        <w:spacing w:after="0" w:line="240" w:lineRule="auto"/>
        <w:jc w:val="both"/>
        <w:rPr>
          <w:rFonts w:ascii="Arial" w:hAnsi="Arial" w:cs="Arial"/>
          <w:noProof/>
        </w:rPr>
      </w:pPr>
    </w:p>
    <w:p w14:paraId="6404C05A" w14:textId="77777777" w:rsidR="007D617C" w:rsidRPr="00DA6313" w:rsidRDefault="007D617C" w:rsidP="007D617C">
      <w:pPr>
        <w:spacing w:after="0" w:line="240" w:lineRule="auto"/>
        <w:jc w:val="both"/>
        <w:rPr>
          <w:rFonts w:ascii="Arial" w:hAnsi="Arial" w:cs="Arial"/>
          <w:noProof/>
        </w:rPr>
      </w:pPr>
    </w:p>
    <w:p w14:paraId="08EDB7A0" w14:textId="77777777" w:rsidR="00744584" w:rsidRPr="00DA6313" w:rsidRDefault="005069B0" w:rsidP="007D617C">
      <w:pPr>
        <w:pStyle w:val="Heading1"/>
        <w:numPr>
          <w:ilvl w:val="0"/>
          <w:numId w:val="24"/>
        </w:numPr>
        <w:rPr>
          <w:rFonts w:ascii="Arial" w:hAnsi="Arial" w:cs="Arial"/>
          <w:noProof/>
          <w:sz w:val="22"/>
          <w:szCs w:val="22"/>
        </w:rPr>
      </w:pPr>
      <w:bookmarkStart w:id="21" w:name="_Toc402262949"/>
      <w:r w:rsidRPr="00DA6313">
        <w:rPr>
          <w:rFonts w:ascii="Arial" w:hAnsi="Arial" w:cs="Arial"/>
          <w:noProof/>
          <w:sz w:val="22"/>
          <w:szCs w:val="22"/>
        </w:rPr>
        <w:t xml:space="preserve">REKULTIVACIJA ISTRAŽNO-EKSPLOATACIONOG PROSTORA </w:t>
      </w:r>
      <w:bookmarkEnd w:id="21"/>
      <w:r w:rsidR="00560683" w:rsidRPr="00DA6313">
        <w:rPr>
          <w:rFonts w:ascii="Arial" w:hAnsi="Arial" w:cs="Arial"/>
          <w:noProof/>
          <w:sz w:val="22"/>
          <w:szCs w:val="22"/>
        </w:rPr>
        <w:t>„</w:t>
      </w:r>
      <w:r w:rsidR="00416F8E">
        <w:rPr>
          <w:rFonts w:ascii="Arial" w:hAnsi="Arial" w:cs="Arial"/>
          <w:noProof/>
          <w:sz w:val="22"/>
          <w:szCs w:val="22"/>
        </w:rPr>
        <w:t>MATARUGE</w:t>
      </w:r>
      <w:r w:rsidR="00560683" w:rsidRPr="00DA6313">
        <w:rPr>
          <w:rFonts w:ascii="Arial" w:hAnsi="Arial" w:cs="Arial"/>
          <w:noProof/>
          <w:sz w:val="22"/>
          <w:szCs w:val="22"/>
        </w:rPr>
        <w:t>“</w:t>
      </w:r>
    </w:p>
    <w:p w14:paraId="22AA3318" w14:textId="77777777" w:rsidR="00744584" w:rsidRPr="00DA6313" w:rsidRDefault="00744584" w:rsidP="007D617C">
      <w:pPr>
        <w:spacing w:after="0" w:line="240" w:lineRule="auto"/>
        <w:jc w:val="both"/>
        <w:rPr>
          <w:rFonts w:ascii="Arial" w:hAnsi="Arial" w:cs="Arial"/>
          <w:noProof/>
        </w:rPr>
      </w:pPr>
    </w:p>
    <w:p w14:paraId="7676DB82" w14:textId="77777777" w:rsidR="00744584" w:rsidRPr="00DA6313" w:rsidRDefault="00744584" w:rsidP="007D617C">
      <w:pPr>
        <w:spacing w:after="0" w:line="240" w:lineRule="auto"/>
        <w:jc w:val="both"/>
        <w:rPr>
          <w:rFonts w:ascii="Arial" w:hAnsi="Arial" w:cs="Arial"/>
          <w:noProof/>
        </w:rPr>
      </w:pPr>
      <w:r w:rsidRPr="00DA6313">
        <w:rPr>
          <w:rFonts w:ascii="Arial" w:hAnsi="Arial" w:cs="Arial"/>
          <w:noProof/>
        </w:rPr>
        <w:t xml:space="preserve">Negativni uticaji budućih rudarskih aktivnosti na </w:t>
      </w:r>
      <w:r w:rsidR="000A7CB6">
        <w:rPr>
          <w:rFonts w:ascii="Arial" w:hAnsi="Arial" w:cs="Arial"/>
          <w:noProof/>
        </w:rPr>
        <w:t>istražno-eksploatacionom prostoru</w:t>
      </w:r>
      <w:r w:rsidR="0014416D" w:rsidRPr="00DA6313">
        <w:rPr>
          <w:rFonts w:ascii="Arial" w:hAnsi="Arial" w:cs="Arial"/>
          <w:noProof/>
        </w:rPr>
        <w:t xml:space="preserve"> </w:t>
      </w:r>
      <w:r w:rsidR="00560683" w:rsidRPr="00DA6313">
        <w:rPr>
          <w:rFonts w:ascii="Arial" w:hAnsi="Arial" w:cs="Arial"/>
          <w:noProof/>
        </w:rPr>
        <w:t>„</w:t>
      </w:r>
      <w:r w:rsidR="000A7CB6">
        <w:rPr>
          <w:rFonts w:ascii="Arial" w:hAnsi="Arial" w:cs="Arial"/>
          <w:noProof/>
        </w:rPr>
        <w:t>Mataruge</w:t>
      </w:r>
      <w:r w:rsidRPr="00DA6313">
        <w:rPr>
          <w:rFonts w:ascii="Arial" w:hAnsi="Arial" w:cs="Arial"/>
          <w:noProof/>
        </w:rPr>
        <w:t>” sa kvalitativnom procjenom mogućih nepovoljnih uticaja na radnu i životnu sredi</w:t>
      </w:r>
      <w:r w:rsidR="00BC074D">
        <w:rPr>
          <w:rFonts w:ascii="Arial" w:hAnsi="Arial" w:cs="Arial"/>
          <w:noProof/>
        </w:rPr>
        <w:t>nu, obrađeni su u poglavlju br.</w:t>
      </w:r>
      <w:r w:rsidR="00754CD0" w:rsidRPr="00DA6313">
        <w:rPr>
          <w:rFonts w:ascii="Arial" w:hAnsi="Arial" w:cs="Arial"/>
          <w:noProof/>
        </w:rPr>
        <w:t>4</w:t>
      </w:r>
      <w:r w:rsidRPr="00DA6313">
        <w:rPr>
          <w:rFonts w:ascii="Arial" w:hAnsi="Arial" w:cs="Arial"/>
          <w:noProof/>
        </w:rPr>
        <w:t xml:space="preserve"> Mj</w:t>
      </w:r>
      <w:r w:rsidR="0032264F" w:rsidRPr="00DA6313">
        <w:rPr>
          <w:rFonts w:ascii="Arial" w:hAnsi="Arial" w:cs="Arial"/>
          <w:noProof/>
        </w:rPr>
        <w:t xml:space="preserve">ere za zaštitu životne sredine. </w:t>
      </w:r>
      <w:r w:rsidRPr="00DA6313">
        <w:rPr>
          <w:rFonts w:ascii="Arial" w:hAnsi="Arial" w:cs="Arial"/>
          <w:noProof/>
        </w:rPr>
        <w:t>U ovom poglavlju se obrađuje faza rekultivacije istražno-eksploatacionog prostora.</w:t>
      </w:r>
    </w:p>
    <w:p w14:paraId="48D0087B" w14:textId="77777777" w:rsidR="00744584" w:rsidRPr="00DA6313" w:rsidRDefault="00744584" w:rsidP="008D2281">
      <w:pPr>
        <w:spacing w:after="0" w:line="240" w:lineRule="auto"/>
        <w:jc w:val="both"/>
        <w:rPr>
          <w:rFonts w:ascii="Arial" w:hAnsi="Arial" w:cs="Arial"/>
          <w:noProof/>
        </w:rPr>
      </w:pPr>
    </w:p>
    <w:p w14:paraId="6FE23311" w14:textId="77777777" w:rsidR="00744584" w:rsidRPr="00DA6313" w:rsidRDefault="00744584" w:rsidP="008D2281">
      <w:pPr>
        <w:spacing w:after="0" w:line="240" w:lineRule="auto"/>
        <w:jc w:val="both"/>
        <w:rPr>
          <w:rFonts w:ascii="Arial" w:hAnsi="Arial" w:cs="Arial"/>
          <w:noProof/>
        </w:rPr>
      </w:pPr>
      <w:r w:rsidRPr="00DA6313">
        <w:rPr>
          <w:rFonts w:ascii="Arial" w:hAnsi="Arial" w:cs="Arial"/>
          <w:noProof/>
        </w:rPr>
        <w:t>Novi zakonski uslovi za eksploataciju zahtijevaju da se izvrši rekultivacija prostora koji će biti degradiran obavljanjem koncesione djelatnosti, a sve to u cilju poboljšanja ekoloških uslova na samom lokalitetu i neposrednoj okolini.</w:t>
      </w:r>
    </w:p>
    <w:p w14:paraId="53CE11F4" w14:textId="77777777" w:rsidR="00744584" w:rsidRPr="00DA6313" w:rsidRDefault="00744584" w:rsidP="008D2281">
      <w:pPr>
        <w:spacing w:after="0" w:line="240" w:lineRule="auto"/>
        <w:jc w:val="both"/>
        <w:rPr>
          <w:rFonts w:ascii="Arial" w:hAnsi="Arial" w:cs="Arial"/>
          <w:noProof/>
        </w:rPr>
      </w:pPr>
    </w:p>
    <w:p w14:paraId="2393A45F" w14:textId="77777777" w:rsidR="00744584" w:rsidRPr="00DA6313" w:rsidRDefault="00744584" w:rsidP="008D2281">
      <w:pPr>
        <w:spacing w:after="0" w:line="240" w:lineRule="auto"/>
        <w:jc w:val="both"/>
        <w:rPr>
          <w:rFonts w:ascii="Arial" w:hAnsi="Arial" w:cs="Arial"/>
          <w:noProof/>
        </w:rPr>
      </w:pPr>
      <w:r w:rsidRPr="00DA6313">
        <w:rPr>
          <w:rFonts w:ascii="Arial" w:hAnsi="Arial" w:cs="Arial"/>
          <w:noProof/>
        </w:rPr>
        <w:lastRenderedPageBreak/>
        <w:t>Ako bi se degradirane površine ostavile, nakon izvođenja radova na eksploataciji, u istom stanju, mogu se očekivati neki od sljedećih negativnih uticaja:</w:t>
      </w:r>
    </w:p>
    <w:p w14:paraId="7215851C" w14:textId="77777777" w:rsidR="0081756F" w:rsidRPr="00DA6313" w:rsidRDefault="0081756F" w:rsidP="008D2281">
      <w:pPr>
        <w:spacing w:after="0" w:line="240" w:lineRule="auto"/>
        <w:jc w:val="both"/>
        <w:rPr>
          <w:rFonts w:ascii="Arial" w:hAnsi="Arial" w:cs="Arial"/>
          <w:noProof/>
        </w:rPr>
      </w:pPr>
    </w:p>
    <w:p w14:paraId="3EA070A4" w14:textId="77777777" w:rsidR="00744584" w:rsidRPr="00DA6313" w:rsidRDefault="00744584" w:rsidP="00560683">
      <w:pPr>
        <w:pStyle w:val="ListParagraph"/>
        <w:numPr>
          <w:ilvl w:val="0"/>
          <w:numId w:val="1"/>
        </w:numPr>
        <w:tabs>
          <w:tab w:val="clear" w:pos="0"/>
          <w:tab w:val="num" w:pos="142"/>
        </w:tabs>
        <w:spacing w:after="0" w:line="240" w:lineRule="auto"/>
        <w:ind w:left="567" w:hanging="283"/>
        <w:contextualSpacing w:val="0"/>
        <w:jc w:val="both"/>
        <w:rPr>
          <w:rFonts w:ascii="Arial" w:hAnsi="Arial" w:cs="Arial"/>
          <w:noProof/>
        </w:rPr>
      </w:pPr>
      <w:r w:rsidRPr="00DA6313">
        <w:rPr>
          <w:rFonts w:ascii="Arial" w:hAnsi="Arial" w:cs="Arial"/>
          <w:noProof/>
        </w:rPr>
        <w:t>produžavanje nepovoljnog uticaja pejzažnog izgleda terena,</w:t>
      </w:r>
    </w:p>
    <w:p w14:paraId="2C0E2BF4" w14:textId="77777777" w:rsidR="0032264F" w:rsidRPr="00DA6313" w:rsidRDefault="00744584" w:rsidP="00560683">
      <w:pPr>
        <w:pStyle w:val="ListParagraph"/>
        <w:numPr>
          <w:ilvl w:val="0"/>
          <w:numId w:val="1"/>
        </w:numPr>
        <w:tabs>
          <w:tab w:val="clear" w:pos="0"/>
          <w:tab w:val="num" w:pos="142"/>
        </w:tabs>
        <w:spacing w:after="0" w:line="240" w:lineRule="auto"/>
        <w:ind w:left="567" w:hanging="283"/>
        <w:contextualSpacing w:val="0"/>
        <w:jc w:val="both"/>
        <w:rPr>
          <w:rFonts w:ascii="Arial" w:hAnsi="Arial" w:cs="Arial"/>
          <w:noProof/>
        </w:rPr>
      </w:pPr>
      <w:r w:rsidRPr="00DA6313">
        <w:rPr>
          <w:rFonts w:ascii="Arial" w:hAnsi="Arial" w:cs="Arial"/>
          <w:noProof/>
        </w:rPr>
        <w:t>pogoršavanje stanja degradiranih površina zbog pojave erozije, klizišta i sl.,</w:t>
      </w:r>
    </w:p>
    <w:p w14:paraId="36B90A74" w14:textId="77777777" w:rsidR="00744584" w:rsidRPr="00DA6313" w:rsidRDefault="00744584" w:rsidP="00560683">
      <w:pPr>
        <w:pStyle w:val="ListParagraph"/>
        <w:numPr>
          <w:ilvl w:val="0"/>
          <w:numId w:val="1"/>
        </w:numPr>
        <w:tabs>
          <w:tab w:val="clear" w:pos="0"/>
          <w:tab w:val="num" w:pos="142"/>
        </w:tabs>
        <w:spacing w:after="0" w:line="240" w:lineRule="auto"/>
        <w:ind w:left="567" w:hanging="283"/>
        <w:contextualSpacing w:val="0"/>
        <w:jc w:val="both"/>
        <w:rPr>
          <w:rFonts w:ascii="Arial" w:hAnsi="Arial" w:cs="Arial"/>
          <w:noProof/>
        </w:rPr>
      </w:pPr>
      <w:r w:rsidRPr="00DA6313">
        <w:rPr>
          <w:rFonts w:ascii="Arial" w:hAnsi="Arial" w:cs="Arial"/>
          <w:noProof/>
        </w:rPr>
        <w:t xml:space="preserve">produžavanje negativnih uticaja na vazduh i okolno zemljište (podizanje prašine izazvane </w:t>
      </w:r>
      <w:r w:rsidR="0091625A" w:rsidRPr="00DA6313">
        <w:rPr>
          <w:rFonts w:ascii="Arial" w:hAnsi="Arial" w:cs="Arial"/>
          <w:noProof/>
        </w:rPr>
        <w:t xml:space="preserve"> </w:t>
      </w:r>
      <w:r w:rsidRPr="00DA6313">
        <w:rPr>
          <w:rFonts w:ascii="Arial" w:hAnsi="Arial" w:cs="Arial"/>
          <w:noProof/>
        </w:rPr>
        <w:t>vjetrom, odnošenje materijala površinskim – atmosferskim vodama).</w:t>
      </w:r>
    </w:p>
    <w:p w14:paraId="73D2E3AC" w14:textId="77777777" w:rsidR="00EB6A56" w:rsidRPr="00DA6313" w:rsidRDefault="00EB6A56" w:rsidP="008D2281">
      <w:pPr>
        <w:spacing w:after="0" w:line="240" w:lineRule="auto"/>
        <w:jc w:val="both"/>
        <w:rPr>
          <w:rFonts w:ascii="Arial" w:hAnsi="Arial" w:cs="Arial"/>
          <w:noProof/>
        </w:rPr>
      </w:pPr>
    </w:p>
    <w:p w14:paraId="7C752E06" w14:textId="77777777" w:rsidR="000A7CB6" w:rsidRPr="00473274" w:rsidRDefault="000A7CB6" w:rsidP="000A7CB6">
      <w:pPr>
        <w:jc w:val="both"/>
        <w:rPr>
          <w:rFonts w:ascii="Arial" w:hAnsi="Arial" w:cs="Arial"/>
          <w:lang w:val="sl-SI"/>
        </w:rPr>
      </w:pPr>
      <w:r w:rsidRPr="00473274">
        <w:rPr>
          <w:rFonts w:ascii="Arial" w:hAnsi="Arial" w:cs="Arial"/>
          <w:lang w:val="sl-SI"/>
        </w:rPr>
        <w:t>Otkopavanje uglja i otkrivke, kao i odlaganje otkrivke u fazi rada treba vršiti tako da se dostigne geometrija izgleda rudarskih objekata koja treba da bude završena</w:t>
      </w:r>
      <w:r w:rsidR="00BC074D">
        <w:rPr>
          <w:rFonts w:ascii="Arial" w:hAnsi="Arial" w:cs="Arial"/>
          <w:lang w:val="sl-SI"/>
        </w:rPr>
        <w:t>,</w:t>
      </w:r>
      <w:r w:rsidRPr="00473274">
        <w:rPr>
          <w:rFonts w:ascii="Arial" w:hAnsi="Arial" w:cs="Arial"/>
          <w:lang w:val="sl-SI"/>
        </w:rPr>
        <w:t xml:space="preserve"> a u funkciji buduće namjene terena.</w:t>
      </w:r>
    </w:p>
    <w:p w14:paraId="367395CA" w14:textId="77777777" w:rsidR="000A7CB6" w:rsidRPr="00473274" w:rsidRDefault="000A7CB6" w:rsidP="000A7CB6">
      <w:pPr>
        <w:jc w:val="both"/>
        <w:rPr>
          <w:rFonts w:ascii="Arial" w:hAnsi="Arial" w:cs="Arial"/>
          <w:lang w:val="sl-SI"/>
        </w:rPr>
      </w:pPr>
      <w:r w:rsidRPr="00473274">
        <w:rPr>
          <w:rFonts w:ascii="Arial" w:hAnsi="Arial" w:cs="Arial"/>
          <w:lang w:val="sl-SI"/>
        </w:rPr>
        <w:t>Takođe, u toku eksploatacije neophodno je vršiti selektivno odlaganje gdje će se humusni materijal iz kopova odlagati kao završni sloj.</w:t>
      </w:r>
    </w:p>
    <w:p w14:paraId="0B4638BC" w14:textId="77777777" w:rsidR="000A7CB6" w:rsidRDefault="000A7CB6" w:rsidP="000A7CB6">
      <w:pPr>
        <w:jc w:val="both"/>
        <w:rPr>
          <w:sz w:val="28"/>
          <w:szCs w:val="28"/>
          <w:lang w:val="sl-SI"/>
        </w:rPr>
      </w:pPr>
      <w:r w:rsidRPr="00473274">
        <w:rPr>
          <w:rFonts w:ascii="Arial" w:hAnsi="Arial" w:cs="Arial"/>
          <w:lang w:val="sl-SI"/>
        </w:rPr>
        <w:t>Ovakav način rada čini podlogu za izradu projekta rekultivacije koji je neophodno uraditi na bazi projektovane dinamike eksploatacije.</w:t>
      </w:r>
    </w:p>
    <w:p w14:paraId="1FFB2950" w14:textId="77777777" w:rsidR="00EB6A56" w:rsidRPr="00DA6313" w:rsidRDefault="00EB6A56" w:rsidP="00EB6A56">
      <w:pPr>
        <w:pStyle w:val="BodyText"/>
        <w:spacing w:after="0" w:line="240" w:lineRule="auto"/>
        <w:jc w:val="both"/>
        <w:rPr>
          <w:rFonts w:ascii="Arial" w:hAnsi="Arial" w:cs="Arial"/>
          <w:noProof/>
          <w:sz w:val="22"/>
          <w:szCs w:val="22"/>
        </w:rPr>
      </w:pPr>
      <w:r w:rsidRPr="00DA6313">
        <w:rPr>
          <w:rFonts w:ascii="Arial" w:hAnsi="Arial" w:cs="Arial"/>
          <w:noProof/>
          <w:sz w:val="22"/>
          <w:szCs w:val="22"/>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p>
    <w:p w14:paraId="016CB191" w14:textId="77777777" w:rsidR="00EB6A56" w:rsidRPr="00DA6313" w:rsidRDefault="00EB6A56" w:rsidP="00EB6A56">
      <w:pPr>
        <w:pStyle w:val="BodyText"/>
        <w:spacing w:after="0" w:line="240" w:lineRule="auto"/>
        <w:jc w:val="both"/>
        <w:rPr>
          <w:rFonts w:ascii="Arial" w:hAnsi="Arial" w:cs="Arial"/>
          <w:noProof/>
          <w:sz w:val="22"/>
          <w:szCs w:val="22"/>
        </w:rPr>
      </w:pPr>
    </w:p>
    <w:p w14:paraId="41E4B070" w14:textId="77777777" w:rsidR="00EB6A56" w:rsidRPr="00DA6313" w:rsidRDefault="00EB6A56" w:rsidP="00EB6A56">
      <w:pPr>
        <w:pStyle w:val="BodyText"/>
        <w:spacing w:after="0" w:line="240" w:lineRule="auto"/>
        <w:jc w:val="both"/>
        <w:rPr>
          <w:rFonts w:ascii="Arial" w:hAnsi="Arial" w:cs="Arial"/>
          <w:noProof/>
          <w:sz w:val="22"/>
          <w:szCs w:val="22"/>
        </w:rPr>
      </w:pPr>
      <w:r w:rsidRPr="00DA6313">
        <w:rPr>
          <w:rFonts w:ascii="Arial" w:hAnsi="Arial" w:cs="Arial"/>
          <w:noProof/>
          <w:sz w:val="22"/>
          <w:szCs w:val="22"/>
        </w:rPr>
        <w:t>Zbog velike važnosti ove faze rada, zakonskim propisima utvrđena je obaveza izrade projektnih rješenja rekultivacije, izradom Glavnog rudarskog projekta (Pravilnik o sadržaju rudarskih projekata) ili izradom posebnog tehničkog projekta rekultivacije, koji je sastavni dio Glavnog rudarskog projekta.</w:t>
      </w:r>
    </w:p>
    <w:p w14:paraId="7D518B55" w14:textId="77777777" w:rsidR="00EB6A56" w:rsidRPr="00DA6313" w:rsidRDefault="00EB6A56" w:rsidP="00EB6A56">
      <w:pPr>
        <w:pStyle w:val="BodyText"/>
        <w:spacing w:after="0" w:line="240" w:lineRule="auto"/>
        <w:jc w:val="both"/>
        <w:rPr>
          <w:rFonts w:ascii="Arial" w:hAnsi="Arial" w:cs="Arial"/>
          <w:noProof/>
          <w:sz w:val="22"/>
          <w:szCs w:val="22"/>
        </w:rPr>
      </w:pPr>
    </w:p>
    <w:p w14:paraId="3C5B2E98" w14:textId="77777777" w:rsidR="00EB6A56" w:rsidRDefault="00EB6A56" w:rsidP="00EB6A56">
      <w:pPr>
        <w:pStyle w:val="BodyText"/>
        <w:spacing w:after="0" w:line="240" w:lineRule="auto"/>
        <w:jc w:val="both"/>
        <w:rPr>
          <w:rFonts w:ascii="Arial" w:hAnsi="Arial" w:cs="Arial"/>
          <w:noProof/>
          <w:sz w:val="22"/>
          <w:szCs w:val="22"/>
        </w:rPr>
      </w:pPr>
      <w:r w:rsidRPr="00DA6313">
        <w:rPr>
          <w:rFonts w:ascii="Arial" w:hAnsi="Arial" w:cs="Arial"/>
          <w:noProof/>
          <w:sz w:val="22"/>
          <w:szCs w:val="22"/>
        </w:rPr>
        <w:t>Projektima se daju rješenja rudarsko-tehničke i biološke rekultivacije površina degradiranih izvođenjem rudarskih radova, uz uvažavanje uslova koji su utvrđeni Elaboratom o procjeni uticaja na životnu sredinu, vodnih uslova i sl.</w:t>
      </w:r>
    </w:p>
    <w:p w14:paraId="11175AA8" w14:textId="77777777" w:rsidR="00A40F06" w:rsidRPr="00DA6313" w:rsidRDefault="00A40F06" w:rsidP="00EB6A56">
      <w:pPr>
        <w:pStyle w:val="BodyText"/>
        <w:spacing w:after="0" w:line="240" w:lineRule="auto"/>
        <w:jc w:val="both"/>
        <w:rPr>
          <w:rFonts w:ascii="Arial" w:hAnsi="Arial" w:cs="Arial"/>
          <w:noProof/>
          <w:sz w:val="22"/>
          <w:szCs w:val="22"/>
        </w:rPr>
      </w:pPr>
    </w:p>
    <w:p w14:paraId="47FDA5EA" w14:textId="77777777" w:rsidR="00744584" w:rsidRPr="00DA6313" w:rsidRDefault="00B74AD2" w:rsidP="00D62A70">
      <w:pPr>
        <w:pStyle w:val="Heading2"/>
      </w:pPr>
      <w:bookmarkStart w:id="22" w:name="_Toc402262950"/>
      <w:r w:rsidRPr="00A40F06">
        <w:rPr>
          <w:rFonts w:cs="Arial"/>
        </w:rPr>
        <w:t>5.1</w:t>
      </w:r>
      <w:r>
        <w:rPr>
          <w:rFonts w:cs="Arial"/>
        </w:rPr>
        <w:t xml:space="preserve">  </w:t>
      </w:r>
      <w:r w:rsidR="00744584" w:rsidRPr="00DA6313">
        <w:t>Zaključak</w:t>
      </w:r>
      <w:bookmarkEnd w:id="22"/>
    </w:p>
    <w:p w14:paraId="68D2D567" w14:textId="77777777" w:rsidR="00744584" w:rsidRPr="00DA6313" w:rsidRDefault="00744584" w:rsidP="008D2281">
      <w:pPr>
        <w:spacing w:after="0" w:line="240" w:lineRule="auto"/>
        <w:jc w:val="both"/>
        <w:rPr>
          <w:rFonts w:ascii="Arial" w:hAnsi="Arial" w:cs="Arial"/>
          <w:noProof/>
        </w:rPr>
      </w:pPr>
    </w:p>
    <w:p w14:paraId="7B51B09F" w14:textId="77777777" w:rsidR="00744584" w:rsidRPr="00DA6313" w:rsidRDefault="00744584" w:rsidP="008D2281">
      <w:pPr>
        <w:spacing w:after="0" w:line="240" w:lineRule="auto"/>
        <w:jc w:val="both"/>
        <w:rPr>
          <w:rFonts w:ascii="Arial" w:hAnsi="Arial" w:cs="Arial"/>
          <w:noProof/>
        </w:rPr>
      </w:pPr>
      <w:r w:rsidRPr="00DA6313">
        <w:rPr>
          <w:rFonts w:ascii="Arial" w:hAnsi="Arial" w:cs="Arial"/>
          <w:noProof/>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 od strane organa državne uprave nadležnog za poslove zaštite životne sredine data saglasnost i mjere zaštite voda u skladu sa zakonom.</w:t>
      </w:r>
    </w:p>
    <w:p w14:paraId="07F1CCA9" w14:textId="77777777" w:rsidR="00744584" w:rsidRPr="00DA6313" w:rsidRDefault="00744584" w:rsidP="008D2281">
      <w:pPr>
        <w:spacing w:after="0" w:line="240" w:lineRule="auto"/>
        <w:jc w:val="both"/>
        <w:rPr>
          <w:rFonts w:ascii="Arial" w:hAnsi="Arial" w:cs="Arial"/>
          <w:noProof/>
        </w:rPr>
      </w:pPr>
    </w:p>
    <w:p w14:paraId="62451D79" w14:textId="77777777" w:rsidR="00744584" w:rsidRPr="00DA6313" w:rsidRDefault="00744584" w:rsidP="008D2281">
      <w:pPr>
        <w:spacing w:after="0" w:line="240" w:lineRule="auto"/>
        <w:jc w:val="both"/>
        <w:rPr>
          <w:rFonts w:ascii="Arial" w:hAnsi="Arial" w:cs="Arial"/>
          <w:noProof/>
        </w:rPr>
      </w:pPr>
      <w:r w:rsidRPr="00DA6313">
        <w:rPr>
          <w:rFonts w:ascii="Arial" w:hAnsi="Arial" w:cs="Arial"/>
          <w:noProof/>
        </w:rPr>
        <w:t xml:space="preserve">O naprijed navedenim mjerama izvještavaju se ministarstvo </w:t>
      </w:r>
      <w:r w:rsidR="00980865">
        <w:rPr>
          <w:rFonts w:ascii="Arial" w:hAnsi="Arial" w:cs="Arial"/>
          <w:noProof/>
        </w:rPr>
        <w:t>nadležno za oblast rudarstva</w:t>
      </w:r>
      <w:r w:rsidRPr="00DA6313">
        <w:rPr>
          <w:rFonts w:ascii="Arial" w:hAnsi="Arial" w:cs="Arial"/>
          <w:noProof/>
        </w:rPr>
        <w:t xml:space="preserve"> i ministarstva nadležna za poslove poljoprivrede, vodoprivrede, zaštite životne sredine i nadležni organ lokalne uprave.</w:t>
      </w:r>
    </w:p>
    <w:p w14:paraId="1088A000" w14:textId="77777777" w:rsidR="00744584" w:rsidRPr="00DA6313" w:rsidRDefault="00744584" w:rsidP="008D2281">
      <w:pPr>
        <w:spacing w:after="0" w:line="240" w:lineRule="auto"/>
        <w:jc w:val="both"/>
        <w:rPr>
          <w:rFonts w:ascii="Arial" w:hAnsi="Arial" w:cs="Arial"/>
          <w:noProof/>
        </w:rPr>
      </w:pPr>
    </w:p>
    <w:p w14:paraId="646EC8D6" w14:textId="77777777" w:rsidR="00744584" w:rsidRPr="00DA6313" w:rsidRDefault="00744584" w:rsidP="008D2281">
      <w:pPr>
        <w:spacing w:after="0" w:line="240" w:lineRule="auto"/>
        <w:jc w:val="both"/>
        <w:rPr>
          <w:rFonts w:ascii="Arial" w:hAnsi="Arial" w:cs="Arial"/>
          <w:noProof/>
        </w:rPr>
      </w:pPr>
      <w:r w:rsidRPr="00DA6313">
        <w:rPr>
          <w:rFonts w:ascii="Arial" w:hAnsi="Arial" w:cs="Arial"/>
          <w:noProof/>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091B935C" w14:textId="77777777" w:rsidR="00744584" w:rsidRPr="00DA6313" w:rsidRDefault="00744584" w:rsidP="008D2281">
      <w:pPr>
        <w:spacing w:after="0" w:line="240" w:lineRule="auto"/>
        <w:jc w:val="both"/>
        <w:rPr>
          <w:rFonts w:ascii="Arial" w:hAnsi="Arial" w:cs="Arial"/>
          <w:noProof/>
        </w:rPr>
      </w:pPr>
    </w:p>
    <w:p w14:paraId="01F0ED31" w14:textId="77777777" w:rsidR="0091625A" w:rsidRDefault="00744584" w:rsidP="008D2281">
      <w:pPr>
        <w:spacing w:after="0" w:line="240" w:lineRule="auto"/>
        <w:jc w:val="both"/>
        <w:rPr>
          <w:rFonts w:ascii="Arial" w:hAnsi="Arial" w:cs="Arial"/>
          <w:noProof/>
        </w:rPr>
      </w:pPr>
      <w:r w:rsidRPr="00DA6313">
        <w:rPr>
          <w:rFonts w:ascii="Arial" w:hAnsi="Arial" w:cs="Arial"/>
          <w:noProof/>
        </w:rPr>
        <w:t>Visina sredstava za sanaciju i rekultivaciju prostora na kojem se izvode rudarski radovi, način obračunavanja, plaćanja i korišćenja sredstava bliže je uređen Uredbom o visini sredstava za sanaciju i rekultivaciju prostora na kojem se izvodi rudarski radovi, načinu obračunavanja, plaćanja i korišćenja tih sredstava (“Sl. list CG”, br. 51/11).</w:t>
      </w:r>
    </w:p>
    <w:p w14:paraId="12C83031" w14:textId="77777777" w:rsidR="005931FB" w:rsidRDefault="005931FB" w:rsidP="008D2281">
      <w:pPr>
        <w:spacing w:after="0" w:line="240" w:lineRule="auto"/>
        <w:jc w:val="both"/>
        <w:rPr>
          <w:rFonts w:ascii="Arial" w:hAnsi="Arial" w:cs="Arial"/>
          <w:noProof/>
        </w:rPr>
      </w:pPr>
    </w:p>
    <w:p w14:paraId="24ED94E8" w14:textId="77777777" w:rsidR="005931FB" w:rsidRPr="00DA6313" w:rsidRDefault="005931FB" w:rsidP="008D2281">
      <w:pPr>
        <w:spacing w:after="0" w:line="240" w:lineRule="auto"/>
        <w:jc w:val="both"/>
        <w:rPr>
          <w:rFonts w:ascii="Arial" w:hAnsi="Arial" w:cs="Arial"/>
          <w:noProof/>
        </w:rPr>
      </w:pPr>
    </w:p>
    <w:p w14:paraId="49764F3D" w14:textId="77777777" w:rsidR="0032264F" w:rsidRPr="00DA6313" w:rsidRDefault="0032264F" w:rsidP="008D2281">
      <w:pPr>
        <w:spacing w:after="0" w:line="240" w:lineRule="auto"/>
        <w:jc w:val="both"/>
        <w:rPr>
          <w:rFonts w:ascii="Arial" w:hAnsi="Arial" w:cs="Arial"/>
          <w:noProof/>
        </w:rPr>
      </w:pPr>
    </w:p>
    <w:p w14:paraId="5ACAB186" w14:textId="77777777" w:rsidR="00560683" w:rsidRPr="00DA6313" w:rsidRDefault="00560683" w:rsidP="008D2281">
      <w:pPr>
        <w:spacing w:after="0" w:line="240" w:lineRule="auto"/>
        <w:jc w:val="both"/>
        <w:rPr>
          <w:rFonts w:ascii="Arial" w:hAnsi="Arial" w:cs="Arial"/>
          <w:noProof/>
        </w:rPr>
      </w:pPr>
    </w:p>
    <w:p w14:paraId="2D093DC5" w14:textId="77777777" w:rsidR="00744584" w:rsidRPr="00DA6313" w:rsidRDefault="00A601B6" w:rsidP="00664C2A">
      <w:pPr>
        <w:pStyle w:val="Heading1"/>
        <w:numPr>
          <w:ilvl w:val="0"/>
          <w:numId w:val="24"/>
        </w:numPr>
        <w:ind w:left="0" w:firstLine="0"/>
        <w:jc w:val="both"/>
        <w:rPr>
          <w:rFonts w:ascii="Arial" w:hAnsi="Arial" w:cs="Arial"/>
          <w:noProof/>
          <w:sz w:val="22"/>
          <w:szCs w:val="22"/>
        </w:rPr>
      </w:pPr>
      <w:bookmarkStart w:id="23" w:name="_Toc402262951"/>
      <w:r w:rsidRPr="00DA6313">
        <w:rPr>
          <w:rFonts w:ascii="Arial" w:hAnsi="Arial" w:cs="Arial"/>
          <w:noProof/>
          <w:sz w:val="22"/>
          <w:szCs w:val="22"/>
        </w:rPr>
        <w:lastRenderedPageBreak/>
        <w:t>UNAPREĐENJE ENERGETSKE EFIKASNOSTI</w:t>
      </w:r>
      <w:bookmarkEnd w:id="23"/>
    </w:p>
    <w:p w14:paraId="56936B1B" w14:textId="77777777" w:rsidR="00744584" w:rsidRPr="00DA6313" w:rsidRDefault="00744584" w:rsidP="008D2281">
      <w:pPr>
        <w:spacing w:after="0" w:line="240" w:lineRule="auto"/>
        <w:jc w:val="both"/>
        <w:rPr>
          <w:rFonts w:ascii="Arial" w:hAnsi="Arial" w:cs="Arial"/>
          <w:noProof/>
        </w:rPr>
      </w:pPr>
    </w:p>
    <w:p w14:paraId="7080E204" w14:textId="77777777" w:rsidR="00894876" w:rsidRPr="00DA6313" w:rsidRDefault="00894876" w:rsidP="008D2281">
      <w:pPr>
        <w:spacing w:after="0" w:line="240" w:lineRule="auto"/>
        <w:jc w:val="both"/>
        <w:rPr>
          <w:rFonts w:ascii="Arial" w:hAnsi="Arial" w:cs="Arial"/>
          <w:noProof/>
        </w:rPr>
      </w:pPr>
      <w:r w:rsidRPr="00DA6313">
        <w:rPr>
          <w:rFonts w:ascii="Arial" w:hAnsi="Arial" w:cs="Arial"/>
          <w:noProof/>
        </w:rPr>
        <w:t>Radi efikasnog korišćenja energije, u skladu sa odredbama Zakona o efikasnom korišćenju energije (</w:t>
      </w:r>
      <w:r w:rsidR="00560683" w:rsidRPr="00DA6313">
        <w:rPr>
          <w:rFonts w:ascii="Arial" w:hAnsi="Arial" w:cs="Arial"/>
          <w:noProof/>
        </w:rPr>
        <w:t>„</w:t>
      </w:r>
      <w:r w:rsidRPr="00DA6313">
        <w:rPr>
          <w:rFonts w:ascii="Arial" w:hAnsi="Arial" w:cs="Arial"/>
          <w:noProof/>
        </w:rPr>
        <w:t>Sl.list CG</w:t>
      </w:r>
      <w:r w:rsidR="00FB2C1B" w:rsidRPr="00DA6313">
        <w:rPr>
          <w:rFonts w:ascii="Arial" w:hAnsi="Arial" w:cs="Arial"/>
          <w:noProof/>
        </w:rPr>
        <w:t>“</w:t>
      </w:r>
      <w:r w:rsidRPr="00DA6313">
        <w:rPr>
          <w:rFonts w:ascii="Arial" w:hAnsi="Arial" w:cs="Arial"/>
          <w:noProof/>
        </w:rPr>
        <w:t xml:space="preserve"> br</w:t>
      </w:r>
      <w:r w:rsidR="00560683" w:rsidRPr="00DA6313">
        <w:rPr>
          <w:rFonts w:ascii="Arial" w:hAnsi="Arial" w:cs="Arial"/>
          <w:noProof/>
        </w:rPr>
        <w:t>.</w:t>
      </w:r>
      <w:r w:rsidRPr="00DA6313">
        <w:rPr>
          <w:rFonts w:ascii="Arial" w:hAnsi="Arial" w:cs="Arial"/>
          <w:noProof/>
        </w:rPr>
        <w:t xml:space="preserve"> 57/14</w:t>
      </w:r>
      <w:r w:rsidR="003C5414" w:rsidRPr="00DA6313">
        <w:rPr>
          <w:rFonts w:ascii="Arial" w:hAnsi="Arial" w:cs="Arial"/>
          <w:noProof/>
        </w:rPr>
        <w:t>,</w:t>
      </w:r>
      <w:r w:rsidRPr="00DA6313">
        <w:rPr>
          <w:rFonts w:ascii="Arial" w:hAnsi="Arial" w:cs="Arial"/>
          <w:noProof/>
        </w:rPr>
        <w:t xml:space="preserve"> 3/15</w:t>
      </w:r>
      <w:r w:rsidR="003C5414" w:rsidRPr="00DA6313">
        <w:rPr>
          <w:rFonts w:ascii="Arial" w:hAnsi="Arial" w:cs="Arial"/>
          <w:noProof/>
        </w:rPr>
        <w:t xml:space="preserve"> i 25/19</w:t>
      </w:r>
      <w:r w:rsidRPr="00DA6313">
        <w:rPr>
          <w:rFonts w:ascii="Arial" w:hAnsi="Arial" w:cs="Arial"/>
          <w:noProof/>
        </w:rPr>
        <w:t>)</w:t>
      </w:r>
      <w:r w:rsidR="003C5414" w:rsidRPr="00DA6313">
        <w:rPr>
          <w:rFonts w:ascii="Arial" w:hAnsi="Arial" w:cs="Arial"/>
          <w:noProof/>
        </w:rPr>
        <w:t>,</w:t>
      </w:r>
      <w:r w:rsidRPr="00DA6313">
        <w:rPr>
          <w:rFonts w:ascii="Arial" w:hAnsi="Arial" w:cs="Arial"/>
          <w:noProof/>
        </w:rPr>
        <w:t xml:space="preserve"> Koncesionar je dužan da preduzima mjere za poboljšanje energetske efikasnosti.</w:t>
      </w:r>
    </w:p>
    <w:p w14:paraId="1B6BB349" w14:textId="77777777" w:rsidR="002431A8" w:rsidRPr="00DA6313" w:rsidRDefault="002431A8" w:rsidP="008D2281">
      <w:pPr>
        <w:spacing w:after="0" w:line="240" w:lineRule="auto"/>
        <w:jc w:val="both"/>
        <w:rPr>
          <w:rFonts w:ascii="Arial" w:hAnsi="Arial" w:cs="Arial"/>
          <w:noProof/>
        </w:rPr>
      </w:pPr>
    </w:p>
    <w:p w14:paraId="0DC9A681" w14:textId="77777777" w:rsidR="00894876" w:rsidRPr="00DA6313" w:rsidRDefault="00894876" w:rsidP="008D2281">
      <w:pPr>
        <w:spacing w:after="0" w:line="240" w:lineRule="auto"/>
        <w:jc w:val="both"/>
        <w:rPr>
          <w:rFonts w:ascii="Arial" w:hAnsi="Arial" w:cs="Arial"/>
          <w:noProof/>
        </w:rPr>
      </w:pPr>
      <w:r w:rsidRPr="00DA6313">
        <w:rPr>
          <w:rFonts w:ascii="Arial" w:hAnsi="Arial" w:cs="Arial"/>
          <w:noProof/>
        </w:rPr>
        <w:t xml:space="preserve">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14:paraId="0C055212" w14:textId="77777777" w:rsidR="002431A8" w:rsidRPr="00DA6313" w:rsidRDefault="002431A8" w:rsidP="008D2281">
      <w:pPr>
        <w:spacing w:after="0" w:line="240" w:lineRule="auto"/>
        <w:jc w:val="both"/>
        <w:rPr>
          <w:rFonts w:ascii="Arial" w:hAnsi="Arial" w:cs="Arial"/>
          <w:noProof/>
        </w:rPr>
      </w:pPr>
    </w:p>
    <w:p w14:paraId="432A40A6" w14:textId="77777777" w:rsidR="00744584" w:rsidRPr="00DA6313" w:rsidRDefault="00894876" w:rsidP="008D2281">
      <w:pPr>
        <w:spacing w:after="0" w:line="240" w:lineRule="auto"/>
        <w:jc w:val="both"/>
        <w:rPr>
          <w:rFonts w:ascii="Arial" w:hAnsi="Arial" w:cs="Arial"/>
          <w:noProof/>
        </w:rPr>
      </w:pPr>
      <w:r w:rsidRPr="00DA6313">
        <w:rPr>
          <w:rFonts w:ascii="Arial" w:hAnsi="Arial" w:cs="Arial"/>
          <w:noProof/>
        </w:rPr>
        <w:t>Sprovođenje mjera energetske efikasnosti utiče na kvalitet radne i životne sredine.</w:t>
      </w:r>
    </w:p>
    <w:p w14:paraId="46FEFE6A" w14:textId="77777777" w:rsidR="007A3D17" w:rsidRPr="00DA6313" w:rsidRDefault="007A3D17" w:rsidP="008D2281">
      <w:pPr>
        <w:spacing w:after="0" w:line="240" w:lineRule="auto"/>
        <w:jc w:val="both"/>
        <w:rPr>
          <w:rFonts w:ascii="Arial" w:hAnsi="Arial" w:cs="Arial"/>
          <w:noProof/>
        </w:rPr>
      </w:pPr>
    </w:p>
    <w:p w14:paraId="3F7307BE" w14:textId="77777777" w:rsidR="00A40F06" w:rsidRPr="00DA6313" w:rsidRDefault="00A40F06" w:rsidP="008D2281">
      <w:pPr>
        <w:spacing w:after="0" w:line="240" w:lineRule="auto"/>
        <w:jc w:val="both"/>
        <w:rPr>
          <w:rFonts w:ascii="Arial" w:hAnsi="Arial" w:cs="Arial"/>
          <w:b/>
          <w:noProof/>
        </w:rPr>
      </w:pPr>
    </w:p>
    <w:p w14:paraId="3AFCD8B1" w14:textId="77777777" w:rsidR="00744584" w:rsidRPr="00DA6313" w:rsidRDefault="007A3D17" w:rsidP="00664C2A">
      <w:pPr>
        <w:pStyle w:val="Heading1"/>
        <w:numPr>
          <w:ilvl w:val="0"/>
          <w:numId w:val="24"/>
        </w:numPr>
        <w:ind w:left="709" w:hanging="709"/>
        <w:rPr>
          <w:rFonts w:ascii="Arial" w:hAnsi="Arial" w:cs="Arial"/>
          <w:noProof/>
          <w:sz w:val="22"/>
          <w:szCs w:val="22"/>
        </w:rPr>
      </w:pPr>
      <w:bookmarkStart w:id="24" w:name="_Toc390549906"/>
      <w:bookmarkStart w:id="25" w:name="_Toc402262952"/>
      <w:r w:rsidRPr="00DA6313">
        <w:rPr>
          <w:rFonts w:ascii="Arial" w:hAnsi="Arial" w:cs="Arial"/>
          <w:noProof/>
          <w:sz w:val="22"/>
          <w:szCs w:val="22"/>
        </w:rPr>
        <w:t>USLOVI KOJE JE DUŽAN DA ISPUNJAVA KONCESIONAR U POGLEDU TEHNIČKE</w:t>
      </w:r>
      <w:r w:rsidR="00560683" w:rsidRPr="00DA6313">
        <w:rPr>
          <w:rFonts w:ascii="Arial" w:hAnsi="Arial" w:cs="Arial"/>
          <w:noProof/>
          <w:sz w:val="22"/>
          <w:szCs w:val="22"/>
        </w:rPr>
        <w:t xml:space="preserve"> </w:t>
      </w:r>
      <w:r w:rsidRPr="00DA6313">
        <w:rPr>
          <w:rFonts w:ascii="Arial" w:hAnsi="Arial" w:cs="Arial"/>
          <w:noProof/>
          <w:sz w:val="22"/>
          <w:szCs w:val="22"/>
        </w:rPr>
        <w:t>OPREMLJENOSTI, FINANSIJSKE SPOSOBNOSTI I OSTALE REFERENCE I DOKAZE O</w:t>
      </w:r>
      <w:r w:rsidR="00560683" w:rsidRPr="00DA6313">
        <w:rPr>
          <w:rFonts w:ascii="Arial" w:hAnsi="Arial" w:cs="Arial"/>
          <w:noProof/>
          <w:sz w:val="22"/>
          <w:szCs w:val="22"/>
        </w:rPr>
        <w:t xml:space="preserve"> </w:t>
      </w:r>
      <w:r w:rsidRPr="00DA6313">
        <w:rPr>
          <w:rFonts w:ascii="Arial" w:hAnsi="Arial" w:cs="Arial"/>
          <w:noProof/>
          <w:sz w:val="22"/>
          <w:szCs w:val="22"/>
        </w:rPr>
        <w:t>ISPUNJAVANJU TIH USLOVA</w:t>
      </w:r>
      <w:bookmarkEnd w:id="24"/>
      <w:bookmarkEnd w:id="25"/>
    </w:p>
    <w:p w14:paraId="1111E1E2" w14:textId="77777777" w:rsidR="00560683" w:rsidRPr="00DA6313" w:rsidRDefault="00560683" w:rsidP="00560683">
      <w:pPr>
        <w:spacing w:after="0"/>
        <w:rPr>
          <w:rFonts w:ascii="Arial" w:hAnsi="Arial" w:cs="Arial"/>
        </w:rPr>
      </w:pPr>
    </w:p>
    <w:p w14:paraId="76135DEF" w14:textId="77777777" w:rsidR="00EB6A56" w:rsidRPr="00DA6313" w:rsidRDefault="00EB6A56" w:rsidP="00EB6A56">
      <w:pPr>
        <w:spacing w:after="0" w:line="240" w:lineRule="auto"/>
        <w:jc w:val="both"/>
        <w:rPr>
          <w:rFonts w:ascii="Arial" w:hAnsi="Arial" w:cs="Arial"/>
          <w:noProof/>
        </w:rPr>
      </w:pPr>
      <w:r w:rsidRPr="00DA6313">
        <w:rPr>
          <w:rFonts w:ascii="Arial" w:hAnsi="Arial" w:cs="Arial"/>
          <w:noProof/>
        </w:rPr>
        <w:t>Obaveze koncesionara u pogledu ispunjavanja uslova definisanih u ovom poglavlju su sljedeće:</w:t>
      </w:r>
    </w:p>
    <w:p w14:paraId="60079AED" w14:textId="77777777" w:rsidR="00EB6A56" w:rsidRPr="00DA6313" w:rsidRDefault="00EB6A56" w:rsidP="00EB6A56">
      <w:pPr>
        <w:spacing w:after="0" w:line="240" w:lineRule="auto"/>
        <w:jc w:val="both"/>
        <w:rPr>
          <w:rFonts w:ascii="Arial" w:hAnsi="Arial" w:cs="Arial"/>
          <w:noProof/>
        </w:rPr>
      </w:pPr>
    </w:p>
    <w:p w14:paraId="1ECF4EBD" w14:textId="77777777" w:rsidR="00EB6A56" w:rsidRPr="00DA6313" w:rsidRDefault="00EB6A56" w:rsidP="00664C2A">
      <w:pPr>
        <w:numPr>
          <w:ilvl w:val="0"/>
          <w:numId w:val="16"/>
        </w:numPr>
        <w:spacing w:after="0" w:line="240" w:lineRule="auto"/>
        <w:jc w:val="both"/>
        <w:rPr>
          <w:rFonts w:ascii="Arial" w:hAnsi="Arial" w:cs="Arial"/>
          <w:noProof/>
        </w:rPr>
      </w:pPr>
      <w:r w:rsidRPr="00DA6313">
        <w:rPr>
          <w:rFonts w:ascii="Arial" w:hAnsi="Arial" w:cs="Arial"/>
          <w:noProof/>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120C7DEF" w14:textId="77777777" w:rsidR="00EB6A56" w:rsidRPr="00DA6313" w:rsidRDefault="00EB6A56" w:rsidP="00664C2A">
      <w:pPr>
        <w:numPr>
          <w:ilvl w:val="0"/>
          <w:numId w:val="16"/>
        </w:numPr>
        <w:spacing w:after="0" w:line="240" w:lineRule="auto"/>
        <w:jc w:val="both"/>
        <w:rPr>
          <w:rFonts w:ascii="Arial" w:hAnsi="Arial" w:cs="Arial"/>
          <w:noProof/>
        </w:rPr>
      </w:pPr>
      <w:r w:rsidRPr="00DA6313">
        <w:rPr>
          <w:rFonts w:ascii="Arial" w:hAnsi="Arial" w:cs="Arial"/>
          <w:noProof/>
        </w:rPr>
        <w:t>da obezbijedi svu potrebnu geološku i rudarsku dokumentaciju, odobrenja i saglasnosti potrebnih za zakonito izvođenje radova</w:t>
      </w:r>
      <w:r w:rsidR="00D07D02">
        <w:rPr>
          <w:rFonts w:ascii="Arial" w:hAnsi="Arial" w:cs="Arial"/>
          <w:noProof/>
        </w:rPr>
        <w:t xml:space="preserve"> </w:t>
      </w:r>
      <w:r w:rsidR="00D07D02">
        <w:rPr>
          <w:rFonts w:ascii="Arial" w:hAnsi="Arial" w:cs="Arial"/>
        </w:rPr>
        <w:t>(</w:t>
      </w:r>
      <w:proofErr w:type="spellStart"/>
      <w:r w:rsidR="00D07D02">
        <w:rPr>
          <w:rFonts w:ascii="Arial" w:hAnsi="Arial" w:cs="Arial"/>
        </w:rPr>
        <w:t>obrađeno</w:t>
      </w:r>
      <w:proofErr w:type="spellEnd"/>
      <w:r w:rsidR="00D07D02">
        <w:rPr>
          <w:rFonts w:ascii="Arial" w:hAnsi="Arial" w:cs="Arial"/>
        </w:rPr>
        <w:t xml:space="preserve"> u </w:t>
      </w:r>
      <w:proofErr w:type="spellStart"/>
      <w:r w:rsidR="00D07D02">
        <w:rPr>
          <w:rFonts w:ascii="Arial" w:hAnsi="Arial" w:cs="Arial"/>
        </w:rPr>
        <w:t>poglavlju</w:t>
      </w:r>
      <w:proofErr w:type="spellEnd"/>
      <w:r w:rsidR="00D07D02">
        <w:rPr>
          <w:rFonts w:ascii="Arial" w:hAnsi="Arial" w:cs="Arial"/>
        </w:rPr>
        <w:t xml:space="preserve"> 11)</w:t>
      </w:r>
      <w:r w:rsidRPr="00DA6313">
        <w:rPr>
          <w:rFonts w:ascii="Arial" w:hAnsi="Arial" w:cs="Arial"/>
          <w:noProof/>
        </w:rPr>
        <w:t>;</w:t>
      </w:r>
    </w:p>
    <w:p w14:paraId="0447E211" w14:textId="77777777" w:rsidR="00EB6A56" w:rsidRPr="00DA6313" w:rsidRDefault="00EB6A56" w:rsidP="00664C2A">
      <w:pPr>
        <w:numPr>
          <w:ilvl w:val="0"/>
          <w:numId w:val="16"/>
        </w:numPr>
        <w:spacing w:after="0" w:line="240" w:lineRule="auto"/>
        <w:jc w:val="both"/>
        <w:rPr>
          <w:rFonts w:ascii="Arial" w:hAnsi="Arial" w:cs="Arial"/>
          <w:noProof/>
        </w:rPr>
      </w:pPr>
      <w:r w:rsidRPr="00DA6313">
        <w:rPr>
          <w:rFonts w:ascii="Arial" w:hAnsi="Arial" w:cs="Arial"/>
          <w:noProof/>
        </w:rPr>
        <w:t>da obezbijedi opremu i mehanizaciju saglasno</w:t>
      </w:r>
      <w:r w:rsidR="008250B1" w:rsidRPr="00DA6313">
        <w:rPr>
          <w:rFonts w:ascii="Arial" w:hAnsi="Arial" w:cs="Arial"/>
          <w:noProof/>
        </w:rPr>
        <w:t xml:space="preserve"> verifikovanoj</w:t>
      </w:r>
      <w:r w:rsidRPr="00DA6313">
        <w:rPr>
          <w:rFonts w:ascii="Arial" w:hAnsi="Arial" w:cs="Arial"/>
          <w:noProof/>
        </w:rPr>
        <w:t xml:space="preserve"> rudarskoj i tehničkoj dokumentaciji - oprema i mehanizacija treba da ispunjava uslove propisane pravilnicima o tehičkim normativima za izvođenje planirane vrste radova na predmetnom lokalitetu;</w:t>
      </w:r>
    </w:p>
    <w:p w14:paraId="54B8480B" w14:textId="77777777" w:rsidR="00D07D02" w:rsidRPr="00EC4B05" w:rsidRDefault="00D07D02" w:rsidP="00664C2A">
      <w:pPr>
        <w:pStyle w:val="ListParagraph"/>
        <w:numPr>
          <w:ilvl w:val="0"/>
          <w:numId w:val="16"/>
        </w:numPr>
        <w:suppressAutoHyphens w:val="0"/>
        <w:spacing w:after="0" w:line="240" w:lineRule="auto"/>
        <w:jc w:val="both"/>
        <w:rPr>
          <w:rFonts w:ascii="Arial" w:hAnsi="Arial" w:cs="Arial"/>
        </w:rPr>
      </w:pPr>
      <w:r>
        <w:rPr>
          <w:rFonts w:ascii="Arial" w:hAnsi="Arial" w:cs="Arial"/>
        </w:rPr>
        <w:t>d</w:t>
      </w:r>
      <w:r w:rsidRPr="004922A7">
        <w:rPr>
          <w:rFonts w:ascii="Arial" w:hAnsi="Arial" w:cs="Arial"/>
        </w:rPr>
        <w:t xml:space="preserve">a </w:t>
      </w:r>
      <w:proofErr w:type="spellStart"/>
      <w:r w:rsidRPr="004922A7">
        <w:rPr>
          <w:rFonts w:ascii="Arial" w:hAnsi="Arial" w:cs="Arial"/>
        </w:rPr>
        <w:t>obezbijedi</w:t>
      </w:r>
      <w:proofErr w:type="spellEnd"/>
      <w:r w:rsidRPr="004922A7">
        <w:rPr>
          <w:rFonts w:ascii="Arial" w:hAnsi="Arial" w:cs="Arial"/>
        </w:rPr>
        <w:t xml:space="preserve"> </w:t>
      </w:r>
      <w:proofErr w:type="spellStart"/>
      <w:r w:rsidRPr="004922A7">
        <w:rPr>
          <w:rFonts w:ascii="Arial" w:hAnsi="Arial" w:cs="Arial"/>
        </w:rPr>
        <w:t>radnu</w:t>
      </w:r>
      <w:proofErr w:type="spellEnd"/>
      <w:r w:rsidRPr="004922A7">
        <w:rPr>
          <w:rFonts w:ascii="Arial" w:hAnsi="Arial" w:cs="Arial"/>
        </w:rPr>
        <w:t xml:space="preserve"> </w:t>
      </w:r>
      <w:proofErr w:type="spellStart"/>
      <w:r w:rsidRPr="004922A7">
        <w:rPr>
          <w:rFonts w:ascii="Arial" w:hAnsi="Arial" w:cs="Arial"/>
        </w:rPr>
        <w:t>snagu</w:t>
      </w:r>
      <w:proofErr w:type="spellEnd"/>
      <w:r w:rsidRPr="004922A7">
        <w:rPr>
          <w:rFonts w:ascii="Arial" w:hAnsi="Arial" w:cs="Arial"/>
        </w:rPr>
        <w:t xml:space="preserve"> </w:t>
      </w:r>
      <w:proofErr w:type="spellStart"/>
      <w:r w:rsidRPr="004922A7">
        <w:rPr>
          <w:rFonts w:ascii="Arial" w:hAnsi="Arial" w:cs="Arial"/>
        </w:rPr>
        <w:t>saglasno</w:t>
      </w:r>
      <w:proofErr w:type="spellEnd"/>
      <w:r w:rsidRPr="004922A7">
        <w:rPr>
          <w:rFonts w:ascii="Arial" w:hAnsi="Arial" w:cs="Arial"/>
        </w:rPr>
        <w:t xml:space="preserve"> </w:t>
      </w:r>
      <w:proofErr w:type="spellStart"/>
      <w:r w:rsidRPr="004922A7">
        <w:rPr>
          <w:rFonts w:ascii="Arial" w:hAnsi="Arial" w:cs="Arial"/>
        </w:rPr>
        <w:t>ovom</w:t>
      </w:r>
      <w:proofErr w:type="spellEnd"/>
      <w:r w:rsidRPr="004922A7">
        <w:rPr>
          <w:rFonts w:ascii="Arial" w:hAnsi="Arial" w:cs="Arial"/>
        </w:rPr>
        <w:t xml:space="preserve"> </w:t>
      </w:r>
      <w:proofErr w:type="spellStart"/>
      <w:r w:rsidRPr="004922A7">
        <w:rPr>
          <w:rFonts w:ascii="Arial" w:hAnsi="Arial" w:cs="Arial"/>
        </w:rPr>
        <w:t>Koncesionom</w:t>
      </w:r>
      <w:proofErr w:type="spellEnd"/>
      <w:r w:rsidRPr="004922A7">
        <w:rPr>
          <w:rFonts w:ascii="Arial" w:hAnsi="Arial" w:cs="Arial"/>
        </w:rPr>
        <w:t xml:space="preserve"> </w:t>
      </w:r>
      <w:proofErr w:type="spellStart"/>
      <w:r w:rsidRPr="004922A7">
        <w:rPr>
          <w:rFonts w:ascii="Arial" w:hAnsi="Arial" w:cs="Arial"/>
        </w:rPr>
        <w:t>aktu</w:t>
      </w:r>
      <w:proofErr w:type="spellEnd"/>
      <w:r w:rsidRPr="004922A7">
        <w:rPr>
          <w:rFonts w:ascii="Arial" w:hAnsi="Arial" w:cs="Arial"/>
        </w:rPr>
        <w:t xml:space="preserve"> </w:t>
      </w:r>
      <w:proofErr w:type="spellStart"/>
      <w:r w:rsidRPr="004922A7">
        <w:rPr>
          <w:rFonts w:ascii="Arial" w:hAnsi="Arial" w:cs="Arial"/>
        </w:rPr>
        <w:t>i</w:t>
      </w:r>
      <w:proofErr w:type="spellEnd"/>
      <w:r w:rsidRPr="004922A7">
        <w:rPr>
          <w:rFonts w:ascii="Arial" w:hAnsi="Arial" w:cs="Arial"/>
        </w:rPr>
        <w:t xml:space="preserve"> </w:t>
      </w:r>
      <w:proofErr w:type="spellStart"/>
      <w:r w:rsidRPr="004922A7">
        <w:rPr>
          <w:rFonts w:ascii="Arial" w:hAnsi="Arial" w:cs="Arial"/>
        </w:rPr>
        <w:t>rudarskoj</w:t>
      </w:r>
      <w:proofErr w:type="spellEnd"/>
      <w:r w:rsidRPr="004922A7">
        <w:rPr>
          <w:rFonts w:ascii="Arial" w:hAnsi="Arial" w:cs="Arial"/>
        </w:rPr>
        <w:t xml:space="preserve"> </w:t>
      </w:r>
      <w:proofErr w:type="spellStart"/>
      <w:r w:rsidRPr="004922A7">
        <w:rPr>
          <w:rFonts w:ascii="Arial" w:hAnsi="Arial" w:cs="Arial"/>
        </w:rPr>
        <w:t>i</w:t>
      </w:r>
      <w:proofErr w:type="spellEnd"/>
      <w:r w:rsidRPr="004922A7">
        <w:rPr>
          <w:rFonts w:ascii="Arial" w:hAnsi="Arial" w:cs="Arial"/>
        </w:rPr>
        <w:t xml:space="preserve"> </w:t>
      </w:r>
      <w:proofErr w:type="spellStart"/>
      <w:r w:rsidRPr="004922A7">
        <w:rPr>
          <w:rFonts w:ascii="Arial" w:hAnsi="Arial" w:cs="Arial"/>
        </w:rPr>
        <w:t>tehničkoj</w:t>
      </w:r>
      <w:proofErr w:type="spellEnd"/>
      <w:r w:rsidRPr="004922A7">
        <w:rPr>
          <w:rFonts w:ascii="Arial" w:hAnsi="Arial" w:cs="Arial"/>
        </w:rPr>
        <w:t xml:space="preserve"> </w:t>
      </w:r>
      <w:proofErr w:type="spellStart"/>
      <w:r w:rsidRPr="004922A7">
        <w:rPr>
          <w:rFonts w:ascii="Arial" w:hAnsi="Arial" w:cs="Arial"/>
        </w:rPr>
        <w:t>dokumentaciji</w:t>
      </w:r>
      <w:proofErr w:type="spellEnd"/>
      <w:r w:rsidRPr="004922A7">
        <w:rPr>
          <w:rFonts w:ascii="Arial" w:hAnsi="Arial" w:cs="Arial"/>
        </w:rPr>
        <w:t xml:space="preserve">. </w:t>
      </w:r>
      <w:proofErr w:type="spellStart"/>
      <w:r w:rsidRPr="004922A7">
        <w:rPr>
          <w:rFonts w:ascii="Arial" w:hAnsi="Arial" w:cs="Arial"/>
        </w:rPr>
        <w:t>Zaposleni</w:t>
      </w:r>
      <w:proofErr w:type="spellEnd"/>
      <w:r w:rsidRPr="004922A7">
        <w:rPr>
          <w:rFonts w:ascii="Arial" w:hAnsi="Arial" w:cs="Arial"/>
        </w:rPr>
        <w:t xml:space="preserve"> </w:t>
      </w:r>
      <w:proofErr w:type="spellStart"/>
      <w:r w:rsidRPr="004922A7">
        <w:rPr>
          <w:rFonts w:ascii="Arial" w:hAnsi="Arial" w:cs="Arial"/>
        </w:rPr>
        <w:t>moraju</w:t>
      </w:r>
      <w:proofErr w:type="spellEnd"/>
      <w:r w:rsidRPr="004922A7">
        <w:rPr>
          <w:rFonts w:ascii="Arial" w:hAnsi="Arial" w:cs="Arial"/>
        </w:rPr>
        <w:t xml:space="preserve"> da </w:t>
      </w:r>
      <w:proofErr w:type="spellStart"/>
      <w:r w:rsidRPr="004922A7">
        <w:rPr>
          <w:rFonts w:ascii="Arial" w:hAnsi="Arial" w:cs="Arial"/>
        </w:rPr>
        <w:t>ispunjavaju</w:t>
      </w:r>
      <w:proofErr w:type="spellEnd"/>
      <w:r w:rsidRPr="004922A7">
        <w:rPr>
          <w:rFonts w:ascii="Arial" w:hAnsi="Arial" w:cs="Arial"/>
        </w:rPr>
        <w:t xml:space="preserve"> </w:t>
      </w:r>
      <w:proofErr w:type="spellStart"/>
      <w:r w:rsidRPr="004922A7">
        <w:rPr>
          <w:rFonts w:ascii="Arial" w:hAnsi="Arial" w:cs="Arial"/>
        </w:rPr>
        <w:t>uslove</w:t>
      </w:r>
      <w:proofErr w:type="spellEnd"/>
      <w:r w:rsidRPr="004922A7">
        <w:rPr>
          <w:rFonts w:ascii="Arial" w:hAnsi="Arial" w:cs="Arial"/>
        </w:rPr>
        <w:t xml:space="preserve"> (u </w:t>
      </w:r>
      <w:proofErr w:type="spellStart"/>
      <w:r w:rsidRPr="004922A7">
        <w:rPr>
          <w:rFonts w:ascii="Arial" w:hAnsi="Arial" w:cs="Arial"/>
        </w:rPr>
        <w:t>pogledu</w:t>
      </w:r>
      <w:proofErr w:type="spellEnd"/>
      <w:r w:rsidRPr="004922A7">
        <w:rPr>
          <w:rFonts w:ascii="Arial" w:hAnsi="Arial" w:cs="Arial"/>
        </w:rPr>
        <w:t xml:space="preserve"> </w:t>
      </w:r>
      <w:proofErr w:type="spellStart"/>
      <w:r w:rsidRPr="004922A7">
        <w:rPr>
          <w:rFonts w:ascii="Arial" w:hAnsi="Arial" w:cs="Arial"/>
        </w:rPr>
        <w:t>stepena</w:t>
      </w:r>
      <w:proofErr w:type="spellEnd"/>
      <w:r w:rsidRPr="004922A7">
        <w:rPr>
          <w:rFonts w:ascii="Arial" w:hAnsi="Arial" w:cs="Arial"/>
        </w:rPr>
        <w:t xml:space="preserve"> </w:t>
      </w:r>
      <w:proofErr w:type="spellStart"/>
      <w:r w:rsidRPr="004922A7">
        <w:rPr>
          <w:rFonts w:ascii="Arial" w:hAnsi="Arial" w:cs="Arial"/>
        </w:rPr>
        <w:t>stručne</w:t>
      </w:r>
      <w:proofErr w:type="spellEnd"/>
      <w:r w:rsidRPr="004922A7">
        <w:rPr>
          <w:rFonts w:ascii="Arial" w:hAnsi="Arial" w:cs="Arial"/>
        </w:rPr>
        <w:t xml:space="preserve"> </w:t>
      </w:r>
      <w:proofErr w:type="spellStart"/>
      <w:r w:rsidRPr="004922A7">
        <w:rPr>
          <w:rFonts w:ascii="Arial" w:hAnsi="Arial" w:cs="Arial"/>
        </w:rPr>
        <w:t>spreme</w:t>
      </w:r>
      <w:proofErr w:type="spellEnd"/>
      <w:r w:rsidRPr="004922A7">
        <w:rPr>
          <w:rFonts w:ascii="Arial" w:hAnsi="Arial" w:cs="Arial"/>
        </w:rPr>
        <w:t xml:space="preserve">, </w:t>
      </w:r>
      <w:proofErr w:type="spellStart"/>
      <w:r w:rsidRPr="004922A7">
        <w:rPr>
          <w:rFonts w:ascii="Arial" w:hAnsi="Arial" w:cs="Arial"/>
        </w:rPr>
        <w:t>radnog</w:t>
      </w:r>
      <w:proofErr w:type="spellEnd"/>
      <w:r w:rsidRPr="004922A7">
        <w:rPr>
          <w:rFonts w:ascii="Arial" w:hAnsi="Arial" w:cs="Arial"/>
        </w:rPr>
        <w:t xml:space="preserve"> </w:t>
      </w:r>
      <w:proofErr w:type="spellStart"/>
      <w:r w:rsidRPr="004922A7">
        <w:rPr>
          <w:rFonts w:ascii="Arial" w:hAnsi="Arial" w:cs="Arial"/>
        </w:rPr>
        <w:t>iskustva</w:t>
      </w:r>
      <w:proofErr w:type="spellEnd"/>
      <w:r w:rsidRPr="004922A7">
        <w:rPr>
          <w:rFonts w:ascii="Arial" w:hAnsi="Arial" w:cs="Arial"/>
        </w:rPr>
        <w:t xml:space="preserve">, </w:t>
      </w:r>
      <w:proofErr w:type="spellStart"/>
      <w:r w:rsidRPr="004922A7">
        <w:rPr>
          <w:rFonts w:ascii="Arial" w:hAnsi="Arial" w:cs="Arial"/>
        </w:rPr>
        <w:t>obučenosti</w:t>
      </w:r>
      <w:proofErr w:type="spellEnd"/>
      <w:r w:rsidRPr="004922A7">
        <w:rPr>
          <w:rFonts w:ascii="Arial" w:hAnsi="Arial" w:cs="Arial"/>
        </w:rPr>
        <w:t xml:space="preserve"> </w:t>
      </w:r>
      <w:proofErr w:type="spellStart"/>
      <w:r w:rsidRPr="004922A7">
        <w:rPr>
          <w:rFonts w:ascii="Arial" w:hAnsi="Arial" w:cs="Arial"/>
        </w:rPr>
        <w:t>i</w:t>
      </w:r>
      <w:proofErr w:type="spellEnd"/>
      <w:r w:rsidRPr="004922A7">
        <w:rPr>
          <w:rFonts w:ascii="Arial" w:hAnsi="Arial" w:cs="Arial"/>
        </w:rPr>
        <w:t xml:space="preserve"> </w:t>
      </w:r>
      <w:proofErr w:type="spellStart"/>
      <w:r w:rsidRPr="004922A7">
        <w:rPr>
          <w:rFonts w:ascii="Arial" w:hAnsi="Arial" w:cs="Arial"/>
        </w:rPr>
        <w:t>ovlašćenja</w:t>
      </w:r>
      <w:proofErr w:type="spellEnd"/>
      <w:r w:rsidRPr="004922A7">
        <w:rPr>
          <w:rFonts w:ascii="Arial" w:hAnsi="Arial" w:cs="Arial"/>
        </w:rPr>
        <w:t xml:space="preserve"> </w:t>
      </w:r>
      <w:proofErr w:type="spellStart"/>
      <w:r w:rsidRPr="004922A7">
        <w:rPr>
          <w:rFonts w:ascii="Arial" w:hAnsi="Arial" w:cs="Arial"/>
        </w:rPr>
        <w:t>za</w:t>
      </w:r>
      <w:proofErr w:type="spellEnd"/>
      <w:r w:rsidRPr="004922A7">
        <w:rPr>
          <w:rFonts w:ascii="Arial" w:hAnsi="Arial" w:cs="Arial"/>
        </w:rPr>
        <w:t xml:space="preserve"> </w:t>
      </w:r>
      <w:proofErr w:type="spellStart"/>
      <w:r w:rsidRPr="004922A7">
        <w:rPr>
          <w:rFonts w:ascii="Arial" w:hAnsi="Arial" w:cs="Arial"/>
        </w:rPr>
        <w:t>vršenje</w:t>
      </w:r>
      <w:proofErr w:type="spellEnd"/>
      <w:r w:rsidRPr="004922A7">
        <w:rPr>
          <w:rFonts w:ascii="Arial" w:hAnsi="Arial" w:cs="Arial"/>
        </w:rPr>
        <w:t xml:space="preserve"> </w:t>
      </w:r>
      <w:proofErr w:type="spellStart"/>
      <w:r w:rsidRPr="004922A7">
        <w:rPr>
          <w:rFonts w:ascii="Arial" w:hAnsi="Arial" w:cs="Arial"/>
        </w:rPr>
        <w:t>tih</w:t>
      </w:r>
      <w:proofErr w:type="spellEnd"/>
      <w:r w:rsidRPr="004922A7">
        <w:rPr>
          <w:rFonts w:ascii="Arial" w:hAnsi="Arial" w:cs="Arial"/>
        </w:rPr>
        <w:t xml:space="preserve"> </w:t>
      </w:r>
      <w:proofErr w:type="spellStart"/>
      <w:r w:rsidRPr="004922A7">
        <w:rPr>
          <w:rFonts w:ascii="Arial" w:hAnsi="Arial" w:cs="Arial"/>
        </w:rPr>
        <w:t>poslova</w:t>
      </w:r>
      <w:proofErr w:type="spellEnd"/>
      <w:r w:rsidRPr="004922A7">
        <w:rPr>
          <w:rFonts w:ascii="Arial" w:hAnsi="Arial" w:cs="Arial"/>
        </w:rPr>
        <w:t xml:space="preserve">) u </w:t>
      </w:r>
      <w:proofErr w:type="spellStart"/>
      <w:r w:rsidRPr="004922A7">
        <w:rPr>
          <w:rFonts w:ascii="Arial" w:hAnsi="Arial" w:cs="Arial"/>
        </w:rPr>
        <w:t>skladu</w:t>
      </w:r>
      <w:proofErr w:type="spellEnd"/>
      <w:r w:rsidRPr="004922A7">
        <w:rPr>
          <w:rFonts w:ascii="Arial" w:hAnsi="Arial" w:cs="Arial"/>
        </w:rPr>
        <w:t xml:space="preserve"> </w:t>
      </w:r>
      <w:proofErr w:type="spellStart"/>
      <w:r w:rsidRPr="004922A7">
        <w:rPr>
          <w:rFonts w:ascii="Arial" w:hAnsi="Arial" w:cs="Arial"/>
        </w:rPr>
        <w:t>sa</w:t>
      </w:r>
      <w:proofErr w:type="spellEnd"/>
      <w:r w:rsidRPr="004922A7">
        <w:rPr>
          <w:rFonts w:ascii="Arial" w:hAnsi="Arial" w:cs="Arial"/>
        </w:rPr>
        <w:t xml:space="preserve"> </w:t>
      </w:r>
      <w:proofErr w:type="spellStart"/>
      <w:r w:rsidRPr="004922A7">
        <w:rPr>
          <w:rFonts w:ascii="Arial" w:hAnsi="Arial" w:cs="Arial"/>
        </w:rPr>
        <w:t>Zakonom</w:t>
      </w:r>
      <w:proofErr w:type="spellEnd"/>
      <w:r w:rsidRPr="004922A7">
        <w:rPr>
          <w:rFonts w:ascii="Arial" w:hAnsi="Arial" w:cs="Arial"/>
        </w:rPr>
        <w:t xml:space="preserve"> o </w:t>
      </w:r>
      <w:proofErr w:type="spellStart"/>
      <w:r w:rsidRPr="00EC4B05">
        <w:rPr>
          <w:rFonts w:ascii="Arial" w:hAnsi="Arial" w:cs="Arial"/>
        </w:rPr>
        <w:t>rudarstvu</w:t>
      </w:r>
      <w:proofErr w:type="spellEnd"/>
      <w:r w:rsidRPr="00EC4B05">
        <w:rPr>
          <w:rFonts w:ascii="Arial" w:hAnsi="Arial" w:cs="Arial"/>
        </w:rPr>
        <w:t xml:space="preserve"> („</w:t>
      </w:r>
      <w:proofErr w:type="spellStart"/>
      <w:r w:rsidRPr="00EC4B05">
        <w:rPr>
          <w:rFonts w:ascii="Arial" w:hAnsi="Arial" w:cs="Arial"/>
        </w:rPr>
        <w:t>Sl.list</w:t>
      </w:r>
      <w:proofErr w:type="spellEnd"/>
      <w:r w:rsidRPr="00EC4B05">
        <w:rPr>
          <w:rFonts w:ascii="Arial" w:hAnsi="Arial" w:cs="Arial"/>
        </w:rPr>
        <w:t xml:space="preserve"> CG“, br. 65/08, 74/10 </w:t>
      </w:r>
      <w:proofErr w:type="spellStart"/>
      <w:r w:rsidRPr="00EC4B05">
        <w:rPr>
          <w:rFonts w:ascii="Arial" w:hAnsi="Arial" w:cs="Arial"/>
        </w:rPr>
        <w:t>i</w:t>
      </w:r>
      <w:proofErr w:type="spellEnd"/>
      <w:r w:rsidRPr="00EC4B05">
        <w:rPr>
          <w:rFonts w:ascii="Arial" w:hAnsi="Arial" w:cs="Arial"/>
        </w:rPr>
        <w:t xml:space="preserve"> 40/11);</w:t>
      </w:r>
    </w:p>
    <w:p w14:paraId="3CB0ABBB" w14:textId="77777777" w:rsidR="00D07D02" w:rsidRPr="009534C8" w:rsidRDefault="00D07D02" w:rsidP="00664C2A">
      <w:pPr>
        <w:pStyle w:val="ListParagraph"/>
        <w:numPr>
          <w:ilvl w:val="0"/>
          <w:numId w:val="16"/>
        </w:numPr>
        <w:suppressAutoHyphens w:val="0"/>
        <w:spacing w:after="0" w:line="240" w:lineRule="auto"/>
        <w:jc w:val="both"/>
        <w:rPr>
          <w:rFonts w:ascii="Arial" w:hAnsi="Arial" w:cs="Arial"/>
        </w:rPr>
      </w:pPr>
      <w:r w:rsidRPr="00EC4B05">
        <w:rPr>
          <w:rFonts w:ascii="Arial" w:hAnsi="Arial" w:cs="Arial"/>
          <w:lang w:val="pl-PL"/>
        </w:rPr>
        <w:t>koncesionar je u obavezi da u roku od 90 dana, od dana</w:t>
      </w:r>
      <w:r w:rsidRPr="009534C8">
        <w:rPr>
          <w:rFonts w:ascii="Arial" w:hAnsi="Arial" w:cs="Arial"/>
          <w:lang w:val="pl-PL"/>
        </w:rPr>
        <w:t xml:space="preserve"> zaključenja Ugovora o koncesiji, sprovede Elaborat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Elaboratom</w:t>
      </w:r>
    </w:p>
    <w:p w14:paraId="60B907B0" w14:textId="77777777" w:rsidR="004F4110" w:rsidRPr="009534C8" w:rsidRDefault="004F4110" w:rsidP="00664C2A">
      <w:pPr>
        <w:pStyle w:val="ListParagraph"/>
        <w:numPr>
          <w:ilvl w:val="0"/>
          <w:numId w:val="16"/>
        </w:numPr>
        <w:suppressAutoHyphens w:val="0"/>
        <w:spacing w:after="0" w:line="240" w:lineRule="auto"/>
        <w:jc w:val="both"/>
        <w:rPr>
          <w:rFonts w:ascii="Arial" w:hAnsi="Arial" w:cs="Arial"/>
        </w:rPr>
      </w:pPr>
      <w:proofErr w:type="spellStart"/>
      <w:r w:rsidRPr="009534C8">
        <w:rPr>
          <w:rFonts w:ascii="Arial" w:hAnsi="Arial" w:cs="Arial"/>
        </w:rPr>
        <w:t>budući</w:t>
      </w:r>
      <w:proofErr w:type="spellEnd"/>
      <w:r w:rsidRPr="009534C8">
        <w:rPr>
          <w:rFonts w:ascii="Arial" w:hAnsi="Arial" w:cs="Arial"/>
        </w:rPr>
        <w:t xml:space="preserve"> </w:t>
      </w:r>
      <w:proofErr w:type="spellStart"/>
      <w:r w:rsidRPr="009534C8">
        <w:rPr>
          <w:rFonts w:ascii="Arial" w:hAnsi="Arial" w:cs="Arial"/>
        </w:rPr>
        <w:t>koncesionar</w:t>
      </w:r>
      <w:proofErr w:type="spellEnd"/>
      <w:r w:rsidRPr="009534C8">
        <w:rPr>
          <w:rFonts w:ascii="Arial" w:hAnsi="Arial" w:cs="Arial"/>
        </w:rPr>
        <w:t xml:space="preserve"> </w:t>
      </w:r>
      <w:r w:rsidR="008E5465" w:rsidRPr="009534C8">
        <w:rPr>
          <w:rFonts w:ascii="Arial" w:hAnsi="Arial" w:cs="Arial"/>
        </w:rPr>
        <w:t xml:space="preserve">je </w:t>
      </w:r>
      <w:r w:rsidRPr="009534C8">
        <w:rPr>
          <w:rFonts w:ascii="Arial" w:hAnsi="Arial" w:cs="Arial"/>
        </w:rPr>
        <w:t xml:space="preserve">u </w:t>
      </w:r>
      <w:proofErr w:type="spellStart"/>
      <w:r w:rsidRPr="009534C8">
        <w:rPr>
          <w:rFonts w:ascii="Arial" w:hAnsi="Arial" w:cs="Arial"/>
        </w:rPr>
        <w:t>obavezi</w:t>
      </w:r>
      <w:proofErr w:type="spellEnd"/>
      <w:r w:rsidRPr="009534C8">
        <w:rPr>
          <w:rFonts w:ascii="Arial" w:hAnsi="Arial" w:cs="Arial"/>
        </w:rPr>
        <w:t xml:space="preserve"> da </w:t>
      </w:r>
      <w:proofErr w:type="spellStart"/>
      <w:r w:rsidRPr="009534C8">
        <w:rPr>
          <w:rFonts w:ascii="Arial" w:hAnsi="Arial" w:cs="Arial"/>
        </w:rPr>
        <w:t>riješi</w:t>
      </w:r>
      <w:proofErr w:type="spellEnd"/>
      <w:r w:rsidRPr="009534C8">
        <w:rPr>
          <w:rFonts w:ascii="Arial" w:hAnsi="Arial" w:cs="Arial"/>
        </w:rPr>
        <w:t xml:space="preserve"> </w:t>
      </w:r>
      <w:proofErr w:type="spellStart"/>
      <w:r w:rsidRPr="009534C8">
        <w:rPr>
          <w:rFonts w:ascii="Arial" w:hAnsi="Arial" w:cs="Arial"/>
        </w:rPr>
        <w:t>imovinsko-pravne</w:t>
      </w:r>
      <w:proofErr w:type="spellEnd"/>
      <w:r w:rsidRPr="009534C8">
        <w:rPr>
          <w:rFonts w:ascii="Arial" w:hAnsi="Arial" w:cs="Arial"/>
        </w:rPr>
        <w:t xml:space="preserve"> </w:t>
      </w:r>
      <w:proofErr w:type="spellStart"/>
      <w:r w:rsidRPr="009534C8">
        <w:rPr>
          <w:rFonts w:ascii="Arial" w:hAnsi="Arial" w:cs="Arial"/>
        </w:rPr>
        <w:t>odnose</w:t>
      </w:r>
      <w:proofErr w:type="spellEnd"/>
      <w:r w:rsidR="00687325">
        <w:rPr>
          <w:rFonts w:ascii="Arial" w:hAnsi="Arial" w:cs="Arial"/>
        </w:rPr>
        <w:t>;</w:t>
      </w:r>
      <w:r w:rsidR="008E5465" w:rsidRPr="009534C8">
        <w:rPr>
          <w:rFonts w:ascii="Arial" w:hAnsi="Arial" w:cs="Arial"/>
        </w:rPr>
        <w:t xml:space="preserve">  </w:t>
      </w:r>
    </w:p>
    <w:p w14:paraId="3568D436" w14:textId="77777777" w:rsidR="00EB6A56" w:rsidRPr="00DA6313" w:rsidRDefault="00EB6A56" w:rsidP="00664C2A">
      <w:pPr>
        <w:numPr>
          <w:ilvl w:val="0"/>
          <w:numId w:val="16"/>
        </w:numPr>
        <w:spacing w:after="0" w:line="240" w:lineRule="auto"/>
        <w:jc w:val="both"/>
        <w:rPr>
          <w:rFonts w:ascii="Arial" w:hAnsi="Arial" w:cs="Arial"/>
          <w:noProof/>
        </w:rPr>
      </w:pPr>
      <w:r w:rsidRPr="00DA6313">
        <w:rPr>
          <w:rFonts w:ascii="Arial" w:hAnsi="Arial" w:cs="Arial"/>
          <w:noProof/>
        </w:rPr>
        <w:t>da izvršava finansijski dio u pogledu obaveza utvrđenih Ugovorom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p>
    <w:p w14:paraId="11A1FD54" w14:textId="77777777" w:rsidR="008D2281" w:rsidRDefault="008D2281" w:rsidP="008D2281">
      <w:pPr>
        <w:spacing w:after="0" w:line="240" w:lineRule="auto"/>
        <w:jc w:val="both"/>
        <w:rPr>
          <w:rFonts w:ascii="Arial" w:hAnsi="Arial" w:cs="Arial"/>
          <w:noProof/>
        </w:rPr>
      </w:pPr>
    </w:p>
    <w:p w14:paraId="0E802D9A" w14:textId="77777777" w:rsidR="00730B75" w:rsidRDefault="00730B75" w:rsidP="008D2281">
      <w:pPr>
        <w:spacing w:after="0" w:line="240" w:lineRule="auto"/>
        <w:jc w:val="both"/>
        <w:rPr>
          <w:rFonts w:ascii="Arial" w:hAnsi="Arial" w:cs="Arial"/>
          <w:noProof/>
        </w:rPr>
      </w:pPr>
    </w:p>
    <w:p w14:paraId="66621541" w14:textId="77777777" w:rsidR="00730B75" w:rsidRDefault="00730B75" w:rsidP="008D2281">
      <w:pPr>
        <w:spacing w:after="0" w:line="240" w:lineRule="auto"/>
        <w:jc w:val="both"/>
        <w:rPr>
          <w:rFonts w:ascii="Arial" w:hAnsi="Arial" w:cs="Arial"/>
          <w:noProof/>
        </w:rPr>
      </w:pPr>
    </w:p>
    <w:p w14:paraId="5BD6542D" w14:textId="77777777" w:rsidR="00730B75" w:rsidRDefault="00730B75" w:rsidP="008D2281">
      <w:pPr>
        <w:spacing w:after="0" w:line="240" w:lineRule="auto"/>
        <w:jc w:val="both"/>
        <w:rPr>
          <w:rFonts w:ascii="Arial" w:hAnsi="Arial" w:cs="Arial"/>
          <w:noProof/>
        </w:rPr>
      </w:pPr>
    </w:p>
    <w:p w14:paraId="48681BF6" w14:textId="77777777" w:rsidR="00730B75" w:rsidRDefault="00730B75" w:rsidP="008D2281">
      <w:pPr>
        <w:spacing w:after="0" w:line="240" w:lineRule="auto"/>
        <w:jc w:val="both"/>
        <w:rPr>
          <w:rFonts w:ascii="Arial" w:hAnsi="Arial" w:cs="Arial"/>
          <w:noProof/>
        </w:rPr>
      </w:pPr>
    </w:p>
    <w:p w14:paraId="5D058F7F" w14:textId="77777777" w:rsidR="00730B75" w:rsidRDefault="00730B75" w:rsidP="008D2281">
      <w:pPr>
        <w:spacing w:after="0" w:line="240" w:lineRule="auto"/>
        <w:jc w:val="both"/>
        <w:rPr>
          <w:rFonts w:ascii="Arial" w:hAnsi="Arial" w:cs="Arial"/>
          <w:noProof/>
        </w:rPr>
      </w:pPr>
    </w:p>
    <w:p w14:paraId="395EE0E4" w14:textId="77777777" w:rsidR="00730B75" w:rsidRDefault="00730B75" w:rsidP="008D2281">
      <w:pPr>
        <w:spacing w:after="0" w:line="240" w:lineRule="auto"/>
        <w:jc w:val="both"/>
        <w:rPr>
          <w:rFonts w:ascii="Arial" w:hAnsi="Arial" w:cs="Arial"/>
          <w:noProof/>
        </w:rPr>
      </w:pPr>
    </w:p>
    <w:p w14:paraId="07E657EF" w14:textId="77777777" w:rsidR="00730B75" w:rsidRDefault="00730B75" w:rsidP="008D2281">
      <w:pPr>
        <w:spacing w:after="0" w:line="240" w:lineRule="auto"/>
        <w:jc w:val="both"/>
        <w:rPr>
          <w:rFonts w:ascii="Arial" w:hAnsi="Arial" w:cs="Arial"/>
          <w:noProof/>
        </w:rPr>
      </w:pPr>
    </w:p>
    <w:p w14:paraId="2AC81BC8" w14:textId="77777777" w:rsidR="00730B75" w:rsidRPr="00DA6313" w:rsidRDefault="00730B75" w:rsidP="008D2281">
      <w:pPr>
        <w:spacing w:after="0" w:line="240" w:lineRule="auto"/>
        <w:jc w:val="both"/>
        <w:rPr>
          <w:rFonts w:ascii="Arial" w:hAnsi="Arial" w:cs="Arial"/>
          <w:noProof/>
        </w:rPr>
      </w:pPr>
    </w:p>
    <w:p w14:paraId="59DE84B9" w14:textId="77777777" w:rsidR="0091625A" w:rsidRPr="00DA6313" w:rsidRDefault="0091625A" w:rsidP="008D2281">
      <w:pPr>
        <w:spacing w:after="0" w:line="240" w:lineRule="auto"/>
        <w:jc w:val="both"/>
        <w:rPr>
          <w:rFonts w:ascii="Arial" w:hAnsi="Arial" w:cs="Arial"/>
          <w:noProof/>
        </w:rPr>
      </w:pPr>
    </w:p>
    <w:p w14:paraId="48968878" w14:textId="77777777" w:rsidR="00744584" w:rsidRPr="00DA6313" w:rsidRDefault="00436AE7" w:rsidP="00F623A2">
      <w:pPr>
        <w:pStyle w:val="Heading1"/>
        <w:numPr>
          <w:ilvl w:val="0"/>
          <w:numId w:val="24"/>
        </w:numPr>
        <w:ind w:left="0" w:firstLine="0"/>
        <w:jc w:val="both"/>
        <w:rPr>
          <w:rFonts w:ascii="Arial" w:hAnsi="Arial" w:cs="Arial"/>
          <w:noProof/>
          <w:sz w:val="22"/>
          <w:szCs w:val="22"/>
        </w:rPr>
      </w:pPr>
      <w:bookmarkStart w:id="26" w:name="_Toc402262953"/>
      <w:r w:rsidRPr="00DA6313">
        <w:rPr>
          <w:rFonts w:ascii="Arial" w:hAnsi="Arial" w:cs="Arial"/>
          <w:noProof/>
          <w:sz w:val="22"/>
          <w:szCs w:val="22"/>
        </w:rPr>
        <w:lastRenderedPageBreak/>
        <w:t>MINIMALNI – POČETNI IZNOS KONCESIONE NAKNADE</w:t>
      </w:r>
      <w:bookmarkEnd w:id="26"/>
    </w:p>
    <w:p w14:paraId="51FE4693" w14:textId="77777777" w:rsidR="00744584" w:rsidRPr="00DA6313" w:rsidRDefault="00744584" w:rsidP="00F623A2">
      <w:pPr>
        <w:spacing w:after="0" w:line="240" w:lineRule="auto"/>
        <w:jc w:val="both"/>
        <w:rPr>
          <w:rFonts w:ascii="Arial" w:hAnsi="Arial" w:cs="Arial"/>
          <w:noProof/>
        </w:rPr>
      </w:pPr>
    </w:p>
    <w:p w14:paraId="22E64D38" w14:textId="77777777" w:rsidR="00EB6A56" w:rsidRPr="00DA6313" w:rsidRDefault="00EB6A56" w:rsidP="00F623A2">
      <w:pPr>
        <w:spacing w:after="0" w:line="240" w:lineRule="auto"/>
        <w:jc w:val="both"/>
        <w:rPr>
          <w:rFonts w:ascii="Arial" w:hAnsi="Arial" w:cs="Arial"/>
          <w:noProof/>
        </w:rPr>
      </w:pPr>
      <w:r w:rsidRPr="00DA6313">
        <w:rPr>
          <w:rFonts w:ascii="Arial" w:hAnsi="Arial" w:cs="Arial"/>
          <w:noProof/>
        </w:rPr>
        <w:t>Za korišćenje prava na eksploataciju mineralne sirovine, zakonskim propisima predviđeno je plaćanje koncesione naknade.</w:t>
      </w:r>
    </w:p>
    <w:p w14:paraId="782D32AF" w14:textId="77777777" w:rsidR="00FB2C1B" w:rsidRPr="00DA6313" w:rsidRDefault="00FB2C1B" w:rsidP="00F623A2">
      <w:pPr>
        <w:spacing w:after="0" w:line="240" w:lineRule="auto"/>
        <w:jc w:val="both"/>
        <w:rPr>
          <w:rFonts w:ascii="Arial" w:hAnsi="Arial" w:cs="Arial"/>
          <w:noProof/>
        </w:rPr>
      </w:pPr>
    </w:p>
    <w:p w14:paraId="6C0BFB2B" w14:textId="2855166E" w:rsidR="00EB6A56" w:rsidRPr="00DA6313" w:rsidRDefault="00EB6A56" w:rsidP="00F623A2">
      <w:pPr>
        <w:spacing w:after="0" w:line="240" w:lineRule="auto"/>
        <w:jc w:val="both"/>
        <w:rPr>
          <w:rFonts w:ascii="Arial" w:hAnsi="Arial" w:cs="Arial"/>
          <w:noProof/>
        </w:rPr>
      </w:pPr>
      <w:r w:rsidRPr="00DA6313">
        <w:rPr>
          <w:rFonts w:ascii="Arial" w:hAnsi="Arial" w:cs="Arial"/>
          <w:noProof/>
        </w:rPr>
        <w:t xml:space="preserve">Koncesionim aktom se utvrđuje minimalni - početni iznos koncesione naknade.Minimalna koncesiona naknada se utvrđuje na osnovu Uredbe o kriterijumima i načinu obračuna iznosa minimalne koncesione naknade za ustupanje prava na istraživanje i eksploataciju mineralnih sirovina („Sl. list CG“, br. 37/11 i 40/16). </w:t>
      </w:r>
    </w:p>
    <w:p w14:paraId="22AF7E95" w14:textId="77777777" w:rsidR="00EB6A56" w:rsidRPr="00DA6313" w:rsidRDefault="00EB6A56" w:rsidP="00F623A2">
      <w:pPr>
        <w:pStyle w:val="BodyText"/>
        <w:spacing w:after="0" w:line="240" w:lineRule="auto"/>
        <w:jc w:val="both"/>
        <w:rPr>
          <w:rFonts w:ascii="Arial" w:hAnsi="Arial" w:cs="Arial"/>
          <w:noProof/>
          <w:sz w:val="22"/>
          <w:szCs w:val="22"/>
        </w:rPr>
      </w:pPr>
    </w:p>
    <w:p w14:paraId="4197EB94" w14:textId="77777777" w:rsidR="00EB6A56" w:rsidRPr="00DA6313" w:rsidRDefault="00EB6A56" w:rsidP="00F623A2">
      <w:pPr>
        <w:pStyle w:val="BodyText"/>
        <w:spacing w:after="0" w:line="240" w:lineRule="auto"/>
        <w:jc w:val="both"/>
        <w:rPr>
          <w:rFonts w:ascii="Arial" w:hAnsi="Arial" w:cs="Arial"/>
          <w:noProof/>
          <w:sz w:val="22"/>
          <w:szCs w:val="22"/>
        </w:rPr>
      </w:pPr>
      <w:r w:rsidRPr="00DA6313">
        <w:rPr>
          <w:rFonts w:ascii="Arial" w:hAnsi="Arial" w:cs="Arial"/>
          <w:noProof/>
          <w:sz w:val="22"/>
          <w:szCs w:val="22"/>
        </w:rPr>
        <w:t>Navedenom Uredbom je utvrđeno da se minimalna koncesiona naknada određuje za eksploataciju mineralnih sirovina, tj. za period eksploatacije, a ne i za period koji je predviđen za detaljna geološka istraživanja.</w:t>
      </w:r>
    </w:p>
    <w:p w14:paraId="7C35513F" w14:textId="77777777" w:rsidR="002431A8" w:rsidRPr="00DA6313" w:rsidRDefault="002431A8" w:rsidP="00F623A2">
      <w:pPr>
        <w:spacing w:after="0" w:line="240" w:lineRule="auto"/>
        <w:jc w:val="both"/>
        <w:rPr>
          <w:rFonts w:ascii="Arial" w:hAnsi="Arial" w:cs="Arial"/>
          <w:noProof/>
        </w:rPr>
      </w:pPr>
    </w:p>
    <w:p w14:paraId="247ADED7" w14:textId="77777777" w:rsidR="00297F2E" w:rsidRPr="00DA6313" w:rsidRDefault="00744584" w:rsidP="00F623A2">
      <w:pPr>
        <w:pStyle w:val="Heading2"/>
      </w:pPr>
      <w:bookmarkStart w:id="27" w:name="_Toc402262954"/>
      <w:r w:rsidRPr="00DA6313">
        <w:t>Minimalni - početni iznos koncesione naknade za eksploataciju</w:t>
      </w:r>
      <w:bookmarkEnd w:id="27"/>
    </w:p>
    <w:p w14:paraId="18C3A8D0" w14:textId="77777777" w:rsidR="00933594" w:rsidRPr="00DA6313" w:rsidRDefault="00933594" w:rsidP="00F623A2">
      <w:pPr>
        <w:spacing w:after="0" w:line="240" w:lineRule="auto"/>
        <w:jc w:val="both"/>
        <w:rPr>
          <w:rFonts w:ascii="Arial" w:hAnsi="Arial" w:cs="Arial"/>
          <w:noProof/>
        </w:rPr>
      </w:pPr>
    </w:p>
    <w:p w14:paraId="252FEAB6" w14:textId="77777777" w:rsidR="00744584" w:rsidRDefault="00744584" w:rsidP="00F623A2">
      <w:pPr>
        <w:spacing w:after="0" w:line="240" w:lineRule="auto"/>
        <w:jc w:val="both"/>
        <w:rPr>
          <w:rFonts w:ascii="Arial" w:hAnsi="Arial" w:cs="Arial"/>
          <w:noProof/>
        </w:rPr>
      </w:pPr>
      <w:r w:rsidRPr="00DA6313">
        <w:rPr>
          <w:rFonts w:ascii="Arial" w:hAnsi="Arial" w:cs="Arial"/>
          <w:noProof/>
        </w:rPr>
        <w:t>Minimalna koncesiona naknada za eksploataciju (čl. 3 Uredbe) određuje se na osnovu sljedećih kriterijuma:</w:t>
      </w:r>
    </w:p>
    <w:p w14:paraId="3A4C15F8" w14:textId="77777777" w:rsidR="00722F8D" w:rsidRPr="00DA6313" w:rsidRDefault="00722F8D" w:rsidP="00F623A2">
      <w:pPr>
        <w:spacing w:after="0" w:line="240" w:lineRule="auto"/>
        <w:jc w:val="both"/>
        <w:rPr>
          <w:rFonts w:ascii="Arial" w:hAnsi="Arial" w:cs="Arial"/>
          <w:noProof/>
        </w:rPr>
      </w:pPr>
    </w:p>
    <w:p w14:paraId="13F39A5F" w14:textId="77777777" w:rsidR="00744584" w:rsidRPr="00DA6313" w:rsidRDefault="00744584" w:rsidP="00F623A2">
      <w:pPr>
        <w:numPr>
          <w:ilvl w:val="0"/>
          <w:numId w:val="2"/>
        </w:numPr>
        <w:spacing w:after="0" w:line="240" w:lineRule="auto"/>
        <w:ind w:left="851" w:hanging="426"/>
        <w:jc w:val="both"/>
        <w:rPr>
          <w:rFonts w:ascii="Arial" w:hAnsi="Arial" w:cs="Arial"/>
          <w:noProof/>
        </w:rPr>
      </w:pPr>
      <w:r w:rsidRPr="00DA6313">
        <w:rPr>
          <w:rFonts w:ascii="Arial" w:hAnsi="Arial" w:cs="Arial"/>
          <w:noProof/>
        </w:rPr>
        <w:t>rezervi mineralne sirovine koja je predmet koncesije;</w:t>
      </w:r>
    </w:p>
    <w:p w14:paraId="0375E8BC" w14:textId="77777777" w:rsidR="00744584" w:rsidRPr="00DA6313" w:rsidRDefault="00744584" w:rsidP="00F623A2">
      <w:pPr>
        <w:numPr>
          <w:ilvl w:val="0"/>
          <w:numId w:val="2"/>
        </w:numPr>
        <w:spacing w:after="0" w:line="240" w:lineRule="auto"/>
        <w:ind w:left="851" w:hanging="426"/>
        <w:jc w:val="both"/>
        <w:rPr>
          <w:rFonts w:ascii="Arial" w:hAnsi="Arial" w:cs="Arial"/>
          <w:noProof/>
        </w:rPr>
      </w:pPr>
      <w:r w:rsidRPr="00DA6313">
        <w:rPr>
          <w:rFonts w:ascii="Arial" w:hAnsi="Arial" w:cs="Arial"/>
          <w:noProof/>
        </w:rPr>
        <w:t>pripadnosti grupi ležišta;</w:t>
      </w:r>
    </w:p>
    <w:p w14:paraId="5D6E2CF1" w14:textId="77777777" w:rsidR="00744584" w:rsidRPr="00DA6313" w:rsidRDefault="00744584" w:rsidP="00F623A2">
      <w:pPr>
        <w:numPr>
          <w:ilvl w:val="0"/>
          <w:numId w:val="2"/>
        </w:numPr>
        <w:spacing w:after="0" w:line="240" w:lineRule="auto"/>
        <w:ind w:left="851" w:hanging="426"/>
        <w:jc w:val="both"/>
        <w:rPr>
          <w:rFonts w:ascii="Arial" w:hAnsi="Arial" w:cs="Arial"/>
          <w:noProof/>
        </w:rPr>
      </w:pPr>
      <w:r w:rsidRPr="00DA6313">
        <w:rPr>
          <w:rFonts w:ascii="Arial" w:hAnsi="Arial" w:cs="Arial"/>
          <w:noProof/>
        </w:rPr>
        <w:t>kvaliteta mineralne sirovine; i</w:t>
      </w:r>
    </w:p>
    <w:p w14:paraId="66BEFFAD" w14:textId="77777777" w:rsidR="00744584" w:rsidRDefault="00744584" w:rsidP="00F623A2">
      <w:pPr>
        <w:numPr>
          <w:ilvl w:val="0"/>
          <w:numId w:val="2"/>
        </w:numPr>
        <w:spacing w:after="0" w:line="240" w:lineRule="auto"/>
        <w:ind w:left="851" w:hanging="426"/>
        <w:jc w:val="both"/>
        <w:rPr>
          <w:rFonts w:ascii="Arial" w:hAnsi="Arial" w:cs="Arial"/>
          <w:noProof/>
        </w:rPr>
      </w:pPr>
      <w:r w:rsidRPr="00DA6313">
        <w:rPr>
          <w:rFonts w:ascii="Arial" w:hAnsi="Arial" w:cs="Arial"/>
          <w:noProof/>
        </w:rPr>
        <w:t>tržišne cijene mineralne sirovine.</w:t>
      </w:r>
    </w:p>
    <w:p w14:paraId="48637FCA" w14:textId="77777777" w:rsidR="00B94632" w:rsidRPr="00DA6313" w:rsidRDefault="00B94632" w:rsidP="00F623A2">
      <w:pPr>
        <w:spacing w:after="0" w:line="240" w:lineRule="auto"/>
        <w:ind w:left="851"/>
        <w:jc w:val="both"/>
        <w:rPr>
          <w:rFonts w:ascii="Arial" w:hAnsi="Arial" w:cs="Arial"/>
          <w:noProof/>
        </w:rPr>
      </w:pPr>
    </w:p>
    <w:p w14:paraId="2C2A5076" w14:textId="77777777" w:rsidR="00744584" w:rsidRPr="00DA6313" w:rsidRDefault="00744584" w:rsidP="00F623A2">
      <w:pPr>
        <w:pStyle w:val="Heading3"/>
        <w:numPr>
          <w:ilvl w:val="2"/>
          <w:numId w:val="25"/>
        </w:numPr>
        <w:spacing w:after="0" w:line="240" w:lineRule="auto"/>
        <w:ind w:left="720"/>
        <w:jc w:val="both"/>
        <w:rPr>
          <w:rFonts w:ascii="Arial" w:hAnsi="Arial" w:cs="Arial"/>
          <w:noProof/>
          <w:sz w:val="22"/>
          <w:szCs w:val="22"/>
        </w:rPr>
      </w:pPr>
      <w:bookmarkStart w:id="28" w:name="_Toc402262955"/>
      <w:r w:rsidRPr="00DA6313">
        <w:rPr>
          <w:rFonts w:ascii="Arial" w:hAnsi="Arial" w:cs="Arial"/>
          <w:noProof/>
          <w:sz w:val="22"/>
          <w:szCs w:val="22"/>
        </w:rPr>
        <w:t>Rezerve mineralne sirovine</w:t>
      </w:r>
      <w:bookmarkEnd w:id="28"/>
    </w:p>
    <w:p w14:paraId="6E5D7DCE" w14:textId="77777777" w:rsidR="000E197C" w:rsidRPr="00DA6313" w:rsidRDefault="000E197C" w:rsidP="00F623A2">
      <w:pPr>
        <w:spacing w:after="0" w:line="240" w:lineRule="auto"/>
        <w:rPr>
          <w:rFonts w:ascii="Arial" w:hAnsi="Arial" w:cs="Arial"/>
          <w:noProof/>
        </w:rPr>
      </w:pPr>
    </w:p>
    <w:p w14:paraId="13B037DB" w14:textId="4498574A" w:rsidR="00991234" w:rsidRPr="009534C8" w:rsidRDefault="00FE3A09" w:rsidP="00F623A2">
      <w:pPr>
        <w:spacing w:after="0" w:line="240" w:lineRule="auto"/>
        <w:jc w:val="both"/>
        <w:rPr>
          <w:rFonts w:ascii="Arial" w:hAnsi="Arial" w:cs="Arial"/>
          <w:noProof/>
        </w:rPr>
      </w:pPr>
      <w:r>
        <w:rPr>
          <w:rFonts w:ascii="Arial" w:hAnsi="Arial" w:cs="Arial"/>
        </w:rPr>
        <w:t xml:space="preserve">S </w:t>
      </w:r>
      <w:proofErr w:type="spellStart"/>
      <w:r>
        <w:rPr>
          <w:rFonts w:ascii="Arial" w:hAnsi="Arial" w:cs="Arial"/>
        </w:rPr>
        <w:t>obzirom</w:t>
      </w:r>
      <w:proofErr w:type="spell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sidR="008E5465" w:rsidRPr="009534C8">
        <w:rPr>
          <w:rFonts w:ascii="Arial" w:hAnsi="Arial" w:cs="Arial"/>
        </w:rPr>
        <w:t>eksploatacione</w:t>
      </w:r>
      <w:proofErr w:type="spellEnd"/>
      <w:r w:rsidR="008E5465" w:rsidRPr="009534C8">
        <w:rPr>
          <w:rFonts w:ascii="Arial" w:hAnsi="Arial" w:cs="Arial"/>
        </w:rPr>
        <w:t xml:space="preserve"> </w:t>
      </w:r>
      <w:proofErr w:type="spellStart"/>
      <w:r w:rsidR="008E5465" w:rsidRPr="009534C8">
        <w:rPr>
          <w:rFonts w:ascii="Arial" w:hAnsi="Arial" w:cs="Arial"/>
        </w:rPr>
        <w:t>rezerve</w:t>
      </w:r>
      <w:proofErr w:type="spellEnd"/>
      <w:r w:rsidR="008E5465" w:rsidRPr="009534C8">
        <w:rPr>
          <w:rFonts w:ascii="Arial" w:hAnsi="Arial" w:cs="Arial"/>
        </w:rPr>
        <w:t xml:space="preserve"> </w:t>
      </w:r>
      <w:proofErr w:type="spellStart"/>
      <w:r w:rsidR="008E5465" w:rsidRPr="009534C8">
        <w:rPr>
          <w:rFonts w:ascii="Arial" w:hAnsi="Arial" w:cs="Arial"/>
        </w:rPr>
        <w:t>uglja</w:t>
      </w:r>
      <w:proofErr w:type="spellEnd"/>
      <w:r w:rsidR="008E5465" w:rsidRPr="009534C8">
        <w:rPr>
          <w:rFonts w:ascii="Arial" w:hAnsi="Arial" w:cs="Arial"/>
        </w:rPr>
        <w:t xml:space="preserve"> od </w:t>
      </w:r>
      <w:r>
        <w:rPr>
          <w:rFonts w:ascii="Arial" w:hAnsi="Arial" w:cs="Arial"/>
        </w:rPr>
        <w:t>3</w:t>
      </w:r>
      <w:r w:rsidR="008E5465" w:rsidRPr="009534C8">
        <w:rPr>
          <w:rFonts w:ascii="Arial" w:hAnsi="Arial" w:cs="Arial"/>
        </w:rPr>
        <w:t>.</w:t>
      </w:r>
      <w:r>
        <w:rPr>
          <w:rFonts w:ascii="Arial" w:hAnsi="Arial" w:cs="Arial"/>
        </w:rPr>
        <w:t>6</w:t>
      </w:r>
      <w:r w:rsidR="008E5465" w:rsidRPr="009534C8">
        <w:rPr>
          <w:rFonts w:ascii="Arial" w:hAnsi="Arial" w:cs="Arial"/>
        </w:rPr>
        <w:t xml:space="preserve">00.000  t </w:t>
      </w:r>
      <w:proofErr w:type="spellStart"/>
      <w:r w:rsidR="008E5465" w:rsidRPr="009534C8">
        <w:rPr>
          <w:rFonts w:ascii="Arial" w:hAnsi="Arial" w:cs="Arial"/>
        </w:rPr>
        <w:t>i</w:t>
      </w:r>
      <w:proofErr w:type="spellEnd"/>
      <w:r w:rsidR="008E5465" w:rsidRPr="009534C8">
        <w:rPr>
          <w:rFonts w:ascii="Arial" w:hAnsi="Arial" w:cs="Arial"/>
        </w:rPr>
        <w:t xml:space="preserve"> </w:t>
      </w:r>
      <w:proofErr w:type="spellStart"/>
      <w:r w:rsidR="00EF293A" w:rsidRPr="009534C8">
        <w:rPr>
          <w:rFonts w:ascii="Arial" w:hAnsi="Arial" w:cs="Arial"/>
        </w:rPr>
        <w:t>planirani</w:t>
      </w:r>
      <w:proofErr w:type="spellEnd"/>
      <w:r w:rsidR="00EF293A" w:rsidRPr="009534C8">
        <w:rPr>
          <w:rFonts w:ascii="Arial" w:hAnsi="Arial" w:cs="Arial"/>
        </w:rPr>
        <w:t xml:space="preserve"> </w:t>
      </w:r>
      <w:r w:rsidR="00FE797E" w:rsidRPr="009534C8">
        <w:rPr>
          <w:rFonts w:ascii="Arial" w:hAnsi="Arial" w:cs="Arial"/>
          <w:lang w:val="sl-SI"/>
        </w:rPr>
        <w:t>godi</w:t>
      </w:r>
      <w:r w:rsidR="00FE797E" w:rsidRPr="009534C8">
        <w:rPr>
          <w:rFonts w:ascii="Arial" w:hAnsi="Arial" w:cs="Arial"/>
          <w:lang w:val="hr-HR"/>
        </w:rPr>
        <w:t>š</w:t>
      </w:r>
      <w:r w:rsidR="008E5465" w:rsidRPr="009534C8">
        <w:rPr>
          <w:rFonts w:ascii="Arial" w:hAnsi="Arial" w:cs="Arial"/>
          <w:lang w:val="sl-SI"/>
        </w:rPr>
        <w:t xml:space="preserve">nji kapacitet od </w:t>
      </w:r>
      <w:r>
        <w:rPr>
          <w:rFonts w:ascii="Arial" w:hAnsi="Arial" w:cs="Arial"/>
          <w:lang w:val="sl-SI"/>
        </w:rPr>
        <w:t>3</w:t>
      </w:r>
      <w:r w:rsidR="00BC074D">
        <w:rPr>
          <w:rFonts w:ascii="Arial" w:hAnsi="Arial" w:cs="Arial"/>
          <w:lang w:val="sl-SI"/>
        </w:rPr>
        <w:t>00.</w:t>
      </w:r>
      <w:r w:rsidR="008E5465" w:rsidRPr="009534C8">
        <w:rPr>
          <w:rFonts w:ascii="Arial" w:hAnsi="Arial" w:cs="Arial"/>
          <w:lang w:val="sl-SI"/>
        </w:rPr>
        <w:t>000 t</w:t>
      </w:r>
      <w:r w:rsidR="00FE797E" w:rsidRPr="009534C8">
        <w:rPr>
          <w:rFonts w:ascii="Arial" w:hAnsi="Arial" w:cs="Arial"/>
          <w:lang w:val="sl-SI"/>
        </w:rPr>
        <w:t xml:space="preserve"> uglja, </w:t>
      </w:r>
      <w:r w:rsidR="008E5465" w:rsidRPr="009534C8">
        <w:rPr>
          <w:rFonts w:ascii="Arial" w:hAnsi="Arial" w:cs="Arial"/>
          <w:lang w:val="sl-SI"/>
        </w:rPr>
        <w:t>za period eksploatacije od</w:t>
      </w:r>
      <w:r w:rsidR="00FE797E" w:rsidRPr="009534C8">
        <w:rPr>
          <w:rFonts w:ascii="Arial" w:hAnsi="Arial" w:cs="Arial"/>
          <w:lang w:val="sl-SI"/>
        </w:rPr>
        <w:t xml:space="preserve"> </w:t>
      </w:r>
      <w:r w:rsidR="00EF293A" w:rsidRPr="009534C8">
        <w:rPr>
          <w:rFonts w:ascii="Arial" w:hAnsi="Arial" w:cs="Arial"/>
          <w:lang w:val="sl-SI"/>
        </w:rPr>
        <w:t>1</w:t>
      </w:r>
      <w:r>
        <w:rPr>
          <w:rFonts w:ascii="Arial" w:hAnsi="Arial" w:cs="Arial"/>
          <w:lang w:val="sl-SI"/>
        </w:rPr>
        <w:t>2</w:t>
      </w:r>
      <w:r w:rsidR="00FE797E" w:rsidRPr="009534C8">
        <w:rPr>
          <w:rFonts w:ascii="Arial" w:hAnsi="Arial" w:cs="Arial"/>
          <w:lang w:val="sl-SI"/>
        </w:rPr>
        <w:t xml:space="preserve"> godina, </w:t>
      </w:r>
      <w:r w:rsidR="0014416D" w:rsidRPr="009534C8">
        <w:rPr>
          <w:rFonts w:ascii="Arial" w:hAnsi="Arial" w:cs="Arial"/>
          <w:noProof/>
        </w:rPr>
        <w:t xml:space="preserve">otkopalo bi se </w:t>
      </w:r>
      <w:r w:rsidR="00BC074D">
        <w:rPr>
          <w:rFonts w:ascii="Arial" w:hAnsi="Arial" w:cs="Arial"/>
          <w:noProof/>
        </w:rPr>
        <w:t>7.</w:t>
      </w:r>
      <w:r w:rsidR="005931FB" w:rsidRPr="009534C8">
        <w:rPr>
          <w:rFonts w:ascii="Arial" w:hAnsi="Arial" w:cs="Arial"/>
          <w:noProof/>
        </w:rPr>
        <w:t>200</w:t>
      </w:r>
      <w:r w:rsidR="00BC074D">
        <w:rPr>
          <w:rFonts w:ascii="Arial" w:hAnsi="Arial" w:cs="Arial"/>
          <w:noProof/>
        </w:rPr>
        <w:t>.</w:t>
      </w:r>
      <w:r w:rsidR="00FE797E" w:rsidRPr="009534C8">
        <w:rPr>
          <w:rFonts w:ascii="Arial" w:hAnsi="Arial" w:cs="Arial"/>
          <w:noProof/>
        </w:rPr>
        <w:t xml:space="preserve">000 </w:t>
      </w:r>
      <w:r w:rsidR="00A53C07" w:rsidRPr="009534C8">
        <w:rPr>
          <w:rFonts w:ascii="Arial" w:hAnsi="Arial" w:cs="Arial"/>
          <w:noProof/>
        </w:rPr>
        <w:t>t</w:t>
      </w:r>
      <w:r w:rsidR="009A224C" w:rsidRPr="009534C8">
        <w:rPr>
          <w:rFonts w:ascii="Arial" w:hAnsi="Arial" w:cs="Arial"/>
          <w:noProof/>
        </w:rPr>
        <w:t xml:space="preserve"> </w:t>
      </w:r>
      <w:r w:rsidR="00A53C07" w:rsidRPr="009534C8">
        <w:rPr>
          <w:rFonts w:ascii="Arial" w:hAnsi="Arial" w:cs="Arial"/>
          <w:noProof/>
        </w:rPr>
        <w:t>uglja</w:t>
      </w:r>
      <w:r w:rsidR="009A224C" w:rsidRPr="009534C8">
        <w:rPr>
          <w:rFonts w:ascii="Arial" w:hAnsi="Arial" w:cs="Arial"/>
          <w:noProof/>
        </w:rPr>
        <w:t xml:space="preserve">, </w:t>
      </w:r>
      <w:r w:rsidR="00991234" w:rsidRPr="009534C8">
        <w:rPr>
          <w:rFonts w:ascii="Arial" w:hAnsi="Arial" w:cs="Arial"/>
          <w:noProof/>
        </w:rPr>
        <w:t>kao tržišnog prozvoda.</w:t>
      </w:r>
    </w:p>
    <w:p w14:paraId="6A5B9550" w14:textId="77777777" w:rsidR="00722039" w:rsidRPr="00DA6313" w:rsidRDefault="00722039" w:rsidP="00F623A2">
      <w:pPr>
        <w:spacing w:after="0" w:line="240" w:lineRule="auto"/>
        <w:jc w:val="both"/>
        <w:rPr>
          <w:rFonts w:ascii="Arial" w:hAnsi="Arial" w:cs="Arial"/>
          <w:noProof/>
        </w:rPr>
      </w:pPr>
    </w:p>
    <w:p w14:paraId="567C0636" w14:textId="77777777" w:rsidR="000E197C" w:rsidRDefault="00744584" w:rsidP="00F623A2">
      <w:pPr>
        <w:pStyle w:val="Heading3"/>
        <w:numPr>
          <w:ilvl w:val="2"/>
          <w:numId w:val="25"/>
        </w:numPr>
        <w:spacing w:after="0" w:line="240" w:lineRule="auto"/>
        <w:ind w:left="0" w:firstLine="0"/>
        <w:jc w:val="both"/>
        <w:rPr>
          <w:rFonts w:ascii="Arial" w:hAnsi="Arial" w:cs="Arial"/>
          <w:noProof/>
          <w:sz w:val="22"/>
          <w:szCs w:val="22"/>
        </w:rPr>
      </w:pPr>
      <w:bookmarkStart w:id="29" w:name="_Toc402262956"/>
      <w:r w:rsidRPr="00DA6313">
        <w:rPr>
          <w:rFonts w:ascii="Arial" w:hAnsi="Arial" w:cs="Arial"/>
          <w:noProof/>
          <w:sz w:val="22"/>
          <w:szCs w:val="22"/>
        </w:rPr>
        <w:t>Pripadnost grupi ležišta</w:t>
      </w:r>
      <w:bookmarkEnd w:id="29"/>
    </w:p>
    <w:p w14:paraId="6F0731E3" w14:textId="77777777" w:rsidR="00FD7358" w:rsidRPr="00FD7358" w:rsidRDefault="00FD7358" w:rsidP="00F623A2">
      <w:pPr>
        <w:spacing w:after="0" w:line="240" w:lineRule="auto"/>
      </w:pPr>
    </w:p>
    <w:p w14:paraId="0211BD5E" w14:textId="77777777" w:rsidR="00FD7358" w:rsidRPr="00FD7358" w:rsidRDefault="00FD7358" w:rsidP="00F623A2">
      <w:pPr>
        <w:spacing w:after="0" w:line="240" w:lineRule="auto"/>
        <w:jc w:val="both"/>
        <w:rPr>
          <w:rFonts w:ascii="Arial" w:hAnsi="Arial" w:cs="Arial"/>
          <w:noProof/>
        </w:rPr>
      </w:pPr>
      <w:r w:rsidRPr="00FD7358">
        <w:rPr>
          <w:rFonts w:ascii="Arial" w:hAnsi="Arial" w:cs="Arial"/>
          <w:lang w:val="sl-SI"/>
        </w:rPr>
        <w:t xml:space="preserve">Ležišta uglja Mataruge pripada grupi geogenih ležišta, </w:t>
      </w:r>
      <w:r w:rsidRPr="00FD7358">
        <w:rPr>
          <w:rFonts w:ascii="Arial" w:hAnsi="Arial" w:cs="Arial"/>
          <w:lang w:val="sr-Cyrl-CS"/>
        </w:rPr>
        <w:t xml:space="preserve">sa povoljnim </w:t>
      </w:r>
      <w:r w:rsidRPr="00FD7358">
        <w:rPr>
          <w:rFonts w:ascii="Arial" w:hAnsi="Arial" w:cs="Arial"/>
          <w:lang w:val="sl-SI"/>
        </w:rPr>
        <w:t>geološk</w:t>
      </w:r>
      <w:r w:rsidRPr="00FD7358">
        <w:rPr>
          <w:rFonts w:ascii="Arial" w:hAnsi="Arial" w:cs="Arial"/>
          <w:lang w:val="sr-Cyrl-CS"/>
        </w:rPr>
        <w:t>im</w:t>
      </w:r>
      <w:r w:rsidRPr="00FD7358">
        <w:rPr>
          <w:rFonts w:ascii="Arial" w:hAnsi="Arial" w:cs="Arial"/>
          <w:lang w:val="sl-SI"/>
        </w:rPr>
        <w:t xml:space="preserve"> uslov</w:t>
      </w:r>
      <w:r w:rsidRPr="00FD7358">
        <w:rPr>
          <w:rFonts w:ascii="Arial" w:hAnsi="Arial" w:cs="Arial"/>
          <w:lang w:val="sr-Cyrl-CS"/>
        </w:rPr>
        <w:t>ima</w:t>
      </w:r>
      <w:r w:rsidRPr="00FD7358">
        <w:rPr>
          <w:rFonts w:ascii="Arial" w:hAnsi="Arial" w:cs="Arial"/>
          <w:lang w:val="sl-SI"/>
        </w:rPr>
        <w:t xml:space="preserve"> pojavljivanja, hidrološk</w:t>
      </w:r>
      <w:r w:rsidRPr="00FD7358">
        <w:rPr>
          <w:rFonts w:ascii="Arial" w:hAnsi="Arial" w:cs="Arial"/>
          <w:lang w:val="sr-Cyrl-CS"/>
        </w:rPr>
        <w:t>im</w:t>
      </w:r>
      <w:r w:rsidRPr="00FD7358">
        <w:rPr>
          <w:rFonts w:ascii="Arial" w:hAnsi="Arial" w:cs="Arial"/>
          <w:lang w:val="sl-SI"/>
        </w:rPr>
        <w:t>, hidrogeološk</w:t>
      </w:r>
      <w:r w:rsidRPr="00FD7358">
        <w:rPr>
          <w:rFonts w:ascii="Arial" w:hAnsi="Arial" w:cs="Arial"/>
          <w:lang w:val="sr-Cyrl-CS"/>
        </w:rPr>
        <w:t>im</w:t>
      </w:r>
      <w:r w:rsidRPr="00FD7358">
        <w:rPr>
          <w:rFonts w:ascii="Arial" w:hAnsi="Arial" w:cs="Arial"/>
          <w:lang w:val="sl-SI"/>
        </w:rPr>
        <w:t xml:space="preserve"> i geomehaničk</w:t>
      </w:r>
      <w:r w:rsidRPr="00FD7358">
        <w:rPr>
          <w:rFonts w:ascii="Arial" w:hAnsi="Arial" w:cs="Arial"/>
          <w:lang w:val="sr-Cyrl-CS"/>
        </w:rPr>
        <w:t>im</w:t>
      </w:r>
      <w:r w:rsidRPr="00FD7358">
        <w:rPr>
          <w:rFonts w:ascii="Arial" w:hAnsi="Arial" w:cs="Arial"/>
          <w:lang w:val="sl-SI"/>
        </w:rPr>
        <w:t xml:space="preserve"> karakteristike, te </w:t>
      </w:r>
      <w:r w:rsidRPr="00FD7358">
        <w:rPr>
          <w:rFonts w:ascii="Arial" w:hAnsi="Arial" w:cs="Arial"/>
          <w:lang w:val="sr-Cyrl-CS"/>
        </w:rPr>
        <w:t>složenim</w:t>
      </w:r>
      <w:r w:rsidRPr="00FD7358">
        <w:rPr>
          <w:rFonts w:ascii="Arial" w:hAnsi="Arial" w:cs="Arial"/>
          <w:lang w:val="sl-SI"/>
        </w:rPr>
        <w:t xml:space="preserve"> uslove za površinsku eksploataciju </w:t>
      </w:r>
      <w:r w:rsidRPr="00FD7358">
        <w:rPr>
          <w:rFonts w:ascii="Arial" w:hAnsi="Arial" w:cs="Arial"/>
          <w:lang w:val="sr-Cyrl-CS"/>
        </w:rPr>
        <w:t>sa koeficijentom otrkrivke preko</w:t>
      </w:r>
      <w:r w:rsidRPr="00FD7358">
        <w:rPr>
          <w:rFonts w:ascii="Arial" w:hAnsi="Arial" w:cs="Arial"/>
        </w:rPr>
        <w:t xml:space="preserve"> </w:t>
      </w:r>
      <w:r w:rsidRPr="00FD7358">
        <w:rPr>
          <w:rFonts w:ascii="Arial" w:hAnsi="Arial" w:cs="Arial"/>
          <w:lang w:val="sr-Cyrl-CS"/>
        </w:rPr>
        <w:t>1-2 m</w:t>
      </w:r>
      <w:r w:rsidRPr="00FD7358">
        <w:rPr>
          <w:rFonts w:ascii="Arial" w:hAnsi="Arial" w:cs="Arial"/>
          <w:vertAlign w:val="superscript"/>
          <w:lang w:val="sr-Latn-CS"/>
        </w:rPr>
        <w:t>3</w:t>
      </w:r>
      <w:r w:rsidRPr="00FD7358">
        <w:rPr>
          <w:rFonts w:ascii="Arial" w:hAnsi="Arial" w:cs="Arial"/>
          <w:lang w:val="sr-Latn-CS"/>
        </w:rPr>
        <w:t xml:space="preserve">/t, </w:t>
      </w:r>
      <w:r w:rsidRPr="00FD7358">
        <w:rPr>
          <w:rFonts w:ascii="Arial" w:hAnsi="Arial" w:cs="Arial"/>
          <w:lang w:val="sl-SI"/>
        </w:rPr>
        <w:t>pripada grupi G</w:t>
      </w:r>
      <w:r w:rsidRPr="00FD7358">
        <w:rPr>
          <w:rFonts w:ascii="Arial" w:hAnsi="Arial" w:cs="Arial"/>
          <w:vertAlign w:val="subscript"/>
        </w:rPr>
        <w:t>4</w:t>
      </w:r>
      <w:r w:rsidRPr="00FD7358">
        <w:rPr>
          <w:rFonts w:ascii="Arial" w:hAnsi="Arial" w:cs="Arial"/>
          <w:lang w:val="sl-SI"/>
        </w:rPr>
        <w:t xml:space="preserve">. </w:t>
      </w:r>
      <w:r w:rsidRPr="00FD7358">
        <w:rPr>
          <w:rFonts w:ascii="Arial" w:hAnsi="Arial" w:cs="Arial"/>
          <w:noProof/>
        </w:rPr>
        <w:t xml:space="preserve">Po tom osnovu procentni iznos za obračun minimalne-početne koncesione naknade (čl. 15 Uredbe) iznosi </w:t>
      </w:r>
      <w:r w:rsidRPr="00FD7358">
        <w:rPr>
          <w:rFonts w:ascii="Arial" w:hAnsi="Arial" w:cs="Arial"/>
          <w:b/>
          <w:noProof/>
        </w:rPr>
        <w:t>5%</w:t>
      </w:r>
      <w:r w:rsidRPr="00FD7358">
        <w:rPr>
          <w:rFonts w:ascii="Arial" w:hAnsi="Arial" w:cs="Arial"/>
          <w:noProof/>
        </w:rPr>
        <w:t xml:space="preserve"> od tržišne vrijednosti eksploatacionih rezervi mrkolignitnog uglja, za koncesioni period za </w:t>
      </w:r>
      <w:r w:rsidRPr="00363797">
        <w:rPr>
          <w:rFonts w:ascii="Arial" w:hAnsi="Arial" w:cs="Arial"/>
          <w:noProof/>
        </w:rPr>
        <w:t xml:space="preserve">eksploataciju od </w:t>
      </w:r>
      <w:r w:rsidR="005931FB" w:rsidRPr="00363797">
        <w:rPr>
          <w:rFonts w:ascii="Arial" w:hAnsi="Arial" w:cs="Arial"/>
          <w:noProof/>
        </w:rPr>
        <w:t>18</w:t>
      </w:r>
      <w:r w:rsidRPr="00363797">
        <w:rPr>
          <w:rFonts w:ascii="Arial" w:hAnsi="Arial" w:cs="Arial"/>
          <w:noProof/>
        </w:rPr>
        <w:t xml:space="preserve"> godina.</w:t>
      </w:r>
    </w:p>
    <w:p w14:paraId="7D9A61D6" w14:textId="77777777" w:rsidR="000E197C" w:rsidRPr="00FD7358" w:rsidRDefault="000E197C" w:rsidP="00F623A2">
      <w:pPr>
        <w:spacing w:after="0" w:line="240" w:lineRule="auto"/>
        <w:jc w:val="both"/>
        <w:rPr>
          <w:rFonts w:ascii="Arial" w:hAnsi="Arial" w:cs="Arial"/>
          <w:noProof/>
        </w:rPr>
      </w:pPr>
    </w:p>
    <w:p w14:paraId="26A852C5" w14:textId="77777777" w:rsidR="00744584" w:rsidRDefault="00744584" w:rsidP="00F623A2">
      <w:pPr>
        <w:pStyle w:val="Heading3"/>
        <w:numPr>
          <w:ilvl w:val="2"/>
          <w:numId w:val="25"/>
        </w:numPr>
        <w:spacing w:after="0" w:line="240" w:lineRule="auto"/>
        <w:ind w:left="0" w:firstLine="0"/>
        <w:jc w:val="both"/>
        <w:rPr>
          <w:rFonts w:ascii="Arial" w:hAnsi="Arial" w:cs="Arial"/>
          <w:noProof/>
          <w:sz w:val="22"/>
          <w:szCs w:val="22"/>
        </w:rPr>
      </w:pPr>
      <w:bookmarkStart w:id="30" w:name="_Toc402262957"/>
      <w:r w:rsidRPr="00DA6313">
        <w:rPr>
          <w:rFonts w:ascii="Arial" w:hAnsi="Arial" w:cs="Arial"/>
          <w:noProof/>
          <w:sz w:val="22"/>
          <w:szCs w:val="22"/>
        </w:rPr>
        <w:t>Kvalitet mineralne sirovine</w:t>
      </w:r>
      <w:bookmarkEnd w:id="30"/>
    </w:p>
    <w:p w14:paraId="227C1C12" w14:textId="77777777" w:rsidR="00363797" w:rsidRPr="00363797" w:rsidRDefault="00363797" w:rsidP="00F623A2">
      <w:pPr>
        <w:spacing w:after="0" w:line="240" w:lineRule="auto"/>
      </w:pPr>
    </w:p>
    <w:p w14:paraId="0E4DA37A" w14:textId="77777777" w:rsidR="00EC1A75" w:rsidRPr="0007012D" w:rsidRDefault="005931FB" w:rsidP="00F623A2">
      <w:pPr>
        <w:spacing w:after="0" w:line="240" w:lineRule="auto"/>
        <w:jc w:val="both"/>
        <w:rPr>
          <w:rFonts w:ascii="Arial" w:hAnsi="Arial" w:cs="Arial"/>
          <w:noProof/>
        </w:rPr>
      </w:pPr>
      <w:r w:rsidRPr="0007012D">
        <w:rPr>
          <w:rFonts w:ascii="Arial" w:hAnsi="Arial" w:cs="Arial"/>
          <w:lang w:val="sr-Latn-CS"/>
        </w:rPr>
        <w:t>Na osnovu navedenih podataka</w:t>
      </w:r>
      <w:r w:rsidR="0007012D">
        <w:rPr>
          <w:rFonts w:ascii="Arial" w:hAnsi="Arial" w:cs="Arial"/>
          <w:lang w:val="sr-Latn-CS"/>
        </w:rPr>
        <w:t xml:space="preserve"> (poglavlje 1.8)</w:t>
      </w:r>
      <w:r w:rsidR="00363797">
        <w:rPr>
          <w:rFonts w:ascii="Arial" w:hAnsi="Arial" w:cs="Arial"/>
          <w:lang w:val="sr-Latn-CS"/>
        </w:rPr>
        <w:t xml:space="preserve"> kao i </w:t>
      </w:r>
      <w:r w:rsidR="00A9046A">
        <w:rPr>
          <w:rFonts w:ascii="Arial" w:hAnsi="Arial" w:cs="Arial"/>
          <w:lang w:val="sr-Latn-CS"/>
        </w:rPr>
        <w:t xml:space="preserve">dostavljenim podacima od strane </w:t>
      </w:r>
      <w:r w:rsidR="00A9046A" w:rsidRPr="00790D4E">
        <w:rPr>
          <w:rFonts w:ascii="Arial" w:hAnsi="Arial" w:cs="Arial"/>
          <w:lang w:val="hr-HR"/>
        </w:rPr>
        <w:t>Rudnika uglja A.D. Pljevlja</w:t>
      </w:r>
      <w:r w:rsidR="00A9046A">
        <w:rPr>
          <w:rFonts w:ascii="Arial" w:hAnsi="Arial" w:cs="Arial"/>
          <w:lang w:val="hr-HR"/>
        </w:rPr>
        <w:t xml:space="preserve">, (dopis 01-307/1 od 08.3.2021. godine) očekivani </w:t>
      </w:r>
      <w:r w:rsidRPr="0007012D">
        <w:rPr>
          <w:rFonts w:ascii="Arial" w:hAnsi="Arial" w:cs="Arial"/>
          <w:lang w:val="sr-Latn-CS"/>
        </w:rPr>
        <w:t xml:space="preserve">prosječni kvalitet </w:t>
      </w:r>
      <w:r w:rsidR="0007012D">
        <w:rPr>
          <w:rFonts w:ascii="Arial" w:hAnsi="Arial" w:cs="Arial"/>
          <w:lang w:val="sr-Latn-CS"/>
        </w:rPr>
        <w:t xml:space="preserve">uglja </w:t>
      </w:r>
      <w:r w:rsidRPr="0007012D">
        <w:rPr>
          <w:rFonts w:ascii="Arial" w:hAnsi="Arial" w:cs="Arial"/>
          <w:lang w:val="sr-Latn-CS"/>
        </w:rPr>
        <w:t>u predmetnom istražno-eksploatacionom prostoru je oko 8.200 kJ/kg</w:t>
      </w:r>
      <w:r w:rsidR="0007012D">
        <w:rPr>
          <w:rFonts w:ascii="Arial" w:hAnsi="Arial" w:cs="Arial"/>
          <w:lang w:val="sr-Latn-CS"/>
        </w:rPr>
        <w:t>.</w:t>
      </w:r>
    </w:p>
    <w:p w14:paraId="538536FE" w14:textId="77777777" w:rsidR="008E5465" w:rsidRPr="00DA6313" w:rsidRDefault="008E5465" w:rsidP="00F623A2">
      <w:pPr>
        <w:spacing w:after="0" w:line="240" w:lineRule="auto"/>
        <w:jc w:val="both"/>
        <w:rPr>
          <w:rFonts w:ascii="Arial" w:hAnsi="Arial" w:cs="Arial"/>
          <w:noProof/>
        </w:rPr>
      </w:pPr>
    </w:p>
    <w:p w14:paraId="389B868A" w14:textId="77777777" w:rsidR="00744584" w:rsidRDefault="00744584" w:rsidP="00F623A2">
      <w:pPr>
        <w:pStyle w:val="Heading3"/>
        <w:numPr>
          <w:ilvl w:val="2"/>
          <w:numId w:val="25"/>
        </w:numPr>
        <w:spacing w:after="0" w:line="240" w:lineRule="auto"/>
        <w:ind w:left="0" w:firstLine="0"/>
        <w:jc w:val="both"/>
        <w:rPr>
          <w:rFonts w:ascii="Arial" w:hAnsi="Arial" w:cs="Arial"/>
          <w:noProof/>
          <w:sz w:val="22"/>
          <w:szCs w:val="22"/>
        </w:rPr>
      </w:pPr>
      <w:bookmarkStart w:id="31" w:name="_Toc402262958"/>
      <w:r w:rsidRPr="00DA6313">
        <w:rPr>
          <w:rFonts w:ascii="Arial" w:hAnsi="Arial" w:cs="Arial"/>
          <w:noProof/>
          <w:sz w:val="22"/>
          <w:szCs w:val="22"/>
        </w:rPr>
        <w:t>Tržišna vrijednost rezervi</w:t>
      </w:r>
      <w:bookmarkEnd w:id="31"/>
    </w:p>
    <w:p w14:paraId="418534EC" w14:textId="77777777" w:rsidR="00FD7358" w:rsidRDefault="00FD7358" w:rsidP="00F623A2">
      <w:pPr>
        <w:spacing w:after="0" w:line="240" w:lineRule="auto"/>
      </w:pPr>
    </w:p>
    <w:p w14:paraId="2E4C24F1" w14:textId="400F6A53" w:rsidR="00FD7358" w:rsidRPr="00F636A9" w:rsidRDefault="00FD7358" w:rsidP="00F623A2">
      <w:pPr>
        <w:spacing w:after="0" w:line="240" w:lineRule="auto"/>
        <w:jc w:val="both"/>
        <w:rPr>
          <w:rFonts w:ascii="Arial" w:hAnsi="Arial" w:cs="Arial"/>
        </w:rPr>
      </w:pPr>
      <w:r w:rsidRPr="00F636A9">
        <w:rPr>
          <w:rFonts w:ascii="Arial" w:hAnsi="Arial" w:cs="Arial"/>
          <w:lang w:val="sr-Cyrl-CS"/>
        </w:rPr>
        <w:t xml:space="preserve">Tržišna vrijednost rezervi </w:t>
      </w:r>
      <w:r w:rsidRPr="00F636A9">
        <w:rPr>
          <w:rFonts w:ascii="Arial" w:hAnsi="Arial" w:cs="Arial"/>
          <w:lang w:val="sr-Latn-CS"/>
        </w:rPr>
        <w:t xml:space="preserve">(čl. 16 Uredbe) </w:t>
      </w:r>
      <w:r w:rsidRPr="00F636A9">
        <w:rPr>
          <w:rFonts w:ascii="Arial" w:hAnsi="Arial" w:cs="Arial"/>
          <w:lang w:val="sr-Cyrl-CS"/>
        </w:rPr>
        <w:t>pretstavlja količinu tržišnog proizvoda koji se može otkopati u periodu od 1</w:t>
      </w:r>
      <w:r w:rsidR="00FE3A09">
        <w:rPr>
          <w:rFonts w:ascii="Arial" w:hAnsi="Arial" w:cs="Arial"/>
        </w:rPr>
        <w:t>2</w:t>
      </w:r>
      <w:r w:rsidRPr="00F636A9">
        <w:rPr>
          <w:rFonts w:ascii="Arial" w:hAnsi="Arial" w:cs="Arial"/>
          <w:lang w:val="sr-Cyrl-CS"/>
        </w:rPr>
        <w:t xml:space="preserve"> godina pomnoženu sa tržišnom cijenom jedinice proizvoda. </w:t>
      </w:r>
    </w:p>
    <w:p w14:paraId="3A31F7E9" w14:textId="77777777" w:rsidR="00FD7358" w:rsidRDefault="00164E03" w:rsidP="00F623A2">
      <w:pPr>
        <w:spacing w:after="0" w:line="240" w:lineRule="auto"/>
        <w:jc w:val="both"/>
        <w:rPr>
          <w:rFonts w:ascii="Arial" w:hAnsi="Arial" w:cs="Arial"/>
          <w:lang w:val="sr-Cyrl-CS"/>
        </w:rPr>
      </w:pPr>
      <w:r>
        <w:rPr>
          <w:rFonts w:ascii="Arial" w:hAnsi="Arial" w:cs="Arial"/>
          <w:lang w:val="sr-Latn-CS"/>
        </w:rPr>
        <w:t>Na osnovu podataka dobijenih</w:t>
      </w:r>
      <w:r w:rsidR="00F636A9" w:rsidRPr="00F636A9">
        <w:rPr>
          <w:rFonts w:ascii="Arial" w:hAnsi="Arial" w:cs="Arial"/>
          <w:lang w:val="sr-Latn-CS"/>
        </w:rPr>
        <w:t xml:space="preserve"> iz Zavoda za statistiku </w:t>
      </w:r>
      <w:r w:rsidR="00A9046A">
        <w:rPr>
          <w:rFonts w:ascii="Arial" w:hAnsi="Arial" w:cs="Arial"/>
          <w:lang w:val="sr-Latn-CS"/>
        </w:rPr>
        <w:t xml:space="preserve">Crne Gore </w:t>
      </w:r>
      <w:r w:rsidR="00F636A9" w:rsidRPr="00F636A9">
        <w:rPr>
          <w:rFonts w:ascii="Arial" w:hAnsi="Arial" w:cs="Arial"/>
          <w:lang w:val="sr-Latn-CS"/>
        </w:rPr>
        <w:t xml:space="preserve">– Monstat </w:t>
      </w:r>
      <w:r w:rsidR="00A9046A">
        <w:rPr>
          <w:rFonts w:ascii="Arial" w:hAnsi="Arial" w:cs="Arial"/>
          <w:lang w:val="sr-Latn-CS"/>
        </w:rPr>
        <w:t xml:space="preserve">i </w:t>
      </w:r>
      <w:r w:rsidR="00A9046A" w:rsidRPr="00790D4E">
        <w:rPr>
          <w:rFonts w:ascii="Arial" w:hAnsi="Arial" w:cs="Arial"/>
          <w:lang w:val="hr-HR"/>
        </w:rPr>
        <w:t>Rudnika uglja A.D. Pljevlja</w:t>
      </w:r>
      <w:r w:rsidR="00A9046A">
        <w:rPr>
          <w:rFonts w:ascii="Arial" w:hAnsi="Arial" w:cs="Arial"/>
          <w:lang w:val="hr-HR"/>
        </w:rPr>
        <w:t>, (dopis 01-307/1 od 08.</w:t>
      </w:r>
      <w:r w:rsidR="00687325">
        <w:rPr>
          <w:rFonts w:ascii="Arial" w:hAnsi="Arial" w:cs="Arial"/>
          <w:lang w:val="hr-HR"/>
        </w:rPr>
        <w:t>0</w:t>
      </w:r>
      <w:r w:rsidR="00A9046A">
        <w:rPr>
          <w:rFonts w:ascii="Arial" w:hAnsi="Arial" w:cs="Arial"/>
          <w:lang w:val="hr-HR"/>
        </w:rPr>
        <w:t xml:space="preserve">3.2021. godine) </w:t>
      </w:r>
      <w:r w:rsidR="00FD7358" w:rsidRPr="00F636A9">
        <w:rPr>
          <w:rFonts w:ascii="Arial" w:hAnsi="Arial" w:cs="Arial"/>
          <w:lang w:val="sr-Latn-CS"/>
        </w:rPr>
        <w:t>prosječna cij</w:t>
      </w:r>
      <w:r w:rsidR="00F636A9" w:rsidRPr="00F636A9">
        <w:rPr>
          <w:rFonts w:ascii="Arial" w:hAnsi="Arial" w:cs="Arial"/>
          <w:lang w:val="sr-Latn-CS"/>
        </w:rPr>
        <w:t xml:space="preserve">ena uglja u 2020 </w:t>
      </w:r>
      <w:r w:rsidR="00FD7358" w:rsidRPr="00F636A9">
        <w:rPr>
          <w:rFonts w:ascii="Arial" w:hAnsi="Arial" w:cs="Arial"/>
          <w:lang w:val="sr-Latn-CS"/>
        </w:rPr>
        <w:t xml:space="preserve">godini </w:t>
      </w:r>
      <w:r w:rsidR="00FD7358" w:rsidRPr="00A9046A">
        <w:rPr>
          <w:rFonts w:ascii="Arial" w:hAnsi="Arial" w:cs="Arial"/>
          <w:lang w:val="sr-Latn-CS"/>
        </w:rPr>
        <w:t xml:space="preserve">iznosi </w:t>
      </w:r>
      <w:r w:rsidR="00F636A9" w:rsidRPr="00A9046A">
        <w:rPr>
          <w:rFonts w:ascii="Arial" w:hAnsi="Arial" w:cs="Arial"/>
          <w:lang w:val="sr-Latn-CS"/>
        </w:rPr>
        <w:t>2</w:t>
      </w:r>
      <w:r w:rsidR="00A9046A" w:rsidRPr="00A9046A">
        <w:rPr>
          <w:rFonts w:ascii="Arial" w:hAnsi="Arial" w:cs="Arial"/>
          <w:lang w:val="sr-Latn-CS"/>
        </w:rPr>
        <w:t>1</w:t>
      </w:r>
      <w:r w:rsidR="00F636A9" w:rsidRPr="00A9046A">
        <w:rPr>
          <w:rFonts w:ascii="Arial" w:hAnsi="Arial" w:cs="Arial"/>
          <w:lang w:val="sr-Latn-CS"/>
        </w:rPr>
        <w:t>,</w:t>
      </w:r>
      <w:r w:rsidR="00A9046A" w:rsidRPr="00A9046A">
        <w:rPr>
          <w:rFonts w:ascii="Arial" w:hAnsi="Arial" w:cs="Arial"/>
          <w:lang w:val="sr-Latn-CS"/>
        </w:rPr>
        <w:t>36</w:t>
      </w:r>
      <w:r w:rsidRPr="00A9046A">
        <w:rPr>
          <w:rFonts w:ascii="Arial" w:hAnsi="Arial" w:cs="Arial"/>
          <w:lang w:val="sr-Latn-CS"/>
        </w:rPr>
        <w:t xml:space="preserve"> €</w:t>
      </w:r>
      <w:r w:rsidRPr="00A9046A">
        <w:rPr>
          <w:rFonts w:ascii="Arial" w:hAnsi="Arial" w:cs="Arial"/>
          <w:lang w:val="sr-Cyrl-CS"/>
        </w:rPr>
        <w:t>.</w:t>
      </w:r>
    </w:p>
    <w:p w14:paraId="6DA0C6D1" w14:textId="77777777" w:rsidR="00730B75" w:rsidRDefault="00730B75" w:rsidP="00F623A2">
      <w:pPr>
        <w:spacing w:after="0" w:line="240" w:lineRule="auto"/>
        <w:rPr>
          <w:rFonts w:ascii="Arial" w:hAnsi="Arial" w:cs="Arial"/>
          <w:b/>
          <w:lang w:val="sr-Latn-CS"/>
        </w:rPr>
      </w:pPr>
    </w:p>
    <w:p w14:paraId="4BF81FD5" w14:textId="7915291C" w:rsidR="00FD7358" w:rsidRPr="00473EF1" w:rsidRDefault="00FD7358" w:rsidP="00F623A2">
      <w:pPr>
        <w:spacing w:after="0" w:line="240" w:lineRule="auto"/>
        <w:ind w:firstLine="709"/>
        <w:jc w:val="center"/>
        <w:rPr>
          <w:rFonts w:ascii="Arial" w:hAnsi="Arial" w:cs="Arial"/>
          <w:b/>
          <w:bCs/>
          <w:lang w:val="sr-Cyrl-CS"/>
        </w:rPr>
      </w:pPr>
      <w:r w:rsidRPr="00F636A9">
        <w:rPr>
          <w:rFonts w:ascii="Arial" w:hAnsi="Arial" w:cs="Arial"/>
          <w:b/>
          <w:lang w:val="sr-Latn-CS"/>
        </w:rPr>
        <w:t xml:space="preserve">VP = </w:t>
      </w:r>
      <w:r w:rsidR="00F636A9" w:rsidRPr="00F636A9">
        <w:rPr>
          <w:rFonts w:ascii="Arial" w:hAnsi="Arial" w:cs="Arial"/>
          <w:lang w:val="sl-SI"/>
        </w:rPr>
        <w:t xml:space="preserve">rezerve </w:t>
      </w:r>
      <w:r w:rsidR="00FE3A09">
        <w:rPr>
          <w:rFonts w:ascii="Arial" w:hAnsi="Arial" w:cs="Arial"/>
          <w:b/>
          <w:lang w:val="sl-SI"/>
        </w:rPr>
        <w:t>3.600.</w:t>
      </w:r>
      <w:r w:rsidR="0017759A">
        <w:rPr>
          <w:rFonts w:ascii="Arial" w:hAnsi="Arial" w:cs="Arial"/>
          <w:b/>
          <w:lang w:val="sl-SI"/>
        </w:rPr>
        <w:t>000</w:t>
      </w:r>
      <w:r w:rsidR="00F636A9" w:rsidRPr="00F636A9">
        <w:rPr>
          <w:rFonts w:ascii="Arial" w:hAnsi="Arial" w:cs="Arial"/>
          <w:b/>
          <w:lang w:val="sl-SI"/>
        </w:rPr>
        <w:t xml:space="preserve"> t</w:t>
      </w:r>
      <w:r w:rsidR="00F636A9" w:rsidRPr="00F636A9">
        <w:rPr>
          <w:rFonts w:ascii="Arial" w:hAnsi="Arial" w:cs="Arial"/>
          <w:b/>
          <w:lang w:val="sr-Latn-CS"/>
        </w:rPr>
        <w:t xml:space="preserve"> </w:t>
      </w:r>
      <w:r w:rsidRPr="00F636A9">
        <w:rPr>
          <w:rFonts w:ascii="Arial" w:hAnsi="Arial" w:cs="Arial"/>
          <w:b/>
          <w:lang w:val="sr-Latn-CS"/>
        </w:rPr>
        <w:t xml:space="preserve"> x 2</w:t>
      </w:r>
      <w:r w:rsidR="00A9046A">
        <w:rPr>
          <w:rFonts w:ascii="Arial" w:hAnsi="Arial" w:cs="Arial"/>
          <w:b/>
          <w:lang w:val="sr-Latn-CS"/>
        </w:rPr>
        <w:t>1</w:t>
      </w:r>
      <w:r w:rsidR="00F636A9" w:rsidRPr="00F636A9">
        <w:rPr>
          <w:rFonts w:ascii="Arial" w:hAnsi="Arial" w:cs="Arial"/>
          <w:b/>
          <w:lang w:val="sr-Latn-CS"/>
        </w:rPr>
        <w:t>,</w:t>
      </w:r>
      <w:r w:rsidR="00A9046A">
        <w:rPr>
          <w:rFonts w:ascii="Arial" w:hAnsi="Arial" w:cs="Arial"/>
          <w:b/>
          <w:lang w:val="sr-Latn-CS"/>
        </w:rPr>
        <w:t>36</w:t>
      </w:r>
      <w:r w:rsidRPr="00F636A9">
        <w:rPr>
          <w:rFonts w:ascii="Arial" w:hAnsi="Arial" w:cs="Arial"/>
          <w:b/>
          <w:lang w:val="sr-Latn-CS"/>
        </w:rPr>
        <w:t xml:space="preserve"> </w:t>
      </w:r>
      <w:r w:rsidRPr="00F636A9">
        <w:rPr>
          <w:rFonts w:ascii="Arial" w:hAnsi="Arial" w:cs="Arial"/>
          <w:b/>
          <w:lang w:val="sl-SI"/>
        </w:rPr>
        <w:t>€/</w:t>
      </w:r>
      <w:r w:rsidRPr="00F636A9">
        <w:rPr>
          <w:rFonts w:ascii="Arial" w:hAnsi="Arial" w:cs="Arial"/>
          <w:b/>
          <w:lang w:val="sr-Latn-CS"/>
        </w:rPr>
        <w:t>t</w:t>
      </w:r>
    </w:p>
    <w:p w14:paraId="08EA1B67" w14:textId="5C48D1FF" w:rsidR="00FD7358" w:rsidRDefault="00FD7358" w:rsidP="00F623A2">
      <w:pPr>
        <w:spacing w:after="0" w:line="240" w:lineRule="auto"/>
        <w:ind w:firstLine="709"/>
        <w:jc w:val="center"/>
        <w:rPr>
          <w:rFonts w:ascii="Arial" w:hAnsi="Arial" w:cs="Arial"/>
          <w:b/>
          <w:bCs/>
          <w:lang w:val="sr-Latn-CS"/>
        </w:rPr>
      </w:pPr>
      <w:r w:rsidRPr="00473EF1">
        <w:rPr>
          <w:rFonts w:ascii="Arial" w:hAnsi="Arial" w:cs="Arial"/>
          <w:b/>
          <w:bCs/>
          <w:lang w:val="sr-Latn-CS"/>
        </w:rPr>
        <w:t xml:space="preserve">VP = </w:t>
      </w:r>
      <w:r w:rsidR="00FE3A09">
        <w:rPr>
          <w:rFonts w:ascii="Arial" w:hAnsi="Arial" w:cs="Arial"/>
          <w:b/>
          <w:bCs/>
          <w:lang w:val="sr-Latn-CS"/>
        </w:rPr>
        <w:t>76.896.</w:t>
      </w:r>
      <w:r w:rsidR="00662406" w:rsidRPr="00473EF1">
        <w:rPr>
          <w:rFonts w:ascii="Arial" w:hAnsi="Arial" w:cs="Arial"/>
          <w:b/>
          <w:bCs/>
          <w:lang w:val="sr-Latn-CS"/>
        </w:rPr>
        <w:t>000</w:t>
      </w:r>
      <w:r w:rsidRPr="00473EF1">
        <w:rPr>
          <w:rFonts w:ascii="Arial" w:hAnsi="Arial" w:cs="Arial"/>
          <w:b/>
          <w:bCs/>
          <w:lang w:val="sr-Cyrl-CS"/>
        </w:rPr>
        <w:t xml:space="preserve"> </w:t>
      </w:r>
      <w:r w:rsidRPr="00473EF1">
        <w:rPr>
          <w:rFonts w:ascii="Arial" w:hAnsi="Arial" w:cs="Arial"/>
          <w:b/>
          <w:bCs/>
          <w:lang w:val="sl-SI"/>
        </w:rPr>
        <w:t>€</w:t>
      </w:r>
      <w:r w:rsidR="00473EF1" w:rsidRPr="00473EF1">
        <w:rPr>
          <w:rFonts w:ascii="Arial" w:hAnsi="Arial" w:cs="Arial"/>
          <w:b/>
          <w:bCs/>
          <w:lang w:val="sl-SI"/>
        </w:rPr>
        <w:t xml:space="preserve">, </w:t>
      </w:r>
      <w:r w:rsidR="00473EF1" w:rsidRPr="00473EF1">
        <w:rPr>
          <w:rFonts w:ascii="Arial" w:hAnsi="Arial" w:cs="Arial"/>
          <w:b/>
          <w:bCs/>
          <w:lang w:val="sr-Cyrl-CS"/>
        </w:rPr>
        <w:t>odnosno</w:t>
      </w:r>
      <w:r w:rsidR="00473EF1" w:rsidRPr="00473EF1">
        <w:rPr>
          <w:rFonts w:ascii="Arial" w:hAnsi="Arial" w:cs="Arial"/>
          <w:b/>
          <w:bCs/>
        </w:rPr>
        <w:t xml:space="preserve"> </w:t>
      </w:r>
      <w:r w:rsidR="00FE3A09">
        <w:rPr>
          <w:rFonts w:ascii="Arial" w:hAnsi="Arial" w:cs="Arial"/>
          <w:b/>
          <w:bCs/>
        </w:rPr>
        <w:t>6.408.000</w:t>
      </w:r>
      <w:r w:rsidR="00D62A70">
        <w:rPr>
          <w:rFonts w:ascii="Arial" w:hAnsi="Arial" w:cs="Arial"/>
          <w:b/>
          <w:bCs/>
        </w:rPr>
        <w:t xml:space="preserve"> </w:t>
      </w:r>
      <w:r w:rsidR="00473EF1" w:rsidRPr="00473EF1">
        <w:rPr>
          <w:rFonts w:ascii="Arial" w:hAnsi="Arial" w:cs="Arial"/>
          <w:b/>
          <w:bCs/>
        </w:rPr>
        <w:t xml:space="preserve"> </w:t>
      </w:r>
      <w:r w:rsidR="00473EF1" w:rsidRPr="00473EF1">
        <w:rPr>
          <w:rFonts w:ascii="Arial" w:hAnsi="Arial" w:cs="Arial"/>
          <w:b/>
          <w:bCs/>
          <w:lang w:val="sl-SI"/>
        </w:rPr>
        <w:t>€/</w:t>
      </w:r>
      <w:r w:rsidR="00473EF1" w:rsidRPr="00473EF1">
        <w:rPr>
          <w:rFonts w:ascii="Arial" w:hAnsi="Arial" w:cs="Arial"/>
          <w:b/>
          <w:bCs/>
          <w:lang w:val="sr-Latn-CS"/>
        </w:rPr>
        <w:t>godišnje</w:t>
      </w:r>
    </w:p>
    <w:p w14:paraId="3E430751" w14:textId="2C7C832C" w:rsidR="00F623A2" w:rsidRDefault="00F623A2" w:rsidP="00F623A2">
      <w:pPr>
        <w:spacing w:after="0" w:line="240" w:lineRule="auto"/>
        <w:ind w:firstLine="709"/>
        <w:jc w:val="center"/>
        <w:rPr>
          <w:rFonts w:ascii="Arial" w:hAnsi="Arial" w:cs="Arial"/>
          <w:b/>
          <w:bCs/>
          <w:lang w:val="sr-Latn-CS"/>
        </w:rPr>
      </w:pPr>
    </w:p>
    <w:p w14:paraId="3FC0F32B" w14:textId="77777777" w:rsidR="00F623A2" w:rsidRDefault="00F623A2" w:rsidP="00F623A2">
      <w:pPr>
        <w:spacing w:after="0" w:line="240" w:lineRule="auto"/>
        <w:ind w:firstLine="709"/>
        <w:jc w:val="center"/>
        <w:rPr>
          <w:rFonts w:ascii="Arial" w:hAnsi="Arial" w:cs="Arial"/>
          <w:b/>
          <w:bCs/>
          <w:lang w:val="sr-Latn-CS"/>
        </w:rPr>
      </w:pPr>
    </w:p>
    <w:p w14:paraId="1829FCE9" w14:textId="77777777" w:rsidR="00744584" w:rsidRPr="006247D2" w:rsidRDefault="00744584" w:rsidP="00F623A2">
      <w:pPr>
        <w:pStyle w:val="Heading2"/>
        <w:jc w:val="center"/>
      </w:pPr>
      <w:bookmarkStart w:id="32" w:name="_Toc402262959"/>
      <w:r w:rsidRPr="006247D2">
        <w:t>Obračun minimalne koncesione naknade</w:t>
      </w:r>
      <w:bookmarkEnd w:id="32"/>
    </w:p>
    <w:p w14:paraId="1DD83CDB" w14:textId="77777777" w:rsidR="00744584" w:rsidRPr="006247D2" w:rsidRDefault="00744584" w:rsidP="00F623A2">
      <w:pPr>
        <w:spacing w:after="0" w:line="240" w:lineRule="auto"/>
        <w:jc w:val="both"/>
        <w:rPr>
          <w:rFonts w:ascii="Arial" w:hAnsi="Arial" w:cs="Arial"/>
          <w:noProof/>
        </w:rPr>
      </w:pPr>
    </w:p>
    <w:p w14:paraId="0BA3589B" w14:textId="77777777" w:rsidR="00744584" w:rsidRPr="006247D2" w:rsidRDefault="00744584" w:rsidP="00F623A2">
      <w:pPr>
        <w:spacing w:after="0" w:line="240" w:lineRule="auto"/>
        <w:jc w:val="both"/>
        <w:rPr>
          <w:rFonts w:ascii="Arial" w:hAnsi="Arial" w:cs="Arial"/>
          <w:noProof/>
        </w:rPr>
      </w:pPr>
      <w:r w:rsidRPr="006247D2">
        <w:rPr>
          <w:rFonts w:ascii="Arial" w:hAnsi="Arial" w:cs="Arial"/>
          <w:noProof/>
        </w:rPr>
        <w:lastRenderedPageBreak/>
        <w:t>Minimalna koncesiona naknada za eksploataciju (čl. 18 Uredbe) obračunava se po obrascu:</w:t>
      </w:r>
    </w:p>
    <w:p w14:paraId="148AEAE2" w14:textId="77777777" w:rsidR="00933594" w:rsidRPr="006247D2" w:rsidRDefault="00933594" w:rsidP="00F623A2">
      <w:pPr>
        <w:spacing w:after="0" w:line="240" w:lineRule="auto"/>
        <w:jc w:val="both"/>
        <w:rPr>
          <w:rFonts w:ascii="Arial" w:hAnsi="Arial" w:cs="Arial"/>
          <w:b/>
          <w:noProof/>
        </w:rPr>
      </w:pPr>
    </w:p>
    <w:p w14:paraId="306198E6" w14:textId="77777777" w:rsidR="00744584" w:rsidRPr="006247D2" w:rsidRDefault="00744584" w:rsidP="00F623A2">
      <w:pPr>
        <w:spacing w:after="0" w:line="240" w:lineRule="auto"/>
        <w:jc w:val="center"/>
        <w:rPr>
          <w:rFonts w:ascii="Arial" w:hAnsi="Arial" w:cs="Arial"/>
          <w:b/>
          <w:noProof/>
        </w:rPr>
      </w:pPr>
      <w:r w:rsidRPr="006247D2">
        <w:rPr>
          <w:rFonts w:ascii="Arial" w:hAnsi="Arial" w:cs="Arial"/>
          <w:b/>
          <w:noProof/>
        </w:rPr>
        <w:t>MDN</w:t>
      </w:r>
      <w:r w:rsidR="008C687C" w:rsidRPr="006247D2">
        <w:rPr>
          <w:rFonts w:ascii="Arial" w:hAnsi="Arial" w:cs="Arial"/>
          <w:b/>
          <w:noProof/>
        </w:rPr>
        <w:t xml:space="preserve"> </w:t>
      </w:r>
      <w:r w:rsidRPr="006247D2">
        <w:rPr>
          <w:rFonts w:ascii="Arial" w:hAnsi="Arial" w:cs="Arial"/>
          <w:b/>
          <w:noProof/>
        </w:rPr>
        <w:t>= VP x G</w:t>
      </w:r>
    </w:p>
    <w:p w14:paraId="2B337D42" w14:textId="77777777" w:rsidR="00744584" w:rsidRPr="006247D2" w:rsidRDefault="00744584" w:rsidP="00F623A2">
      <w:pPr>
        <w:spacing w:after="0" w:line="240" w:lineRule="auto"/>
        <w:jc w:val="both"/>
        <w:rPr>
          <w:rFonts w:ascii="Arial" w:hAnsi="Arial" w:cs="Arial"/>
          <w:noProof/>
        </w:rPr>
      </w:pPr>
      <w:r w:rsidRPr="006247D2">
        <w:rPr>
          <w:rFonts w:ascii="Arial" w:hAnsi="Arial" w:cs="Arial"/>
          <w:noProof/>
        </w:rPr>
        <w:t>gdje su</w:t>
      </w:r>
      <w:r w:rsidR="004C69B2" w:rsidRPr="006247D2">
        <w:rPr>
          <w:rFonts w:ascii="Arial" w:hAnsi="Arial" w:cs="Arial"/>
          <w:noProof/>
        </w:rPr>
        <w:t>:</w:t>
      </w:r>
    </w:p>
    <w:p w14:paraId="71590E50" w14:textId="1AD121AC" w:rsidR="00744584" w:rsidRPr="00A9046A" w:rsidRDefault="00C7797D" w:rsidP="00F623A2">
      <w:pPr>
        <w:spacing w:after="0" w:line="240" w:lineRule="auto"/>
        <w:jc w:val="both"/>
        <w:rPr>
          <w:rFonts w:ascii="Arial" w:hAnsi="Arial" w:cs="Arial"/>
          <w:noProof/>
        </w:rPr>
      </w:pPr>
      <w:r w:rsidRPr="006247D2">
        <w:rPr>
          <w:rFonts w:ascii="Arial" w:hAnsi="Arial" w:cs="Arial"/>
          <w:noProof/>
        </w:rPr>
        <w:t xml:space="preserve">VP - vrijednost proizvodnje </w:t>
      </w:r>
      <w:r w:rsidR="00A9046A" w:rsidRPr="00A9046A">
        <w:rPr>
          <w:rFonts w:ascii="Arial" w:hAnsi="Arial" w:cs="Arial"/>
          <w:bCs/>
          <w:lang w:val="sr-Latn-CS"/>
        </w:rPr>
        <w:t>153 792 000</w:t>
      </w:r>
      <w:r w:rsidR="00A9046A" w:rsidRPr="00A9046A">
        <w:rPr>
          <w:rFonts w:ascii="Arial" w:hAnsi="Arial" w:cs="Arial"/>
          <w:bCs/>
          <w:lang w:val="sr-Cyrl-CS"/>
        </w:rPr>
        <w:t xml:space="preserve"> </w:t>
      </w:r>
      <w:r w:rsidR="00A9046A" w:rsidRPr="00A9046A">
        <w:rPr>
          <w:rFonts w:ascii="Arial" w:hAnsi="Arial" w:cs="Arial"/>
          <w:bCs/>
          <w:lang w:val="sl-SI"/>
        </w:rPr>
        <w:t xml:space="preserve">€ </w:t>
      </w:r>
      <w:r w:rsidR="00991234" w:rsidRPr="00A9046A">
        <w:rPr>
          <w:rFonts w:ascii="Arial" w:hAnsi="Arial" w:cs="Arial"/>
          <w:noProof/>
        </w:rPr>
        <w:t xml:space="preserve">(za </w:t>
      </w:r>
      <w:r w:rsidR="00F636A9" w:rsidRPr="00A9046A">
        <w:rPr>
          <w:rFonts w:ascii="Arial" w:hAnsi="Arial" w:cs="Arial"/>
          <w:noProof/>
        </w:rPr>
        <w:t>1</w:t>
      </w:r>
      <w:r w:rsidR="00F32F63">
        <w:rPr>
          <w:rFonts w:ascii="Arial" w:hAnsi="Arial" w:cs="Arial"/>
          <w:noProof/>
        </w:rPr>
        <w:t>2</w:t>
      </w:r>
      <w:r w:rsidRPr="00A9046A">
        <w:rPr>
          <w:rFonts w:ascii="Arial" w:hAnsi="Arial" w:cs="Arial"/>
          <w:noProof/>
        </w:rPr>
        <w:t xml:space="preserve"> </w:t>
      </w:r>
      <w:r w:rsidR="00744584" w:rsidRPr="00A9046A">
        <w:rPr>
          <w:rFonts w:ascii="Arial" w:hAnsi="Arial" w:cs="Arial"/>
          <w:noProof/>
        </w:rPr>
        <w:t>godina)</w:t>
      </w:r>
    </w:p>
    <w:p w14:paraId="0086FBE4" w14:textId="77777777" w:rsidR="00744584" w:rsidRPr="00A9046A" w:rsidRDefault="00744584" w:rsidP="00F623A2">
      <w:pPr>
        <w:spacing w:after="0" w:line="240" w:lineRule="auto"/>
        <w:jc w:val="both"/>
        <w:rPr>
          <w:rFonts w:ascii="Arial" w:hAnsi="Arial" w:cs="Arial"/>
          <w:noProof/>
        </w:rPr>
      </w:pPr>
      <w:r w:rsidRPr="00A9046A">
        <w:rPr>
          <w:rFonts w:ascii="Arial" w:hAnsi="Arial" w:cs="Arial"/>
          <w:noProof/>
        </w:rPr>
        <w:t>VP - vrije</w:t>
      </w:r>
      <w:r w:rsidR="00C7797D" w:rsidRPr="00A9046A">
        <w:rPr>
          <w:rFonts w:ascii="Arial" w:hAnsi="Arial" w:cs="Arial"/>
          <w:noProof/>
        </w:rPr>
        <w:t xml:space="preserve">dnost godišnje proizvodnje = </w:t>
      </w:r>
      <w:r w:rsidR="00D62A70">
        <w:rPr>
          <w:rFonts w:ascii="Arial" w:hAnsi="Arial" w:cs="Arial"/>
          <w:noProof/>
        </w:rPr>
        <w:t xml:space="preserve">8 544 000 </w:t>
      </w:r>
      <w:r w:rsidR="00A9046A" w:rsidRPr="00A9046A">
        <w:rPr>
          <w:rFonts w:ascii="Arial" w:hAnsi="Arial" w:cs="Arial"/>
          <w:noProof/>
        </w:rPr>
        <w:t>€</w:t>
      </w:r>
    </w:p>
    <w:p w14:paraId="557A11CC" w14:textId="77777777" w:rsidR="00744584" w:rsidRPr="006247D2" w:rsidRDefault="00A9046A" w:rsidP="00F623A2">
      <w:pPr>
        <w:spacing w:after="0" w:line="240" w:lineRule="auto"/>
        <w:jc w:val="both"/>
        <w:rPr>
          <w:rFonts w:ascii="Arial" w:hAnsi="Arial" w:cs="Arial"/>
          <w:noProof/>
        </w:rPr>
      </w:pPr>
      <w:r>
        <w:rPr>
          <w:rFonts w:ascii="Arial" w:hAnsi="Arial" w:cs="Arial"/>
          <w:noProof/>
        </w:rPr>
        <w:t>G</w:t>
      </w:r>
      <w:r w:rsidRPr="00A9046A">
        <w:rPr>
          <w:rFonts w:ascii="Arial" w:hAnsi="Arial" w:cs="Arial"/>
          <w:noProof/>
          <w:vertAlign w:val="subscript"/>
        </w:rPr>
        <w:t>4</w:t>
      </w:r>
      <w:r w:rsidR="000E2011" w:rsidRPr="006247D2">
        <w:rPr>
          <w:rFonts w:ascii="Arial" w:hAnsi="Arial" w:cs="Arial"/>
          <w:noProof/>
        </w:rPr>
        <w:t>- minimalni procentni iznos (5</w:t>
      </w:r>
      <w:r w:rsidR="00744584" w:rsidRPr="006247D2">
        <w:rPr>
          <w:rFonts w:ascii="Arial" w:hAnsi="Arial" w:cs="Arial"/>
          <w:noProof/>
        </w:rPr>
        <w:t>%)</w:t>
      </w:r>
    </w:p>
    <w:p w14:paraId="4709B340" w14:textId="77777777" w:rsidR="00744584" w:rsidRPr="006247D2" w:rsidRDefault="00744584" w:rsidP="00F623A2">
      <w:pPr>
        <w:spacing w:after="0" w:line="240" w:lineRule="auto"/>
        <w:jc w:val="both"/>
        <w:rPr>
          <w:rFonts w:ascii="Arial" w:hAnsi="Arial" w:cs="Arial"/>
          <w:b/>
          <w:noProof/>
        </w:rPr>
      </w:pPr>
    </w:p>
    <w:p w14:paraId="5A2E7205" w14:textId="7A5BD709" w:rsidR="00744584" w:rsidRPr="00164E03" w:rsidRDefault="008D636E" w:rsidP="00F623A2">
      <w:pPr>
        <w:spacing w:after="0" w:line="240" w:lineRule="auto"/>
        <w:rPr>
          <w:rFonts w:ascii="Arial" w:hAnsi="Arial" w:cs="Arial"/>
          <w:lang w:val="sr-Cyrl-CS"/>
        </w:rPr>
      </w:pPr>
      <w:r w:rsidRPr="00127DB0">
        <w:rPr>
          <w:rFonts w:ascii="Arial" w:hAnsi="Arial" w:cs="Arial"/>
          <w:b/>
          <w:noProof/>
        </w:rPr>
        <w:t xml:space="preserve">MDN = </w:t>
      </w:r>
      <w:r w:rsidR="00F32F63">
        <w:rPr>
          <w:rFonts w:ascii="Arial" w:hAnsi="Arial" w:cs="Arial"/>
          <w:b/>
          <w:bCs/>
          <w:lang w:val="sr-Latn-CS"/>
        </w:rPr>
        <w:t>76.896.</w:t>
      </w:r>
      <w:r w:rsidR="00F32F63" w:rsidRPr="00473EF1">
        <w:rPr>
          <w:rFonts w:ascii="Arial" w:hAnsi="Arial" w:cs="Arial"/>
          <w:b/>
          <w:bCs/>
          <w:lang w:val="sr-Latn-CS"/>
        </w:rPr>
        <w:t>000</w:t>
      </w:r>
      <w:r w:rsidR="00F32F63" w:rsidRPr="00473EF1">
        <w:rPr>
          <w:rFonts w:ascii="Arial" w:hAnsi="Arial" w:cs="Arial"/>
          <w:b/>
          <w:bCs/>
          <w:lang w:val="sr-Cyrl-CS"/>
        </w:rPr>
        <w:t xml:space="preserve"> </w:t>
      </w:r>
      <w:r w:rsidR="00F32F63" w:rsidRPr="00473EF1">
        <w:rPr>
          <w:rFonts w:ascii="Arial" w:hAnsi="Arial" w:cs="Arial"/>
          <w:b/>
          <w:bCs/>
          <w:lang w:val="sl-SI"/>
        </w:rPr>
        <w:t>€</w:t>
      </w:r>
      <w:r w:rsidR="00F32F63">
        <w:rPr>
          <w:rFonts w:ascii="Arial" w:hAnsi="Arial" w:cs="Arial"/>
          <w:b/>
          <w:bCs/>
          <w:lang w:val="sl-SI"/>
        </w:rPr>
        <w:t xml:space="preserve"> </w:t>
      </w:r>
      <w:r w:rsidR="000E2011" w:rsidRPr="00127DB0">
        <w:rPr>
          <w:rFonts w:ascii="Arial" w:hAnsi="Arial" w:cs="Arial"/>
          <w:b/>
          <w:noProof/>
        </w:rPr>
        <w:t>x 0,05</w:t>
      </w:r>
      <w:r w:rsidR="005836E1" w:rsidRPr="00127DB0">
        <w:rPr>
          <w:rFonts w:ascii="Arial" w:hAnsi="Arial" w:cs="Arial"/>
          <w:b/>
          <w:noProof/>
        </w:rPr>
        <w:t xml:space="preserve"> = </w:t>
      </w:r>
      <w:r w:rsidR="00F32F63">
        <w:rPr>
          <w:rFonts w:ascii="Arial" w:hAnsi="Arial" w:cs="Arial"/>
          <w:b/>
          <w:noProof/>
        </w:rPr>
        <w:t>3.844.800</w:t>
      </w:r>
      <w:r w:rsidR="00744584" w:rsidRPr="00127DB0">
        <w:rPr>
          <w:rFonts w:ascii="Arial" w:hAnsi="Arial" w:cs="Arial"/>
          <w:b/>
          <w:noProof/>
        </w:rPr>
        <w:t xml:space="preserve"> €</w:t>
      </w:r>
      <w:r w:rsidR="006247D2" w:rsidRPr="00127DB0">
        <w:rPr>
          <w:rFonts w:ascii="Arial" w:hAnsi="Arial" w:cs="Arial"/>
          <w:b/>
          <w:noProof/>
        </w:rPr>
        <w:t xml:space="preserve"> (ukupno za 1</w:t>
      </w:r>
      <w:r w:rsidR="00F32F63">
        <w:rPr>
          <w:rFonts w:ascii="Arial" w:hAnsi="Arial" w:cs="Arial"/>
          <w:b/>
          <w:noProof/>
        </w:rPr>
        <w:t>2</w:t>
      </w:r>
      <w:r w:rsidR="00744584" w:rsidRPr="00127DB0">
        <w:rPr>
          <w:rFonts w:ascii="Arial" w:hAnsi="Arial" w:cs="Arial"/>
          <w:b/>
          <w:noProof/>
        </w:rPr>
        <w:t xml:space="preserve"> godina)</w:t>
      </w:r>
    </w:p>
    <w:p w14:paraId="42D90681" w14:textId="0E223C17" w:rsidR="00744584" w:rsidRPr="006247D2" w:rsidRDefault="005836E1" w:rsidP="00F623A2">
      <w:pPr>
        <w:spacing w:after="0" w:line="240" w:lineRule="auto"/>
        <w:jc w:val="both"/>
        <w:rPr>
          <w:rFonts w:ascii="Arial" w:hAnsi="Arial" w:cs="Arial"/>
          <w:b/>
          <w:noProof/>
        </w:rPr>
      </w:pPr>
      <w:r w:rsidRPr="00127DB0">
        <w:rPr>
          <w:rFonts w:ascii="Arial" w:hAnsi="Arial" w:cs="Arial"/>
          <w:b/>
          <w:noProof/>
        </w:rPr>
        <w:t xml:space="preserve">MDN = </w:t>
      </w:r>
      <w:proofErr w:type="gramStart"/>
      <w:r w:rsidR="00F32F63">
        <w:rPr>
          <w:rFonts w:ascii="Arial" w:hAnsi="Arial" w:cs="Arial"/>
          <w:b/>
          <w:bCs/>
        </w:rPr>
        <w:t xml:space="preserve">6.408.000 </w:t>
      </w:r>
      <w:r w:rsidR="00F32F63" w:rsidRPr="00473EF1">
        <w:rPr>
          <w:rFonts w:ascii="Arial" w:hAnsi="Arial" w:cs="Arial"/>
          <w:b/>
          <w:bCs/>
        </w:rPr>
        <w:t xml:space="preserve"> </w:t>
      </w:r>
      <w:r w:rsidR="005C628B" w:rsidRPr="00127DB0">
        <w:rPr>
          <w:rFonts w:ascii="Arial" w:hAnsi="Arial" w:cs="Arial"/>
          <w:b/>
          <w:bCs/>
          <w:noProof/>
        </w:rPr>
        <w:t>€</w:t>
      </w:r>
      <w:proofErr w:type="gramEnd"/>
      <w:r w:rsidR="000E2011" w:rsidRPr="00127DB0">
        <w:rPr>
          <w:rFonts w:ascii="Arial" w:hAnsi="Arial" w:cs="Arial"/>
          <w:b/>
          <w:noProof/>
        </w:rPr>
        <w:t xml:space="preserve"> x 0,05</w:t>
      </w:r>
      <w:r w:rsidR="004C69B2" w:rsidRPr="00127DB0">
        <w:rPr>
          <w:rFonts w:ascii="Arial" w:hAnsi="Arial" w:cs="Arial"/>
          <w:b/>
          <w:noProof/>
        </w:rPr>
        <w:t xml:space="preserve"> </w:t>
      </w:r>
      <w:r w:rsidR="00C0747A" w:rsidRPr="00127DB0">
        <w:rPr>
          <w:rFonts w:ascii="Arial" w:hAnsi="Arial" w:cs="Arial"/>
          <w:b/>
          <w:noProof/>
        </w:rPr>
        <w:t xml:space="preserve">= </w:t>
      </w:r>
      <w:r w:rsidR="00F32F63">
        <w:rPr>
          <w:rFonts w:ascii="Arial" w:hAnsi="Arial" w:cs="Arial"/>
          <w:b/>
          <w:noProof/>
        </w:rPr>
        <w:t>320.400</w:t>
      </w:r>
      <w:r w:rsidR="00744584" w:rsidRPr="006247D2">
        <w:rPr>
          <w:rFonts w:ascii="Arial" w:hAnsi="Arial" w:cs="Arial"/>
          <w:b/>
          <w:noProof/>
        </w:rPr>
        <w:t xml:space="preserve"> €/godišnje</w:t>
      </w:r>
    </w:p>
    <w:p w14:paraId="1ADB50CB" w14:textId="77777777" w:rsidR="00744584" w:rsidRPr="00015479" w:rsidRDefault="00744584" w:rsidP="00F623A2">
      <w:pPr>
        <w:spacing w:after="0" w:line="240" w:lineRule="auto"/>
        <w:jc w:val="both"/>
        <w:rPr>
          <w:rFonts w:ascii="Arial" w:hAnsi="Arial" w:cs="Arial"/>
          <w:noProof/>
          <w:color w:val="FF0000"/>
        </w:rPr>
      </w:pPr>
    </w:p>
    <w:p w14:paraId="6AB72B9F" w14:textId="77777777" w:rsidR="00744584" w:rsidRPr="006247D2" w:rsidRDefault="00744584" w:rsidP="00F623A2">
      <w:pPr>
        <w:spacing w:after="0" w:line="240" w:lineRule="auto"/>
        <w:jc w:val="both"/>
        <w:rPr>
          <w:rFonts w:ascii="Arial" w:hAnsi="Arial" w:cs="Arial"/>
          <w:noProof/>
        </w:rPr>
      </w:pPr>
      <w:r w:rsidRPr="006247D2">
        <w:rPr>
          <w:rFonts w:ascii="Arial" w:hAnsi="Arial" w:cs="Arial"/>
          <w:noProof/>
        </w:rPr>
        <w:t>Koncesiona naknada (čl. 19 Uredbe) za eksploatac</w:t>
      </w:r>
      <w:r w:rsidR="00774073" w:rsidRPr="006247D2">
        <w:rPr>
          <w:rFonts w:ascii="Arial" w:hAnsi="Arial" w:cs="Arial"/>
          <w:noProof/>
        </w:rPr>
        <w:t>iju sastoji se iz stalnog (SDN)</w:t>
      </w:r>
      <w:r w:rsidRPr="006247D2">
        <w:rPr>
          <w:rFonts w:ascii="Arial" w:hAnsi="Arial" w:cs="Arial"/>
          <w:noProof/>
        </w:rPr>
        <w:t xml:space="preserve"> (nepromjenjivog) i promjenjivog (PDN) dijela naknade.</w:t>
      </w:r>
    </w:p>
    <w:p w14:paraId="10117597" w14:textId="77777777" w:rsidR="00744584" w:rsidRPr="006247D2" w:rsidRDefault="00744584" w:rsidP="00F623A2">
      <w:pPr>
        <w:spacing w:after="0" w:line="240" w:lineRule="auto"/>
        <w:jc w:val="both"/>
        <w:rPr>
          <w:rFonts w:ascii="Arial" w:hAnsi="Arial" w:cs="Arial"/>
          <w:noProof/>
        </w:rPr>
      </w:pPr>
    </w:p>
    <w:p w14:paraId="08D8DAE1" w14:textId="77777777" w:rsidR="00744584" w:rsidRPr="006247D2" w:rsidRDefault="00744584" w:rsidP="00F623A2">
      <w:pPr>
        <w:spacing w:after="0" w:line="240" w:lineRule="auto"/>
        <w:jc w:val="both"/>
        <w:rPr>
          <w:rFonts w:ascii="Arial" w:hAnsi="Arial" w:cs="Arial"/>
          <w:noProof/>
        </w:rPr>
      </w:pPr>
      <w:r w:rsidRPr="006247D2">
        <w:rPr>
          <w:rFonts w:ascii="Arial" w:hAnsi="Arial" w:cs="Arial"/>
          <w:noProof/>
        </w:rPr>
        <w:t>Obračunat</w:t>
      </w:r>
      <w:r w:rsidR="00774073" w:rsidRPr="006247D2">
        <w:rPr>
          <w:rFonts w:ascii="Arial" w:hAnsi="Arial" w:cs="Arial"/>
          <w:noProof/>
        </w:rPr>
        <w:t xml:space="preserve">a minimalna koncesiona naknada </w:t>
      </w:r>
      <w:r w:rsidRPr="006247D2">
        <w:rPr>
          <w:rFonts w:ascii="Arial" w:hAnsi="Arial" w:cs="Arial"/>
          <w:noProof/>
        </w:rPr>
        <w:t>predstavlja minimalni iznos stalnog (nepromjenjivog) dijela koncesione naknade:</w:t>
      </w:r>
    </w:p>
    <w:p w14:paraId="0251A5FC" w14:textId="77777777" w:rsidR="00744584" w:rsidRPr="006247D2" w:rsidRDefault="00744584" w:rsidP="00F623A2">
      <w:pPr>
        <w:spacing w:after="0" w:line="240" w:lineRule="auto"/>
        <w:jc w:val="both"/>
        <w:rPr>
          <w:rFonts w:ascii="Arial" w:hAnsi="Arial" w:cs="Arial"/>
          <w:noProof/>
        </w:rPr>
      </w:pPr>
    </w:p>
    <w:p w14:paraId="11596986" w14:textId="6A934B90" w:rsidR="00744584" w:rsidRPr="006247D2" w:rsidRDefault="00C0747A" w:rsidP="00F623A2">
      <w:pPr>
        <w:numPr>
          <w:ilvl w:val="0"/>
          <w:numId w:val="21"/>
        </w:numPr>
        <w:spacing w:after="0" w:line="240" w:lineRule="auto"/>
        <w:ind w:left="567" w:hanging="283"/>
        <w:jc w:val="both"/>
        <w:rPr>
          <w:rFonts w:ascii="Arial" w:hAnsi="Arial" w:cs="Arial"/>
          <w:b/>
          <w:noProof/>
        </w:rPr>
      </w:pPr>
      <w:r w:rsidRPr="006247D2">
        <w:rPr>
          <w:rFonts w:ascii="Arial" w:hAnsi="Arial" w:cs="Arial"/>
          <w:b/>
          <w:noProof/>
        </w:rPr>
        <w:t xml:space="preserve">Za period od </w:t>
      </w:r>
      <w:r w:rsidR="006247D2" w:rsidRPr="006247D2">
        <w:rPr>
          <w:rFonts w:ascii="Arial" w:hAnsi="Arial" w:cs="Arial"/>
          <w:b/>
          <w:noProof/>
        </w:rPr>
        <w:t>1</w:t>
      </w:r>
      <w:r w:rsidR="00F32F63">
        <w:rPr>
          <w:rFonts w:ascii="Arial" w:hAnsi="Arial" w:cs="Arial"/>
          <w:b/>
          <w:noProof/>
        </w:rPr>
        <w:t>2</w:t>
      </w:r>
      <w:r w:rsidR="005836E1" w:rsidRPr="006247D2">
        <w:rPr>
          <w:rFonts w:ascii="Arial" w:hAnsi="Arial" w:cs="Arial"/>
          <w:b/>
          <w:noProof/>
        </w:rPr>
        <w:t xml:space="preserve"> godina SDN = </w:t>
      </w:r>
      <w:r w:rsidR="00A83511" w:rsidRPr="006247D2">
        <w:rPr>
          <w:rFonts w:ascii="Arial" w:hAnsi="Arial" w:cs="Arial"/>
          <w:b/>
          <w:noProof/>
        </w:rPr>
        <w:t xml:space="preserve"> </w:t>
      </w:r>
      <w:r w:rsidR="00F32F63">
        <w:rPr>
          <w:rFonts w:ascii="Arial" w:hAnsi="Arial" w:cs="Arial"/>
          <w:b/>
          <w:noProof/>
        </w:rPr>
        <w:t>3.844.800</w:t>
      </w:r>
      <w:r w:rsidR="00F32F63" w:rsidRPr="00127DB0">
        <w:rPr>
          <w:rFonts w:ascii="Arial" w:hAnsi="Arial" w:cs="Arial"/>
          <w:b/>
          <w:noProof/>
        </w:rPr>
        <w:t xml:space="preserve"> </w:t>
      </w:r>
      <w:r w:rsidR="00A83511" w:rsidRPr="006247D2">
        <w:rPr>
          <w:rFonts w:ascii="Arial" w:hAnsi="Arial" w:cs="Arial"/>
          <w:b/>
          <w:noProof/>
        </w:rPr>
        <w:t>€</w:t>
      </w:r>
      <w:r w:rsidR="00A83511" w:rsidRPr="006247D2">
        <w:rPr>
          <w:rFonts w:ascii="Arial" w:hAnsi="Arial" w:cs="Arial"/>
          <w:noProof/>
        </w:rPr>
        <w:t xml:space="preserve"> </w:t>
      </w:r>
    </w:p>
    <w:p w14:paraId="2E31FD45" w14:textId="03ADAE72" w:rsidR="00744584" w:rsidRPr="00A9046A" w:rsidRDefault="004C69B2" w:rsidP="00F623A2">
      <w:pPr>
        <w:spacing w:after="0" w:line="240" w:lineRule="auto"/>
        <w:ind w:left="1134"/>
        <w:jc w:val="both"/>
        <w:rPr>
          <w:rFonts w:ascii="Arial" w:hAnsi="Arial" w:cs="Arial"/>
          <w:b/>
          <w:noProof/>
          <w:color w:val="FF0000"/>
        </w:rPr>
      </w:pPr>
      <w:r w:rsidRPr="00A9046A">
        <w:rPr>
          <w:rFonts w:ascii="Arial" w:hAnsi="Arial" w:cs="Arial"/>
          <w:b/>
          <w:noProof/>
        </w:rPr>
        <w:t>S</w:t>
      </w:r>
      <w:r w:rsidR="008D636E" w:rsidRPr="00A9046A">
        <w:rPr>
          <w:rFonts w:ascii="Arial" w:hAnsi="Arial" w:cs="Arial"/>
          <w:b/>
          <w:noProof/>
        </w:rPr>
        <w:t>DN (godišnje) =</w:t>
      </w:r>
      <w:r w:rsidR="006247D2" w:rsidRPr="00A9046A">
        <w:rPr>
          <w:rFonts w:ascii="Arial" w:hAnsi="Arial" w:cs="Arial"/>
          <w:b/>
          <w:noProof/>
        </w:rPr>
        <w:t xml:space="preserve"> </w:t>
      </w:r>
      <w:r w:rsidR="00F32F63">
        <w:rPr>
          <w:rFonts w:ascii="Arial" w:hAnsi="Arial" w:cs="Arial"/>
          <w:b/>
          <w:noProof/>
        </w:rPr>
        <w:t>320.400</w:t>
      </w:r>
      <w:r w:rsidR="00F32F63" w:rsidRPr="006247D2">
        <w:rPr>
          <w:rFonts w:ascii="Arial" w:hAnsi="Arial" w:cs="Arial"/>
          <w:b/>
          <w:noProof/>
        </w:rPr>
        <w:t xml:space="preserve"> </w:t>
      </w:r>
      <w:r w:rsidR="00A9046A">
        <w:rPr>
          <w:rFonts w:ascii="Arial" w:hAnsi="Arial" w:cs="Arial"/>
          <w:b/>
          <w:noProof/>
        </w:rPr>
        <w:t>€</w:t>
      </w:r>
    </w:p>
    <w:p w14:paraId="4ECE0467" w14:textId="77777777" w:rsidR="00A9046A" w:rsidRPr="00A9046A" w:rsidRDefault="00A9046A" w:rsidP="00F623A2">
      <w:pPr>
        <w:spacing w:after="0" w:line="240" w:lineRule="auto"/>
        <w:ind w:left="1134"/>
        <w:jc w:val="both"/>
        <w:rPr>
          <w:rFonts w:ascii="Arial" w:hAnsi="Arial" w:cs="Arial"/>
          <w:b/>
          <w:noProof/>
          <w:color w:val="FF0000"/>
        </w:rPr>
      </w:pPr>
    </w:p>
    <w:p w14:paraId="508BB012" w14:textId="77777777" w:rsidR="00744584" w:rsidRPr="006247D2" w:rsidRDefault="00744584" w:rsidP="00F623A2">
      <w:pPr>
        <w:spacing w:after="0" w:line="240" w:lineRule="auto"/>
        <w:jc w:val="both"/>
        <w:rPr>
          <w:rFonts w:ascii="Arial" w:hAnsi="Arial" w:cs="Arial"/>
          <w:b/>
          <w:noProof/>
        </w:rPr>
      </w:pPr>
      <w:r w:rsidRPr="006247D2">
        <w:rPr>
          <w:rFonts w:ascii="Arial" w:hAnsi="Arial" w:cs="Arial"/>
          <w:b/>
          <w:noProof/>
        </w:rPr>
        <w:t>Stalni dio koncesione naknade koji se utvrđuje Ugovorom o koncesiji, može, u zavisnosti od ponuda biti veći, a n</w:t>
      </w:r>
      <w:r w:rsidR="001E37E9" w:rsidRPr="006247D2">
        <w:rPr>
          <w:rFonts w:ascii="Arial" w:hAnsi="Arial" w:cs="Arial"/>
          <w:b/>
          <w:noProof/>
        </w:rPr>
        <w:t>ikako</w:t>
      </w:r>
      <w:r w:rsidRPr="006247D2">
        <w:rPr>
          <w:rFonts w:ascii="Arial" w:hAnsi="Arial" w:cs="Arial"/>
          <w:b/>
          <w:noProof/>
        </w:rPr>
        <w:t xml:space="preserve"> manji od obračunatog minimalnog iznosa.</w:t>
      </w:r>
    </w:p>
    <w:p w14:paraId="19EE756A" w14:textId="77777777" w:rsidR="00744584" w:rsidRPr="006247D2" w:rsidRDefault="00744584" w:rsidP="00F623A2">
      <w:pPr>
        <w:spacing w:after="0" w:line="240" w:lineRule="auto"/>
        <w:jc w:val="both"/>
        <w:rPr>
          <w:rFonts w:ascii="Arial" w:hAnsi="Arial" w:cs="Arial"/>
          <w:b/>
          <w:noProof/>
        </w:rPr>
      </w:pPr>
    </w:p>
    <w:p w14:paraId="6C1B12EF" w14:textId="77777777" w:rsidR="00721ACD" w:rsidRPr="006247D2" w:rsidRDefault="00473EF1" w:rsidP="00F623A2">
      <w:pPr>
        <w:spacing w:after="0" w:line="240" w:lineRule="auto"/>
        <w:jc w:val="both"/>
        <w:rPr>
          <w:rFonts w:ascii="Arial" w:hAnsi="Arial" w:cs="Arial"/>
          <w:b/>
          <w:noProof/>
        </w:rPr>
      </w:pPr>
      <w:r>
        <w:rPr>
          <w:rFonts w:ascii="Arial" w:hAnsi="Arial" w:cs="Arial"/>
          <w:b/>
          <w:noProof/>
        </w:rPr>
        <w:t>P</w:t>
      </w:r>
      <w:r w:rsidR="00721ACD" w:rsidRPr="006247D2">
        <w:rPr>
          <w:rFonts w:ascii="Arial" w:hAnsi="Arial" w:cs="Arial"/>
          <w:b/>
          <w:noProof/>
        </w:rPr>
        <w:t>onuđač treba svoj</w:t>
      </w:r>
      <w:r>
        <w:rPr>
          <w:rFonts w:ascii="Arial" w:hAnsi="Arial" w:cs="Arial"/>
          <w:b/>
          <w:noProof/>
        </w:rPr>
        <w:t>om</w:t>
      </w:r>
      <w:r w:rsidR="00721ACD" w:rsidRPr="006247D2">
        <w:rPr>
          <w:rFonts w:ascii="Arial" w:hAnsi="Arial" w:cs="Arial"/>
          <w:b/>
          <w:noProof/>
        </w:rPr>
        <w:t xml:space="preserve"> ponudama, a u zavisnosti od sopstvene ekonomsko-finansijske analize, da ponude godišnji obim proizvodnje i procentualni iznos za obračun koncesione naknade, koji ne mogu biti manji od elemenata na osnovu kojih je obračunat minimalni iznos naknade. </w:t>
      </w:r>
    </w:p>
    <w:p w14:paraId="65B25A33" w14:textId="77777777" w:rsidR="00F176E9" w:rsidRPr="00015479" w:rsidRDefault="00F176E9" w:rsidP="00F623A2">
      <w:pPr>
        <w:spacing w:after="0" w:line="240" w:lineRule="auto"/>
        <w:jc w:val="both"/>
        <w:rPr>
          <w:rFonts w:ascii="Arial" w:hAnsi="Arial" w:cs="Arial"/>
          <w:noProof/>
          <w:color w:val="FF0000"/>
        </w:rPr>
      </w:pPr>
    </w:p>
    <w:p w14:paraId="063B4EA4" w14:textId="77777777" w:rsidR="00744584" w:rsidRPr="006247D2" w:rsidRDefault="00744584" w:rsidP="00F623A2">
      <w:pPr>
        <w:spacing w:after="0" w:line="240" w:lineRule="auto"/>
        <w:jc w:val="both"/>
        <w:rPr>
          <w:rFonts w:ascii="Arial" w:hAnsi="Arial" w:cs="Arial"/>
          <w:noProof/>
        </w:rPr>
      </w:pPr>
      <w:r w:rsidRPr="006247D2">
        <w:rPr>
          <w:rFonts w:ascii="Arial" w:hAnsi="Arial" w:cs="Arial"/>
          <w:noProof/>
        </w:rPr>
        <w:t>Ugovoreni godišnji iznos SDN Koncesionar plaća tokom kon</w:t>
      </w:r>
      <w:r w:rsidR="00687325">
        <w:rPr>
          <w:rFonts w:ascii="Arial" w:hAnsi="Arial" w:cs="Arial"/>
          <w:noProof/>
        </w:rPr>
        <w:t>c</w:t>
      </w:r>
      <w:r w:rsidRPr="006247D2">
        <w:rPr>
          <w:rFonts w:ascii="Arial" w:hAnsi="Arial" w:cs="Arial"/>
          <w:noProof/>
        </w:rPr>
        <w:t>esionog perioda u jednakim polugodišnjim ratama do kraja juna, odnosno, decembra tekuće godine.</w:t>
      </w:r>
    </w:p>
    <w:p w14:paraId="2C44A393" w14:textId="77777777" w:rsidR="00744584" w:rsidRPr="00DA6313" w:rsidRDefault="00744584" w:rsidP="00F623A2">
      <w:pPr>
        <w:spacing w:after="0" w:line="240" w:lineRule="auto"/>
        <w:jc w:val="both"/>
        <w:rPr>
          <w:rFonts w:ascii="Arial" w:hAnsi="Arial" w:cs="Arial"/>
          <w:b/>
          <w:noProof/>
        </w:rPr>
      </w:pPr>
    </w:p>
    <w:p w14:paraId="60440881" w14:textId="77777777" w:rsidR="00744584" w:rsidRPr="00DA6313" w:rsidRDefault="00744584" w:rsidP="00F623A2">
      <w:pPr>
        <w:pStyle w:val="Heading2"/>
      </w:pPr>
      <w:bookmarkStart w:id="33" w:name="_Toc402262960"/>
      <w:r w:rsidRPr="00DA6313">
        <w:t>Promjenjivi dio koncesione naknade (PDN)</w:t>
      </w:r>
      <w:bookmarkEnd w:id="33"/>
    </w:p>
    <w:p w14:paraId="2D072F5B" w14:textId="77777777" w:rsidR="00744584" w:rsidRPr="00DA6313" w:rsidRDefault="00744584" w:rsidP="00F623A2">
      <w:pPr>
        <w:spacing w:after="0" w:line="240" w:lineRule="auto"/>
        <w:jc w:val="both"/>
        <w:rPr>
          <w:rFonts w:ascii="Arial" w:hAnsi="Arial" w:cs="Arial"/>
          <w:noProof/>
        </w:rPr>
      </w:pPr>
    </w:p>
    <w:p w14:paraId="07B07E85" w14:textId="77777777" w:rsidR="00744584" w:rsidRPr="006247D2" w:rsidRDefault="00744584" w:rsidP="00F623A2">
      <w:pPr>
        <w:spacing w:after="0" w:line="240" w:lineRule="auto"/>
        <w:jc w:val="both"/>
        <w:rPr>
          <w:rFonts w:ascii="Arial" w:hAnsi="Arial" w:cs="Arial"/>
          <w:noProof/>
        </w:rPr>
      </w:pPr>
      <w:r w:rsidRPr="006247D2">
        <w:rPr>
          <w:rFonts w:ascii="Arial" w:hAnsi="Arial" w:cs="Arial"/>
          <w:noProof/>
        </w:rPr>
        <w:t>Promjenjivi dio naknade obračunava se godišnje po obrascu:</w:t>
      </w:r>
    </w:p>
    <w:p w14:paraId="18F25A3C" w14:textId="77777777" w:rsidR="00744584" w:rsidRPr="006247D2" w:rsidRDefault="00744584" w:rsidP="00F623A2">
      <w:pPr>
        <w:spacing w:after="0" w:line="240" w:lineRule="auto"/>
        <w:jc w:val="both"/>
        <w:rPr>
          <w:rFonts w:ascii="Arial" w:hAnsi="Arial" w:cs="Arial"/>
          <w:b/>
          <w:noProof/>
        </w:rPr>
      </w:pPr>
    </w:p>
    <w:p w14:paraId="52750C0D" w14:textId="400B3A26" w:rsidR="00744584" w:rsidRPr="00F623A2" w:rsidRDefault="00744584" w:rsidP="00F623A2">
      <w:pPr>
        <w:spacing w:after="0" w:line="240" w:lineRule="auto"/>
        <w:jc w:val="center"/>
        <w:rPr>
          <w:rFonts w:ascii="Arial" w:hAnsi="Arial" w:cs="Arial"/>
          <w:b/>
          <w:noProof/>
        </w:rPr>
      </w:pPr>
      <w:r w:rsidRPr="006247D2">
        <w:rPr>
          <w:rFonts w:ascii="Arial" w:hAnsi="Arial" w:cs="Arial"/>
          <w:b/>
          <w:noProof/>
        </w:rPr>
        <w:t>PDN=VPx(</w:t>
      </w:r>
      <w:r w:rsidR="00435E93" w:rsidRPr="006247D2">
        <w:rPr>
          <w:rFonts w:ascii="Arial" w:hAnsi="Arial" w:cs="Arial"/>
          <w:b/>
          <w:noProof/>
        </w:rPr>
        <w:t>G+</w:t>
      </w:r>
      <w:r w:rsidRPr="006247D2">
        <w:rPr>
          <w:rFonts w:ascii="Arial" w:hAnsi="Arial" w:cs="Arial"/>
          <w:b/>
          <w:noProof/>
        </w:rPr>
        <w:t>K) &gt; SDN (godišnjeg iznosa)</w:t>
      </w:r>
    </w:p>
    <w:p w14:paraId="6F5C25DD" w14:textId="77777777" w:rsidR="00744584" w:rsidRPr="006247D2" w:rsidRDefault="00744584" w:rsidP="00F623A2">
      <w:pPr>
        <w:spacing w:after="0" w:line="240" w:lineRule="auto"/>
        <w:jc w:val="both"/>
        <w:rPr>
          <w:rFonts w:ascii="Arial" w:hAnsi="Arial" w:cs="Arial"/>
          <w:noProof/>
        </w:rPr>
      </w:pPr>
      <w:r w:rsidRPr="006247D2">
        <w:rPr>
          <w:rFonts w:ascii="Arial" w:hAnsi="Arial" w:cs="Arial"/>
          <w:noProof/>
        </w:rPr>
        <w:t>gdje su:</w:t>
      </w:r>
    </w:p>
    <w:p w14:paraId="5C3BDE75" w14:textId="77777777" w:rsidR="00F623A2" w:rsidRDefault="00744584" w:rsidP="00F623A2">
      <w:pPr>
        <w:spacing w:after="0" w:line="240" w:lineRule="auto"/>
        <w:jc w:val="both"/>
        <w:rPr>
          <w:rFonts w:ascii="Arial" w:hAnsi="Arial" w:cs="Arial"/>
          <w:noProof/>
        </w:rPr>
      </w:pPr>
      <w:r w:rsidRPr="006247D2">
        <w:rPr>
          <w:rFonts w:ascii="Arial" w:hAnsi="Arial" w:cs="Arial"/>
          <w:b/>
          <w:bCs/>
          <w:noProof/>
        </w:rPr>
        <w:t>VP</w:t>
      </w:r>
      <w:r w:rsidRPr="006247D2">
        <w:rPr>
          <w:rFonts w:ascii="Arial" w:hAnsi="Arial" w:cs="Arial"/>
          <w:noProof/>
        </w:rPr>
        <w:t xml:space="preserve"> - godišnja vrijednost proizvodnje obračunata na osnovu ostvarene godišnje proizvodnje mineralne </w:t>
      </w:r>
      <w:r w:rsidR="00F623A2">
        <w:rPr>
          <w:rFonts w:ascii="Arial" w:hAnsi="Arial" w:cs="Arial"/>
          <w:noProof/>
        </w:rPr>
        <w:t xml:space="preserve"> </w:t>
      </w:r>
    </w:p>
    <w:p w14:paraId="3D2572A4" w14:textId="1EBE9C05" w:rsidR="00744584" w:rsidRPr="006247D2" w:rsidRDefault="00F623A2" w:rsidP="00F623A2">
      <w:pPr>
        <w:spacing w:after="0" w:line="240" w:lineRule="auto"/>
        <w:jc w:val="both"/>
        <w:rPr>
          <w:rFonts w:ascii="Arial" w:hAnsi="Arial" w:cs="Arial"/>
          <w:noProof/>
        </w:rPr>
      </w:pPr>
      <w:r>
        <w:rPr>
          <w:rFonts w:ascii="Arial" w:hAnsi="Arial" w:cs="Arial"/>
          <w:noProof/>
        </w:rPr>
        <w:t xml:space="preserve">        </w:t>
      </w:r>
      <w:r w:rsidR="00744584" w:rsidRPr="006247D2">
        <w:rPr>
          <w:rFonts w:ascii="Arial" w:hAnsi="Arial" w:cs="Arial"/>
          <w:noProof/>
        </w:rPr>
        <w:t>sirovine i prosječne godišnje prodajne cijene priozvoda</w:t>
      </w:r>
    </w:p>
    <w:p w14:paraId="60ABD205" w14:textId="11742C55" w:rsidR="00744584" w:rsidRPr="006247D2" w:rsidRDefault="00744584" w:rsidP="00F623A2">
      <w:pPr>
        <w:spacing w:after="0" w:line="240" w:lineRule="auto"/>
        <w:jc w:val="both"/>
        <w:rPr>
          <w:rFonts w:ascii="Arial" w:hAnsi="Arial" w:cs="Arial"/>
          <w:noProof/>
        </w:rPr>
      </w:pPr>
      <w:r w:rsidRPr="006247D2">
        <w:rPr>
          <w:rFonts w:ascii="Arial" w:hAnsi="Arial" w:cs="Arial"/>
          <w:b/>
          <w:bCs/>
          <w:noProof/>
        </w:rPr>
        <w:t>G</w:t>
      </w:r>
      <w:r w:rsidRPr="006247D2">
        <w:rPr>
          <w:rFonts w:ascii="Arial" w:hAnsi="Arial" w:cs="Arial"/>
          <w:noProof/>
        </w:rPr>
        <w:t xml:space="preserve"> - </w:t>
      </w:r>
      <w:r w:rsidR="00F623A2">
        <w:rPr>
          <w:rFonts w:ascii="Arial" w:hAnsi="Arial" w:cs="Arial"/>
          <w:noProof/>
        </w:rPr>
        <w:t xml:space="preserve"> </w:t>
      </w:r>
      <w:r w:rsidRPr="006247D2">
        <w:rPr>
          <w:rFonts w:ascii="Arial" w:hAnsi="Arial" w:cs="Arial"/>
          <w:noProof/>
        </w:rPr>
        <w:t>ugovoreni procentualni iznos za pripadnost grupi ležišta (</w:t>
      </w:r>
      <w:r w:rsidR="00473EF1" w:rsidRPr="00AB3E5B">
        <w:rPr>
          <w:rFonts w:ascii="Arial" w:hAnsi="Arial" w:cs="Arial"/>
        </w:rPr>
        <w:t>≥</w:t>
      </w:r>
      <w:r w:rsidR="00473EF1" w:rsidRPr="006247D2">
        <w:rPr>
          <w:rFonts w:ascii="Arial" w:hAnsi="Arial" w:cs="Arial"/>
          <w:noProof/>
        </w:rPr>
        <w:t xml:space="preserve"> </w:t>
      </w:r>
      <w:r w:rsidRPr="006247D2">
        <w:rPr>
          <w:rFonts w:ascii="Arial" w:hAnsi="Arial" w:cs="Arial"/>
          <w:noProof/>
        </w:rPr>
        <w:t xml:space="preserve">od </w:t>
      </w:r>
      <w:r w:rsidR="00F636A9" w:rsidRPr="006247D2">
        <w:rPr>
          <w:rFonts w:ascii="Arial" w:hAnsi="Arial" w:cs="Arial"/>
          <w:noProof/>
        </w:rPr>
        <w:t>5</w:t>
      </w:r>
      <w:r w:rsidRPr="006247D2">
        <w:rPr>
          <w:rFonts w:ascii="Arial" w:hAnsi="Arial" w:cs="Arial"/>
          <w:noProof/>
        </w:rPr>
        <w:t>%)</w:t>
      </w:r>
    </w:p>
    <w:p w14:paraId="3A118487" w14:textId="30D57B6B" w:rsidR="00F623A2" w:rsidRDefault="00744584" w:rsidP="00F623A2">
      <w:pPr>
        <w:spacing w:after="0" w:line="240" w:lineRule="auto"/>
        <w:jc w:val="both"/>
        <w:rPr>
          <w:rFonts w:ascii="Arial" w:hAnsi="Arial" w:cs="Arial"/>
          <w:noProof/>
        </w:rPr>
      </w:pPr>
      <w:r w:rsidRPr="006247D2">
        <w:rPr>
          <w:rFonts w:ascii="Arial" w:hAnsi="Arial" w:cs="Arial"/>
          <w:b/>
          <w:bCs/>
          <w:noProof/>
        </w:rPr>
        <w:t>K</w:t>
      </w:r>
      <w:r w:rsidRPr="006247D2">
        <w:rPr>
          <w:rFonts w:ascii="Arial" w:hAnsi="Arial" w:cs="Arial"/>
          <w:noProof/>
        </w:rPr>
        <w:t xml:space="preserve"> - </w:t>
      </w:r>
      <w:r w:rsidR="00F623A2">
        <w:rPr>
          <w:rFonts w:ascii="Arial" w:hAnsi="Arial" w:cs="Arial"/>
          <w:noProof/>
        </w:rPr>
        <w:t xml:space="preserve"> </w:t>
      </w:r>
      <w:r w:rsidRPr="006247D2">
        <w:rPr>
          <w:rFonts w:ascii="Arial" w:hAnsi="Arial" w:cs="Arial"/>
          <w:noProof/>
        </w:rPr>
        <w:t>vrijednost korektiv</w:t>
      </w:r>
      <w:r w:rsidR="00F176E9" w:rsidRPr="006247D2">
        <w:rPr>
          <w:rFonts w:ascii="Arial" w:hAnsi="Arial" w:cs="Arial"/>
          <w:noProof/>
        </w:rPr>
        <w:t>nog</w:t>
      </w:r>
      <w:r w:rsidRPr="006247D2">
        <w:rPr>
          <w:rFonts w:ascii="Arial" w:hAnsi="Arial" w:cs="Arial"/>
          <w:noProof/>
        </w:rPr>
        <w:t xml:space="preserve"> faktora</w:t>
      </w:r>
      <w:r w:rsidR="00F176E9" w:rsidRPr="006247D2">
        <w:rPr>
          <w:rFonts w:ascii="Arial" w:hAnsi="Arial" w:cs="Arial"/>
          <w:noProof/>
        </w:rPr>
        <w:t xml:space="preserve"> (po osnovu ostvarene proizvodnje, obračunati iznos se uvećava od </w:t>
      </w:r>
    </w:p>
    <w:p w14:paraId="3AA4FEDB" w14:textId="08EC76BD" w:rsidR="00F176E9" w:rsidRPr="006247D2" w:rsidRDefault="00F623A2" w:rsidP="00F623A2">
      <w:pPr>
        <w:spacing w:after="0" w:line="240" w:lineRule="auto"/>
        <w:jc w:val="both"/>
        <w:rPr>
          <w:rFonts w:ascii="Arial" w:hAnsi="Arial" w:cs="Arial"/>
          <w:noProof/>
        </w:rPr>
      </w:pPr>
      <w:r>
        <w:rPr>
          <w:rFonts w:ascii="Arial" w:hAnsi="Arial" w:cs="Arial"/>
          <w:noProof/>
        </w:rPr>
        <w:t xml:space="preserve">       </w:t>
      </w:r>
      <w:r w:rsidR="00F176E9" w:rsidRPr="006247D2">
        <w:rPr>
          <w:rFonts w:ascii="Arial" w:hAnsi="Arial" w:cs="Arial"/>
          <w:noProof/>
        </w:rPr>
        <w:t>0 do 3%, čl. 21 Uredbe).</w:t>
      </w:r>
    </w:p>
    <w:p w14:paraId="66D1E6C1" w14:textId="77777777" w:rsidR="00744584" w:rsidRPr="006247D2" w:rsidRDefault="00744584" w:rsidP="00F623A2">
      <w:pPr>
        <w:spacing w:after="0" w:line="240" w:lineRule="auto"/>
        <w:jc w:val="both"/>
        <w:rPr>
          <w:rFonts w:ascii="Arial" w:hAnsi="Arial" w:cs="Arial"/>
          <w:noProof/>
        </w:rPr>
      </w:pPr>
    </w:p>
    <w:p w14:paraId="1D8E7A18" w14:textId="77777777" w:rsidR="00721ACD" w:rsidRDefault="00127DB0" w:rsidP="00F623A2">
      <w:pPr>
        <w:spacing w:after="0" w:line="240" w:lineRule="auto"/>
        <w:jc w:val="both"/>
        <w:rPr>
          <w:rStyle w:val="fontstyle01"/>
          <w:rFonts w:ascii="Arial" w:hAnsi="Arial" w:cs="Arial"/>
          <w:sz w:val="22"/>
          <w:szCs w:val="22"/>
        </w:rPr>
      </w:pPr>
      <w:proofErr w:type="spellStart"/>
      <w:r w:rsidRPr="00127DB0">
        <w:rPr>
          <w:rStyle w:val="fontstyle01"/>
          <w:rFonts w:ascii="Arial" w:hAnsi="Arial" w:cs="Arial"/>
          <w:sz w:val="22"/>
          <w:szCs w:val="22"/>
        </w:rPr>
        <w:t>Promjenjivi</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dio</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naknade</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obračunava</w:t>
      </w:r>
      <w:proofErr w:type="spellEnd"/>
      <w:r w:rsidRPr="00127DB0">
        <w:rPr>
          <w:rStyle w:val="fontstyle01"/>
          <w:rFonts w:ascii="Arial" w:hAnsi="Arial" w:cs="Arial"/>
          <w:sz w:val="22"/>
          <w:szCs w:val="22"/>
        </w:rPr>
        <w:t xml:space="preserve"> se </w:t>
      </w:r>
      <w:proofErr w:type="spellStart"/>
      <w:r w:rsidRPr="00127DB0">
        <w:rPr>
          <w:rStyle w:val="fontstyle01"/>
          <w:rFonts w:ascii="Arial" w:hAnsi="Arial" w:cs="Arial"/>
          <w:sz w:val="22"/>
          <w:szCs w:val="22"/>
        </w:rPr>
        <w:t>na</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kraju</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svake</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godine</w:t>
      </w:r>
      <w:proofErr w:type="spellEnd"/>
      <w:r w:rsidRPr="00127DB0">
        <w:rPr>
          <w:rStyle w:val="fontstyle01"/>
          <w:rFonts w:ascii="Arial" w:hAnsi="Arial" w:cs="Arial"/>
          <w:sz w:val="22"/>
          <w:szCs w:val="22"/>
        </w:rPr>
        <w:t xml:space="preserve">, a </w:t>
      </w:r>
      <w:proofErr w:type="spellStart"/>
      <w:r w:rsidRPr="00127DB0">
        <w:rPr>
          <w:rStyle w:val="fontstyle01"/>
          <w:rFonts w:ascii="Arial" w:hAnsi="Arial" w:cs="Arial"/>
          <w:sz w:val="22"/>
          <w:szCs w:val="22"/>
        </w:rPr>
        <w:t>plaća</w:t>
      </w:r>
      <w:proofErr w:type="spellEnd"/>
      <w:r w:rsidRPr="00127DB0">
        <w:rPr>
          <w:rStyle w:val="fontstyle01"/>
          <w:rFonts w:ascii="Arial" w:hAnsi="Arial" w:cs="Arial"/>
          <w:sz w:val="22"/>
          <w:szCs w:val="22"/>
        </w:rPr>
        <w:t xml:space="preserve"> se </w:t>
      </w:r>
      <w:proofErr w:type="spellStart"/>
      <w:r w:rsidRPr="00127DB0">
        <w:rPr>
          <w:rStyle w:val="fontstyle01"/>
          <w:rFonts w:ascii="Arial" w:hAnsi="Arial" w:cs="Arial"/>
          <w:sz w:val="22"/>
          <w:szCs w:val="22"/>
        </w:rPr>
        <w:t>za</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količine</w:t>
      </w:r>
      <w:proofErr w:type="spellEnd"/>
      <w:r w:rsidRPr="00127DB0">
        <w:rPr>
          <w:rFonts w:ascii="Arial" w:hAnsi="Arial" w:cs="Arial"/>
          <w:color w:val="000000"/>
        </w:rPr>
        <w:br/>
      </w:r>
      <w:proofErr w:type="spellStart"/>
      <w:r w:rsidRPr="00127DB0">
        <w:rPr>
          <w:rStyle w:val="fontstyle01"/>
          <w:rFonts w:ascii="Arial" w:hAnsi="Arial" w:cs="Arial"/>
          <w:sz w:val="22"/>
          <w:szCs w:val="22"/>
        </w:rPr>
        <w:t>eksploatisane</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mineralne</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sirovine</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koja</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prelazi</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godišnju</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minimalnu</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količinu</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za</w:t>
      </w:r>
      <w:proofErr w:type="spellEnd"/>
      <w:r w:rsidRPr="00127DB0">
        <w:rPr>
          <w:rFonts w:ascii="Arial" w:hAnsi="Arial" w:cs="Arial"/>
          <w:color w:val="000000"/>
        </w:rPr>
        <w:br/>
      </w:r>
      <w:proofErr w:type="spellStart"/>
      <w:r w:rsidRPr="00127DB0">
        <w:rPr>
          <w:rStyle w:val="fontstyle01"/>
          <w:rFonts w:ascii="Arial" w:hAnsi="Arial" w:cs="Arial"/>
          <w:sz w:val="22"/>
          <w:szCs w:val="22"/>
        </w:rPr>
        <w:t>eksploataciju</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utvrđenu</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Ugovorom</w:t>
      </w:r>
      <w:proofErr w:type="spellEnd"/>
      <w:r w:rsidRPr="00127DB0">
        <w:rPr>
          <w:rStyle w:val="fontstyle01"/>
          <w:rFonts w:ascii="Arial" w:hAnsi="Arial" w:cs="Arial"/>
          <w:sz w:val="22"/>
          <w:szCs w:val="22"/>
        </w:rPr>
        <w:t xml:space="preserve"> o </w:t>
      </w:r>
      <w:proofErr w:type="spellStart"/>
      <w:r w:rsidRPr="00127DB0">
        <w:rPr>
          <w:rStyle w:val="fontstyle01"/>
          <w:rFonts w:ascii="Arial" w:hAnsi="Arial" w:cs="Arial"/>
          <w:sz w:val="22"/>
          <w:szCs w:val="22"/>
        </w:rPr>
        <w:t>koncesiji</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čl</w:t>
      </w:r>
      <w:proofErr w:type="spellEnd"/>
      <w:r w:rsidRPr="00127DB0">
        <w:rPr>
          <w:rStyle w:val="fontstyle01"/>
          <w:rFonts w:ascii="Arial" w:hAnsi="Arial" w:cs="Arial"/>
          <w:sz w:val="22"/>
          <w:szCs w:val="22"/>
        </w:rPr>
        <w:t xml:space="preserve">. 19 </w:t>
      </w:r>
      <w:proofErr w:type="spellStart"/>
      <w:r w:rsidRPr="00127DB0">
        <w:rPr>
          <w:rStyle w:val="fontstyle01"/>
          <w:rFonts w:ascii="Arial" w:hAnsi="Arial" w:cs="Arial"/>
          <w:sz w:val="22"/>
          <w:szCs w:val="22"/>
        </w:rPr>
        <w:t>stav</w:t>
      </w:r>
      <w:proofErr w:type="spellEnd"/>
      <w:r w:rsidRPr="00127DB0">
        <w:rPr>
          <w:rStyle w:val="fontstyle01"/>
          <w:rFonts w:ascii="Arial" w:hAnsi="Arial" w:cs="Arial"/>
          <w:sz w:val="22"/>
          <w:szCs w:val="22"/>
        </w:rPr>
        <w:t xml:space="preserve"> 3 </w:t>
      </w:r>
      <w:proofErr w:type="spellStart"/>
      <w:r w:rsidRPr="00127DB0">
        <w:rPr>
          <w:rStyle w:val="fontstyle01"/>
          <w:rFonts w:ascii="Arial" w:hAnsi="Arial" w:cs="Arial"/>
          <w:sz w:val="22"/>
          <w:szCs w:val="22"/>
        </w:rPr>
        <w:t>Uredbe</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Uplata</w:t>
      </w:r>
      <w:proofErr w:type="spellEnd"/>
      <w:r w:rsidRPr="00127DB0">
        <w:rPr>
          <w:rStyle w:val="fontstyle01"/>
          <w:rFonts w:ascii="Arial" w:hAnsi="Arial" w:cs="Arial"/>
          <w:sz w:val="22"/>
          <w:szCs w:val="22"/>
        </w:rPr>
        <w:t xml:space="preserve"> se </w:t>
      </w:r>
      <w:proofErr w:type="spellStart"/>
      <w:r w:rsidRPr="00127DB0">
        <w:rPr>
          <w:rStyle w:val="fontstyle01"/>
          <w:rFonts w:ascii="Arial" w:hAnsi="Arial" w:cs="Arial"/>
          <w:sz w:val="22"/>
          <w:szCs w:val="22"/>
        </w:rPr>
        <w:t>vrši</w:t>
      </w:r>
      <w:proofErr w:type="spellEnd"/>
      <w:r w:rsidRPr="00127DB0">
        <w:rPr>
          <w:rFonts w:ascii="Arial" w:hAnsi="Arial" w:cs="Arial"/>
          <w:color w:val="000000"/>
        </w:rPr>
        <w:br/>
      </w:r>
      <w:proofErr w:type="spellStart"/>
      <w:r w:rsidRPr="00127DB0">
        <w:rPr>
          <w:rStyle w:val="fontstyle01"/>
          <w:rFonts w:ascii="Arial" w:hAnsi="Arial" w:cs="Arial"/>
          <w:sz w:val="22"/>
          <w:szCs w:val="22"/>
        </w:rPr>
        <w:t>jedanput</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godišnje</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na</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osnovu</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Rješenja</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nadležnog</w:t>
      </w:r>
      <w:proofErr w:type="spellEnd"/>
      <w:r w:rsidRPr="00127DB0">
        <w:rPr>
          <w:rStyle w:val="fontstyle01"/>
          <w:rFonts w:ascii="Arial" w:hAnsi="Arial" w:cs="Arial"/>
          <w:sz w:val="22"/>
          <w:szCs w:val="22"/>
        </w:rPr>
        <w:t xml:space="preserve"> </w:t>
      </w:r>
      <w:proofErr w:type="spellStart"/>
      <w:r w:rsidRPr="00127DB0">
        <w:rPr>
          <w:rStyle w:val="fontstyle01"/>
          <w:rFonts w:ascii="Arial" w:hAnsi="Arial" w:cs="Arial"/>
          <w:sz w:val="22"/>
          <w:szCs w:val="22"/>
        </w:rPr>
        <w:t>ministarstva</w:t>
      </w:r>
      <w:proofErr w:type="spellEnd"/>
      <w:r>
        <w:rPr>
          <w:rStyle w:val="fontstyle01"/>
          <w:rFonts w:ascii="Arial" w:hAnsi="Arial" w:cs="Arial"/>
          <w:sz w:val="22"/>
          <w:szCs w:val="22"/>
        </w:rPr>
        <w:t>.</w:t>
      </w:r>
    </w:p>
    <w:p w14:paraId="7DEEA77B" w14:textId="77777777" w:rsidR="00127DB0" w:rsidRPr="00127DB0" w:rsidRDefault="00127DB0" w:rsidP="00F623A2">
      <w:pPr>
        <w:spacing w:after="0" w:line="240" w:lineRule="auto"/>
        <w:jc w:val="both"/>
        <w:rPr>
          <w:rFonts w:ascii="Arial" w:hAnsi="Arial" w:cs="Arial"/>
          <w:noProof/>
        </w:rPr>
      </w:pPr>
    </w:p>
    <w:p w14:paraId="4C62F6B9" w14:textId="09C2A73D" w:rsidR="00744584" w:rsidRPr="006247D2" w:rsidRDefault="00744584" w:rsidP="00F623A2">
      <w:pPr>
        <w:spacing w:after="0" w:line="240" w:lineRule="auto"/>
        <w:jc w:val="both"/>
        <w:rPr>
          <w:rFonts w:ascii="Arial" w:hAnsi="Arial" w:cs="Arial"/>
          <w:noProof/>
        </w:rPr>
      </w:pPr>
      <w:r w:rsidRPr="006247D2">
        <w:rPr>
          <w:rFonts w:ascii="Arial" w:hAnsi="Arial" w:cs="Arial"/>
          <w:noProof/>
        </w:rPr>
        <w:t>Obračun PDN se vrši na osnovu sljedeće dokumentacije:</w:t>
      </w:r>
    </w:p>
    <w:p w14:paraId="0B9FFB77" w14:textId="77777777" w:rsidR="00744584" w:rsidRPr="006247D2" w:rsidRDefault="00744584" w:rsidP="00F623A2">
      <w:pPr>
        <w:numPr>
          <w:ilvl w:val="0"/>
          <w:numId w:val="2"/>
        </w:numPr>
        <w:tabs>
          <w:tab w:val="clear" w:pos="720"/>
        </w:tabs>
        <w:spacing w:after="0" w:line="240" w:lineRule="auto"/>
        <w:ind w:left="709" w:hanging="283"/>
        <w:jc w:val="both"/>
        <w:rPr>
          <w:rFonts w:ascii="Arial" w:hAnsi="Arial" w:cs="Arial"/>
          <w:noProof/>
        </w:rPr>
      </w:pPr>
      <w:r w:rsidRPr="006247D2">
        <w:rPr>
          <w:rFonts w:ascii="Arial" w:hAnsi="Arial" w:cs="Arial"/>
          <w:noProof/>
        </w:rPr>
        <w:t>godišnjeg tehničkog izvještaja;</w:t>
      </w:r>
    </w:p>
    <w:p w14:paraId="137EB90F" w14:textId="77777777" w:rsidR="00744584" w:rsidRPr="006247D2" w:rsidRDefault="00744584" w:rsidP="00F623A2">
      <w:pPr>
        <w:numPr>
          <w:ilvl w:val="0"/>
          <w:numId w:val="2"/>
        </w:numPr>
        <w:tabs>
          <w:tab w:val="clear" w:pos="720"/>
        </w:tabs>
        <w:spacing w:after="0" w:line="240" w:lineRule="auto"/>
        <w:ind w:left="709" w:hanging="283"/>
        <w:jc w:val="both"/>
        <w:rPr>
          <w:rFonts w:ascii="Arial" w:hAnsi="Arial" w:cs="Arial"/>
          <w:noProof/>
        </w:rPr>
      </w:pPr>
      <w:r w:rsidRPr="006247D2">
        <w:rPr>
          <w:rFonts w:ascii="Arial" w:hAnsi="Arial" w:cs="Arial"/>
          <w:noProof/>
        </w:rPr>
        <w:t>izvještaja o radu i ostvarenom prihodu po osnovu ostvarene proizvodnje mineralne sirovine; i</w:t>
      </w:r>
    </w:p>
    <w:p w14:paraId="7F8E2A18" w14:textId="77777777" w:rsidR="00744584" w:rsidRPr="006247D2" w:rsidRDefault="00744584" w:rsidP="00F623A2">
      <w:pPr>
        <w:numPr>
          <w:ilvl w:val="0"/>
          <w:numId w:val="2"/>
        </w:numPr>
        <w:tabs>
          <w:tab w:val="clear" w:pos="720"/>
        </w:tabs>
        <w:spacing w:after="0" w:line="240" w:lineRule="auto"/>
        <w:ind w:left="709" w:hanging="283"/>
        <w:jc w:val="both"/>
        <w:rPr>
          <w:rFonts w:ascii="Arial" w:hAnsi="Arial" w:cs="Arial"/>
          <w:noProof/>
        </w:rPr>
      </w:pPr>
      <w:r w:rsidRPr="006247D2">
        <w:rPr>
          <w:rFonts w:ascii="Arial" w:hAnsi="Arial" w:cs="Arial"/>
          <w:noProof/>
        </w:rPr>
        <w:t>dokaza o količinama i prosječno ostvarenim prodajnim cijenam</w:t>
      </w:r>
      <w:r w:rsidR="00721ACD" w:rsidRPr="006247D2">
        <w:rPr>
          <w:rFonts w:ascii="Arial" w:hAnsi="Arial" w:cs="Arial"/>
          <w:noProof/>
        </w:rPr>
        <w:t xml:space="preserve">a jedinice proizvoda na domaćem </w:t>
      </w:r>
      <w:r w:rsidRPr="006247D2">
        <w:rPr>
          <w:rFonts w:ascii="Arial" w:hAnsi="Arial" w:cs="Arial"/>
          <w:noProof/>
        </w:rPr>
        <w:t>i stranom tržištu.</w:t>
      </w:r>
    </w:p>
    <w:p w14:paraId="472420FB" w14:textId="5499B51F" w:rsidR="000F6072" w:rsidRDefault="00744584" w:rsidP="00F623A2">
      <w:pPr>
        <w:spacing w:after="0" w:line="240" w:lineRule="auto"/>
        <w:jc w:val="both"/>
        <w:rPr>
          <w:rFonts w:ascii="Arial" w:hAnsi="Arial" w:cs="Arial"/>
          <w:noProof/>
        </w:rPr>
      </w:pPr>
      <w:r w:rsidRPr="006247D2">
        <w:rPr>
          <w:rFonts w:ascii="Arial" w:hAnsi="Arial" w:cs="Arial"/>
          <w:noProof/>
        </w:rPr>
        <w:t>Dokumentaciju za obračun PDN podnosi koncesionar najkasnije do kraja marta tekuće, za prethodnu godinu</w:t>
      </w:r>
      <w:r w:rsidR="006247D2">
        <w:rPr>
          <w:rFonts w:ascii="Arial" w:hAnsi="Arial" w:cs="Arial"/>
          <w:noProof/>
        </w:rPr>
        <w:t>.</w:t>
      </w:r>
    </w:p>
    <w:p w14:paraId="501211C7" w14:textId="77777777" w:rsidR="006247D2" w:rsidRDefault="006247D2" w:rsidP="00F623A2">
      <w:pPr>
        <w:spacing w:after="0" w:line="240" w:lineRule="auto"/>
        <w:jc w:val="both"/>
        <w:rPr>
          <w:rFonts w:ascii="Arial" w:hAnsi="Arial" w:cs="Arial"/>
          <w:noProof/>
        </w:rPr>
      </w:pPr>
    </w:p>
    <w:p w14:paraId="6040DBE7" w14:textId="77777777" w:rsidR="00473EF1" w:rsidRDefault="00473EF1" w:rsidP="00F623A2">
      <w:pPr>
        <w:pStyle w:val="Heading1"/>
        <w:numPr>
          <w:ilvl w:val="0"/>
          <w:numId w:val="0"/>
        </w:numPr>
        <w:ind w:left="432" w:hanging="432"/>
        <w:rPr>
          <w:rFonts w:ascii="Arial" w:hAnsi="Arial"/>
          <w:sz w:val="22"/>
          <w:szCs w:val="22"/>
        </w:rPr>
      </w:pPr>
      <w:bookmarkStart w:id="34" w:name="_Toc390549915"/>
      <w:bookmarkStart w:id="35" w:name="_Toc402262961"/>
      <w:r>
        <w:rPr>
          <w:rFonts w:ascii="Arial" w:hAnsi="Arial"/>
          <w:sz w:val="22"/>
          <w:szCs w:val="22"/>
        </w:rPr>
        <w:lastRenderedPageBreak/>
        <w:t>9</w:t>
      </w:r>
      <w:r w:rsidRPr="00A35F28">
        <w:rPr>
          <w:rFonts w:ascii="Arial" w:hAnsi="Arial"/>
          <w:sz w:val="22"/>
          <w:szCs w:val="22"/>
        </w:rPr>
        <w:t xml:space="preserve">. </w:t>
      </w:r>
      <w:bookmarkEnd w:id="34"/>
      <w:bookmarkEnd w:id="35"/>
      <w:r>
        <w:rPr>
          <w:rFonts w:ascii="Arial" w:hAnsi="Arial"/>
          <w:sz w:val="22"/>
          <w:szCs w:val="22"/>
        </w:rPr>
        <w:t>OBAVEZUJUĆI ELEMENTI PONUDE</w:t>
      </w:r>
    </w:p>
    <w:p w14:paraId="33411A3D" w14:textId="77777777" w:rsidR="00744584" w:rsidRPr="00DA6313" w:rsidRDefault="00473EF1" w:rsidP="00F623A2">
      <w:pPr>
        <w:spacing w:after="0" w:line="240" w:lineRule="auto"/>
        <w:jc w:val="both"/>
        <w:rPr>
          <w:rFonts w:ascii="Arial" w:hAnsi="Arial" w:cs="Arial"/>
          <w:noProof/>
        </w:rPr>
      </w:pPr>
      <w:r>
        <w:rPr>
          <w:rFonts w:ascii="Arial" w:hAnsi="Arial" w:cs="Arial"/>
          <w:noProof/>
        </w:rPr>
        <w:t xml:space="preserve">                      </w:t>
      </w:r>
    </w:p>
    <w:tbl>
      <w:tblPr>
        <w:tblStyle w:val="TableGrid1"/>
        <w:tblW w:w="0" w:type="auto"/>
        <w:jc w:val="center"/>
        <w:tblLook w:val="04A0" w:firstRow="1" w:lastRow="0" w:firstColumn="1" w:lastColumn="0" w:noHBand="0" w:noVBand="1"/>
      </w:tblPr>
      <w:tblGrid>
        <w:gridCol w:w="656"/>
        <w:gridCol w:w="8159"/>
      </w:tblGrid>
      <w:tr w:rsidR="009534C8" w:rsidRPr="00DF39F4" w14:paraId="2721621C" w14:textId="77777777" w:rsidTr="007D617C">
        <w:trPr>
          <w:trHeight w:val="285"/>
          <w:jc w:val="center"/>
        </w:trPr>
        <w:tc>
          <w:tcPr>
            <w:tcW w:w="656" w:type="dxa"/>
          </w:tcPr>
          <w:p w14:paraId="63987086" w14:textId="77777777" w:rsidR="00473EF1" w:rsidRPr="00DF39F4" w:rsidRDefault="00473EF1" w:rsidP="00F623A2">
            <w:pPr>
              <w:suppressAutoHyphens w:val="0"/>
              <w:spacing w:after="0" w:line="240" w:lineRule="auto"/>
              <w:jc w:val="center"/>
              <w:rPr>
                <w:rFonts w:ascii="Arial" w:eastAsia="Times New Roman" w:hAnsi="Arial" w:cs="Arial"/>
                <w:b/>
                <w:kern w:val="0"/>
                <w:lang w:val="sr-Latn-CS"/>
              </w:rPr>
            </w:pPr>
            <w:bookmarkStart w:id="36" w:name="_Toc390549916"/>
            <w:bookmarkStart w:id="37" w:name="_Toc402262962"/>
            <w:r w:rsidRPr="00DF39F4">
              <w:rPr>
                <w:rFonts w:ascii="Arial" w:eastAsia="Times New Roman" w:hAnsi="Arial" w:cs="Arial"/>
                <w:b/>
                <w:kern w:val="0"/>
                <w:lang w:val="sr-Latn-CS"/>
              </w:rPr>
              <w:t>R.B.</w:t>
            </w:r>
          </w:p>
        </w:tc>
        <w:tc>
          <w:tcPr>
            <w:tcW w:w="8159" w:type="dxa"/>
          </w:tcPr>
          <w:p w14:paraId="6A21A0C4" w14:textId="77777777" w:rsidR="00473EF1" w:rsidRPr="00DF39F4" w:rsidRDefault="00473EF1" w:rsidP="00F623A2">
            <w:pPr>
              <w:suppressAutoHyphens w:val="0"/>
              <w:spacing w:after="0" w:line="240" w:lineRule="auto"/>
              <w:jc w:val="center"/>
              <w:rPr>
                <w:rFonts w:ascii="Arial" w:eastAsia="Times New Roman" w:hAnsi="Arial" w:cs="Arial"/>
                <w:b/>
                <w:kern w:val="0"/>
              </w:rPr>
            </w:pPr>
            <w:r w:rsidRPr="00DF39F4">
              <w:rPr>
                <w:rFonts w:ascii="Arial" w:hAnsi="Arial" w:cs="Arial"/>
                <w:b/>
                <w:lang w:val="sr-Latn-CS"/>
              </w:rPr>
              <w:t>OBAVEZUJUĆI ELEMENTI PONUDE</w:t>
            </w:r>
          </w:p>
        </w:tc>
      </w:tr>
      <w:tr w:rsidR="009534C8" w:rsidRPr="00DF39F4" w14:paraId="1E87795A" w14:textId="77777777" w:rsidTr="007D617C">
        <w:trPr>
          <w:jc w:val="center"/>
        </w:trPr>
        <w:tc>
          <w:tcPr>
            <w:tcW w:w="656" w:type="dxa"/>
          </w:tcPr>
          <w:p w14:paraId="46BD9D05" w14:textId="77777777" w:rsidR="00473EF1" w:rsidRPr="00DF39F4" w:rsidRDefault="00473EF1" w:rsidP="00F623A2">
            <w:pPr>
              <w:suppressAutoHyphens w:val="0"/>
              <w:spacing w:after="0" w:line="240" w:lineRule="auto"/>
              <w:jc w:val="center"/>
              <w:rPr>
                <w:rFonts w:ascii="Arial" w:eastAsia="Times New Roman" w:hAnsi="Arial" w:cs="Arial"/>
                <w:b/>
                <w:kern w:val="0"/>
              </w:rPr>
            </w:pPr>
            <w:r w:rsidRPr="00DF39F4">
              <w:rPr>
                <w:rFonts w:ascii="Arial" w:eastAsia="Times New Roman" w:hAnsi="Arial" w:cs="Arial"/>
                <w:b/>
                <w:kern w:val="0"/>
              </w:rPr>
              <w:t>9.1</w:t>
            </w:r>
          </w:p>
        </w:tc>
        <w:tc>
          <w:tcPr>
            <w:tcW w:w="8159" w:type="dxa"/>
          </w:tcPr>
          <w:p w14:paraId="733DA247" w14:textId="77777777" w:rsidR="00473EF1" w:rsidRPr="00DF39F4" w:rsidRDefault="00473EF1" w:rsidP="00F623A2">
            <w:pPr>
              <w:suppressAutoHyphens w:val="0"/>
              <w:spacing w:after="0" w:line="240" w:lineRule="auto"/>
              <w:jc w:val="center"/>
              <w:rPr>
                <w:rFonts w:ascii="Arial" w:eastAsia="Times New Roman" w:hAnsi="Arial" w:cs="Arial"/>
                <w:kern w:val="0"/>
              </w:rPr>
            </w:pPr>
            <w:proofErr w:type="spellStart"/>
            <w:r w:rsidRPr="00DF39F4">
              <w:rPr>
                <w:rFonts w:ascii="Arial" w:eastAsia="Times New Roman" w:hAnsi="Arial" w:cs="Arial"/>
                <w:kern w:val="0"/>
              </w:rPr>
              <w:t>Ponuđeni</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procentualni</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iznos</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za</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obračun</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koncesione</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naknade</w:t>
            </w:r>
            <w:proofErr w:type="spellEnd"/>
          </w:p>
        </w:tc>
      </w:tr>
      <w:tr w:rsidR="009534C8" w:rsidRPr="00DF39F4" w14:paraId="3839E6E7" w14:textId="77777777" w:rsidTr="007D617C">
        <w:trPr>
          <w:trHeight w:val="285"/>
          <w:jc w:val="center"/>
        </w:trPr>
        <w:tc>
          <w:tcPr>
            <w:tcW w:w="656" w:type="dxa"/>
          </w:tcPr>
          <w:p w14:paraId="4E473967" w14:textId="77777777" w:rsidR="00473EF1" w:rsidRPr="00DF39F4" w:rsidRDefault="00473EF1" w:rsidP="00F623A2">
            <w:pPr>
              <w:suppressAutoHyphens w:val="0"/>
              <w:spacing w:after="0" w:line="240" w:lineRule="auto"/>
              <w:jc w:val="center"/>
              <w:rPr>
                <w:rFonts w:ascii="Arial" w:eastAsia="Times New Roman" w:hAnsi="Arial" w:cs="Arial"/>
                <w:b/>
                <w:kern w:val="0"/>
              </w:rPr>
            </w:pPr>
            <w:r w:rsidRPr="00DF39F4">
              <w:rPr>
                <w:rFonts w:ascii="Arial" w:eastAsia="Times New Roman" w:hAnsi="Arial" w:cs="Arial"/>
                <w:b/>
                <w:kern w:val="0"/>
              </w:rPr>
              <w:t>9.2</w:t>
            </w:r>
          </w:p>
        </w:tc>
        <w:tc>
          <w:tcPr>
            <w:tcW w:w="8159" w:type="dxa"/>
          </w:tcPr>
          <w:p w14:paraId="1D71F7BE" w14:textId="77777777" w:rsidR="00473EF1" w:rsidRPr="00DF39F4" w:rsidRDefault="00473EF1" w:rsidP="00F623A2">
            <w:pPr>
              <w:suppressAutoHyphens w:val="0"/>
              <w:spacing w:after="0" w:line="240" w:lineRule="auto"/>
              <w:jc w:val="center"/>
              <w:rPr>
                <w:rFonts w:ascii="Arial" w:eastAsia="Times New Roman" w:hAnsi="Arial" w:cs="Arial"/>
                <w:kern w:val="0"/>
              </w:rPr>
            </w:pPr>
            <w:proofErr w:type="spellStart"/>
            <w:r w:rsidRPr="00DF39F4">
              <w:rPr>
                <w:rFonts w:ascii="Arial" w:eastAsia="Times New Roman" w:hAnsi="Arial" w:cs="Arial"/>
                <w:kern w:val="0"/>
              </w:rPr>
              <w:t>Ponuđeni</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obim</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godišnje</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rudarske</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proizvodnje</w:t>
            </w:r>
            <w:proofErr w:type="spellEnd"/>
          </w:p>
        </w:tc>
      </w:tr>
      <w:tr w:rsidR="009534C8" w:rsidRPr="00DF39F4" w14:paraId="60483F7A" w14:textId="77777777" w:rsidTr="007D617C">
        <w:trPr>
          <w:trHeight w:val="285"/>
          <w:jc w:val="center"/>
        </w:trPr>
        <w:tc>
          <w:tcPr>
            <w:tcW w:w="656" w:type="dxa"/>
          </w:tcPr>
          <w:p w14:paraId="205BEC35" w14:textId="77777777" w:rsidR="00473EF1" w:rsidRPr="00DF39F4" w:rsidRDefault="00473EF1" w:rsidP="00F623A2">
            <w:pPr>
              <w:suppressAutoHyphens w:val="0"/>
              <w:spacing w:after="0" w:line="240" w:lineRule="auto"/>
              <w:jc w:val="center"/>
              <w:rPr>
                <w:rFonts w:ascii="Arial" w:eastAsia="Times New Roman" w:hAnsi="Arial" w:cs="Arial"/>
                <w:b/>
                <w:kern w:val="0"/>
              </w:rPr>
            </w:pPr>
            <w:r w:rsidRPr="00DF39F4">
              <w:rPr>
                <w:rFonts w:ascii="Arial" w:eastAsia="Times New Roman" w:hAnsi="Arial" w:cs="Arial"/>
                <w:b/>
                <w:kern w:val="0"/>
              </w:rPr>
              <w:t>9.3</w:t>
            </w:r>
          </w:p>
        </w:tc>
        <w:tc>
          <w:tcPr>
            <w:tcW w:w="8159" w:type="dxa"/>
          </w:tcPr>
          <w:p w14:paraId="01818141" w14:textId="77777777" w:rsidR="00473EF1" w:rsidRPr="00DF39F4" w:rsidRDefault="00473EF1" w:rsidP="00F623A2">
            <w:pPr>
              <w:suppressAutoHyphens w:val="0"/>
              <w:spacing w:after="0" w:line="240" w:lineRule="auto"/>
              <w:jc w:val="center"/>
              <w:rPr>
                <w:rFonts w:ascii="Arial" w:eastAsia="Times New Roman" w:hAnsi="Arial" w:cs="Arial"/>
                <w:kern w:val="0"/>
              </w:rPr>
            </w:pPr>
            <w:proofErr w:type="spellStart"/>
            <w:r w:rsidRPr="00DF39F4">
              <w:rPr>
                <w:rFonts w:ascii="Arial" w:eastAsia="Times New Roman" w:hAnsi="Arial" w:cs="Arial"/>
                <w:kern w:val="0"/>
              </w:rPr>
              <w:t>Finansijski</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aspekt-prosječni</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bruto</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prihod</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i</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prosječni</w:t>
            </w:r>
            <w:proofErr w:type="spellEnd"/>
            <w:r w:rsidRPr="00DF39F4">
              <w:rPr>
                <w:rFonts w:ascii="Arial" w:eastAsia="Times New Roman" w:hAnsi="Arial" w:cs="Arial"/>
                <w:kern w:val="0"/>
              </w:rPr>
              <w:t xml:space="preserve">  profit u </w:t>
            </w:r>
            <w:proofErr w:type="spellStart"/>
            <w:r w:rsidRPr="00DF39F4">
              <w:rPr>
                <w:rFonts w:ascii="Arial" w:eastAsia="Times New Roman" w:hAnsi="Arial" w:cs="Arial"/>
                <w:kern w:val="0"/>
              </w:rPr>
              <w:t>posljednje</w:t>
            </w:r>
            <w:proofErr w:type="spellEnd"/>
            <w:r w:rsidRPr="00DF39F4">
              <w:rPr>
                <w:rFonts w:ascii="Arial" w:eastAsia="Times New Roman" w:hAnsi="Arial" w:cs="Arial"/>
                <w:kern w:val="0"/>
              </w:rPr>
              <w:t xml:space="preserve"> tri </w:t>
            </w:r>
            <w:proofErr w:type="spellStart"/>
            <w:r w:rsidRPr="00DF39F4">
              <w:rPr>
                <w:rFonts w:ascii="Arial" w:eastAsia="Times New Roman" w:hAnsi="Arial" w:cs="Arial"/>
                <w:kern w:val="0"/>
              </w:rPr>
              <w:t>godine</w:t>
            </w:r>
            <w:proofErr w:type="spellEnd"/>
          </w:p>
        </w:tc>
      </w:tr>
      <w:tr w:rsidR="009534C8" w:rsidRPr="00DF39F4" w14:paraId="24246EBA" w14:textId="77777777" w:rsidTr="007D617C">
        <w:trPr>
          <w:trHeight w:val="315"/>
          <w:jc w:val="center"/>
        </w:trPr>
        <w:tc>
          <w:tcPr>
            <w:tcW w:w="656" w:type="dxa"/>
          </w:tcPr>
          <w:p w14:paraId="4EB8133F" w14:textId="77777777" w:rsidR="00473EF1" w:rsidRPr="00DF39F4" w:rsidRDefault="00473EF1" w:rsidP="00F623A2">
            <w:pPr>
              <w:suppressAutoHyphens w:val="0"/>
              <w:spacing w:after="0" w:line="240" w:lineRule="auto"/>
              <w:jc w:val="center"/>
              <w:rPr>
                <w:rFonts w:ascii="Arial" w:eastAsia="Times New Roman" w:hAnsi="Arial" w:cs="Arial"/>
                <w:b/>
                <w:kern w:val="0"/>
              </w:rPr>
            </w:pPr>
            <w:r w:rsidRPr="00DF39F4">
              <w:rPr>
                <w:rFonts w:ascii="Arial" w:eastAsia="Times New Roman" w:hAnsi="Arial" w:cs="Arial"/>
                <w:b/>
                <w:kern w:val="0"/>
              </w:rPr>
              <w:t>9.4</w:t>
            </w:r>
          </w:p>
        </w:tc>
        <w:tc>
          <w:tcPr>
            <w:tcW w:w="8159" w:type="dxa"/>
          </w:tcPr>
          <w:p w14:paraId="06C73AB9" w14:textId="77777777" w:rsidR="00473EF1" w:rsidRPr="00DF39F4" w:rsidRDefault="00473EF1" w:rsidP="00F623A2">
            <w:pPr>
              <w:suppressAutoHyphens w:val="0"/>
              <w:spacing w:after="0" w:line="240" w:lineRule="auto"/>
              <w:jc w:val="center"/>
              <w:rPr>
                <w:rFonts w:ascii="Arial" w:eastAsia="Times New Roman" w:hAnsi="Arial" w:cs="Arial"/>
                <w:kern w:val="0"/>
              </w:rPr>
            </w:pPr>
            <w:proofErr w:type="spellStart"/>
            <w:r w:rsidRPr="00DF39F4">
              <w:rPr>
                <w:rFonts w:ascii="Arial" w:eastAsia="Times New Roman" w:hAnsi="Arial" w:cs="Arial"/>
                <w:kern w:val="0"/>
              </w:rPr>
              <w:t>Kvalitet</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poslovnog</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plana</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i</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efekti</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na</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zapošljavanje</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i</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ekonomski</w:t>
            </w:r>
            <w:proofErr w:type="spellEnd"/>
            <w:r w:rsidRPr="00DF39F4">
              <w:rPr>
                <w:rFonts w:ascii="Arial" w:eastAsia="Times New Roman" w:hAnsi="Arial" w:cs="Arial"/>
                <w:kern w:val="0"/>
              </w:rPr>
              <w:t xml:space="preserve"> </w:t>
            </w:r>
            <w:proofErr w:type="spellStart"/>
            <w:r w:rsidRPr="00DF39F4">
              <w:rPr>
                <w:rFonts w:ascii="Arial" w:eastAsia="Times New Roman" w:hAnsi="Arial" w:cs="Arial"/>
                <w:kern w:val="0"/>
              </w:rPr>
              <w:t>razvoj</w:t>
            </w:r>
            <w:proofErr w:type="spellEnd"/>
          </w:p>
        </w:tc>
      </w:tr>
    </w:tbl>
    <w:p w14:paraId="24B88CCB" w14:textId="77777777" w:rsidR="001409D3" w:rsidRPr="00DA6313" w:rsidRDefault="001409D3" w:rsidP="00F623A2">
      <w:pPr>
        <w:spacing w:after="0" w:line="240" w:lineRule="auto"/>
        <w:jc w:val="both"/>
        <w:rPr>
          <w:rFonts w:ascii="Arial" w:hAnsi="Arial" w:cs="Arial"/>
          <w:noProof/>
        </w:rPr>
      </w:pPr>
    </w:p>
    <w:p w14:paraId="56FE1C90" w14:textId="77777777" w:rsidR="00744584" w:rsidRPr="00DA6313" w:rsidRDefault="00473EF1" w:rsidP="00F623A2">
      <w:pPr>
        <w:pStyle w:val="Heading2"/>
      </w:pPr>
      <w:r>
        <w:t xml:space="preserve">9.1. </w:t>
      </w:r>
      <w:r w:rsidR="00744584" w:rsidRPr="00D62A70">
        <w:t>Ponuđeni</w:t>
      </w:r>
      <w:r w:rsidR="00744584" w:rsidRPr="00DA6313">
        <w:t xml:space="preserve"> procentualni iznos za obračun koncesione naknade</w:t>
      </w:r>
      <w:bookmarkEnd w:id="36"/>
      <w:bookmarkEnd w:id="37"/>
    </w:p>
    <w:p w14:paraId="6D9AB1D4" w14:textId="77777777" w:rsidR="00744584" w:rsidRPr="00DA6313" w:rsidRDefault="00744584" w:rsidP="00F623A2">
      <w:pPr>
        <w:spacing w:after="0" w:line="240" w:lineRule="auto"/>
        <w:jc w:val="both"/>
        <w:rPr>
          <w:rFonts w:ascii="Arial" w:hAnsi="Arial" w:cs="Arial"/>
          <w:noProof/>
        </w:rPr>
      </w:pPr>
    </w:p>
    <w:p w14:paraId="62A4F2F9" w14:textId="77777777" w:rsidR="00744584" w:rsidRPr="00DA6313" w:rsidRDefault="0058269B" w:rsidP="00F623A2">
      <w:pPr>
        <w:spacing w:after="0" w:line="240" w:lineRule="auto"/>
        <w:jc w:val="both"/>
        <w:rPr>
          <w:rFonts w:ascii="Arial" w:hAnsi="Arial" w:cs="Arial"/>
          <w:noProof/>
        </w:rPr>
      </w:pPr>
      <w:r w:rsidRPr="00DA6313">
        <w:rPr>
          <w:rFonts w:ascii="Arial" w:hAnsi="Arial" w:cs="Arial"/>
          <w:noProof/>
        </w:rPr>
        <w:t>Tačkom 8</w:t>
      </w:r>
      <w:r w:rsidR="00744584" w:rsidRPr="00DA6313">
        <w:rPr>
          <w:rFonts w:ascii="Arial" w:hAnsi="Arial" w:cs="Arial"/>
          <w:noProof/>
        </w:rPr>
        <w:t xml:space="preserve">.1.2. Koncesionog akta – Pripadnost grupi ležišta, je definisano da se ležište </w:t>
      </w:r>
      <w:r w:rsidR="00015479">
        <w:rPr>
          <w:rFonts w:ascii="Arial" w:hAnsi="Arial" w:cs="Arial"/>
          <w:noProof/>
        </w:rPr>
        <w:t>mrkolignitnog uglja</w:t>
      </w:r>
      <w:r w:rsidR="005836E1" w:rsidRPr="00DA6313">
        <w:rPr>
          <w:rFonts w:ascii="Arial" w:hAnsi="Arial" w:cs="Arial"/>
          <w:noProof/>
        </w:rPr>
        <w:t xml:space="preserve"> „</w:t>
      </w:r>
      <w:r w:rsidR="00015479">
        <w:rPr>
          <w:rFonts w:ascii="Arial" w:hAnsi="Arial" w:cs="Arial"/>
          <w:noProof/>
        </w:rPr>
        <w:t>Mataruge</w:t>
      </w:r>
      <w:r w:rsidR="00744584" w:rsidRPr="00DA6313">
        <w:rPr>
          <w:rFonts w:ascii="Arial" w:hAnsi="Arial" w:cs="Arial"/>
          <w:noProof/>
        </w:rPr>
        <w:t xml:space="preserve">“, na osnovu postojećih karakteristika i očekivanih uslova za eksploataciju, svrstava u </w:t>
      </w:r>
      <w:r w:rsidR="00127DB0">
        <w:rPr>
          <w:rFonts w:ascii="Arial" w:hAnsi="Arial" w:cs="Arial"/>
          <w:noProof/>
        </w:rPr>
        <w:t>četvrtu</w:t>
      </w:r>
      <w:r w:rsidR="00744584" w:rsidRPr="00DA6313">
        <w:rPr>
          <w:rFonts w:ascii="Arial" w:hAnsi="Arial" w:cs="Arial"/>
          <w:noProof/>
        </w:rPr>
        <w:t xml:space="preserve"> grupu geogenih ležišta (</w:t>
      </w:r>
      <w:r w:rsidR="00744584" w:rsidRPr="00F32F63">
        <w:rPr>
          <w:rFonts w:ascii="Arial" w:hAnsi="Arial" w:cs="Arial"/>
          <w:b/>
          <w:noProof/>
        </w:rPr>
        <w:t>G</w:t>
      </w:r>
      <w:r w:rsidR="00127DB0" w:rsidRPr="00F32F63">
        <w:rPr>
          <w:rFonts w:ascii="Arial" w:hAnsi="Arial" w:cs="Arial"/>
          <w:b/>
          <w:noProof/>
          <w:vertAlign w:val="subscript"/>
        </w:rPr>
        <w:t>4</w:t>
      </w:r>
      <w:r w:rsidR="00744584" w:rsidRPr="00DA6313">
        <w:rPr>
          <w:rFonts w:ascii="Arial" w:hAnsi="Arial" w:cs="Arial"/>
          <w:noProof/>
        </w:rPr>
        <w:t>).</w:t>
      </w:r>
    </w:p>
    <w:p w14:paraId="6D0A1618" w14:textId="77777777" w:rsidR="007E4CAB" w:rsidRPr="00DA6313" w:rsidRDefault="007E4CAB" w:rsidP="00F623A2">
      <w:pPr>
        <w:spacing w:after="0" w:line="240" w:lineRule="auto"/>
        <w:jc w:val="both"/>
        <w:rPr>
          <w:rFonts w:ascii="Arial" w:hAnsi="Arial" w:cs="Arial"/>
          <w:noProof/>
        </w:rPr>
      </w:pPr>
    </w:p>
    <w:p w14:paraId="36FE762E" w14:textId="77AAB7C5" w:rsidR="00744584" w:rsidRPr="00DA6313" w:rsidRDefault="00744584" w:rsidP="00F623A2">
      <w:pPr>
        <w:spacing w:after="0" w:line="240" w:lineRule="auto"/>
        <w:jc w:val="both"/>
        <w:rPr>
          <w:rFonts w:ascii="Arial" w:hAnsi="Arial" w:cs="Arial"/>
          <w:noProof/>
        </w:rPr>
      </w:pPr>
      <w:r w:rsidRPr="00DA6313">
        <w:rPr>
          <w:rFonts w:ascii="Arial" w:hAnsi="Arial" w:cs="Arial"/>
          <w:noProof/>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00127DB0">
        <w:rPr>
          <w:rFonts w:ascii="Arial" w:hAnsi="Arial" w:cs="Arial"/>
          <w:b/>
          <w:noProof/>
        </w:rPr>
        <w:t>5</w:t>
      </w:r>
      <w:r w:rsidRPr="00DA6313">
        <w:rPr>
          <w:rFonts w:ascii="Arial" w:hAnsi="Arial" w:cs="Arial"/>
          <w:b/>
          <w:noProof/>
        </w:rPr>
        <w:t>%</w:t>
      </w:r>
      <w:r w:rsidRPr="00DA6313">
        <w:rPr>
          <w:rFonts w:ascii="Arial" w:hAnsi="Arial" w:cs="Arial"/>
          <w:noProof/>
        </w:rPr>
        <w:t xml:space="preserve"> od tržišne vrijednosti bilansnih ili eksploatacionih </w:t>
      </w:r>
      <w:r w:rsidRPr="00127DB0">
        <w:rPr>
          <w:rFonts w:ascii="Arial" w:hAnsi="Arial" w:cs="Arial"/>
          <w:noProof/>
        </w:rPr>
        <w:t xml:space="preserve">rezervi </w:t>
      </w:r>
      <w:r w:rsidR="00015479" w:rsidRPr="00127DB0">
        <w:rPr>
          <w:rFonts w:ascii="Arial" w:hAnsi="Arial" w:cs="Arial"/>
          <w:noProof/>
        </w:rPr>
        <w:t>mrkolignitnog uglja</w:t>
      </w:r>
      <w:r w:rsidRPr="00127DB0">
        <w:rPr>
          <w:rFonts w:ascii="Arial" w:hAnsi="Arial" w:cs="Arial"/>
          <w:noProof/>
        </w:rPr>
        <w:t>, odnosno, ukupnog tržišnog proizvoda, za koncesio</w:t>
      </w:r>
      <w:r w:rsidR="005836E1" w:rsidRPr="00127DB0">
        <w:rPr>
          <w:rFonts w:ascii="Arial" w:hAnsi="Arial" w:cs="Arial"/>
          <w:noProof/>
        </w:rPr>
        <w:t xml:space="preserve">ni period za eksploataciju od </w:t>
      </w:r>
      <w:r w:rsidR="00397EC6" w:rsidRPr="00F32F63">
        <w:rPr>
          <w:rFonts w:ascii="Arial" w:hAnsi="Arial" w:cs="Arial"/>
          <w:b/>
          <w:noProof/>
        </w:rPr>
        <w:t>1</w:t>
      </w:r>
      <w:r w:rsidR="00F32F63" w:rsidRPr="00F32F63">
        <w:rPr>
          <w:rFonts w:ascii="Arial" w:hAnsi="Arial" w:cs="Arial"/>
          <w:b/>
          <w:noProof/>
        </w:rPr>
        <w:t>2</w:t>
      </w:r>
      <w:r w:rsidRPr="00127DB0">
        <w:rPr>
          <w:rFonts w:ascii="Arial" w:hAnsi="Arial" w:cs="Arial"/>
          <w:noProof/>
        </w:rPr>
        <w:t xml:space="preserve"> godina.</w:t>
      </w:r>
    </w:p>
    <w:p w14:paraId="5B088612" w14:textId="77777777" w:rsidR="00744584" w:rsidRPr="00DA6313" w:rsidRDefault="00744584" w:rsidP="00F623A2">
      <w:pPr>
        <w:spacing w:after="0" w:line="240" w:lineRule="auto"/>
        <w:jc w:val="both"/>
        <w:rPr>
          <w:rFonts w:ascii="Arial" w:hAnsi="Arial" w:cs="Arial"/>
          <w:noProof/>
        </w:rPr>
      </w:pPr>
    </w:p>
    <w:p w14:paraId="710C45B1" w14:textId="77777777" w:rsidR="00744584" w:rsidRPr="00DA6313" w:rsidRDefault="00744584" w:rsidP="00F623A2">
      <w:pPr>
        <w:spacing w:after="0" w:line="240" w:lineRule="auto"/>
        <w:jc w:val="both"/>
        <w:rPr>
          <w:rFonts w:ascii="Arial" w:hAnsi="Arial" w:cs="Arial"/>
          <w:noProof/>
        </w:rPr>
      </w:pPr>
      <w:r w:rsidRPr="00DA6313">
        <w:rPr>
          <w:rFonts w:ascii="Arial" w:hAnsi="Arial" w:cs="Arial"/>
          <w:noProof/>
        </w:rPr>
        <w:t>Ponuđači mogu ponuditi procentni iznos tržišne vrijednosti bilansnih ili ekspl</w:t>
      </w:r>
      <w:r w:rsidR="00FD2BCF" w:rsidRPr="00DA6313">
        <w:rPr>
          <w:rFonts w:ascii="Arial" w:hAnsi="Arial" w:cs="Arial"/>
          <w:noProof/>
        </w:rPr>
        <w:t xml:space="preserve">oatacionih rezervi </w:t>
      </w:r>
      <w:r w:rsidR="00015479">
        <w:rPr>
          <w:rFonts w:ascii="Arial" w:hAnsi="Arial" w:cs="Arial"/>
          <w:noProof/>
        </w:rPr>
        <w:t>mrkolignitnog uglja</w:t>
      </w:r>
      <w:r w:rsidRPr="00DA6313">
        <w:rPr>
          <w:rFonts w:ascii="Arial" w:hAnsi="Arial" w:cs="Arial"/>
          <w:noProof/>
        </w:rPr>
        <w:t xml:space="preserve"> koj</w:t>
      </w:r>
      <w:r w:rsidR="000C3DA5" w:rsidRPr="00DA6313">
        <w:rPr>
          <w:rFonts w:ascii="Arial" w:hAnsi="Arial" w:cs="Arial"/>
          <w:noProof/>
        </w:rPr>
        <w:t>i</w:t>
      </w:r>
      <w:r w:rsidRPr="00DA6313">
        <w:rPr>
          <w:rFonts w:ascii="Arial" w:hAnsi="Arial" w:cs="Arial"/>
          <w:noProof/>
        </w:rPr>
        <w:t xml:space="preserve"> je </w:t>
      </w:r>
      <w:r w:rsidR="00310904" w:rsidRPr="00DA6313">
        <w:rPr>
          <w:rFonts w:ascii="Arial" w:hAnsi="Arial" w:cs="Arial"/>
          <w:noProof/>
        </w:rPr>
        <w:t xml:space="preserve">jednak ili </w:t>
      </w:r>
      <w:r w:rsidR="00127DB0">
        <w:rPr>
          <w:rFonts w:ascii="Arial" w:hAnsi="Arial" w:cs="Arial"/>
          <w:noProof/>
        </w:rPr>
        <w:t xml:space="preserve">veći od </w:t>
      </w:r>
      <w:r w:rsidR="00127DB0" w:rsidRPr="00F32F63">
        <w:rPr>
          <w:rFonts w:ascii="Arial" w:hAnsi="Arial" w:cs="Arial"/>
          <w:b/>
          <w:noProof/>
        </w:rPr>
        <w:t>5</w:t>
      </w:r>
      <w:r w:rsidRPr="00F32F63">
        <w:rPr>
          <w:rFonts w:ascii="Arial" w:hAnsi="Arial" w:cs="Arial"/>
          <w:b/>
          <w:noProof/>
        </w:rPr>
        <w:t>%.</w:t>
      </w:r>
    </w:p>
    <w:p w14:paraId="7EDA7961" w14:textId="77777777" w:rsidR="00744584" w:rsidRPr="00DA6313" w:rsidRDefault="00744584" w:rsidP="00F623A2">
      <w:pPr>
        <w:spacing w:after="0" w:line="240" w:lineRule="auto"/>
        <w:jc w:val="both"/>
        <w:rPr>
          <w:rFonts w:ascii="Arial" w:hAnsi="Arial" w:cs="Arial"/>
          <w:noProof/>
        </w:rPr>
      </w:pPr>
    </w:p>
    <w:p w14:paraId="1E6F759A" w14:textId="77777777" w:rsidR="00744584" w:rsidRPr="00DA6313" w:rsidRDefault="00D62A70" w:rsidP="00F623A2">
      <w:pPr>
        <w:pStyle w:val="Heading2"/>
      </w:pPr>
      <w:bookmarkStart w:id="38" w:name="_Toc390549917"/>
      <w:bookmarkStart w:id="39" w:name="_Toc402262963"/>
      <w:r>
        <w:t xml:space="preserve">9.2. </w:t>
      </w:r>
      <w:r w:rsidR="00744584" w:rsidRPr="00DA6313">
        <w:t xml:space="preserve">Ponuđeni obim </w:t>
      </w:r>
      <w:r w:rsidR="00E52914" w:rsidRPr="00DA6313">
        <w:t xml:space="preserve">godišnje </w:t>
      </w:r>
      <w:r w:rsidR="00744584" w:rsidRPr="00DA6313">
        <w:t>rudarske proizvodnje</w:t>
      </w:r>
      <w:bookmarkEnd w:id="38"/>
      <w:bookmarkEnd w:id="39"/>
    </w:p>
    <w:p w14:paraId="34FF560F" w14:textId="77777777" w:rsidR="00744584" w:rsidRPr="00DA6313" w:rsidRDefault="00744584" w:rsidP="00F623A2">
      <w:pPr>
        <w:spacing w:after="0" w:line="240" w:lineRule="auto"/>
        <w:jc w:val="both"/>
        <w:rPr>
          <w:rFonts w:ascii="Arial" w:hAnsi="Arial" w:cs="Arial"/>
          <w:noProof/>
        </w:rPr>
      </w:pPr>
    </w:p>
    <w:p w14:paraId="4295515E" w14:textId="4DFA8468" w:rsidR="00940546" w:rsidRPr="009534C8" w:rsidRDefault="00744584" w:rsidP="00F623A2">
      <w:pPr>
        <w:spacing w:after="0" w:line="240" w:lineRule="auto"/>
        <w:jc w:val="both"/>
        <w:rPr>
          <w:rFonts w:ascii="Arial" w:hAnsi="Arial" w:cs="Arial"/>
          <w:noProof/>
        </w:rPr>
      </w:pPr>
      <w:r w:rsidRPr="00D1640B">
        <w:rPr>
          <w:rFonts w:ascii="Arial" w:hAnsi="Arial" w:cs="Arial"/>
          <w:bCs/>
          <w:noProof/>
        </w:rPr>
        <w:t xml:space="preserve">Tačkom </w:t>
      </w:r>
      <w:r w:rsidR="0058269B" w:rsidRPr="00D1640B">
        <w:rPr>
          <w:rFonts w:ascii="Arial" w:hAnsi="Arial" w:cs="Arial"/>
          <w:bCs/>
          <w:noProof/>
        </w:rPr>
        <w:t>8</w:t>
      </w:r>
      <w:r w:rsidRPr="00D1640B">
        <w:rPr>
          <w:rFonts w:ascii="Arial" w:hAnsi="Arial" w:cs="Arial"/>
          <w:bCs/>
          <w:noProof/>
        </w:rPr>
        <w:t xml:space="preserve">.1.1. Koncesionog akta </w:t>
      </w:r>
      <w:r w:rsidR="00622996" w:rsidRPr="00D1640B">
        <w:rPr>
          <w:rFonts w:ascii="Arial" w:hAnsi="Arial" w:cs="Arial"/>
          <w:bCs/>
          <w:noProof/>
        </w:rPr>
        <w:t>–</w:t>
      </w:r>
      <w:r w:rsidRPr="00D1640B">
        <w:rPr>
          <w:rFonts w:ascii="Arial" w:hAnsi="Arial" w:cs="Arial"/>
          <w:bCs/>
          <w:noProof/>
        </w:rPr>
        <w:t xml:space="preserve"> </w:t>
      </w:r>
      <w:r w:rsidR="00622996" w:rsidRPr="00D1640B">
        <w:rPr>
          <w:rFonts w:ascii="Arial" w:hAnsi="Arial" w:cs="Arial"/>
          <w:bCs/>
          <w:noProof/>
        </w:rPr>
        <w:t xml:space="preserve">Rezerve mineralne sirovine, definisano je da </w:t>
      </w:r>
      <w:proofErr w:type="spellStart"/>
      <w:r w:rsidR="00940546" w:rsidRPr="00814FAA">
        <w:rPr>
          <w:rFonts w:ascii="Arial" w:hAnsi="Arial" w:cs="Arial"/>
        </w:rPr>
        <w:t>ek</w:t>
      </w:r>
      <w:r w:rsidR="00940546">
        <w:rPr>
          <w:rFonts w:ascii="Arial" w:hAnsi="Arial" w:cs="Arial"/>
        </w:rPr>
        <w:t>sploatacione</w:t>
      </w:r>
      <w:proofErr w:type="spellEnd"/>
      <w:r w:rsidR="00940546">
        <w:rPr>
          <w:rFonts w:ascii="Arial" w:hAnsi="Arial" w:cs="Arial"/>
        </w:rPr>
        <w:t xml:space="preserve"> </w:t>
      </w:r>
      <w:proofErr w:type="spellStart"/>
      <w:r w:rsidR="00940546">
        <w:rPr>
          <w:rFonts w:ascii="Arial" w:hAnsi="Arial" w:cs="Arial"/>
        </w:rPr>
        <w:t>rezerve</w:t>
      </w:r>
      <w:proofErr w:type="spellEnd"/>
      <w:r w:rsidR="00940546">
        <w:rPr>
          <w:rFonts w:ascii="Arial" w:hAnsi="Arial" w:cs="Arial"/>
        </w:rPr>
        <w:t xml:space="preserve"> </w:t>
      </w:r>
      <w:proofErr w:type="spellStart"/>
      <w:r w:rsidR="00940546">
        <w:rPr>
          <w:rFonts w:ascii="Arial" w:hAnsi="Arial" w:cs="Arial"/>
        </w:rPr>
        <w:t>uglja</w:t>
      </w:r>
      <w:proofErr w:type="spellEnd"/>
      <w:r w:rsidR="00940546">
        <w:rPr>
          <w:rFonts w:ascii="Arial" w:hAnsi="Arial" w:cs="Arial"/>
        </w:rPr>
        <w:t xml:space="preserve"> </w:t>
      </w:r>
      <w:proofErr w:type="spellStart"/>
      <w:r w:rsidR="00940546">
        <w:rPr>
          <w:rFonts w:ascii="Arial" w:hAnsi="Arial" w:cs="Arial"/>
        </w:rPr>
        <w:t>na</w:t>
      </w:r>
      <w:proofErr w:type="spellEnd"/>
      <w:r w:rsidR="00940546">
        <w:rPr>
          <w:rFonts w:ascii="Arial" w:hAnsi="Arial" w:cs="Arial"/>
        </w:rPr>
        <w:t xml:space="preserve"> </w:t>
      </w:r>
      <w:proofErr w:type="spellStart"/>
      <w:r w:rsidR="00940546">
        <w:rPr>
          <w:rFonts w:ascii="Arial" w:hAnsi="Arial" w:cs="Arial"/>
        </w:rPr>
        <w:t>predmetnom</w:t>
      </w:r>
      <w:proofErr w:type="spellEnd"/>
      <w:r w:rsidR="00940546">
        <w:rPr>
          <w:rFonts w:ascii="Arial" w:hAnsi="Arial" w:cs="Arial"/>
        </w:rPr>
        <w:t xml:space="preserve"> </w:t>
      </w:r>
      <w:proofErr w:type="spellStart"/>
      <w:r w:rsidR="00940546">
        <w:rPr>
          <w:rFonts w:ascii="Arial" w:hAnsi="Arial" w:cs="Arial"/>
        </w:rPr>
        <w:t>prostoru</w:t>
      </w:r>
      <w:proofErr w:type="spellEnd"/>
      <w:r w:rsidR="00940546">
        <w:rPr>
          <w:rFonts w:ascii="Arial" w:hAnsi="Arial" w:cs="Arial"/>
        </w:rPr>
        <w:t xml:space="preserve"> </w:t>
      </w:r>
      <w:proofErr w:type="spellStart"/>
      <w:proofErr w:type="gramStart"/>
      <w:r w:rsidR="00940546">
        <w:rPr>
          <w:rFonts w:ascii="Arial" w:hAnsi="Arial" w:cs="Arial"/>
        </w:rPr>
        <w:t>iznose</w:t>
      </w:r>
      <w:proofErr w:type="spellEnd"/>
      <w:r w:rsidR="00940546">
        <w:rPr>
          <w:rFonts w:ascii="Arial" w:hAnsi="Arial" w:cs="Arial"/>
        </w:rPr>
        <w:t xml:space="preserve">  </w:t>
      </w:r>
      <w:r w:rsidR="00F32F63">
        <w:rPr>
          <w:rFonts w:ascii="Arial" w:hAnsi="Arial" w:cs="Arial"/>
        </w:rPr>
        <w:t>3</w:t>
      </w:r>
      <w:r w:rsidR="00940546">
        <w:rPr>
          <w:rFonts w:ascii="Arial" w:hAnsi="Arial" w:cs="Arial"/>
        </w:rPr>
        <w:t>.</w:t>
      </w:r>
      <w:r w:rsidR="00F32F63">
        <w:rPr>
          <w:rFonts w:ascii="Arial" w:hAnsi="Arial" w:cs="Arial"/>
        </w:rPr>
        <w:t>600.000</w:t>
      </w:r>
      <w:proofErr w:type="gramEnd"/>
      <w:r w:rsidR="00F32F63">
        <w:rPr>
          <w:rFonts w:ascii="Arial" w:hAnsi="Arial" w:cs="Arial"/>
        </w:rPr>
        <w:t xml:space="preserve">  t. </w:t>
      </w:r>
      <w:proofErr w:type="spellStart"/>
      <w:r w:rsidR="00F32F63">
        <w:rPr>
          <w:rFonts w:ascii="Arial" w:hAnsi="Arial" w:cs="Arial"/>
        </w:rPr>
        <w:t>sto</w:t>
      </w:r>
      <w:proofErr w:type="spellEnd"/>
      <w:r w:rsidR="00F32F63">
        <w:rPr>
          <w:rFonts w:ascii="Arial" w:hAnsi="Arial" w:cs="Arial"/>
        </w:rPr>
        <w:t xml:space="preserve"> bi se </w:t>
      </w:r>
      <w:r w:rsidR="00F32F63" w:rsidRPr="00DA6313">
        <w:rPr>
          <w:rFonts w:ascii="Arial" w:hAnsi="Arial" w:cs="Arial"/>
          <w:noProof/>
        </w:rPr>
        <w:t>otkopalo</w:t>
      </w:r>
      <w:r w:rsidR="00F32F63">
        <w:rPr>
          <w:rFonts w:ascii="Arial" w:hAnsi="Arial" w:cs="Arial"/>
        </w:rPr>
        <w:t xml:space="preserve"> </w:t>
      </w:r>
      <w:proofErr w:type="spellStart"/>
      <w:r w:rsidR="00F32F63">
        <w:rPr>
          <w:rFonts w:ascii="Arial" w:hAnsi="Arial" w:cs="Arial"/>
        </w:rPr>
        <w:t>s</w:t>
      </w:r>
      <w:r w:rsidR="00940546">
        <w:rPr>
          <w:rFonts w:ascii="Arial" w:hAnsi="Arial" w:cs="Arial"/>
        </w:rPr>
        <w:t>a</w:t>
      </w:r>
      <w:proofErr w:type="spellEnd"/>
      <w:r w:rsidR="00940546">
        <w:rPr>
          <w:rFonts w:ascii="Arial" w:hAnsi="Arial" w:cs="Arial"/>
        </w:rPr>
        <w:t xml:space="preserve"> </w:t>
      </w:r>
      <w:proofErr w:type="spellStart"/>
      <w:r w:rsidR="00940546">
        <w:rPr>
          <w:rFonts w:ascii="Arial" w:hAnsi="Arial" w:cs="Arial"/>
        </w:rPr>
        <w:t>planiranim</w:t>
      </w:r>
      <w:proofErr w:type="spellEnd"/>
      <w:r w:rsidR="00940546">
        <w:rPr>
          <w:rFonts w:ascii="Arial" w:hAnsi="Arial" w:cs="Arial"/>
        </w:rPr>
        <w:t xml:space="preserve"> </w:t>
      </w:r>
      <w:r w:rsidR="00940546" w:rsidRPr="00FE797E">
        <w:rPr>
          <w:rFonts w:ascii="Arial" w:hAnsi="Arial" w:cs="Arial"/>
          <w:lang w:val="sl-SI"/>
        </w:rPr>
        <w:t>godi</w:t>
      </w:r>
      <w:r w:rsidR="00940546" w:rsidRPr="00FE797E">
        <w:rPr>
          <w:rFonts w:ascii="Arial" w:hAnsi="Arial" w:cs="Arial"/>
          <w:lang w:val="hr-HR"/>
        </w:rPr>
        <w:t>š</w:t>
      </w:r>
      <w:r w:rsidR="00940546">
        <w:rPr>
          <w:rFonts w:ascii="Arial" w:hAnsi="Arial" w:cs="Arial"/>
          <w:lang w:val="sl-SI"/>
        </w:rPr>
        <w:t xml:space="preserve">njim kapacitetom od </w:t>
      </w:r>
      <w:r w:rsidR="00F32F63">
        <w:rPr>
          <w:rFonts w:ascii="Arial" w:hAnsi="Arial" w:cs="Arial"/>
          <w:lang w:val="sl-SI"/>
        </w:rPr>
        <w:t>3</w:t>
      </w:r>
      <w:r w:rsidR="00940546">
        <w:rPr>
          <w:rFonts w:ascii="Arial" w:hAnsi="Arial" w:cs="Arial"/>
          <w:lang w:val="sl-SI"/>
        </w:rPr>
        <w:t>00</w:t>
      </w:r>
      <w:r w:rsidR="00EE14DE">
        <w:rPr>
          <w:rFonts w:ascii="Arial" w:hAnsi="Arial" w:cs="Arial"/>
          <w:lang w:val="sl-SI"/>
        </w:rPr>
        <w:t>.</w:t>
      </w:r>
      <w:r w:rsidR="00940546">
        <w:rPr>
          <w:rFonts w:ascii="Arial" w:hAnsi="Arial" w:cs="Arial"/>
          <w:lang w:val="sl-SI"/>
        </w:rPr>
        <w:t>000 t</w:t>
      </w:r>
      <w:r w:rsidR="00940546" w:rsidRPr="00FE797E">
        <w:rPr>
          <w:rFonts w:ascii="Arial" w:hAnsi="Arial" w:cs="Arial"/>
          <w:lang w:val="sl-SI"/>
        </w:rPr>
        <w:t xml:space="preserve"> uglja, </w:t>
      </w:r>
      <w:r w:rsidR="00940546">
        <w:rPr>
          <w:rFonts w:ascii="Arial" w:hAnsi="Arial" w:cs="Arial"/>
          <w:lang w:val="sl-SI"/>
        </w:rPr>
        <w:t>za period eksploatacije od</w:t>
      </w:r>
      <w:r w:rsidR="00940546" w:rsidRPr="00FE797E">
        <w:rPr>
          <w:rFonts w:ascii="Arial" w:hAnsi="Arial" w:cs="Arial"/>
          <w:lang w:val="sl-SI"/>
        </w:rPr>
        <w:t xml:space="preserve"> 1</w:t>
      </w:r>
      <w:r w:rsidR="00F32F63">
        <w:rPr>
          <w:rFonts w:ascii="Arial" w:hAnsi="Arial" w:cs="Arial"/>
          <w:lang w:val="sl-SI"/>
        </w:rPr>
        <w:t>2</w:t>
      </w:r>
      <w:r w:rsidR="00940546">
        <w:rPr>
          <w:rFonts w:ascii="Arial" w:hAnsi="Arial" w:cs="Arial"/>
          <w:lang w:val="sl-SI"/>
        </w:rPr>
        <w:t xml:space="preserve"> </w:t>
      </w:r>
      <w:r w:rsidR="00940546" w:rsidRPr="00FE797E">
        <w:rPr>
          <w:rFonts w:ascii="Arial" w:hAnsi="Arial" w:cs="Arial"/>
          <w:lang w:val="sl-SI"/>
        </w:rPr>
        <w:t>godina</w:t>
      </w:r>
      <w:r w:rsidR="00F32F63">
        <w:rPr>
          <w:rFonts w:ascii="Arial" w:hAnsi="Arial" w:cs="Arial"/>
          <w:lang w:val="sl-SI"/>
        </w:rPr>
        <w:t>.</w:t>
      </w:r>
    </w:p>
    <w:p w14:paraId="755F6DC5" w14:textId="59B632CA" w:rsidR="00486798" w:rsidRPr="009534C8" w:rsidRDefault="00940546" w:rsidP="00F623A2">
      <w:pPr>
        <w:spacing w:after="0" w:line="240" w:lineRule="auto"/>
        <w:jc w:val="both"/>
        <w:rPr>
          <w:rFonts w:ascii="Arial" w:hAnsi="Arial" w:cs="Arial"/>
          <w:noProof/>
        </w:rPr>
      </w:pPr>
      <w:r w:rsidRPr="009534C8">
        <w:rPr>
          <w:rFonts w:ascii="Arial" w:hAnsi="Arial" w:cs="Arial"/>
          <w:noProof/>
        </w:rPr>
        <w:t>Ponuđač</w:t>
      </w:r>
      <w:r w:rsidR="00622996" w:rsidRPr="009534C8">
        <w:rPr>
          <w:rFonts w:ascii="Arial" w:hAnsi="Arial" w:cs="Arial"/>
          <w:noProof/>
        </w:rPr>
        <w:t xml:space="preserve"> može</w:t>
      </w:r>
      <w:r w:rsidR="00486798" w:rsidRPr="009534C8">
        <w:rPr>
          <w:rFonts w:ascii="Arial" w:hAnsi="Arial" w:cs="Arial"/>
          <w:noProof/>
        </w:rPr>
        <w:t xml:space="preserve"> ponuditi obim godišnje rudarske proizvodnje koji je jednak ili veći od </w:t>
      </w:r>
      <w:r w:rsidR="00F32F63">
        <w:rPr>
          <w:rFonts w:ascii="Arial" w:hAnsi="Arial" w:cs="Arial"/>
          <w:noProof/>
        </w:rPr>
        <w:t>3</w:t>
      </w:r>
      <w:r w:rsidR="00EE14DE">
        <w:rPr>
          <w:rFonts w:ascii="Arial" w:hAnsi="Arial" w:cs="Arial"/>
          <w:noProof/>
        </w:rPr>
        <w:t>00.</w:t>
      </w:r>
      <w:r w:rsidR="00A83511" w:rsidRPr="009534C8">
        <w:rPr>
          <w:rFonts w:ascii="Arial" w:hAnsi="Arial" w:cs="Arial"/>
          <w:noProof/>
        </w:rPr>
        <w:t xml:space="preserve">000 </w:t>
      </w:r>
      <w:r w:rsidR="00622996" w:rsidRPr="009534C8">
        <w:rPr>
          <w:rFonts w:ascii="Arial" w:hAnsi="Arial" w:cs="Arial"/>
          <w:noProof/>
        </w:rPr>
        <w:t>t uglja.</w:t>
      </w:r>
    </w:p>
    <w:p w14:paraId="69030A9C" w14:textId="77777777" w:rsidR="003423FB" w:rsidRPr="009534C8" w:rsidRDefault="003423FB" w:rsidP="00F623A2">
      <w:pPr>
        <w:spacing w:after="0" w:line="240" w:lineRule="auto"/>
        <w:jc w:val="both"/>
        <w:rPr>
          <w:rFonts w:ascii="Arial" w:hAnsi="Arial" w:cs="Arial"/>
          <w:noProof/>
        </w:rPr>
      </w:pPr>
    </w:p>
    <w:p w14:paraId="1CBD5CCE" w14:textId="77777777" w:rsidR="007D617C" w:rsidRDefault="00D62A70" w:rsidP="00F623A2">
      <w:pPr>
        <w:pStyle w:val="Heading2"/>
      </w:pPr>
      <w:bookmarkStart w:id="40" w:name="_Toc436124906"/>
      <w:r>
        <w:t xml:space="preserve">9.3. </w:t>
      </w:r>
      <w:r w:rsidR="00E52914" w:rsidRPr="009534C8">
        <w:t>Finansijsk</w:t>
      </w:r>
      <w:r w:rsidR="00E52914" w:rsidRPr="00D62A70">
        <w:t xml:space="preserve">i aspekt – Prosječni bruto prihod </w:t>
      </w:r>
      <w:r w:rsidR="005D7401" w:rsidRPr="00D62A70">
        <w:t xml:space="preserve">i prosječni  profit </w:t>
      </w:r>
      <w:r w:rsidR="00E52914" w:rsidRPr="00D62A70">
        <w:t xml:space="preserve">ponuđača u </w:t>
      </w:r>
    </w:p>
    <w:p w14:paraId="34BB002E" w14:textId="5F847E41" w:rsidR="00E52914" w:rsidRPr="009534C8" w:rsidRDefault="007D617C" w:rsidP="00F623A2">
      <w:pPr>
        <w:pStyle w:val="Heading2"/>
      </w:pPr>
      <w:r>
        <w:t xml:space="preserve">       </w:t>
      </w:r>
      <w:r w:rsidR="00E52914" w:rsidRPr="00D62A70">
        <w:t>posljednje</w:t>
      </w:r>
      <w:r w:rsidR="00E52914" w:rsidRPr="009534C8">
        <w:t xml:space="preserve"> tri godine</w:t>
      </w:r>
      <w:bookmarkEnd w:id="40"/>
    </w:p>
    <w:p w14:paraId="51024AAF" w14:textId="77777777" w:rsidR="00262380" w:rsidRPr="00DA6313" w:rsidRDefault="00262380" w:rsidP="00F623A2">
      <w:pPr>
        <w:spacing w:after="0" w:line="240" w:lineRule="auto"/>
        <w:jc w:val="both"/>
        <w:rPr>
          <w:rFonts w:ascii="Arial" w:hAnsi="Arial" w:cs="Arial"/>
          <w:noProof/>
        </w:rPr>
      </w:pPr>
    </w:p>
    <w:p w14:paraId="5FF802AD" w14:textId="77777777" w:rsidR="00E52914" w:rsidRPr="00DA6313" w:rsidRDefault="00D62A70" w:rsidP="00F623A2">
      <w:pPr>
        <w:pStyle w:val="Heading2"/>
      </w:pPr>
      <w:bookmarkStart w:id="41" w:name="_Toc436124908"/>
      <w:r>
        <w:t xml:space="preserve">9.4. </w:t>
      </w:r>
      <w:r w:rsidR="00622996">
        <w:t>Poslovni plan</w:t>
      </w:r>
      <w:r w:rsidR="00E52914" w:rsidRPr="00DA6313">
        <w:t xml:space="preserve"> i efekti na zapošljavanje i ekonomski razvoj</w:t>
      </w:r>
      <w:bookmarkEnd w:id="41"/>
    </w:p>
    <w:p w14:paraId="488B7E4A" w14:textId="77777777" w:rsidR="00297F2E" w:rsidRPr="00DA6313" w:rsidRDefault="00297F2E" w:rsidP="00F623A2">
      <w:pPr>
        <w:spacing w:after="0" w:line="240" w:lineRule="auto"/>
        <w:jc w:val="both"/>
        <w:rPr>
          <w:rFonts w:ascii="Arial" w:hAnsi="Arial" w:cs="Arial"/>
          <w:noProof/>
        </w:rPr>
      </w:pPr>
    </w:p>
    <w:p w14:paraId="2A78B5C0" w14:textId="77777777" w:rsidR="00B86EB8" w:rsidRPr="00DA6313" w:rsidRDefault="00B86EB8" w:rsidP="00F623A2">
      <w:pPr>
        <w:spacing w:after="0" w:line="240" w:lineRule="auto"/>
        <w:jc w:val="both"/>
        <w:rPr>
          <w:rFonts w:ascii="Arial" w:hAnsi="Arial" w:cs="Arial"/>
          <w:noProof/>
        </w:rPr>
      </w:pPr>
      <w:r w:rsidRPr="00DA6313">
        <w:rPr>
          <w:rFonts w:ascii="Arial" w:hAnsi="Arial" w:cs="Arial"/>
          <w:noProof/>
        </w:rPr>
        <w:t>Ponuđač je dužan da u skladu sa parametrima iz Koncesionog akta opiše poslovni plan za realizaciju koncesije i efekte realizacije koncesije na zapošljavanje i ekonomski razvoj.</w:t>
      </w:r>
    </w:p>
    <w:p w14:paraId="73E14A8F" w14:textId="77777777" w:rsidR="00B86EB8" w:rsidRPr="00DA6313" w:rsidRDefault="00B86EB8" w:rsidP="00F623A2">
      <w:pPr>
        <w:spacing w:after="0" w:line="240" w:lineRule="auto"/>
        <w:jc w:val="both"/>
        <w:rPr>
          <w:rFonts w:ascii="Arial" w:hAnsi="Arial" w:cs="Arial"/>
          <w:noProof/>
        </w:rPr>
      </w:pPr>
    </w:p>
    <w:p w14:paraId="24F6388D" w14:textId="77777777" w:rsidR="00B86EB8" w:rsidRPr="00DA6313" w:rsidRDefault="00B86EB8" w:rsidP="00F623A2">
      <w:pPr>
        <w:spacing w:after="0" w:line="240" w:lineRule="auto"/>
        <w:jc w:val="both"/>
        <w:rPr>
          <w:rFonts w:ascii="Arial" w:hAnsi="Arial" w:cs="Arial"/>
          <w:noProof/>
        </w:rPr>
      </w:pPr>
      <w:r w:rsidRPr="00DA6313">
        <w:rPr>
          <w:rFonts w:ascii="Arial" w:hAnsi="Arial" w:cs="Arial"/>
          <w:noProof/>
        </w:rPr>
        <w:t>Poslovni plan treba da sadrži planirana investiciona ulaganja za realizaciju koncesije (ulaganja u nabavku opreme i mehanizacije, u izgradnju infrastrukturnih objekata i u izradu projektne i ostale tehničke dokumentacije, ulaganja u procese pr</w:t>
      </w:r>
      <w:r w:rsidR="00687325">
        <w:rPr>
          <w:rFonts w:ascii="Arial" w:hAnsi="Arial" w:cs="Arial"/>
          <w:noProof/>
        </w:rPr>
        <w:t>ipreme mineralnih sirovina, itd</w:t>
      </w:r>
      <w:r w:rsidRPr="00DA6313">
        <w:rPr>
          <w:rFonts w:ascii="Arial" w:hAnsi="Arial" w:cs="Arial"/>
          <w:noProof/>
        </w:rPr>
        <w:t>.), zapošljavanje radne snage u procesu eksploatacije, pripreme i primarne prerade, plasman proizvoda na tržište, eventualna valorizacija m</w:t>
      </w:r>
      <w:r w:rsidR="00EE14DE">
        <w:rPr>
          <w:rFonts w:ascii="Arial" w:hAnsi="Arial" w:cs="Arial"/>
          <w:noProof/>
        </w:rPr>
        <w:t xml:space="preserve">ineralne sirovine putem prerade i </w:t>
      </w:r>
      <w:r w:rsidRPr="00DA6313">
        <w:rPr>
          <w:rFonts w:ascii="Arial" w:hAnsi="Arial" w:cs="Arial"/>
          <w:noProof/>
        </w:rPr>
        <w:t>itd.</w:t>
      </w:r>
    </w:p>
    <w:p w14:paraId="14E44295" w14:textId="27C64652" w:rsidR="00B86EB8" w:rsidRDefault="00B86EB8" w:rsidP="00F623A2">
      <w:pPr>
        <w:spacing w:after="0" w:line="240" w:lineRule="auto"/>
        <w:jc w:val="both"/>
        <w:rPr>
          <w:rFonts w:ascii="Arial" w:hAnsi="Arial" w:cs="Arial"/>
          <w:noProof/>
        </w:rPr>
      </w:pPr>
    </w:p>
    <w:p w14:paraId="7C848C61" w14:textId="040A6838" w:rsidR="00F623A2" w:rsidRDefault="00F623A2" w:rsidP="00F623A2">
      <w:pPr>
        <w:spacing w:after="0" w:line="240" w:lineRule="auto"/>
        <w:jc w:val="both"/>
        <w:rPr>
          <w:rFonts w:ascii="Arial" w:hAnsi="Arial" w:cs="Arial"/>
          <w:noProof/>
        </w:rPr>
      </w:pPr>
    </w:p>
    <w:p w14:paraId="1E4CCCF1" w14:textId="0F80B79C" w:rsidR="00F623A2" w:rsidRDefault="00F623A2" w:rsidP="00F623A2">
      <w:pPr>
        <w:spacing w:after="0" w:line="240" w:lineRule="auto"/>
        <w:jc w:val="both"/>
        <w:rPr>
          <w:rFonts w:ascii="Arial" w:hAnsi="Arial" w:cs="Arial"/>
          <w:noProof/>
        </w:rPr>
      </w:pPr>
    </w:p>
    <w:p w14:paraId="1BCC8272" w14:textId="77777777" w:rsidR="00F623A2" w:rsidRDefault="00F623A2" w:rsidP="00F623A2">
      <w:pPr>
        <w:spacing w:after="0" w:line="240" w:lineRule="auto"/>
        <w:jc w:val="both"/>
        <w:rPr>
          <w:rFonts w:ascii="Arial" w:hAnsi="Arial" w:cs="Arial"/>
          <w:noProof/>
        </w:rPr>
      </w:pPr>
    </w:p>
    <w:p w14:paraId="3DC75882" w14:textId="77777777" w:rsidR="00F32F63" w:rsidRDefault="00F32F63" w:rsidP="00F623A2">
      <w:pPr>
        <w:spacing w:after="0" w:line="240" w:lineRule="auto"/>
        <w:jc w:val="both"/>
        <w:rPr>
          <w:rFonts w:ascii="Arial" w:hAnsi="Arial" w:cs="Arial"/>
          <w:noProof/>
        </w:rPr>
      </w:pPr>
    </w:p>
    <w:p w14:paraId="239B4700" w14:textId="77777777" w:rsidR="00F32F63" w:rsidRPr="00DA6313" w:rsidRDefault="00F32F63" w:rsidP="00F623A2">
      <w:pPr>
        <w:spacing w:after="0" w:line="240" w:lineRule="auto"/>
        <w:jc w:val="both"/>
        <w:rPr>
          <w:rFonts w:ascii="Arial" w:hAnsi="Arial" w:cs="Arial"/>
          <w:noProof/>
        </w:rPr>
      </w:pPr>
      <w:bookmarkStart w:id="42" w:name="_GoBack"/>
      <w:bookmarkEnd w:id="42"/>
    </w:p>
    <w:p w14:paraId="13DAFAF0" w14:textId="77777777" w:rsidR="004779A1" w:rsidRPr="004779A1" w:rsidRDefault="004779A1" w:rsidP="004779A1">
      <w:pPr>
        <w:spacing w:after="0"/>
      </w:pPr>
      <w:bookmarkStart w:id="43" w:name="_Toc435529031"/>
      <w:bookmarkStart w:id="44" w:name="_Toc390549920"/>
      <w:bookmarkStart w:id="45" w:name="_Toc401959450"/>
      <w:bookmarkStart w:id="46" w:name="_Toc401959543"/>
      <w:bookmarkStart w:id="47" w:name="_Toc436124909"/>
    </w:p>
    <w:p w14:paraId="18523AC7" w14:textId="2F381982" w:rsidR="007D617C" w:rsidRPr="007D617C" w:rsidRDefault="00473B80" w:rsidP="007D617C">
      <w:pPr>
        <w:pStyle w:val="Heading1"/>
        <w:numPr>
          <w:ilvl w:val="0"/>
          <w:numId w:val="29"/>
        </w:numPr>
        <w:jc w:val="center"/>
        <w:rPr>
          <w:rFonts w:ascii="Arial" w:hAnsi="Arial" w:cs="Arial"/>
          <w:noProof/>
          <w:sz w:val="22"/>
          <w:szCs w:val="22"/>
        </w:rPr>
      </w:pPr>
      <w:r w:rsidRPr="007D617C">
        <w:rPr>
          <w:rFonts w:ascii="Arial" w:hAnsi="Arial" w:cs="Arial"/>
          <w:noProof/>
          <w:sz w:val="22"/>
          <w:szCs w:val="22"/>
        </w:rPr>
        <w:lastRenderedPageBreak/>
        <w:t>SPISAK POTREBNE TEHNIČKE DOKUMENTACIJE SA USLOVIMA ZA NJENU</w:t>
      </w:r>
    </w:p>
    <w:p w14:paraId="52D9947D" w14:textId="16374BDF" w:rsidR="00473B80" w:rsidRPr="007D617C" w:rsidRDefault="00473B80" w:rsidP="007D617C">
      <w:pPr>
        <w:pStyle w:val="Heading1"/>
        <w:numPr>
          <w:ilvl w:val="0"/>
          <w:numId w:val="0"/>
        </w:numPr>
        <w:ind w:left="735"/>
        <w:jc w:val="center"/>
        <w:rPr>
          <w:rFonts w:ascii="Arial" w:hAnsi="Arial" w:cs="Arial"/>
          <w:noProof/>
          <w:sz w:val="22"/>
          <w:szCs w:val="22"/>
        </w:rPr>
      </w:pPr>
      <w:r w:rsidRPr="007D617C">
        <w:rPr>
          <w:rFonts w:ascii="Arial" w:hAnsi="Arial" w:cs="Arial"/>
          <w:noProof/>
          <w:sz w:val="22"/>
          <w:szCs w:val="22"/>
        </w:rPr>
        <w:t>IZRADU,</w:t>
      </w:r>
      <w:r w:rsidR="00A34EA2" w:rsidRPr="007D617C">
        <w:rPr>
          <w:rFonts w:ascii="Arial" w:hAnsi="Arial" w:cs="Arial"/>
          <w:noProof/>
          <w:sz w:val="22"/>
          <w:szCs w:val="22"/>
        </w:rPr>
        <w:t xml:space="preserve"> </w:t>
      </w:r>
      <w:r w:rsidRPr="007D617C">
        <w:rPr>
          <w:rFonts w:ascii="Arial" w:hAnsi="Arial" w:cs="Arial"/>
          <w:noProof/>
          <w:sz w:val="22"/>
          <w:szCs w:val="22"/>
        </w:rPr>
        <w:t>ODOBRENJA, SAGLASNOSTI I MIŠLJENJA ZA OBAVLJANJ</w:t>
      </w:r>
      <w:r w:rsidR="007D617C" w:rsidRPr="007D617C">
        <w:rPr>
          <w:rFonts w:ascii="Arial" w:hAnsi="Arial" w:cs="Arial"/>
          <w:noProof/>
          <w:sz w:val="22"/>
          <w:szCs w:val="22"/>
        </w:rPr>
        <w:t xml:space="preserve">E </w:t>
      </w:r>
      <w:r w:rsidRPr="007D617C">
        <w:rPr>
          <w:rFonts w:ascii="Arial" w:hAnsi="Arial" w:cs="Arial"/>
          <w:noProof/>
          <w:sz w:val="22"/>
          <w:szCs w:val="22"/>
        </w:rPr>
        <w:t>KONCESIONE</w:t>
      </w:r>
    </w:p>
    <w:p w14:paraId="00226E4F" w14:textId="77777777" w:rsidR="00E52914" w:rsidRPr="007D617C" w:rsidRDefault="00473B80" w:rsidP="007D617C">
      <w:pPr>
        <w:pStyle w:val="Heading1"/>
        <w:numPr>
          <w:ilvl w:val="0"/>
          <w:numId w:val="0"/>
        </w:numPr>
        <w:jc w:val="center"/>
        <w:rPr>
          <w:rFonts w:ascii="Arial" w:hAnsi="Arial" w:cs="Arial"/>
          <w:noProof/>
          <w:sz w:val="22"/>
          <w:szCs w:val="22"/>
        </w:rPr>
      </w:pPr>
      <w:r w:rsidRPr="007D617C">
        <w:rPr>
          <w:rFonts w:ascii="Arial" w:hAnsi="Arial" w:cs="Arial"/>
          <w:noProof/>
          <w:sz w:val="22"/>
          <w:szCs w:val="22"/>
        </w:rPr>
        <w:t>DJELATNOSTI</w:t>
      </w:r>
      <w:bookmarkStart w:id="48" w:name="_Toc390549921"/>
      <w:bookmarkEnd w:id="43"/>
      <w:bookmarkEnd w:id="44"/>
      <w:bookmarkEnd w:id="45"/>
      <w:bookmarkEnd w:id="46"/>
      <w:bookmarkEnd w:id="47"/>
    </w:p>
    <w:p w14:paraId="43EE7995" w14:textId="77777777" w:rsidR="00E52914" w:rsidRPr="00D26616" w:rsidRDefault="00E52914" w:rsidP="00D62A70">
      <w:pPr>
        <w:pStyle w:val="Heading2"/>
        <w:ind w:left="576"/>
      </w:pPr>
      <w:bookmarkStart w:id="49" w:name="_Toc401959451"/>
      <w:bookmarkStart w:id="50" w:name="_Toc401959544"/>
      <w:bookmarkStart w:id="51" w:name="_Toc435529032"/>
      <w:bookmarkStart w:id="52" w:name="_Toc436124910"/>
    </w:p>
    <w:p w14:paraId="2EBB1B67" w14:textId="77777777" w:rsidR="00E52914" w:rsidRPr="00D26616" w:rsidRDefault="00E52914" w:rsidP="00664C2A">
      <w:pPr>
        <w:pStyle w:val="Heading2"/>
        <w:numPr>
          <w:ilvl w:val="1"/>
          <w:numId w:val="28"/>
        </w:numPr>
      </w:pPr>
      <w:r w:rsidRPr="00D26616">
        <w:t>Geološka istraživanja</w:t>
      </w:r>
      <w:bookmarkEnd w:id="48"/>
      <w:bookmarkEnd w:id="49"/>
      <w:bookmarkEnd w:id="50"/>
      <w:bookmarkEnd w:id="51"/>
      <w:bookmarkEnd w:id="52"/>
    </w:p>
    <w:p w14:paraId="5B171136" w14:textId="77777777" w:rsidR="00297F2E" w:rsidRPr="00D26616" w:rsidRDefault="00297F2E" w:rsidP="008D2281">
      <w:pPr>
        <w:spacing w:after="0" w:line="240" w:lineRule="auto"/>
        <w:jc w:val="both"/>
        <w:rPr>
          <w:rFonts w:ascii="Arial" w:hAnsi="Arial" w:cs="Arial"/>
          <w:noProof/>
        </w:rPr>
      </w:pPr>
    </w:p>
    <w:p w14:paraId="1EFC39CF" w14:textId="77777777" w:rsidR="00E52914" w:rsidRPr="00D26616" w:rsidRDefault="00E52914" w:rsidP="008D2281">
      <w:pPr>
        <w:spacing w:after="0" w:line="240" w:lineRule="auto"/>
        <w:jc w:val="both"/>
        <w:rPr>
          <w:rFonts w:ascii="Arial" w:hAnsi="Arial" w:cs="Arial"/>
          <w:noProof/>
        </w:rPr>
      </w:pPr>
      <w:r w:rsidRPr="00D26616">
        <w:rPr>
          <w:rFonts w:ascii="Arial" w:hAnsi="Arial" w:cs="Arial"/>
          <w:noProof/>
        </w:rPr>
        <w:t>Tokom eksploatacije, shodno odredbama Zakona o geološkim istraživanjima, budući Koncesionar je dužan da izvodi geološka istraživanja u cilju povećanja ukupnih rezervi mineralne sirovine</w:t>
      </w:r>
      <w:bookmarkStart w:id="53" w:name="_Toc390549922"/>
      <w:r w:rsidRPr="00D26616">
        <w:rPr>
          <w:rFonts w:ascii="Arial" w:hAnsi="Arial" w:cs="Arial"/>
          <w:noProof/>
        </w:rPr>
        <w:t>.</w:t>
      </w:r>
    </w:p>
    <w:p w14:paraId="4D4270F9" w14:textId="77777777" w:rsidR="0084036A" w:rsidRPr="00D26616" w:rsidRDefault="0084036A" w:rsidP="008D2281">
      <w:pPr>
        <w:spacing w:after="0" w:line="240" w:lineRule="auto"/>
        <w:jc w:val="both"/>
        <w:rPr>
          <w:rFonts w:ascii="Arial" w:hAnsi="Arial" w:cs="Arial"/>
          <w:noProof/>
        </w:rPr>
      </w:pPr>
    </w:p>
    <w:p w14:paraId="08F4D1D5" w14:textId="77777777" w:rsidR="00E52914" w:rsidRPr="00D26616" w:rsidRDefault="00E52914" w:rsidP="008D2281">
      <w:pPr>
        <w:spacing w:after="0" w:line="240" w:lineRule="auto"/>
        <w:jc w:val="both"/>
        <w:rPr>
          <w:rFonts w:ascii="Arial" w:hAnsi="Arial" w:cs="Arial"/>
          <w:noProof/>
        </w:rPr>
      </w:pPr>
      <w:r w:rsidRPr="00D26616">
        <w:rPr>
          <w:rFonts w:ascii="Arial" w:hAnsi="Arial" w:cs="Arial"/>
          <w:noProof/>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D26616">
        <w:rPr>
          <w:rFonts w:ascii="Arial" w:hAnsi="Arial" w:cs="Arial"/>
          <w:noProof/>
        </w:rPr>
        <w:t>uje na osnovu posebnih propisa.</w:t>
      </w:r>
    </w:p>
    <w:p w14:paraId="332295E5" w14:textId="77777777" w:rsidR="0084036A" w:rsidRPr="00D26616" w:rsidRDefault="0084036A" w:rsidP="008D2281">
      <w:pPr>
        <w:spacing w:after="0" w:line="240" w:lineRule="auto"/>
        <w:jc w:val="both"/>
        <w:rPr>
          <w:rFonts w:ascii="Arial" w:hAnsi="Arial" w:cs="Arial"/>
          <w:noProof/>
        </w:rPr>
      </w:pPr>
    </w:p>
    <w:p w14:paraId="50DD50E6" w14:textId="77777777" w:rsidR="00E52914" w:rsidRPr="00D26616" w:rsidRDefault="00E52914" w:rsidP="00664C2A">
      <w:pPr>
        <w:pStyle w:val="Heading2"/>
        <w:numPr>
          <w:ilvl w:val="1"/>
          <w:numId w:val="28"/>
        </w:numPr>
      </w:pPr>
      <w:bookmarkStart w:id="54" w:name="_Toc401959452"/>
      <w:bookmarkStart w:id="55" w:name="_Toc401959545"/>
      <w:r w:rsidRPr="00D26616">
        <w:t>Eksploatacija mineralne sirovin</w:t>
      </w:r>
      <w:bookmarkEnd w:id="53"/>
      <w:r w:rsidRPr="00D26616">
        <w:t>e</w:t>
      </w:r>
      <w:bookmarkEnd w:id="54"/>
      <w:bookmarkEnd w:id="55"/>
    </w:p>
    <w:p w14:paraId="5575782C" w14:textId="77777777" w:rsidR="00E52914" w:rsidRPr="00DA6313" w:rsidRDefault="00E52914" w:rsidP="008D2281">
      <w:pPr>
        <w:spacing w:after="0" w:line="240" w:lineRule="auto"/>
        <w:jc w:val="both"/>
        <w:rPr>
          <w:rFonts w:ascii="Arial" w:hAnsi="Arial" w:cs="Arial"/>
          <w:noProof/>
        </w:rPr>
      </w:pPr>
    </w:p>
    <w:p w14:paraId="16900A0D" w14:textId="77777777" w:rsidR="00E52914" w:rsidRPr="00DA6313" w:rsidRDefault="00E52914" w:rsidP="00664C2A">
      <w:pPr>
        <w:pStyle w:val="Heading3"/>
        <w:numPr>
          <w:ilvl w:val="2"/>
          <w:numId w:val="28"/>
        </w:numPr>
        <w:spacing w:after="0" w:line="240" w:lineRule="auto"/>
        <w:ind w:left="0" w:firstLine="0"/>
        <w:jc w:val="both"/>
        <w:rPr>
          <w:rFonts w:ascii="Arial" w:hAnsi="Arial" w:cs="Arial"/>
          <w:noProof/>
          <w:sz w:val="22"/>
          <w:szCs w:val="22"/>
        </w:rPr>
      </w:pPr>
      <w:bookmarkStart w:id="56" w:name="_Toc390549923"/>
      <w:bookmarkStart w:id="57" w:name="_Toc401959453"/>
      <w:bookmarkStart w:id="58" w:name="_Toc401959546"/>
      <w:bookmarkStart w:id="59" w:name="_Toc435529033"/>
      <w:bookmarkStart w:id="60" w:name="_Toc436124911"/>
      <w:r w:rsidRPr="00DA6313">
        <w:rPr>
          <w:rFonts w:ascii="Arial" w:hAnsi="Arial" w:cs="Arial"/>
          <w:noProof/>
          <w:sz w:val="22"/>
          <w:szCs w:val="22"/>
        </w:rPr>
        <w:t>Odobrenje za eksploataciju mineralne sirovine na eksploatacionom polju</w:t>
      </w:r>
      <w:bookmarkStart w:id="61" w:name="_Toc435529034"/>
      <w:bookmarkEnd w:id="56"/>
      <w:bookmarkEnd w:id="57"/>
      <w:bookmarkEnd w:id="58"/>
      <w:bookmarkEnd w:id="59"/>
      <w:bookmarkEnd w:id="60"/>
      <w:bookmarkEnd w:id="61"/>
    </w:p>
    <w:p w14:paraId="2EDE54F0" w14:textId="77777777" w:rsidR="0084036A" w:rsidRPr="00DA6313" w:rsidRDefault="0084036A" w:rsidP="008D2281">
      <w:pPr>
        <w:spacing w:after="0" w:line="240" w:lineRule="auto"/>
        <w:jc w:val="both"/>
        <w:rPr>
          <w:rFonts w:ascii="Arial" w:hAnsi="Arial" w:cs="Arial"/>
          <w:noProof/>
        </w:rPr>
      </w:pPr>
    </w:p>
    <w:p w14:paraId="226D4837" w14:textId="77777777" w:rsidR="00E52914" w:rsidRPr="00DA6313" w:rsidRDefault="00E52914" w:rsidP="008D2281">
      <w:pPr>
        <w:spacing w:after="0" w:line="240" w:lineRule="auto"/>
        <w:jc w:val="both"/>
        <w:rPr>
          <w:rFonts w:ascii="Arial" w:hAnsi="Arial" w:cs="Arial"/>
          <w:noProof/>
        </w:rPr>
      </w:pPr>
      <w:r w:rsidRPr="00DA6313">
        <w:rPr>
          <w:rFonts w:ascii="Arial" w:hAnsi="Arial" w:cs="Arial"/>
          <w:noProof/>
        </w:rPr>
        <w:t xml:space="preserve">Odobrenje za eksploataciju mineralne sirovine na eksploatacionom polju, u skladu sa članom 33 Zakona o rudarstvu, izdaje </w:t>
      </w:r>
      <w:r w:rsidR="00EE14DE">
        <w:rPr>
          <w:rFonts w:ascii="Arial" w:hAnsi="Arial" w:cs="Arial"/>
          <w:noProof/>
        </w:rPr>
        <w:t>nadležni organ</w:t>
      </w:r>
      <w:r w:rsidRPr="00DA6313">
        <w:rPr>
          <w:rFonts w:ascii="Arial" w:hAnsi="Arial" w:cs="Arial"/>
          <w:noProof/>
        </w:rPr>
        <w:t xml:space="preserve"> na zahtjev investitora. Uz zahtjev se dostavlja i sljedeća dokumentacija:</w:t>
      </w:r>
    </w:p>
    <w:p w14:paraId="55783554" w14:textId="77777777" w:rsidR="00E52914" w:rsidRPr="00DA6313" w:rsidRDefault="00E52914" w:rsidP="00664C2A">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noProof/>
        </w:rPr>
      </w:pPr>
      <w:r w:rsidRPr="00DA6313">
        <w:rPr>
          <w:rFonts w:ascii="Arial" w:hAnsi="Arial" w:cs="Arial"/>
          <w:noProof/>
        </w:rPr>
        <w:t>ugovor o koncesiji;</w:t>
      </w:r>
    </w:p>
    <w:p w14:paraId="7FA2BF10" w14:textId="77777777" w:rsidR="00E52914" w:rsidRPr="00DA6313" w:rsidRDefault="00E52914" w:rsidP="00664C2A">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noProof/>
        </w:rPr>
      </w:pPr>
      <w:r w:rsidRPr="00DA6313">
        <w:rPr>
          <w:rFonts w:ascii="Arial" w:hAnsi="Arial" w:cs="Arial"/>
          <w:noProof/>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2188CA11" w14:textId="77777777" w:rsidR="00E52914" w:rsidRPr="00DA6313" w:rsidRDefault="00E52914" w:rsidP="00664C2A">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noProof/>
        </w:rPr>
      </w:pPr>
      <w:r w:rsidRPr="00DA6313">
        <w:rPr>
          <w:rFonts w:ascii="Arial" w:hAnsi="Arial" w:cs="Arial"/>
          <w:noProof/>
        </w:rPr>
        <w:t>potvrdu o bilansnim rezervama mineralnih sirovina koja se izdaje u skladu sa važećim propisima o klasifikaciji i kategorizaciji rezervi;</w:t>
      </w:r>
    </w:p>
    <w:p w14:paraId="17BCAE64" w14:textId="77777777" w:rsidR="00E52914" w:rsidRPr="00DA6313" w:rsidRDefault="00E52914" w:rsidP="00664C2A">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noProof/>
        </w:rPr>
      </w:pPr>
      <w:r w:rsidRPr="00DA6313">
        <w:rPr>
          <w:rFonts w:ascii="Arial" w:hAnsi="Arial" w:cs="Arial"/>
          <w:noProof/>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3C7AFF5B" w14:textId="77777777" w:rsidR="00E52914" w:rsidRPr="00DA6313" w:rsidRDefault="00E52914" w:rsidP="00664C2A">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noProof/>
        </w:rPr>
      </w:pPr>
      <w:r w:rsidRPr="00DA6313">
        <w:rPr>
          <w:rFonts w:ascii="Arial" w:hAnsi="Arial" w:cs="Arial"/>
          <w:noProof/>
        </w:rPr>
        <w:t>mišljenje nadležnog organa za zaštitu životne sredine na studiju izvodljivosti eksploatacije;</w:t>
      </w:r>
    </w:p>
    <w:p w14:paraId="55A31568" w14:textId="77777777" w:rsidR="00E52914" w:rsidRPr="00DA6313" w:rsidRDefault="00E52914" w:rsidP="00664C2A">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noProof/>
        </w:rPr>
      </w:pPr>
      <w:r w:rsidRPr="00DA6313">
        <w:rPr>
          <w:rFonts w:ascii="Arial" w:hAnsi="Arial" w:cs="Arial"/>
          <w:noProof/>
        </w:rPr>
        <w:t>akt organa nadležnog za poslove urbanizma u pogledu usaglašenosti planirane eksploatacije mineralnih sirovina sa odgovarajućim prostornim, odnosno urbanističkim planovima;</w:t>
      </w:r>
    </w:p>
    <w:p w14:paraId="6C791E54" w14:textId="77777777" w:rsidR="00E52914" w:rsidRPr="00DA6313" w:rsidRDefault="00E52914" w:rsidP="00664C2A">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noProof/>
        </w:rPr>
      </w:pPr>
      <w:r w:rsidRPr="00DA6313">
        <w:rPr>
          <w:rFonts w:ascii="Arial" w:hAnsi="Arial" w:cs="Arial"/>
          <w:noProof/>
        </w:rPr>
        <w:t>licenca za izvođenje radova;</w:t>
      </w:r>
    </w:p>
    <w:p w14:paraId="7D8D7DC3" w14:textId="77777777" w:rsidR="00E52914" w:rsidRPr="00DA6313" w:rsidRDefault="00E52914" w:rsidP="00664C2A">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noProof/>
        </w:rPr>
      </w:pPr>
      <w:r w:rsidRPr="00DA6313">
        <w:rPr>
          <w:rFonts w:ascii="Arial" w:hAnsi="Arial" w:cs="Arial"/>
          <w:noProof/>
        </w:rPr>
        <w:t>drugi podaci od značaja za izdavanje odobrenja na zahtjev nadležnog organa.</w:t>
      </w:r>
      <w:bookmarkStart w:id="62" w:name="_Toc390549924"/>
      <w:bookmarkStart w:id="63" w:name="_Toc401959454"/>
      <w:bookmarkStart w:id="64" w:name="_Toc401959547"/>
      <w:bookmarkStart w:id="65" w:name="_Toc435529035"/>
      <w:bookmarkStart w:id="66" w:name="_Toc436124912"/>
    </w:p>
    <w:p w14:paraId="381EAEC8" w14:textId="77777777" w:rsidR="00B64DCE" w:rsidRPr="00DA6313" w:rsidRDefault="00B64DCE" w:rsidP="008D2281">
      <w:pPr>
        <w:pStyle w:val="ListParagraph"/>
        <w:suppressAutoHyphens w:val="0"/>
        <w:autoSpaceDE w:val="0"/>
        <w:autoSpaceDN w:val="0"/>
        <w:adjustRightInd w:val="0"/>
        <w:spacing w:after="0" w:line="240" w:lineRule="auto"/>
        <w:ind w:left="0"/>
        <w:contextualSpacing w:val="0"/>
        <w:jc w:val="both"/>
        <w:rPr>
          <w:rFonts w:ascii="Arial" w:hAnsi="Arial" w:cs="Arial"/>
          <w:noProof/>
        </w:rPr>
      </w:pPr>
    </w:p>
    <w:p w14:paraId="0C23FBC3" w14:textId="77777777" w:rsidR="00E52914" w:rsidRPr="00DA6313" w:rsidRDefault="00E52914" w:rsidP="00664C2A">
      <w:pPr>
        <w:pStyle w:val="Heading4"/>
        <w:numPr>
          <w:ilvl w:val="2"/>
          <w:numId w:val="28"/>
        </w:numPr>
        <w:spacing w:line="240" w:lineRule="auto"/>
        <w:ind w:left="0" w:firstLine="0"/>
        <w:jc w:val="both"/>
        <w:rPr>
          <w:rFonts w:ascii="Arial" w:hAnsi="Arial" w:cs="Arial"/>
          <w:b/>
          <w:noProof/>
          <w:sz w:val="22"/>
          <w:szCs w:val="22"/>
        </w:rPr>
      </w:pPr>
      <w:r w:rsidRPr="00DA6313">
        <w:rPr>
          <w:rFonts w:ascii="Arial" w:hAnsi="Arial" w:cs="Arial"/>
          <w:b/>
          <w:noProof/>
          <w:sz w:val="22"/>
          <w:szCs w:val="22"/>
        </w:rPr>
        <w:t>Odobrenje za izvođenje radova po rudarskom projektu</w:t>
      </w:r>
      <w:bookmarkEnd w:id="62"/>
      <w:bookmarkEnd w:id="63"/>
      <w:bookmarkEnd w:id="64"/>
      <w:bookmarkEnd w:id="65"/>
      <w:bookmarkEnd w:id="66"/>
    </w:p>
    <w:p w14:paraId="5B7E17CB" w14:textId="77777777" w:rsidR="00E52914" w:rsidRPr="00DA6313" w:rsidRDefault="00E52914" w:rsidP="008D2281">
      <w:pPr>
        <w:spacing w:after="0" w:line="240" w:lineRule="auto"/>
        <w:jc w:val="both"/>
        <w:rPr>
          <w:rFonts w:ascii="Arial" w:hAnsi="Arial" w:cs="Arial"/>
          <w:noProof/>
        </w:rPr>
      </w:pPr>
    </w:p>
    <w:p w14:paraId="0F63AA2E" w14:textId="77777777" w:rsidR="00E52914" w:rsidRPr="00DA6313" w:rsidRDefault="00E52914" w:rsidP="008D2281">
      <w:pPr>
        <w:spacing w:after="0" w:line="240" w:lineRule="auto"/>
        <w:jc w:val="both"/>
        <w:rPr>
          <w:rFonts w:ascii="Arial" w:hAnsi="Arial" w:cs="Arial"/>
          <w:noProof/>
        </w:rPr>
      </w:pPr>
      <w:r w:rsidRPr="00DA6313">
        <w:rPr>
          <w:rFonts w:ascii="Arial" w:hAnsi="Arial" w:cs="Arial"/>
          <w:noProof/>
        </w:rPr>
        <w:t xml:space="preserve">Nakon dobijanja odobrenja za eksploataciju mineralne sirovine na eksploatacionom polju, pristupa se izradi </w:t>
      </w:r>
      <w:r w:rsidR="003338BC">
        <w:rPr>
          <w:rFonts w:ascii="Arial" w:hAnsi="Arial" w:cs="Arial"/>
          <w:noProof/>
        </w:rPr>
        <w:t>rudarske tehničke dokumentacije</w:t>
      </w:r>
      <w:r w:rsidRPr="00DA6313">
        <w:rPr>
          <w:rFonts w:ascii="Arial" w:hAnsi="Arial" w:cs="Arial"/>
          <w:noProof/>
        </w:rPr>
        <w:t>–rudarskog projekta eksploatacije.</w:t>
      </w:r>
    </w:p>
    <w:p w14:paraId="7D845B9B" w14:textId="77777777" w:rsidR="00E52914" w:rsidRPr="00DA6313" w:rsidRDefault="00E52914" w:rsidP="008D2281">
      <w:pPr>
        <w:spacing w:after="0" w:line="240" w:lineRule="auto"/>
        <w:jc w:val="both"/>
        <w:rPr>
          <w:rFonts w:ascii="Arial" w:hAnsi="Arial" w:cs="Arial"/>
          <w:noProof/>
        </w:rPr>
      </w:pPr>
      <w:r w:rsidRPr="00DA6313">
        <w:rPr>
          <w:rFonts w:ascii="Arial" w:hAnsi="Arial" w:cs="Arial"/>
          <w:noProof/>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59BB52A7" w14:textId="77777777" w:rsidR="0084036A" w:rsidRPr="00DA6313" w:rsidRDefault="0084036A" w:rsidP="008D2281">
      <w:pPr>
        <w:spacing w:after="0" w:line="240" w:lineRule="auto"/>
        <w:jc w:val="both"/>
        <w:rPr>
          <w:rFonts w:ascii="Arial" w:hAnsi="Arial" w:cs="Arial"/>
          <w:noProof/>
        </w:rPr>
      </w:pPr>
    </w:p>
    <w:p w14:paraId="025EA890" w14:textId="77777777" w:rsidR="00E52914" w:rsidRDefault="00E52914" w:rsidP="008D2281">
      <w:pPr>
        <w:spacing w:after="0" w:line="240" w:lineRule="auto"/>
        <w:jc w:val="both"/>
        <w:rPr>
          <w:rFonts w:ascii="Arial" w:hAnsi="Arial" w:cs="Arial"/>
          <w:noProof/>
        </w:rPr>
      </w:pPr>
      <w:r w:rsidRPr="00DA6313">
        <w:rPr>
          <w:rFonts w:ascii="Arial" w:hAnsi="Arial" w:cs="Arial"/>
          <w:noProof/>
        </w:rPr>
        <w:t>Odobrenje za izvođenje radova po rudarskom</w:t>
      </w:r>
      <w:r w:rsidR="003338BC">
        <w:rPr>
          <w:rFonts w:ascii="Arial" w:hAnsi="Arial" w:cs="Arial"/>
          <w:noProof/>
        </w:rPr>
        <w:t xml:space="preserve"> projektu, u skladu sa članom 52</w:t>
      </w:r>
      <w:r w:rsidRPr="00DA6313">
        <w:rPr>
          <w:rFonts w:ascii="Arial" w:hAnsi="Arial" w:cs="Arial"/>
          <w:noProof/>
        </w:rPr>
        <w:t xml:space="preserve"> Zakona o rudarstvu, izdaje </w:t>
      </w:r>
      <w:r w:rsidR="003338BC">
        <w:rPr>
          <w:rFonts w:ascii="Arial" w:hAnsi="Arial" w:cs="Arial"/>
          <w:noProof/>
        </w:rPr>
        <w:t>nadležni organ</w:t>
      </w:r>
      <w:r w:rsidRPr="00DA6313">
        <w:rPr>
          <w:rFonts w:ascii="Arial" w:hAnsi="Arial" w:cs="Arial"/>
          <w:noProof/>
        </w:rPr>
        <w:t xml:space="preserve"> na zahtjev investitora. </w:t>
      </w:r>
      <w:r w:rsidR="003338BC">
        <w:rPr>
          <w:rFonts w:ascii="Arial" w:hAnsi="Arial" w:cs="Arial"/>
          <w:noProof/>
        </w:rPr>
        <w:t>U skladu sa članom 53 u</w:t>
      </w:r>
      <w:r w:rsidRPr="00DA6313">
        <w:rPr>
          <w:rFonts w:ascii="Arial" w:hAnsi="Arial" w:cs="Arial"/>
          <w:noProof/>
        </w:rPr>
        <w:t>z zahtjev se dostavlja i sljedeća dokumentacija:</w:t>
      </w:r>
    </w:p>
    <w:p w14:paraId="23E1A5CB" w14:textId="77777777" w:rsidR="00DA6313" w:rsidRPr="00DA6313" w:rsidRDefault="00DA6313" w:rsidP="008D2281">
      <w:pPr>
        <w:spacing w:after="0" w:line="240" w:lineRule="auto"/>
        <w:jc w:val="both"/>
        <w:rPr>
          <w:rFonts w:ascii="Arial" w:hAnsi="Arial" w:cs="Arial"/>
          <w:noProof/>
        </w:rPr>
      </w:pPr>
    </w:p>
    <w:p w14:paraId="22A211DD" w14:textId="77777777" w:rsidR="00E52914" w:rsidRPr="00DA6313" w:rsidRDefault="00E52914" w:rsidP="00664C2A">
      <w:pPr>
        <w:pStyle w:val="ListParagraph"/>
        <w:numPr>
          <w:ilvl w:val="0"/>
          <w:numId w:val="13"/>
        </w:numPr>
        <w:suppressAutoHyphens w:val="0"/>
        <w:spacing w:after="0" w:line="240" w:lineRule="auto"/>
        <w:contextualSpacing w:val="0"/>
        <w:jc w:val="both"/>
        <w:rPr>
          <w:rFonts w:ascii="Arial" w:hAnsi="Arial" w:cs="Arial"/>
          <w:noProof/>
        </w:rPr>
      </w:pPr>
      <w:r w:rsidRPr="00DA6313">
        <w:rPr>
          <w:rFonts w:ascii="Arial" w:hAnsi="Arial" w:cs="Arial"/>
          <w:noProof/>
        </w:rPr>
        <w:t>rudarski projekat sa revizionom klauzulom;</w:t>
      </w:r>
    </w:p>
    <w:p w14:paraId="3E940D8F" w14:textId="77777777" w:rsidR="00E52914" w:rsidRPr="00DA6313" w:rsidRDefault="00E52914" w:rsidP="00664C2A">
      <w:pPr>
        <w:pStyle w:val="ListParagraph"/>
        <w:numPr>
          <w:ilvl w:val="0"/>
          <w:numId w:val="13"/>
        </w:numPr>
        <w:suppressAutoHyphens w:val="0"/>
        <w:spacing w:after="0" w:line="240" w:lineRule="auto"/>
        <w:contextualSpacing w:val="0"/>
        <w:jc w:val="both"/>
        <w:rPr>
          <w:rFonts w:ascii="Arial" w:hAnsi="Arial" w:cs="Arial"/>
          <w:noProof/>
        </w:rPr>
      </w:pPr>
      <w:r w:rsidRPr="00DA6313">
        <w:rPr>
          <w:rFonts w:ascii="Arial" w:hAnsi="Arial" w:cs="Arial"/>
          <w:noProof/>
        </w:rPr>
        <w:t>potvrda-saglasnost organa koji je izdao uslove da je rudarski projekat urađen u skladu sa izdatim uslovima;</w:t>
      </w:r>
    </w:p>
    <w:p w14:paraId="50D906F8" w14:textId="77777777" w:rsidR="00E52914" w:rsidRPr="00DA6313" w:rsidRDefault="00E52914" w:rsidP="00664C2A">
      <w:pPr>
        <w:pStyle w:val="ListParagraph"/>
        <w:numPr>
          <w:ilvl w:val="0"/>
          <w:numId w:val="13"/>
        </w:numPr>
        <w:suppressAutoHyphens w:val="0"/>
        <w:spacing w:after="0" w:line="240" w:lineRule="auto"/>
        <w:contextualSpacing w:val="0"/>
        <w:jc w:val="both"/>
        <w:rPr>
          <w:rFonts w:ascii="Arial" w:hAnsi="Arial" w:cs="Arial"/>
          <w:noProof/>
        </w:rPr>
      </w:pPr>
      <w:r w:rsidRPr="00DA6313">
        <w:rPr>
          <w:rFonts w:ascii="Arial" w:hAnsi="Arial" w:cs="Arial"/>
          <w:noProof/>
        </w:rPr>
        <w:t>urbanističko-tehnički uslovi;</w:t>
      </w:r>
    </w:p>
    <w:p w14:paraId="30ED3C59" w14:textId="77777777" w:rsidR="00E52914" w:rsidRPr="00DA6313" w:rsidRDefault="00E52914" w:rsidP="00664C2A">
      <w:pPr>
        <w:pStyle w:val="ListParagraph"/>
        <w:numPr>
          <w:ilvl w:val="0"/>
          <w:numId w:val="13"/>
        </w:numPr>
        <w:suppressAutoHyphens w:val="0"/>
        <w:spacing w:after="0" w:line="240" w:lineRule="auto"/>
        <w:contextualSpacing w:val="0"/>
        <w:jc w:val="both"/>
        <w:rPr>
          <w:rFonts w:ascii="Arial" w:hAnsi="Arial" w:cs="Arial"/>
          <w:noProof/>
        </w:rPr>
      </w:pPr>
      <w:r w:rsidRPr="00DA6313">
        <w:rPr>
          <w:rFonts w:ascii="Arial" w:hAnsi="Arial" w:cs="Arial"/>
          <w:noProof/>
        </w:rPr>
        <w:lastRenderedPageBreak/>
        <w:t>dokaz o pravu svojine ili korišćenja na zemljištu, odnosno službenosti za najmanje dvije godine eksploatacije mineralne sirovine prema dinamici utvrđenoj koncesionim pravom;</w:t>
      </w:r>
    </w:p>
    <w:p w14:paraId="1830FD86" w14:textId="77777777" w:rsidR="00E52914" w:rsidRPr="00DA6313" w:rsidRDefault="00E52914" w:rsidP="00664C2A">
      <w:pPr>
        <w:pStyle w:val="ListParagraph"/>
        <w:numPr>
          <w:ilvl w:val="0"/>
          <w:numId w:val="13"/>
        </w:numPr>
        <w:suppressAutoHyphens w:val="0"/>
        <w:spacing w:after="0" w:line="240" w:lineRule="auto"/>
        <w:contextualSpacing w:val="0"/>
        <w:jc w:val="both"/>
        <w:rPr>
          <w:rFonts w:ascii="Arial" w:hAnsi="Arial" w:cs="Arial"/>
          <w:noProof/>
        </w:rPr>
      </w:pPr>
      <w:r w:rsidRPr="00DA6313">
        <w:rPr>
          <w:rFonts w:ascii="Arial" w:hAnsi="Arial" w:cs="Arial"/>
          <w:noProof/>
        </w:rPr>
        <w:t xml:space="preserve">saglasnost organa državne uprave nadležnog za poslove zaštite </w:t>
      </w:r>
      <w:r w:rsidR="007D7018">
        <w:rPr>
          <w:rFonts w:ascii="Arial" w:hAnsi="Arial" w:cs="Arial"/>
          <w:noProof/>
        </w:rPr>
        <w:t>životne sredine na E</w:t>
      </w:r>
      <w:r w:rsidRPr="00DA6313">
        <w:rPr>
          <w:rFonts w:ascii="Arial" w:hAnsi="Arial" w:cs="Arial"/>
          <w:noProof/>
        </w:rPr>
        <w:t>laborat procjene uticaja na životnu sredinu ili odluku da nije potrebno vršiti procjenu uticaja koje se izdaju u skladu sa posebnim propisom;</w:t>
      </w:r>
    </w:p>
    <w:p w14:paraId="2A7AB354" w14:textId="77777777" w:rsidR="00E52914" w:rsidRPr="00DA6313" w:rsidRDefault="00E52914" w:rsidP="00664C2A">
      <w:pPr>
        <w:pStyle w:val="ListParagraph"/>
        <w:numPr>
          <w:ilvl w:val="0"/>
          <w:numId w:val="13"/>
        </w:numPr>
        <w:suppressAutoHyphens w:val="0"/>
        <w:spacing w:after="0" w:line="240" w:lineRule="auto"/>
        <w:contextualSpacing w:val="0"/>
        <w:jc w:val="both"/>
        <w:rPr>
          <w:rFonts w:ascii="Arial" w:hAnsi="Arial" w:cs="Arial"/>
          <w:noProof/>
        </w:rPr>
      </w:pPr>
      <w:r w:rsidRPr="00DA6313">
        <w:rPr>
          <w:rFonts w:ascii="Arial" w:hAnsi="Arial" w:cs="Arial"/>
          <w:noProof/>
        </w:rPr>
        <w:t>vodoprivredna saglasnost na projekte kada eksploatacija mineralnih sirovina utiče na režim voda;</w:t>
      </w:r>
    </w:p>
    <w:p w14:paraId="403E7974" w14:textId="77777777" w:rsidR="00E52914" w:rsidRPr="00DA6313" w:rsidRDefault="00E52914" w:rsidP="00664C2A">
      <w:pPr>
        <w:pStyle w:val="ListParagraph"/>
        <w:numPr>
          <w:ilvl w:val="0"/>
          <w:numId w:val="13"/>
        </w:numPr>
        <w:suppressAutoHyphens w:val="0"/>
        <w:spacing w:after="0" w:line="240" w:lineRule="auto"/>
        <w:contextualSpacing w:val="0"/>
        <w:jc w:val="both"/>
        <w:rPr>
          <w:rFonts w:ascii="Arial" w:hAnsi="Arial" w:cs="Arial"/>
          <w:noProof/>
        </w:rPr>
      </w:pPr>
      <w:r w:rsidRPr="00DA6313">
        <w:rPr>
          <w:rFonts w:ascii="Arial" w:hAnsi="Arial" w:cs="Arial"/>
          <w:noProof/>
        </w:rPr>
        <w:t>saobraćajna saglasnost za pristup javnim saobraćajnicama;</w:t>
      </w:r>
    </w:p>
    <w:p w14:paraId="37C62C1C" w14:textId="77777777" w:rsidR="00E52914" w:rsidRPr="00DA6313" w:rsidRDefault="00E52914" w:rsidP="00664C2A">
      <w:pPr>
        <w:pStyle w:val="ListParagraph"/>
        <w:numPr>
          <w:ilvl w:val="0"/>
          <w:numId w:val="13"/>
        </w:numPr>
        <w:suppressAutoHyphens w:val="0"/>
        <w:spacing w:after="0" w:line="240" w:lineRule="auto"/>
        <w:contextualSpacing w:val="0"/>
        <w:jc w:val="both"/>
        <w:rPr>
          <w:rFonts w:ascii="Arial" w:hAnsi="Arial" w:cs="Arial"/>
          <w:noProof/>
        </w:rPr>
      </w:pPr>
      <w:r w:rsidRPr="00DA6313">
        <w:rPr>
          <w:rFonts w:ascii="Arial" w:hAnsi="Arial" w:cs="Arial"/>
          <w:noProof/>
        </w:rPr>
        <w:t>licenca za izvođenje radova;</w:t>
      </w:r>
    </w:p>
    <w:p w14:paraId="48970743" w14:textId="77777777" w:rsidR="00E52914" w:rsidRPr="00DA6313" w:rsidRDefault="00E52914" w:rsidP="00664C2A">
      <w:pPr>
        <w:pStyle w:val="ListParagraph"/>
        <w:numPr>
          <w:ilvl w:val="0"/>
          <w:numId w:val="13"/>
        </w:numPr>
        <w:suppressAutoHyphens w:val="0"/>
        <w:spacing w:after="0" w:line="240" w:lineRule="auto"/>
        <w:contextualSpacing w:val="0"/>
        <w:jc w:val="both"/>
        <w:rPr>
          <w:rFonts w:ascii="Arial" w:hAnsi="Arial" w:cs="Arial"/>
          <w:noProof/>
        </w:rPr>
      </w:pPr>
      <w:r w:rsidRPr="00DA6313">
        <w:rPr>
          <w:rFonts w:ascii="Arial" w:hAnsi="Arial" w:cs="Arial"/>
          <w:noProof/>
        </w:rPr>
        <w:t>dokaz o plaćenoj naknadi za promjenu namjene korišćenja poljoprivrednog zemljišta.</w:t>
      </w:r>
    </w:p>
    <w:p w14:paraId="64FE6E0E" w14:textId="77777777" w:rsidR="0084036A" w:rsidRPr="00DA6313" w:rsidRDefault="0084036A" w:rsidP="008D2281">
      <w:pPr>
        <w:spacing w:after="0" w:line="240" w:lineRule="auto"/>
        <w:jc w:val="both"/>
        <w:rPr>
          <w:rFonts w:ascii="Arial" w:hAnsi="Arial" w:cs="Arial"/>
          <w:noProof/>
        </w:rPr>
      </w:pPr>
    </w:p>
    <w:p w14:paraId="0FD0EB53" w14:textId="77777777" w:rsidR="00E52914" w:rsidRPr="00DA6313" w:rsidRDefault="00E52914" w:rsidP="008D2281">
      <w:pPr>
        <w:spacing w:after="0" w:line="240" w:lineRule="auto"/>
        <w:jc w:val="both"/>
        <w:rPr>
          <w:rFonts w:ascii="Arial" w:hAnsi="Arial" w:cs="Arial"/>
          <w:noProof/>
        </w:rPr>
      </w:pPr>
      <w:r w:rsidRPr="00DA6313">
        <w:rPr>
          <w:rFonts w:ascii="Arial" w:hAnsi="Arial" w:cs="Arial"/>
          <w:noProof/>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5CE099A1" w14:textId="77777777" w:rsidR="00486798" w:rsidRPr="00DA6313" w:rsidRDefault="00486798" w:rsidP="008D2281">
      <w:pPr>
        <w:spacing w:after="0" w:line="240" w:lineRule="auto"/>
        <w:jc w:val="both"/>
        <w:rPr>
          <w:rFonts w:ascii="Arial" w:hAnsi="Arial" w:cs="Arial"/>
          <w:noProof/>
        </w:rPr>
      </w:pPr>
    </w:p>
    <w:p w14:paraId="2F72A475" w14:textId="77777777" w:rsidR="00E52914" w:rsidRPr="00DA6313" w:rsidRDefault="00E52914" w:rsidP="00664C2A">
      <w:pPr>
        <w:pStyle w:val="Heading3"/>
        <w:numPr>
          <w:ilvl w:val="2"/>
          <w:numId w:val="28"/>
        </w:numPr>
        <w:spacing w:after="0" w:line="240" w:lineRule="auto"/>
        <w:ind w:left="0" w:firstLine="0"/>
        <w:jc w:val="both"/>
        <w:rPr>
          <w:rFonts w:ascii="Arial" w:hAnsi="Arial" w:cs="Arial"/>
          <w:noProof/>
          <w:sz w:val="22"/>
          <w:szCs w:val="22"/>
        </w:rPr>
      </w:pPr>
      <w:bookmarkStart w:id="67" w:name="_Toc390549925"/>
      <w:bookmarkStart w:id="68" w:name="_Toc401959455"/>
      <w:bookmarkStart w:id="69" w:name="_Toc401959548"/>
      <w:bookmarkStart w:id="70" w:name="_Toc435529036"/>
      <w:bookmarkStart w:id="71" w:name="_Toc436124913"/>
      <w:r w:rsidRPr="00DA6313">
        <w:rPr>
          <w:rFonts w:ascii="Arial" w:hAnsi="Arial" w:cs="Arial"/>
          <w:noProof/>
          <w:sz w:val="22"/>
          <w:szCs w:val="22"/>
        </w:rPr>
        <w:t>Odobrenje za upotrebu rudarskih objekata</w:t>
      </w:r>
      <w:bookmarkEnd w:id="67"/>
      <w:bookmarkEnd w:id="68"/>
      <w:bookmarkEnd w:id="69"/>
      <w:bookmarkEnd w:id="70"/>
      <w:bookmarkEnd w:id="71"/>
    </w:p>
    <w:p w14:paraId="5C1BF6B7" w14:textId="77777777" w:rsidR="0084036A" w:rsidRPr="00DA6313" w:rsidRDefault="0084036A" w:rsidP="008D2281">
      <w:pPr>
        <w:spacing w:after="0" w:line="240" w:lineRule="auto"/>
        <w:jc w:val="both"/>
        <w:rPr>
          <w:rFonts w:ascii="Arial" w:hAnsi="Arial" w:cs="Arial"/>
          <w:noProof/>
        </w:rPr>
      </w:pPr>
    </w:p>
    <w:p w14:paraId="37D4BEFF" w14:textId="77777777" w:rsidR="00E52914" w:rsidRPr="00DA6313" w:rsidRDefault="00E52914" w:rsidP="008D2281">
      <w:pPr>
        <w:spacing w:after="0" w:line="240" w:lineRule="auto"/>
        <w:jc w:val="both"/>
        <w:rPr>
          <w:rFonts w:ascii="Arial" w:hAnsi="Arial" w:cs="Arial"/>
          <w:noProof/>
        </w:rPr>
      </w:pPr>
      <w:r w:rsidRPr="00DA6313">
        <w:rPr>
          <w:rFonts w:ascii="Arial" w:hAnsi="Arial" w:cs="Arial"/>
          <w:noProof/>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7B0016B" w14:textId="77777777" w:rsidR="0084036A" w:rsidRPr="00DA6313" w:rsidRDefault="0084036A" w:rsidP="008D2281">
      <w:pPr>
        <w:spacing w:after="0" w:line="240" w:lineRule="auto"/>
        <w:jc w:val="both"/>
        <w:rPr>
          <w:rFonts w:ascii="Arial" w:hAnsi="Arial" w:cs="Arial"/>
          <w:noProof/>
        </w:rPr>
      </w:pPr>
    </w:p>
    <w:p w14:paraId="36335C55" w14:textId="77777777" w:rsidR="00E52914" w:rsidRPr="00DA6313" w:rsidRDefault="00E52914" w:rsidP="008D2281">
      <w:pPr>
        <w:spacing w:after="0" w:line="240" w:lineRule="auto"/>
        <w:jc w:val="both"/>
        <w:rPr>
          <w:rFonts w:ascii="Arial" w:hAnsi="Arial" w:cs="Arial"/>
          <w:noProof/>
        </w:rPr>
      </w:pPr>
      <w:r w:rsidRPr="00DA6313">
        <w:rPr>
          <w:rFonts w:ascii="Arial" w:hAnsi="Arial" w:cs="Arial"/>
          <w:noProof/>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6B6A0976" w14:textId="77777777" w:rsidR="0084036A" w:rsidRPr="00DA6313" w:rsidRDefault="0084036A" w:rsidP="008D2281">
      <w:pPr>
        <w:spacing w:after="0" w:line="240" w:lineRule="auto"/>
        <w:jc w:val="both"/>
        <w:rPr>
          <w:rFonts w:ascii="Arial" w:hAnsi="Arial" w:cs="Arial"/>
          <w:noProof/>
        </w:rPr>
      </w:pPr>
    </w:p>
    <w:p w14:paraId="5DF9D2E0" w14:textId="77777777" w:rsidR="00E52914" w:rsidRPr="00DA6313" w:rsidRDefault="00E52914" w:rsidP="008D2281">
      <w:pPr>
        <w:spacing w:after="0" w:line="240" w:lineRule="auto"/>
        <w:jc w:val="both"/>
        <w:rPr>
          <w:rFonts w:ascii="Arial" w:hAnsi="Arial" w:cs="Arial"/>
          <w:noProof/>
        </w:rPr>
      </w:pPr>
      <w:r w:rsidRPr="00DA6313">
        <w:rPr>
          <w:rFonts w:ascii="Arial" w:hAnsi="Arial" w:cs="Arial"/>
          <w:noProof/>
        </w:rPr>
        <w:t>Tehnički pregled i odobrenje za upotrebu rudarskih objekata ili dijela objekta vrši nadležni organ preko stručne komisije ili pravnog lica u skladu sa propisima o izgradnji objekata.</w:t>
      </w:r>
    </w:p>
    <w:p w14:paraId="541BC180" w14:textId="77777777" w:rsidR="0084036A" w:rsidRPr="00DA6313" w:rsidRDefault="0084036A" w:rsidP="008D2281">
      <w:pPr>
        <w:spacing w:after="0" w:line="240" w:lineRule="auto"/>
        <w:jc w:val="both"/>
        <w:rPr>
          <w:rFonts w:ascii="Arial" w:hAnsi="Arial" w:cs="Arial"/>
          <w:noProof/>
        </w:rPr>
      </w:pPr>
    </w:p>
    <w:p w14:paraId="47DB3B71" w14:textId="77777777" w:rsidR="00E52914" w:rsidRPr="00DA6313" w:rsidRDefault="00E52914" w:rsidP="008D2281">
      <w:pPr>
        <w:spacing w:after="0" w:line="240" w:lineRule="auto"/>
        <w:jc w:val="both"/>
        <w:rPr>
          <w:rFonts w:ascii="Arial" w:hAnsi="Arial" w:cs="Arial"/>
          <w:noProof/>
        </w:rPr>
      </w:pPr>
      <w:r w:rsidRPr="00DA6313">
        <w:rPr>
          <w:rFonts w:ascii="Arial" w:hAnsi="Arial" w:cs="Arial"/>
          <w:noProof/>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40844620" w14:textId="77777777" w:rsidR="006B7A9A" w:rsidRPr="00DA6313" w:rsidRDefault="006B7A9A" w:rsidP="008D2281">
      <w:pPr>
        <w:spacing w:after="0" w:line="240" w:lineRule="auto"/>
        <w:jc w:val="both"/>
        <w:rPr>
          <w:rFonts w:ascii="Arial" w:hAnsi="Arial" w:cs="Arial"/>
          <w:noProof/>
        </w:rPr>
      </w:pPr>
    </w:p>
    <w:p w14:paraId="2D831EEE" w14:textId="77777777" w:rsidR="006D6926" w:rsidRPr="00DA6313" w:rsidRDefault="006D6926" w:rsidP="008D2281">
      <w:pPr>
        <w:spacing w:after="0" w:line="240" w:lineRule="auto"/>
        <w:jc w:val="both"/>
        <w:rPr>
          <w:rFonts w:ascii="Arial" w:hAnsi="Arial" w:cs="Arial"/>
          <w:noProof/>
        </w:rPr>
      </w:pPr>
    </w:p>
    <w:p w14:paraId="1A465A1E" w14:textId="77777777" w:rsidR="00473B80" w:rsidRPr="00DA6313" w:rsidRDefault="00473B80" w:rsidP="00664C2A">
      <w:pPr>
        <w:pStyle w:val="Heading1"/>
        <w:numPr>
          <w:ilvl w:val="0"/>
          <w:numId w:val="29"/>
        </w:numPr>
        <w:jc w:val="center"/>
        <w:rPr>
          <w:rFonts w:ascii="Arial" w:hAnsi="Arial" w:cs="Arial"/>
          <w:noProof/>
          <w:sz w:val="22"/>
          <w:szCs w:val="22"/>
        </w:rPr>
      </w:pPr>
      <w:bookmarkStart w:id="72" w:name="_Toc390549926"/>
      <w:bookmarkStart w:id="73" w:name="_Toc401959456"/>
      <w:bookmarkStart w:id="74" w:name="_Toc401959549"/>
      <w:bookmarkStart w:id="75" w:name="_Toc435529037"/>
      <w:bookmarkStart w:id="76" w:name="_Toc436124914"/>
      <w:r w:rsidRPr="00DA6313">
        <w:rPr>
          <w:rFonts w:ascii="Arial" w:hAnsi="Arial" w:cs="Arial"/>
          <w:noProof/>
          <w:sz w:val="22"/>
          <w:szCs w:val="22"/>
        </w:rPr>
        <w:t>HRONOLOGIJA IZRADE TEHNIČKE DOKUMENTACIJE I PRIBAVLJANJA ODOBRENJA I</w:t>
      </w:r>
    </w:p>
    <w:p w14:paraId="17FBF995" w14:textId="77777777" w:rsidR="00E52914" w:rsidRPr="00DA6313" w:rsidRDefault="00473B80" w:rsidP="00A34EA2">
      <w:pPr>
        <w:pStyle w:val="Heading1"/>
        <w:numPr>
          <w:ilvl w:val="0"/>
          <w:numId w:val="0"/>
        </w:numPr>
        <w:jc w:val="center"/>
        <w:rPr>
          <w:rFonts w:ascii="Arial" w:hAnsi="Arial" w:cs="Arial"/>
          <w:noProof/>
          <w:sz w:val="22"/>
          <w:szCs w:val="22"/>
        </w:rPr>
      </w:pPr>
      <w:r w:rsidRPr="00DA6313">
        <w:rPr>
          <w:rFonts w:ascii="Arial" w:hAnsi="Arial" w:cs="Arial"/>
          <w:noProof/>
          <w:sz w:val="22"/>
          <w:szCs w:val="22"/>
        </w:rPr>
        <w:t>SAGLASNOSTI ZA   IZVOĐENJE RUDARSKIH RADOVA</w:t>
      </w:r>
      <w:bookmarkEnd w:id="72"/>
      <w:bookmarkEnd w:id="73"/>
      <w:bookmarkEnd w:id="74"/>
      <w:bookmarkEnd w:id="75"/>
      <w:bookmarkEnd w:id="76"/>
    </w:p>
    <w:p w14:paraId="38A283F3" w14:textId="77777777" w:rsidR="00FD2BCF" w:rsidRPr="00DA6313" w:rsidRDefault="00FD2BCF" w:rsidP="00D26616">
      <w:pPr>
        <w:spacing w:after="0" w:line="240" w:lineRule="auto"/>
        <w:ind w:left="1276" w:hanging="1276"/>
        <w:jc w:val="both"/>
        <w:rPr>
          <w:rFonts w:ascii="Arial" w:hAnsi="Arial" w:cs="Arial"/>
          <w:noProof/>
        </w:rPr>
      </w:pPr>
    </w:p>
    <w:p w14:paraId="4DACCB4E" w14:textId="77777777" w:rsidR="00E52914" w:rsidRPr="00DA6313" w:rsidRDefault="00E52914" w:rsidP="00D26616">
      <w:pPr>
        <w:pStyle w:val="ListParagraph"/>
        <w:numPr>
          <w:ilvl w:val="0"/>
          <w:numId w:val="5"/>
        </w:numPr>
        <w:tabs>
          <w:tab w:val="left" w:pos="1350"/>
        </w:tabs>
        <w:suppressAutoHyphens w:val="0"/>
        <w:spacing w:after="0" w:line="240" w:lineRule="auto"/>
        <w:ind w:left="1276" w:hanging="1276"/>
        <w:contextualSpacing w:val="0"/>
        <w:jc w:val="both"/>
        <w:rPr>
          <w:rFonts w:ascii="Arial" w:hAnsi="Arial" w:cs="Arial"/>
          <w:noProof/>
        </w:rPr>
      </w:pPr>
      <w:r w:rsidRPr="00DA6313">
        <w:rPr>
          <w:rFonts w:ascii="Arial" w:hAnsi="Arial" w:cs="Arial"/>
          <w:noProof/>
        </w:rPr>
        <w:t xml:space="preserve">Izdavanje Licence za izvođenje rudarskih radova; </w:t>
      </w:r>
    </w:p>
    <w:p w14:paraId="79005ADB" w14:textId="02ABB3E0" w:rsidR="00E52914" w:rsidRPr="00DA6313" w:rsidRDefault="00E52914" w:rsidP="00D26616">
      <w:pPr>
        <w:pStyle w:val="ListParagraph"/>
        <w:numPr>
          <w:ilvl w:val="0"/>
          <w:numId w:val="5"/>
        </w:numPr>
        <w:tabs>
          <w:tab w:val="left" w:pos="1350"/>
        </w:tabs>
        <w:suppressAutoHyphens w:val="0"/>
        <w:spacing w:after="0" w:line="240" w:lineRule="auto"/>
        <w:ind w:left="1276" w:hanging="1276"/>
        <w:contextualSpacing w:val="0"/>
        <w:jc w:val="both"/>
        <w:rPr>
          <w:rFonts w:ascii="Arial" w:hAnsi="Arial" w:cs="Arial"/>
          <w:noProof/>
        </w:rPr>
      </w:pPr>
      <w:r w:rsidRPr="00DA6313">
        <w:rPr>
          <w:rFonts w:ascii="Arial" w:hAnsi="Arial" w:cs="Arial"/>
          <w:noProof/>
        </w:rPr>
        <w:t>Izrada rudarskog projekta i njegova revizija;</w:t>
      </w:r>
    </w:p>
    <w:p w14:paraId="1DAA7680" w14:textId="77777777" w:rsidR="00D26616" w:rsidRDefault="00E52914" w:rsidP="00D26616">
      <w:pPr>
        <w:pStyle w:val="ListParagraph"/>
        <w:numPr>
          <w:ilvl w:val="0"/>
          <w:numId w:val="5"/>
        </w:numPr>
        <w:tabs>
          <w:tab w:val="left" w:pos="1350"/>
        </w:tabs>
        <w:suppressAutoHyphens w:val="0"/>
        <w:spacing w:after="0" w:line="240" w:lineRule="auto"/>
        <w:ind w:left="1276" w:hanging="1276"/>
        <w:contextualSpacing w:val="0"/>
        <w:jc w:val="both"/>
        <w:rPr>
          <w:rFonts w:ascii="Arial" w:hAnsi="Arial" w:cs="Arial"/>
          <w:noProof/>
        </w:rPr>
      </w:pPr>
      <w:r w:rsidRPr="00DA6313">
        <w:rPr>
          <w:rFonts w:ascii="Arial" w:hAnsi="Arial" w:cs="Arial"/>
          <w:noProof/>
        </w:rPr>
        <w:t>Dobijanje odobrenja za eksploataciju mineralne sirovine na eksploatacionom polju;</w:t>
      </w:r>
    </w:p>
    <w:p w14:paraId="2F90D88E" w14:textId="77777777" w:rsidR="00E52914" w:rsidRPr="00D26616" w:rsidRDefault="00E52914" w:rsidP="00D26616">
      <w:pPr>
        <w:pStyle w:val="ListParagraph"/>
        <w:numPr>
          <w:ilvl w:val="0"/>
          <w:numId w:val="5"/>
        </w:numPr>
        <w:tabs>
          <w:tab w:val="left" w:pos="1350"/>
        </w:tabs>
        <w:suppressAutoHyphens w:val="0"/>
        <w:spacing w:after="0" w:line="240" w:lineRule="auto"/>
        <w:ind w:left="1276" w:hanging="1276"/>
        <w:contextualSpacing w:val="0"/>
        <w:jc w:val="both"/>
        <w:rPr>
          <w:rFonts w:ascii="Arial" w:hAnsi="Arial" w:cs="Arial"/>
          <w:noProof/>
        </w:rPr>
      </w:pPr>
      <w:r w:rsidRPr="00D26616">
        <w:rPr>
          <w:rFonts w:ascii="Arial" w:hAnsi="Arial" w:cs="Arial"/>
          <w:noProof/>
        </w:rPr>
        <w:t>Dobijanje odobrenja za izvođenje radova po rudarskom projektu;</w:t>
      </w:r>
    </w:p>
    <w:p w14:paraId="62D08112" w14:textId="77777777" w:rsidR="00E52914" w:rsidRDefault="00E52914" w:rsidP="00D26616">
      <w:pPr>
        <w:pStyle w:val="ListParagraph"/>
        <w:numPr>
          <w:ilvl w:val="0"/>
          <w:numId w:val="5"/>
        </w:numPr>
        <w:tabs>
          <w:tab w:val="left" w:pos="1350"/>
          <w:tab w:val="left" w:pos="1890"/>
        </w:tabs>
        <w:suppressAutoHyphens w:val="0"/>
        <w:spacing w:after="0" w:line="240" w:lineRule="auto"/>
        <w:ind w:left="1276" w:hanging="1276"/>
        <w:contextualSpacing w:val="0"/>
        <w:jc w:val="both"/>
        <w:rPr>
          <w:rFonts w:ascii="Arial" w:hAnsi="Arial" w:cs="Arial"/>
          <w:noProof/>
        </w:rPr>
      </w:pPr>
      <w:r w:rsidRPr="00DA6313">
        <w:rPr>
          <w:rFonts w:ascii="Arial" w:hAnsi="Arial" w:cs="Arial"/>
          <w:noProof/>
        </w:rPr>
        <w:t>Tehnički prijem rudarskih objekata.</w:t>
      </w:r>
    </w:p>
    <w:p w14:paraId="1D1290D5" w14:textId="77777777" w:rsidR="00F61794" w:rsidRDefault="00F61794" w:rsidP="00F61794">
      <w:pPr>
        <w:tabs>
          <w:tab w:val="left" w:pos="1350"/>
          <w:tab w:val="left" w:pos="1890"/>
        </w:tabs>
        <w:suppressAutoHyphens w:val="0"/>
        <w:spacing w:after="0" w:line="240" w:lineRule="auto"/>
        <w:jc w:val="both"/>
        <w:rPr>
          <w:rFonts w:ascii="Arial" w:hAnsi="Arial" w:cs="Arial"/>
          <w:noProof/>
        </w:rPr>
      </w:pPr>
    </w:p>
    <w:p w14:paraId="6C4B00C3" w14:textId="77777777" w:rsidR="003C7F1E" w:rsidRDefault="003C7F1E" w:rsidP="006D6926">
      <w:pPr>
        <w:pStyle w:val="ListParagraph"/>
        <w:tabs>
          <w:tab w:val="left" w:pos="1350"/>
          <w:tab w:val="left" w:pos="1890"/>
        </w:tabs>
        <w:suppressAutoHyphens w:val="0"/>
        <w:spacing w:after="0" w:line="240" w:lineRule="auto"/>
        <w:ind w:left="0"/>
        <w:contextualSpacing w:val="0"/>
        <w:jc w:val="both"/>
        <w:rPr>
          <w:rFonts w:ascii="Arial" w:hAnsi="Arial" w:cs="Arial"/>
          <w:noProof/>
        </w:rPr>
      </w:pPr>
    </w:p>
    <w:p w14:paraId="14691A53" w14:textId="77777777" w:rsidR="00E52914" w:rsidRPr="00DA6313" w:rsidRDefault="00C8130D" w:rsidP="00664C2A">
      <w:pPr>
        <w:pStyle w:val="Heading1"/>
        <w:numPr>
          <w:ilvl w:val="0"/>
          <w:numId w:val="29"/>
        </w:numPr>
        <w:jc w:val="both"/>
        <w:rPr>
          <w:rFonts w:ascii="Arial" w:hAnsi="Arial" w:cs="Arial"/>
          <w:noProof/>
          <w:sz w:val="22"/>
          <w:szCs w:val="22"/>
        </w:rPr>
      </w:pPr>
      <w:bookmarkStart w:id="77" w:name="_Toc390549927"/>
      <w:bookmarkStart w:id="78" w:name="_Toc401959457"/>
      <w:bookmarkStart w:id="79" w:name="_Toc401959550"/>
      <w:bookmarkStart w:id="80" w:name="_Toc435529038"/>
      <w:bookmarkStart w:id="81" w:name="_Toc436124915"/>
      <w:r w:rsidRPr="00DA6313">
        <w:rPr>
          <w:rFonts w:ascii="Arial" w:hAnsi="Arial" w:cs="Arial"/>
          <w:noProof/>
          <w:sz w:val="22"/>
          <w:szCs w:val="22"/>
        </w:rPr>
        <w:t xml:space="preserve">OSNOVNI ELEMENTI DOKUMENTACIJE </w:t>
      </w:r>
      <w:r w:rsidR="00A41E38">
        <w:rPr>
          <w:rFonts w:ascii="Arial" w:hAnsi="Arial" w:cs="Arial"/>
          <w:noProof/>
          <w:sz w:val="22"/>
          <w:szCs w:val="22"/>
        </w:rPr>
        <w:t>VEZANE</w:t>
      </w:r>
      <w:r w:rsidRPr="00DA6313">
        <w:rPr>
          <w:rFonts w:ascii="Arial" w:hAnsi="Arial" w:cs="Arial"/>
          <w:noProof/>
          <w:sz w:val="22"/>
          <w:szCs w:val="22"/>
        </w:rPr>
        <w:t xml:space="preserve"> ZA PONUDU</w:t>
      </w:r>
      <w:bookmarkEnd w:id="77"/>
      <w:bookmarkEnd w:id="78"/>
      <w:bookmarkEnd w:id="79"/>
      <w:bookmarkEnd w:id="80"/>
      <w:bookmarkEnd w:id="81"/>
    </w:p>
    <w:p w14:paraId="1F23A1C5" w14:textId="77777777" w:rsidR="00FD2BCF" w:rsidRPr="00DA6313" w:rsidRDefault="00FD2BCF" w:rsidP="008D2281">
      <w:pPr>
        <w:spacing w:after="0" w:line="240" w:lineRule="auto"/>
        <w:jc w:val="both"/>
        <w:rPr>
          <w:rFonts w:ascii="Arial" w:hAnsi="Arial" w:cs="Arial"/>
          <w:noProof/>
        </w:rPr>
      </w:pPr>
    </w:p>
    <w:p w14:paraId="3501BE36" w14:textId="77777777" w:rsidR="00E52914" w:rsidRPr="00DA6313" w:rsidRDefault="00E52914" w:rsidP="008D2281">
      <w:pPr>
        <w:spacing w:after="0" w:line="240" w:lineRule="auto"/>
        <w:jc w:val="both"/>
        <w:rPr>
          <w:rFonts w:ascii="Arial" w:eastAsia="Times New Roman" w:hAnsi="Arial" w:cs="Arial"/>
          <w:noProof/>
        </w:rPr>
      </w:pPr>
      <w:r w:rsidRPr="00DA6313">
        <w:rPr>
          <w:rFonts w:ascii="Arial" w:eastAsia="Times New Roman" w:hAnsi="Arial" w:cs="Arial"/>
          <w:noProof/>
        </w:rPr>
        <w:t>Tendersku dokumentaciju čine sljedeća dokumenta:</w:t>
      </w:r>
    </w:p>
    <w:p w14:paraId="1EEAE793" w14:textId="77777777" w:rsidR="0084036A" w:rsidRPr="00DA6313" w:rsidRDefault="0084036A" w:rsidP="008D2281">
      <w:pPr>
        <w:spacing w:after="0" w:line="240" w:lineRule="auto"/>
        <w:jc w:val="both"/>
        <w:rPr>
          <w:rFonts w:ascii="Arial" w:eastAsia="Times New Roman" w:hAnsi="Arial" w:cs="Arial"/>
          <w:noProof/>
        </w:rPr>
      </w:pPr>
    </w:p>
    <w:p w14:paraId="34C2B098" w14:textId="77777777" w:rsidR="00E52914" w:rsidRPr="00DA6313" w:rsidRDefault="00E52914" w:rsidP="00B7795A">
      <w:pPr>
        <w:numPr>
          <w:ilvl w:val="0"/>
          <w:numId w:val="8"/>
        </w:numPr>
        <w:suppressAutoHyphens w:val="0"/>
        <w:spacing w:after="0" w:line="240" w:lineRule="auto"/>
        <w:ind w:left="567" w:firstLine="0"/>
        <w:jc w:val="both"/>
        <w:rPr>
          <w:rFonts w:ascii="Arial" w:eastAsia="Times New Roman" w:hAnsi="Arial" w:cs="Arial"/>
          <w:noProof/>
        </w:rPr>
      </w:pPr>
      <w:r w:rsidRPr="00DA6313">
        <w:rPr>
          <w:rFonts w:ascii="Arial" w:hAnsi="Arial" w:cs="Arial"/>
          <w:noProof/>
        </w:rPr>
        <w:t>K</w:t>
      </w:r>
      <w:r w:rsidRPr="00DA6313">
        <w:rPr>
          <w:rFonts w:ascii="Arial" w:eastAsia="Times New Roman" w:hAnsi="Arial" w:cs="Arial"/>
          <w:noProof/>
        </w:rPr>
        <w:t>oncesioni akt;</w:t>
      </w:r>
    </w:p>
    <w:p w14:paraId="2BFD87EB" w14:textId="77777777" w:rsidR="00E52914" w:rsidRPr="00DA6313" w:rsidRDefault="00E52914" w:rsidP="00B7795A">
      <w:pPr>
        <w:numPr>
          <w:ilvl w:val="0"/>
          <w:numId w:val="8"/>
        </w:numPr>
        <w:suppressAutoHyphens w:val="0"/>
        <w:spacing w:after="0" w:line="240" w:lineRule="auto"/>
        <w:ind w:left="567" w:firstLine="0"/>
        <w:jc w:val="both"/>
        <w:rPr>
          <w:rFonts w:ascii="Arial" w:eastAsia="Times New Roman" w:hAnsi="Arial" w:cs="Arial"/>
          <w:noProof/>
        </w:rPr>
      </w:pPr>
      <w:r w:rsidRPr="00DA6313">
        <w:rPr>
          <w:rFonts w:ascii="Arial" w:hAnsi="Arial" w:cs="Arial"/>
          <w:noProof/>
        </w:rPr>
        <w:t>D</w:t>
      </w:r>
      <w:r w:rsidRPr="00DA6313">
        <w:rPr>
          <w:rFonts w:ascii="Arial" w:eastAsia="Times New Roman" w:hAnsi="Arial" w:cs="Arial"/>
          <w:noProof/>
        </w:rPr>
        <w:t>okumentacija vezana uz ponudu;</w:t>
      </w:r>
    </w:p>
    <w:p w14:paraId="38540DE6" w14:textId="77777777" w:rsidR="00E52914" w:rsidRPr="00DA6313" w:rsidRDefault="00E52914" w:rsidP="00B7795A">
      <w:pPr>
        <w:numPr>
          <w:ilvl w:val="0"/>
          <w:numId w:val="8"/>
        </w:numPr>
        <w:suppressAutoHyphens w:val="0"/>
        <w:spacing w:after="0" w:line="240" w:lineRule="auto"/>
        <w:ind w:left="567" w:firstLine="0"/>
        <w:jc w:val="both"/>
        <w:rPr>
          <w:rFonts w:ascii="Arial" w:eastAsia="Times New Roman" w:hAnsi="Arial" w:cs="Arial"/>
          <w:noProof/>
        </w:rPr>
      </w:pPr>
      <w:r w:rsidRPr="00DA6313">
        <w:rPr>
          <w:rFonts w:ascii="Arial" w:hAnsi="Arial" w:cs="Arial"/>
          <w:noProof/>
        </w:rPr>
        <w:t>Uputstvo za podnošenje ponuda i</w:t>
      </w:r>
    </w:p>
    <w:p w14:paraId="0BA60DFE" w14:textId="77777777" w:rsidR="00D62A70" w:rsidRPr="00722F8D" w:rsidRDefault="00E52914" w:rsidP="008D2281">
      <w:pPr>
        <w:numPr>
          <w:ilvl w:val="0"/>
          <w:numId w:val="8"/>
        </w:numPr>
        <w:suppressAutoHyphens w:val="0"/>
        <w:spacing w:after="0" w:line="240" w:lineRule="auto"/>
        <w:ind w:left="567" w:firstLine="0"/>
        <w:jc w:val="both"/>
        <w:rPr>
          <w:rFonts w:ascii="Arial" w:eastAsia="Times New Roman" w:hAnsi="Arial" w:cs="Arial"/>
          <w:noProof/>
        </w:rPr>
      </w:pPr>
      <w:r w:rsidRPr="00DA6313">
        <w:rPr>
          <w:rFonts w:ascii="Arial" w:hAnsi="Arial" w:cs="Arial"/>
          <w:noProof/>
        </w:rPr>
        <w:t>N</w:t>
      </w:r>
      <w:r w:rsidRPr="00DA6313">
        <w:rPr>
          <w:rFonts w:ascii="Arial" w:eastAsia="Times New Roman" w:hAnsi="Arial" w:cs="Arial"/>
          <w:noProof/>
        </w:rPr>
        <w:t>acrt ugovora o koncesiji.</w:t>
      </w:r>
      <w:bookmarkStart w:id="82" w:name="_Toc390549928"/>
      <w:bookmarkStart w:id="83" w:name="_Toc401959458"/>
      <w:bookmarkStart w:id="84" w:name="_Toc401959551"/>
      <w:bookmarkStart w:id="85" w:name="_Toc435529039"/>
      <w:bookmarkStart w:id="86" w:name="_Toc436124916"/>
    </w:p>
    <w:p w14:paraId="7C739027" w14:textId="20C01202" w:rsidR="00D62A70" w:rsidRDefault="00D62A70" w:rsidP="008D2281">
      <w:pPr>
        <w:suppressAutoHyphens w:val="0"/>
        <w:spacing w:after="0" w:line="240" w:lineRule="auto"/>
        <w:jc w:val="both"/>
        <w:rPr>
          <w:rFonts w:ascii="Arial" w:eastAsia="Times New Roman" w:hAnsi="Arial" w:cs="Arial"/>
          <w:noProof/>
        </w:rPr>
      </w:pPr>
    </w:p>
    <w:p w14:paraId="037F9AD7" w14:textId="77777777" w:rsidR="00F623A2" w:rsidRPr="00DA6313" w:rsidRDefault="00F623A2" w:rsidP="008D2281">
      <w:pPr>
        <w:suppressAutoHyphens w:val="0"/>
        <w:spacing w:after="0" w:line="240" w:lineRule="auto"/>
        <w:jc w:val="both"/>
        <w:rPr>
          <w:rFonts w:ascii="Arial" w:eastAsia="Times New Roman" w:hAnsi="Arial" w:cs="Arial"/>
          <w:noProof/>
        </w:rPr>
      </w:pPr>
    </w:p>
    <w:p w14:paraId="786E21EC" w14:textId="77777777" w:rsidR="00E52914" w:rsidRPr="00DA6313" w:rsidRDefault="00E52914" w:rsidP="00664C2A">
      <w:pPr>
        <w:pStyle w:val="Heading2"/>
        <w:numPr>
          <w:ilvl w:val="1"/>
          <w:numId w:val="29"/>
        </w:numPr>
      </w:pPr>
      <w:r w:rsidRPr="00DA6313">
        <w:lastRenderedPageBreak/>
        <w:t>Dokumentacija koja se prilaže uz ponudu</w:t>
      </w:r>
      <w:bookmarkEnd w:id="82"/>
      <w:bookmarkEnd w:id="83"/>
      <w:bookmarkEnd w:id="84"/>
      <w:bookmarkEnd w:id="85"/>
      <w:bookmarkEnd w:id="86"/>
    </w:p>
    <w:p w14:paraId="34186162" w14:textId="77777777" w:rsidR="00FD2BCF" w:rsidRPr="00DA6313" w:rsidRDefault="00FD2BCF" w:rsidP="008D2281">
      <w:pPr>
        <w:spacing w:after="0" w:line="240" w:lineRule="auto"/>
        <w:jc w:val="both"/>
        <w:rPr>
          <w:rFonts w:ascii="Arial" w:hAnsi="Arial" w:cs="Arial"/>
          <w:noProof/>
        </w:rPr>
      </w:pPr>
    </w:p>
    <w:p w14:paraId="265CAFD0" w14:textId="77777777" w:rsidR="00721ACD" w:rsidRDefault="00721ACD" w:rsidP="00721ACD">
      <w:pPr>
        <w:spacing w:after="0" w:line="240" w:lineRule="auto"/>
        <w:jc w:val="both"/>
        <w:rPr>
          <w:rFonts w:ascii="Arial" w:hAnsi="Arial" w:cs="Arial"/>
          <w:noProof/>
        </w:rPr>
      </w:pPr>
      <w:r w:rsidRPr="007D7018">
        <w:rPr>
          <w:rFonts w:ascii="Arial" w:hAnsi="Arial" w:cs="Arial"/>
          <w:noProof/>
        </w:rPr>
        <w:t xml:space="preserve">Shodno članu 23 Zakona o koncesijama </w:t>
      </w:r>
      <w:proofErr w:type="spellStart"/>
      <w:r w:rsidR="007D7018" w:rsidRPr="007D7018">
        <w:rPr>
          <w:rFonts w:ascii="Arial" w:eastAsia="Calibri" w:hAnsi="Arial" w:cs="Arial"/>
          <w:kern w:val="0"/>
          <w:sz w:val="23"/>
          <w:szCs w:val="23"/>
        </w:rPr>
        <w:t>nepodobni</w:t>
      </w:r>
      <w:proofErr w:type="spellEnd"/>
      <w:r w:rsidR="007D7018" w:rsidRPr="007D7018">
        <w:rPr>
          <w:rFonts w:ascii="Arial" w:eastAsia="Calibri" w:hAnsi="Arial" w:cs="Arial"/>
          <w:kern w:val="0"/>
          <w:sz w:val="23"/>
          <w:szCs w:val="23"/>
        </w:rPr>
        <w:t xml:space="preserve"> da </w:t>
      </w:r>
      <w:proofErr w:type="spellStart"/>
      <w:r w:rsidR="007D7018" w:rsidRPr="007D7018">
        <w:rPr>
          <w:rFonts w:ascii="Arial" w:eastAsia="Calibri" w:hAnsi="Arial" w:cs="Arial"/>
          <w:kern w:val="0"/>
          <w:sz w:val="23"/>
          <w:szCs w:val="23"/>
        </w:rPr>
        <w:t>učestvuju</w:t>
      </w:r>
      <w:proofErr w:type="spellEnd"/>
      <w:r w:rsidR="007D7018" w:rsidRPr="007D7018">
        <w:rPr>
          <w:rFonts w:ascii="Arial" w:eastAsia="Calibri" w:hAnsi="Arial" w:cs="Arial"/>
          <w:kern w:val="0"/>
          <w:sz w:val="23"/>
          <w:szCs w:val="23"/>
        </w:rPr>
        <w:t xml:space="preserve"> </w:t>
      </w:r>
      <w:proofErr w:type="spellStart"/>
      <w:r w:rsidR="007D7018" w:rsidRPr="007D7018">
        <w:rPr>
          <w:rFonts w:ascii="Arial" w:eastAsia="Calibri" w:hAnsi="Arial" w:cs="Arial"/>
          <w:kern w:val="0"/>
          <w:sz w:val="23"/>
          <w:szCs w:val="23"/>
        </w:rPr>
        <w:t>na</w:t>
      </w:r>
      <w:proofErr w:type="spellEnd"/>
      <w:r w:rsidR="007D7018" w:rsidRPr="007D7018">
        <w:rPr>
          <w:rFonts w:ascii="Arial" w:eastAsia="Calibri" w:hAnsi="Arial" w:cs="Arial"/>
          <w:kern w:val="0"/>
          <w:sz w:val="23"/>
          <w:szCs w:val="23"/>
        </w:rPr>
        <w:t xml:space="preserve"> </w:t>
      </w:r>
      <w:proofErr w:type="spellStart"/>
      <w:r w:rsidR="007D7018" w:rsidRPr="007D7018">
        <w:rPr>
          <w:rFonts w:ascii="Arial" w:eastAsia="Calibri" w:hAnsi="Arial" w:cs="Arial"/>
          <w:kern w:val="0"/>
          <w:sz w:val="23"/>
          <w:szCs w:val="23"/>
        </w:rPr>
        <w:t>javnom</w:t>
      </w:r>
      <w:proofErr w:type="spellEnd"/>
      <w:r w:rsidR="007D7018" w:rsidRPr="007D7018">
        <w:rPr>
          <w:rFonts w:ascii="Arial" w:eastAsia="Calibri" w:hAnsi="Arial" w:cs="Arial"/>
          <w:kern w:val="0"/>
          <w:sz w:val="23"/>
          <w:szCs w:val="23"/>
        </w:rPr>
        <w:t xml:space="preserve"> </w:t>
      </w:r>
      <w:proofErr w:type="spellStart"/>
      <w:r w:rsidR="007D7018" w:rsidRPr="007D7018">
        <w:rPr>
          <w:rFonts w:ascii="Arial" w:eastAsia="Calibri" w:hAnsi="Arial" w:cs="Arial"/>
          <w:kern w:val="0"/>
          <w:sz w:val="23"/>
          <w:szCs w:val="23"/>
        </w:rPr>
        <w:t>nadmetanju</w:t>
      </w:r>
      <w:proofErr w:type="spellEnd"/>
      <w:r w:rsidR="007D7018" w:rsidRPr="007D7018">
        <w:rPr>
          <w:rFonts w:ascii="Arial" w:eastAsia="Calibri" w:hAnsi="Arial" w:cs="Arial"/>
          <w:kern w:val="0"/>
          <w:sz w:val="23"/>
          <w:szCs w:val="23"/>
        </w:rPr>
        <w:t xml:space="preserve"> </w:t>
      </w:r>
      <w:proofErr w:type="spellStart"/>
      <w:r w:rsidR="007D7018" w:rsidRPr="007D7018">
        <w:rPr>
          <w:rFonts w:ascii="Arial" w:eastAsia="Calibri" w:hAnsi="Arial" w:cs="Arial"/>
          <w:kern w:val="0"/>
          <w:sz w:val="23"/>
          <w:szCs w:val="23"/>
        </w:rPr>
        <w:t>za</w:t>
      </w:r>
      <w:proofErr w:type="spellEnd"/>
      <w:r w:rsidR="007D7018" w:rsidRPr="007D7018">
        <w:rPr>
          <w:rFonts w:ascii="Arial" w:eastAsia="Calibri" w:hAnsi="Arial" w:cs="Arial"/>
          <w:kern w:val="0"/>
          <w:sz w:val="23"/>
          <w:szCs w:val="23"/>
        </w:rPr>
        <w:t xml:space="preserve"> </w:t>
      </w:r>
      <w:proofErr w:type="spellStart"/>
      <w:r w:rsidR="007D7018" w:rsidRPr="007D7018">
        <w:rPr>
          <w:rFonts w:ascii="Arial" w:eastAsia="Calibri" w:hAnsi="Arial" w:cs="Arial"/>
          <w:kern w:val="0"/>
          <w:sz w:val="23"/>
          <w:szCs w:val="23"/>
        </w:rPr>
        <w:t>davanje</w:t>
      </w:r>
      <w:proofErr w:type="spellEnd"/>
      <w:r w:rsidR="007D7018" w:rsidRPr="007D7018">
        <w:rPr>
          <w:rFonts w:ascii="Arial" w:eastAsia="Calibri" w:hAnsi="Arial" w:cs="Arial"/>
          <w:kern w:val="0"/>
          <w:sz w:val="23"/>
          <w:szCs w:val="23"/>
        </w:rPr>
        <w:t xml:space="preserve"> </w:t>
      </w:r>
      <w:proofErr w:type="spellStart"/>
      <w:r w:rsidR="007D7018" w:rsidRPr="007D7018">
        <w:rPr>
          <w:rFonts w:ascii="Arial" w:eastAsia="Calibri" w:hAnsi="Arial" w:cs="Arial"/>
          <w:kern w:val="0"/>
          <w:sz w:val="23"/>
          <w:szCs w:val="23"/>
        </w:rPr>
        <w:t>koncesija</w:t>
      </w:r>
      <w:proofErr w:type="spellEnd"/>
      <w:r w:rsidR="007D7018" w:rsidRPr="007D7018">
        <w:rPr>
          <w:rFonts w:ascii="Arial" w:eastAsia="Calibri" w:hAnsi="Arial" w:cs="Arial"/>
          <w:kern w:val="0"/>
          <w:sz w:val="23"/>
          <w:szCs w:val="23"/>
        </w:rPr>
        <w:t xml:space="preserve"> </w:t>
      </w:r>
      <w:proofErr w:type="spellStart"/>
      <w:r w:rsidR="007D7018" w:rsidRPr="007D7018">
        <w:rPr>
          <w:rFonts w:ascii="Arial" w:eastAsia="Calibri" w:hAnsi="Arial" w:cs="Arial"/>
          <w:kern w:val="0"/>
          <w:sz w:val="23"/>
          <w:szCs w:val="23"/>
        </w:rPr>
        <w:t>su</w:t>
      </w:r>
      <w:proofErr w:type="spellEnd"/>
      <w:r w:rsidR="007D7018" w:rsidRPr="007D7018">
        <w:rPr>
          <w:rFonts w:ascii="Arial" w:eastAsia="Calibri" w:hAnsi="Arial" w:cs="Arial"/>
          <w:kern w:val="0"/>
          <w:sz w:val="23"/>
          <w:szCs w:val="23"/>
        </w:rPr>
        <w:t xml:space="preserve"> </w:t>
      </w:r>
      <w:proofErr w:type="spellStart"/>
      <w:r w:rsidR="007D7018" w:rsidRPr="007D7018">
        <w:rPr>
          <w:rFonts w:ascii="Arial" w:eastAsia="Calibri" w:hAnsi="Arial" w:cs="Arial"/>
          <w:kern w:val="0"/>
          <w:sz w:val="23"/>
          <w:szCs w:val="23"/>
        </w:rPr>
        <w:t>ponuđači</w:t>
      </w:r>
      <w:proofErr w:type="spellEnd"/>
      <w:r w:rsidRPr="007D7018">
        <w:rPr>
          <w:rFonts w:ascii="Arial" w:hAnsi="Arial" w:cs="Arial"/>
          <w:noProof/>
        </w:rPr>
        <w:t>:</w:t>
      </w:r>
    </w:p>
    <w:p w14:paraId="1F6BDD9E" w14:textId="77777777" w:rsidR="007D7018" w:rsidRPr="007D7018" w:rsidRDefault="007D7018" w:rsidP="00721ACD">
      <w:pPr>
        <w:spacing w:after="0" w:line="240" w:lineRule="auto"/>
        <w:jc w:val="both"/>
        <w:rPr>
          <w:rFonts w:ascii="Arial" w:hAnsi="Arial" w:cs="Arial"/>
          <w:noProof/>
        </w:rPr>
      </w:pPr>
    </w:p>
    <w:p w14:paraId="0821C693" w14:textId="77777777" w:rsidR="007D7018" w:rsidRPr="007D7018" w:rsidRDefault="007D7018" w:rsidP="00664C2A">
      <w:pPr>
        <w:pStyle w:val="ListParagraph"/>
        <w:numPr>
          <w:ilvl w:val="0"/>
          <w:numId w:val="32"/>
        </w:numPr>
        <w:spacing w:after="0" w:line="240" w:lineRule="auto"/>
        <w:jc w:val="both"/>
        <w:rPr>
          <w:rFonts w:ascii="Arial" w:hAnsi="Arial" w:cs="Arial"/>
          <w:noProof/>
        </w:rPr>
      </w:pPr>
      <w:proofErr w:type="spellStart"/>
      <w:r w:rsidRPr="007D7018">
        <w:rPr>
          <w:rFonts w:ascii="Arial" w:eastAsia="Calibri" w:hAnsi="Arial" w:cs="Arial"/>
          <w:kern w:val="0"/>
          <w:sz w:val="23"/>
          <w:szCs w:val="23"/>
        </w:rPr>
        <w:t>nad</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kojima</w:t>
      </w:r>
      <w:proofErr w:type="spellEnd"/>
      <w:r w:rsidRPr="007D7018">
        <w:rPr>
          <w:rFonts w:ascii="Arial" w:eastAsia="Calibri" w:hAnsi="Arial" w:cs="Arial"/>
          <w:kern w:val="0"/>
          <w:sz w:val="23"/>
          <w:szCs w:val="23"/>
        </w:rPr>
        <w:t xml:space="preserve"> je </w:t>
      </w:r>
      <w:proofErr w:type="spellStart"/>
      <w:r w:rsidRPr="007D7018">
        <w:rPr>
          <w:rFonts w:ascii="Arial" w:eastAsia="Calibri" w:hAnsi="Arial" w:cs="Arial"/>
          <w:kern w:val="0"/>
          <w:sz w:val="23"/>
          <w:szCs w:val="23"/>
        </w:rPr>
        <w:t>pokrenut</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postupak</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stečaja</w:t>
      </w:r>
      <w:proofErr w:type="spellEnd"/>
      <w:r w:rsidRPr="007D7018">
        <w:rPr>
          <w:rFonts w:ascii="Arial" w:eastAsia="Calibri" w:hAnsi="Arial" w:cs="Arial"/>
          <w:kern w:val="0"/>
          <w:sz w:val="23"/>
          <w:szCs w:val="23"/>
        </w:rPr>
        <w:t xml:space="preserve"> u </w:t>
      </w:r>
      <w:proofErr w:type="spellStart"/>
      <w:r w:rsidRPr="007D7018">
        <w:rPr>
          <w:rFonts w:ascii="Arial" w:eastAsia="Calibri" w:hAnsi="Arial" w:cs="Arial"/>
          <w:kern w:val="0"/>
          <w:sz w:val="23"/>
          <w:szCs w:val="23"/>
        </w:rPr>
        <w:t>skladu</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sa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zakonom</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kojim</w:t>
      </w:r>
      <w:proofErr w:type="spellEnd"/>
      <w:r w:rsidRPr="007D7018">
        <w:rPr>
          <w:rFonts w:ascii="Arial" w:eastAsia="Calibri" w:hAnsi="Arial" w:cs="Arial"/>
          <w:kern w:val="0"/>
          <w:sz w:val="23"/>
          <w:szCs w:val="23"/>
        </w:rPr>
        <w:t xml:space="preserve"> se </w:t>
      </w:r>
      <w:proofErr w:type="spellStart"/>
      <w:r w:rsidRPr="007D7018">
        <w:rPr>
          <w:rFonts w:ascii="Arial" w:eastAsia="Calibri" w:hAnsi="Arial" w:cs="Arial"/>
          <w:kern w:val="0"/>
          <w:sz w:val="23"/>
          <w:szCs w:val="23"/>
        </w:rPr>
        <w:t>uređuje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stečaj</w:t>
      </w:r>
      <w:proofErr w:type="spellEnd"/>
      <w:r w:rsidRPr="007D7018">
        <w:rPr>
          <w:rFonts w:ascii="Arial" w:eastAsia="Calibri" w:hAnsi="Arial" w:cs="Arial"/>
          <w:kern w:val="0"/>
          <w:sz w:val="23"/>
          <w:szCs w:val="23"/>
        </w:rPr>
        <w:t>;</w:t>
      </w:r>
    </w:p>
    <w:p w14:paraId="12CBB685" w14:textId="77777777" w:rsidR="007D7018" w:rsidRPr="007D7018" w:rsidRDefault="007D7018" w:rsidP="00664C2A">
      <w:pPr>
        <w:pStyle w:val="ListParagraph"/>
        <w:numPr>
          <w:ilvl w:val="0"/>
          <w:numId w:val="32"/>
        </w:numPr>
        <w:spacing w:after="0" w:line="240" w:lineRule="auto"/>
        <w:jc w:val="both"/>
        <w:rPr>
          <w:rFonts w:ascii="Arial" w:hAnsi="Arial" w:cs="Arial"/>
          <w:noProof/>
        </w:rPr>
      </w:pPr>
      <w:proofErr w:type="spellStart"/>
      <w:r w:rsidRPr="007D7018">
        <w:rPr>
          <w:rFonts w:ascii="Arial" w:eastAsia="Calibri" w:hAnsi="Arial" w:cs="Arial"/>
          <w:kern w:val="0"/>
          <w:sz w:val="23"/>
          <w:szCs w:val="23"/>
        </w:rPr>
        <w:t>koji</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su</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pravosnažnom</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presudom</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osuđeni</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za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krivično</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djelo</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kriminalnog</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udruživanja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stvaranje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kriminalne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organizacije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davanje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mita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primanje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mita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davanje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mita</w:t>
      </w:r>
      <w:proofErr w:type="spellEnd"/>
      <w:r w:rsidRPr="007D7018">
        <w:rPr>
          <w:rFonts w:ascii="Arial" w:eastAsia="Calibri" w:hAnsi="Arial" w:cs="Arial"/>
          <w:kern w:val="0"/>
          <w:sz w:val="23"/>
          <w:szCs w:val="23"/>
        </w:rPr>
        <w:t xml:space="preserve"> u </w:t>
      </w:r>
      <w:proofErr w:type="spellStart"/>
      <w:r w:rsidRPr="007D7018">
        <w:rPr>
          <w:rFonts w:ascii="Arial" w:eastAsia="Calibri" w:hAnsi="Arial" w:cs="Arial"/>
          <w:kern w:val="0"/>
          <w:sz w:val="23"/>
          <w:szCs w:val="23"/>
        </w:rPr>
        <w:t>privrednom</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poslovanju</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primanje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mita</w:t>
      </w:r>
      <w:proofErr w:type="spellEnd"/>
      <w:r w:rsidRPr="007D7018">
        <w:rPr>
          <w:rFonts w:ascii="Arial" w:eastAsia="Calibri" w:hAnsi="Arial" w:cs="Arial"/>
          <w:kern w:val="0"/>
          <w:sz w:val="23"/>
          <w:szCs w:val="23"/>
        </w:rPr>
        <w:t xml:space="preserve"> u </w:t>
      </w:r>
      <w:proofErr w:type="spellStart"/>
      <w:r w:rsidRPr="007D7018">
        <w:rPr>
          <w:rFonts w:ascii="Arial" w:eastAsia="Calibri" w:hAnsi="Arial" w:cs="Arial"/>
          <w:kern w:val="0"/>
          <w:sz w:val="23"/>
          <w:szCs w:val="23"/>
        </w:rPr>
        <w:t>privrednom</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poslovanju</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prevare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terorizma</w:t>
      </w:r>
      <w:proofErr w:type="spellEnd"/>
      <w:r w:rsidRPr="007D7018">
        <w:rPr>
          <w:rFonts w:ascii="Arial" w:eastAsia="Calibri" w:hAnsi="Arial" w:cs="Arial"/>
          <w:kern w:val="0"/>
          <w:sz w:val="23"/>
          <w:szCs w:val="23"/>
        </w:rPr>
        <w:t>;</w:t>
      </w:r>
      <w:r w:rsidR="00F86DC6">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finansiranje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terorizma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terorističko</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udruživanje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učestvovanje</w:t>
      </w:r>
      <w:proofErr w:type="spellEnd"/>
      <w:r w:rsidRPr="007D7018">
        <w:rPr>
          <w:rFonts w:ascii="Arial" w:eastAsia="Calibri" w:hAnsi="Arial" w:cs="Arial"/>
          <w:kern w:val="0"/>
          <w:sz w:val="23"/>
          <w:szCs w:val="23"/>
        </w:rPr>
        <w:t xml:space="preserve"> u </w:t>
      </w:r>
      <w:proofErr w:type="spellStart"/>
      <w:r w:rsidRPr="007D7018">
        <w:rPr>
          <w:rFonts w:ascii="Arial" w:eastAsia="Calibri" w:hAnsi="Arial" w:cs="Arial"/>
          <w:kern w:val="0"/>
          <w:sz w:val="23"/>
          <w:szCs w:val="23"/>
        </w:rPr>
        <w:t>stranim</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oružanim</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formacijama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pranja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novca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trgovine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ljudima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trgovine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maloljetnim</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licima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radi</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usvojenja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zasnivanje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ropskog</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odnosa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i</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prevoz</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lica</w:t>
      </w:r>
      <w:proofErr w:type="spellEnd"/>
      <w:r w:rsidRPr="007D7018">
        <w:rPr>
          <w:rFonts w:ascii="Arial" w:eastAsia="Calibri" w:hAnsi="Arial" w:cs="Arial"/>
          <w:kern w:val="0"/>
          <w:sz w:val="23"/>
          <w:szCs w:val="23"/>
        </w:rPr>
        <w:t xml:space="preserve"> u </w:t>
      </w:r>
      <w:proofErr w:type="spellStart"/>
      <w:r w:rsidRPr="007D7018">
        <w:rPr>
          <w:rFonts w:ascii="Arial" w:eastAsia="Calibri" w:hAnsi="Arial" w:cs="Arial"/>
          <w:kern w:val="0"/>
          <w:sz w:val="23"/>
          <w:szCs w:val="23"/>
        </w:rPr>
        <w:t>ropskom</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položaju</w:t>
      </w:r>
      <w:proofErr w:type="spellEnd"/>
      <w:r w:rsidRPr="007D7018">
        <w:rPr>
          <w:rFonts w:ascii="Arial" w:eastAsia="Calibri" w:hAnsi="Arial" w:cs="Arial"/>
          <w:kern w:val="0"/>
          <w:sz w:val="23"/>
          <w:szCs w:val="23"/>
        </w:rPr>
        <w:t>;</w:t>
      </w:r>
    </w:p>
    <w:p w14:paraId="2C25B9E0" w14:textId="77777777" w:rsidR="007D7018" w:rsidRPr="007D7018" w:rsidRDefault="007D7018" w:rsidP="00664C2A">
      <w:pPr>
        <w:pStyle w:val="ListParagraph"/>
        <w:numPr>
          <w:ilvl w:val="0"/>
          <w:numId w:val="32"/>
        </w:numPr>
        <w:spacing w:after="0" w:line="240" w:lineRule="auto"/>
        <w:jc w:val="both"/>
        <w:rPr>
          <w:rFonts w:ascii="Arial" w:hAnsi="Arial" w:cs="Arial"/>
          <w:noProof/>
        </w:rPr>
      </w:pPr>
      <w:proofErr w:type="spellStart"/>
      <w:r w:rsidRPr="007D7018">
        <w:rPr>
          <w:rFonts w:ascii="Arial" w:eastAsia="Calibri" w:hAnsi="Arial" w:cs="Arial"/>
          <w:kern w:val="0"/>
          <w:sz w:val="23"/>
          <w:szCs w:val="23"/>
        </w:rPr>
        <w:t>koji</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imaju</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neizmirene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obaveze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po</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osnovu</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plaćanja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svih</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poreza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i</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doprinosa</w:t>
      </w:r>
      <w:proofErr w:type="spellEnd"/>
      <w:r w:rsidRPr="007D7018">
        <w:rPr>
          <w:rFonts w:ascii="Arial" w:eastAsia="Calibri" w:hAnsi="Arial" w:cs="Arial"/>
          <w:kern w:val="0"/>
          <w:sz w:val="23"/>
          <w:szCs w:val="23"/>
        </w:rPr>
        <w:t xml:space="preserve"> u </w:t>
      </w:r>
      <w:proofErr w:type="spellStart"/>
      <w:r w:rsidRPr="007D7018">
        <w:rPr>
          <w:rFonts w:ascii="Arial" w:eastAsia="Calibri" w:hAnsi="Arial" w:cs="Arial"/>
          <w:kern w:val="0"/>
          <w:sz w:val="23"/>
          <w:szCs w:val="23"/>
        </w:rPr>
        <w:t>skladu</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sa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propisima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država</w:t>
      </w:r>
      <w:proofErr w:type="spellEnd"/>
      <w:r w:rsidRPr="007D7018">
        <w:rPr>
          <w:rFonts w:ascii="Arial" w:eastAsia="Calibri" w:hAnsi="Arial" w:cs="Arial"/>
          <w:kern w:val="0"/>
          <w:sz w:val="23"/>
          <w:szCs w:val="23"/>
        </w:rPr>
        <w:t xml:space="preserve"> u </w:t>
      </w:r>
      <w:proofErr w:type="spellStart"/>
      <w:r w:rsidRPr="007D7018">
        <w:rPr>
          <w:rFonts w:ascii="Arial" w:eastAsia="Calibri" w:hAnsi="Arial" w:cs="Arial"/>
          <w:kern w:val="0"/>
          <w:sz w:val="23"/>
          <w:szCs w:val="23"/>
        </w:rPr>
        <w:t>kojima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imaju</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sjedišta</w:t>
      </w:r>
      <w:proofErr w:type="spellEnd"/>
      <w:r w:rsidRPr="007D7018">
        <w:rPr>
          <w:rFonts w:ascii="Arial" w:eastAsia="Calibri" w:hAnsi="Arial" w:cs="Arial"/>
          <w:kern w:val="0"/>
          <w:sz w:val="23"/>
          <w:szCs w:val="23"/>
          <w:lang w:val="sr-Latn-ME"/>
        </w:rPr>
        <w:t>;</w:t>
      </w:r>
    </w:p>
    <w:p w14:paraId="3E588AA3" w14:textId="77777777" w:rsidR="007D7018" w:rsidRPr="007D7018" w:rsidRDefault="007D7018" w:rsidP="00664C2A">
      <w:pPr>
        <w:pStyle w:val="ListParagraph"/>
        <w:numPr>
          <w:ilvl w:val="0"/>
          <w:numId w:val="32"/>
        </w:numPr>
        <w:spacing w:after="0" w:line="240" w:lineRule="auto"/>
        <w:jc w:val="both"/>
        <w:rPr>
          <w:rFonts w:ascii="Arial" w:hAnsi="Arial" w:cs="Arial"/>
          <w:noProof/>
        </w:rPr>
      </w:pPr>
      <w:proofErr w:type="spellStart"/>
      <w:r w:rsidRPr="007D7018">
        <w:rPr>
          <w:rFonts w:ascii="Arial" w:eastAsia="Calibri" w:hAnsi="Arial" w:cs="Arial"/>
          <w:kern w:val="0"/>
          <w:sz w:val="23"/>
          <w:szCs w:val="23"/>
        </w:rPr>
        <w:t>sa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kojima</w:t>
      </w:r>
      <w:proofErr w:type="spellEnd"/>
      <w:r w:rsidRPr="007D7018">
        <w:rPr>
          <w:rFonts w:ascii="Arial" w:eastAsia="Calibri" w:hAnsi="Arial" w:cs="Arial"/>
          <w:kern w:val="0"/>
          <w:sz w:val="23"/>
          <w:szCs w:val="23"/>
        </w:rPr>
        <w:t xml:space="preserve"> je </w:t>
      </w:r>
      <w:proofErr w:type="spellStart"/>
      <w:r w:rsidRPr="007D7018">
        <w:rPr>
          <w:rFonts w:ascii="Arial" w:eastAsia="Calibri" w:hAnsi="Arial" w:cs="Arial"/>
          <w:kern w:val="0"/>
          <w:sz w:val="23"/>
          <w:szCs w:val="23"/>
        </w:rPr>
        <w:t>zbog</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neispunjavanja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obaveza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raskinut</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ugovor</w:t>
      </w:r>
      <w:proofErr w:type="spellEnd"/>
      <w:r w:rsidRPr="007D7018">
        <w:rPr>
          <w:rFonts w:ascii="Arial" w:eastAsia="Calibri" w:hAnsi="Arial" w:cs="Arial"/>
          <w:kern w:val="0"/>
          <w:sz w:val="23"/>
          <w:szCs w:val="23"/>
        </w:rPr>
        <w:t xml:space="preserve"> o </w:t>
      </w:r>
      <w:proofErr w:type="spellStart"/>
      <w:r w:rsidRPr="007D7018">
        <w:rPr>
          <w:rFonts w:ascii="Arial" w:eastAsia="Calibri" w:hAnsi="Arial" w:cs="Arial"/>
          <w:kern w:val="0"/>
          <w:sz w:val="23"/>
          <w:szCs w:val="23"/>
        </w:rPr>
        <w:t>koncesiji</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zaključen</w:t>
      </w:r>
      <w:proofErr w:type="spellEnd"/>
      <w:r w:rsidRPr="007D7018">
        <w:rPr>
          <w:rFonts w:ascii="Arial" w:eastAsia="Calibri" w:hAnsi="Arial" w:cs="Arial"/>
          <w:kern w:val="0"/>
          <w:sz w:val="23"/>
          <w:szCs w:val="23"/>
        </w:rPr>
        <w:t xml:space="preserve"> u </w:t>
      </w:r>
      <w:proofErr w:type="spellStart"/>
      <w:r w:rsidRPr="007D7018">
        <w:rPr>
          <w:rFonts w:ascii="Arial" w:eastAsia="Calibri" w:hAnsi="Arial" w:cs="Arial"/>
          <w:kern w:val="0"/>
          <w:sz w:val="23"/>
          <w:szCs w:val="23"/>
        </w:rPr>
        <w:t>skladu</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sa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ovim</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zakonom</w:t>
      </w:r>
      <w:proofErr w:type="spellEnd"/>
      <w:r w:rsidRPr="007D7018">
        <w:rPr>
          <w:rFonts w:ascii="Arial" w:eastAsia="Calibri" w:hAnsi="Arial" w:cs="Arial"/>
          <w:kern w:val="0"/>
          <w:sz w:val="23"/>
          <w:szCs w:val="23"/>
        </w:rPr>
        <w:t>;</w:t>
      </w:r>
    </w:p>
    <w:p w14:paraId="65CB54E5" w14:textId="77777777" w:rsidR="007D7018" w:rsidRPr="007D7018" w:rsidRDefault="007D7018" w:rsidP="00664C2A">
      <w:pPr>
        <w:pStyle w:val="ListParagraph"/>
        <w:numPr>
          <w:ilvl w:val="0"/>
          <w:numId w:val="32"/>
        </w:numPr>
        <w:spacing w:after="0" w:line="240" w:lineRule="auto"/>
        <w:jc w:val="both"/>
        <w:rPr>
          <w:rFonts w:ascii="Arial" w:hAnsi="Arial" w:cs="Arial"/>
          <w:noProof/>
        </w:rPr>
      </w:pPr>
      <w:proofErr w:type="spellStart"/>
      <w:r w:rsidRPr="007D7018">
        <w:rPr>
          <w:rFonts w:ascii="Arial" w:eastAsia="Calibri" w:hAnsi="Arial" w:cs="Arial"/>
          <w:kern w:val="0"/>
          <w:sz w:val="23"/>
          <w:szCs w:val="23"/>
        </w:rPr>
        <w:t>koji</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imaju</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obaveze</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po</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osnovu</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kazni</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izrečenih</w:t>
      </w:r>
      <w:proofErr w:type="spellEnd"/>
      <w:r w:rsidRPr="007D7018">
        <w:rPr>
          <w:rFonts w:ascii="Arial" w:eastAsia="Calibri" w:hAnsi="Arial" w:cs="Arial"/>
          <w:kern w:val="0"/>
          <w:sz w:val="23"/>
          <w:szCs w:val="23"/>
        </w:rPr>
        <w:t xml:space="preserve"> u </w:t>
      </w:r>
      <w:proofErr w:type="spellStart"/>
      <w:r w:rsidRPr="007D7018">
        <w:rPr>
          <w:rFonts w:ascii="Arial" w:eastAsia="Calibri" w:hAnsi="Arial" w:cs="Arial"/>
          <w:kern w:val="0"/>
          <w:sz w:val="23"/>
          <w:szCs w:val="23"/>
        </w:rPr>
        <w:t>krivičnom</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i</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prekršajnom</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postupku</w:t>
      </w:r>
      <w:proofErr w:type="spellEnd"/>
      <w:r w:rsidRPr="007D7018">
        <w:rPr>
          <w:rFonts w:ascii="Arial" w:eastAsia="Calibri" w:hAnsi="Arial" w:cs="Arial"/>
          <w:kern w:val="0"/>
          <w:sz w:val="23"/>
          <w:szCs w:val="23"/>
        </w:rPr>
        <w:t>;</w:t>
      </w:r>
    </w:p>
    <w:p w14:paraId="4484D28C" w14:textId="77777777" w:rsidR="007D7018" w:rsidRPr="0006653B" w:rsidRDefault="007D7018" w:rsidP="00664C2A">
      <w:pPr>
        <w:pStyle w:val="ListParagraph"/>
        <w:numPr>
          <w:ilvl w:val="0"/>
          <w:numId w:val="32"/>
        </w:numPr>
        <w:spacing w:after="0" w:line="240" w:lineRule="auto"/>
        <w:jc w:val="both"/>
        <w:rPr>
          <w:rFonts w:ascii="Arial" w:hAnsi="Arial" w:cs="Arial"/>
          <w:noProof/>
        </w:rPr>
      </w:pPr>
      <w:proofErr w:type="spellStart"/>
      <w:r w:rsidRPr="0006653B">
        <w:rPr>
          <w:rFonts w:ascii="Arial" w:eastAsia="Calibri" w:hAnsi="Arial" w:cs="Arial"/>
          <w:kern w:val="0"/>
          <w:sz w:val="23"/>
          <w:szCs w:val="23"/>
        </w:rPr>
        <w:t>čiji</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podaci</w:t>
      </w:r>
      <w:proofErr w:type="spellEnd"/>
      <w:r w:rsidRPr="0006653B">
        <w:rPr>
          <w:rFonts w:ascii="Arial" w:eastAsia="Calibri" w:hAnsi="Arial" w:cs="Arial"/>
          <w:kern w:val="0"/>
          <w:sz w:val="23"/>
          <w:szCs w:val="23"/>
        </w:rPr>
        <w:t xml:space="preserve"> o </w:t>
      </w:r>
      <w:proofErr w:type="spellStart"/>
      <w:r w:rsidRPr="0006653B">
        <w:rPr>
          <w:rFonts w:ascii="Arial" w:eastAsia="Calibri" w:hAnsi="Arial" w:cs="Arial"/>
          <w:kern w:val="0"/>
          <w:sz w:val="23"/>
          <w:szCs w:val="23"/>
        </w:rPr>
        <w:t>poslovanju</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svojini</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finansijskim</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i</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fiskalnim</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evidencijama</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iz</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države</w:t>
      </w:r>
      <w:proofErr w:type="spellEnd"/>
      <w:r w:rsidRPr="0006653B">
        <w:rPr>
          <w:rFonts w:ascii="Arial" w:eastAsia="Calibri" w:hAnsi="Arial" w:cs="Arial"/>
          <w:kern w:val="0"/>
          <w:sz w:val="23"/>
          <w:szCs w:val="23"/>
        </w:rPr>
        <w:t xml:space="preserve"> u </w:t>
      </w:r>
      <w:proofErr w:type="spellStart"/>
      <w:r w:rsidRPr="0006653B">
        <w:rPr>
          <w:rFonts w:ascii="Arial" w:eastAsia="Calibri" w:hAnsi="Arial" w:cs="Arial"/>
          <w:kern w:val="0"/>
          <w:sz w:val="23"/>
          <w:szCs w:val="23"/>
        </w:rPr>
        <w:t>kojoj</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imaju</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sjedište</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odnosno</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prebivalište</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nijesu</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dostupni</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nadležnim</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organima</w:t>
      </w:r>
      <w:proofErr w:type="spellEnd"/>
      <w:r w:rsidRPr="0006653B">
        <w:rPr>
          <w:rFonts w:ascii="Arial" w:eastAsia="Calibri" w:hAnsi="Arial" w:cs="Arial"/>
          <w:kern w:val="0"/>
          <w:sz w:val="23"/>
          <w:szCs w:val="23"/>
        </w:rPr>
        <w:t xml:space="preserve"> </w:t>
      </w:r>
      <w:proofErr w:type="spellStart"/>
      <w:r w:rsidRPr="0006653B">
        <w:rPr>
          <w:rFonts w:ascii="Arial" w:eastAsia="Calibri" w:hAnsi="Arial" w:cs="Arial"/>
          <w:kern w:val="0"/>
          <w:sz w:val="23"/>
          <w:szCs w:val="23"/>
        </w:rPr>
        <w:t>Crne</w:t>
      </w:r>
      <w:proofErr w:type="spellEnd"/>
      <w:r w:rsidRPr="0006653B">
        <w:rPr>
          <w:rFonts w:ascii="Arial" w:eastAsia="Calibri" w:hAnsi="Arial" w:cs="Arial"/>
          <w:kern w:val="0"/>
          <w:sz w:val="23"/>
          <w:szCs w:val="23"/>
        </w:rPr>
        <w:t xml:space="preserve"> Gore;</w:t>
      </w:r>
    </w:p>
    <w:p w14:paraId="368E1A47" w14:textId="77777777" w:rsidR="007D7018" w:rsidRPr="007D7018" w:rsidRDefault="007D7018" w:rsidP="00664C2A">
      <w:pPr>
        <w:pStyle w:val="ListParagraph"/>
        <w:numPr>
          <w:ilvl w:val="0"/>
          <w:numId w:val="32"/>
        </w:numPr>
        <w:spacing w:after="0" w:line="240" w:lineRule="auto"/>
        <w:jc w:val="both"/>
        <w:rPr>
          <w:rFonts w:ascii="Arial" w:hAnsi="Arial" w:cs="Arial"/>
          <w:noProof/>
        </w:rPr>
      </w:pPr>
      <w:proofErr w:type="spellStart"/>
      <w:r w:rsidRPr="007D7018">
        <w:rPr>
          <w:rFonts w:ascii="Arial" w:eastAsia="Calibri" w:hAnsi="Arial" w:cs="Arial"/>
          <w:kern w:val="0"/>
          <w:sz w:val="23"/>
          <w:szCs w:val="23"/>
        </w:rPr>
        <w:t>čije</w:t>
      </w:r>
      <w:proofErr w:type="spellEnd"/>
      <w:r w:rsidRPr="007D7018">
        <w:rPr>
          <w:rFonts w:ascii="Arial" w:eastAsia="Calibri" w:hAnsi="Arial" w:cs="Arial"/>
          <w:kern w:val="0"/>
          <w:sz w:val="23"/>
          <w:szCs w:val="23"/>
        </w:rPr>
        <w:t xml:space="preserve"> je </w:t>
      </w:r>
      <w:proofErr w:type="spellStart"/>
      <w:r w:rsidRPr="007D7018">
        <w:rPr>
          <w:rFonts w:ascii="Arial" w:eastAsia="Calibri" w:hAnsi="Arial" w:cs="Arial"/>
          <w:kern w:val="0"/>
          <w:sz w:val="23"/>
          <w:szCs w:val="23"/>
        </w:rPr>
        <w:t>odgovorno</w:t>
      </w:r>
      <w:proofErr w:type="spellEnd"/>
      <w:r w:rsidRPr="007D7018">
        <w:rPr>
          <w:rFonts w:ascii="Arial" w:eastAsia="Calibri" w:hAnsi="Arial" w:cs="Arial"/>
          <w:kern w:val="0"/>
          <w:sz w:val="23"/>
          <w:szCs w:val="23"/>
        </w:rPr>
        <w:t xml:space="preserve"> lice </w:t>
      </w:r>
      <w:proofErr w:type="spellStart"/>
      <w:r w:rsidRPr="007D7018">
        <w:rPr>
          <w:rFonts w:ascii="Arial" w:eastAsia="Calibri" w:hAnsi="Arial" w:cs="Arial"/>
          <w:kern w:val="0"/>
          <w:sz w:val="23"/>
          <w:szCs w:val="23"/>
        </w:rPr>
        <w:t>odnosno</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njegov</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zakonski</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zastupnik</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pravosnažno</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osuđivan</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za</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krivično</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djelo</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iz</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tačke</w:t>
      </w:r>
      <w:proofErr w:type="spellEnd"/>
      <w:r w:rsidRPr="007D7018">
        <w:rPr>
          <w:rFonts w:ascii="Arial" w:eastAsia="Calibri" w:hAnsi="Arial" w:cs="Arial"/>
          <w:kern w:val="0"/>
          <w:sz w:val="23"/>
          <w:szCs w:val="23"/>
        </w:rPr>
        <w:t xml:space="preserve"> 2 </w:t>
      </w:r>
      <w:proofErr w:type="spellStart"/>
      <w:r w:rsidRPr="007D7018">
        <w:rPr>
          <w:rFonts w:ascii="Arial" w:eastAsia="Calibri" w:hAnsi="Arial" w:cs="Arial"/>
          <w:kern w:val="0"/>
          <w:sz w:val="23"/>
          <w:szCs w:val="23"/>
        </w:rPr>
        <w:t>ovog</w:t>
      </w:r>
      <w:proofErr w:type="spellEnd"/>
      <w:r w:rsidRPr="007D7018">
        <w:rPr>
          <w:rFonts w:ascii="Arial" w:eastAsia="Calibri" w:hAnsi="Arial" w:cs="Arial"/>
          <w:kern w:val="0"/>
          <w:sz w:val="23"/>
          <w:szCs w:val="23"/>
        </w:rPr>
        <w:t xml:space="preserve"> </w:t>
      </w:r>
      <w:proofErr w:type="spellStart"/>
      <w:r w:rsidRPr="007D7018">
        <w:rPr>
          <w:rFonts w:ascii="Arial" w:eastAsia="Calibri" w:hAnsi="Arial" w:cs="Arial"/>
          <w:kern w:val="0"/>
          <w:sz w:val="23"/>
          <w:szCs w:val="23"/>
        </w:rPr>
        <w:t>stava</w:t>
      </w:r>
      <w:proofErr w:type="spellEnd"/>
      <w:r w:rsidRPr="007D7018">
        <w:rPr>
          <w:rFonts w:ascii="Arial" w:eastAsia="Calibri" w:hAnsi="Arial" w:cs="Arial"/>
          <w:kern w:val="0"/>
          <w:sz w:val="23"/>
          <w:szCs w:val="23"/>
        </w:rPr>
        <w:t>.</w:t>
      </w:r>
    </w:p>
    <w:p w14:paraId="0492F255" w14:textId="77777777" w:rsidR="007D7018" w:rsidRDefault="007D7018" w:rsidP="007D7018">
      <w:pPr>
        <w:suppressAutoHyphens w:val="0"/>
        <w:autoSpaceDE w:val="0"/>
        <w:autoSpaceDN w:val="0"/>
        <w:adjustRightInd w:val="0"/>
        <w:spacing w:after="0" w:line="240" w:lineRule="auto"/>
        <w:rPr>
          <w:rFonts w:eastAsia="Calibri"/>
          <w:kern w:val="0"/>
          <w:sz w:val="23"/>
          <w:szCs w:val="23"/>
        </w:rPr>
      </w:pPr>
    </w:p>
    <w:p w14:paraId="146766DF" w14:textId="77777777" w:rsidR="007D7018" w:rsidRPr="00F86DC6" w:rsidRDefault="00F86DC6" w:rsidP="00F86DC6">
      <w:pPr>
        <w:suppressAutoHyphens w:val="0"/>
        <w:autoSpaceDE w:val="0"/>
        <w:autoSpaceDN w:val="0"/>
        <w:adjustRightInd w:val="0"/>
        <w:spacing w:after="0" w:line="240" w:lineRule="auto"/>
        <w:ind w:left="360"/>
        <w:jc w:val="both"/>
        <w:rPr>
          <w:rFonts w:ascii="Arial" w:eastAsia="Calibri" w:hAnsi="Arial" w:cs="Arial"/>
          <w:kern w:val="0"/>
          <w:sz w:val="23"/>
          <w:szCs w:val="23"/>
        </w:rPr>
      </w:pPr>
      <w:proofErr w:type="spellStart"/>
      <w:r>
        <w:rPr>
          <w:rFonts w:ascii="Arial" w:eastAsia="Calibri" w:hAnsi="Arial" w:cs="Arial"/>
          <w:kern w:val="0"/>
          <w:sz w:val="23"/>
          <w:szCs w:val="23"/>
        </w:rPr>
        <w:t>Izuzetno</w:t>
      </w:r>
      <w:proofErr w:type="spellEnd"/>
      <w:r>
        <w:rPr>
          <w:rFonts w:ascii="Arial" w:eastAsia="Calibri" w:hAnsi="Arial" w:cs="Arial"/>
          <w:kern w:val="0"/>
          <w:sz w:val="23"/>
          <w:szCs w:val="23"/>
        </w:rPr>
        <w:t xml:space="preserve"> </w:t>
      </w:r>
      <w:proofErr w:type="spellStart"/>
      <w:r>
        <w:rPr>
          <w:rFonts w:ascii="Arial" w:eastAsia="Calibri" w:hAnsi="Arial" w:cs="Arial"/>
          <w:kern w:val="0"/>
          <w:sz w:val="23"/>
          <w:szCs w:val="23"/>
        </w:rPr>
        <w:t>tačke</w:t>
      </w:r>
      <w:proofErr w:type="spellEnd"/>
      <w:r w:rsidR="007D7018" w:rsidRPr="00F86DC6">
        <w:rPr>
          <w:rFonts w:ascii="Arial" w:eastAsia="Calibri" w:hAnsi="Arial" w:cs="Arial"/>
          <w:kern w:val="0"/>
          <w:sz w:val="23"/>
          <w:szCs w:val="23"/>
        </w:rPr>
        <w:t xml:space="preserve"> 3 </w:t>
      </w:r>
      <w:proofErr w:type="spellStart"/>
      <w:r w:rsidR="007D7018" w:rsidRPr="00F86DC6">
        <w:rPr>
          <w:rFonts w:ascii="Arial" w:eastAsia="Calibri" w:hAnsi="Arial" w:cs="Arial"/>
          <w:kern w:val="0"/>
          <w:sz w:val="23"/>
          <w:szCs w:val="23"/>
        </w:rPr>
        <w:t>ovog</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člana</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neće</w:t>
      </w:r>
      <w:proofErr w:type="spellEnd"/>
      <w:r w:rsidR="007D7018" w:rsidRPr="00F86DC6">
        <w:rPr>
          <w:rFonts w:ascii="Arial" w:eastAsia="Calibri" w:hAnsi="Arial" w:cs="Arial"/>
          <w:kern w:val="0"/>
          <w:sz w:val="23"/>
          <w:szCs w:val="23"/>
        </w:rPr>
        <w:t xml:space="preserve"> se </w:t>
      </w:r>
      <w:proofErr w:type="spellStart"/>
      <w:r w:rsidR="007D7018" w:rsidRPr="00F86DC6">
        <w:rPr>
          <w:rFonts w:ascii="Arial" w:eastAsia="Calibri" w:hAnsi="Arial" w:cs="Arial"/>
          <w:kern w:val="0"/>
          <w:sz w:val="23"/>
          <w:szCs w:val="23"/>
        </w:rPr>
        <w:t>smatrati</w:t>
      </w:r>
      <w:proofErr w:type="spellEnd"/>
      <w:r w:rsidR="007D7018" w:rsidRPr="00F86DC6">
        <w:rPr>
          <w:rFonts w:ascii="Arial" w:eastAsia="Calibri" w:hAnsi="Arial" w:cs="Arial"/>
          <w:kern w:val="0"/>
          <w:sz w:val="23"/>
          <w:szCs w:val="23"/>
        </w:rPr>
        <w:t xml:space="preserve"> da je </w:t>
      </w:r>
      <w:proofErr w:type="spellStart"/>
      <w:r w:rsidR="007D7018" w:rsidRPr="00F86DC6">
        <w:rPr>
          <w:rFonts w:ascii="Arial" w:eastAsia="Calibri" w:hAnsi="Arial" w:cs="Arial"/>
          <w:kern w:val="0"/>
          <w:sz w:val="23"/>
          <w:szCs w:val="23"/>
        </w:rPr>
        <w:t>ponuđač</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nepodoban</w:t>
      </w:r>
      <w:proofErr w:type="spellEnd"/>
      <w:r w:rsidR="007D7018" w:rsidRPr="00F86DC6">
        <w:rPr>
          <w:rFonts w:ascii="Arial" w:eastAsia="Calibri" w:hAnsi="Arial" w:cs="Arial"/>
          <w:kern w:val="0"/>
          <w:sz w:val="23"/>
          <w:szCs w:val="23"/>
        </w:rPr>
        <w:t xml:space="preserve"> da </w:t>
      </w:r>
      <w:proofErr w:type="spellStart"/>
      <w:r w:rsidR="007D7018" w:rsidRPr="00F86DC6">
        <w:rPr>
          <w:rFonts w:ascii="Arial" w:eastAsia="Calibri" w:hAnsi="Arial" w:cs="Arial"/>
          <w:kern w:val="0"/>
          <w:sz w:val="23"/>
          <w:szCs w:val="23"/>
        </w:rPr>
        <w:t>učestvuje</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na</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javnom</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nadmetanju</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za</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davanje</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koncesija</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koji</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dokaže</w:t>
      </w:r>
      <w:proofErr w:type="spellEnd"/>
      <w:r w:rsidR="007D7018" w:rsidRPr="00F86DC6">
        <w:rPr>
          <w:rFonts w:ascii="Arial" w:eastAsia="Calibri" w:hAnsi="Arial" w:cs="Arial"/>
          <w:kern w:val="0"/>
          <w:sz w:val="23"/>
          <w:szCs w:val="23"/>
        </w:rPr>
        <w:t xml:space="preserve"> da </w:t>
      </w:r>
      <w:proofErr w:type="spellStart"/>
      <w:r w:rsidR="007D7018" w:rsidRPr="00F86DC6">
        <w:rPr>
          <w:rFonts w:ascii="Arial" w:eastAsia="Calibri" w:hAnsi="Arial" w:cs="Arial"/>
          <w:kern w:val="0"/>
          <w:sz w:val="23"/>
          <w:szCs w:val="23"/>
        </w:rPr>
        <w:t>nema</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obavezu</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plaćanja</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odnosno</w:t>
      </w:r>
      <w:proofErr w:type="spellEnd"/>
      <w:r w:rsidR="007D7018" w:rsidRPr="00F86DC6">
        <w:rPr>
          <w:rFonts w:ascii="Arial" w:eastAsia="Calibri" w:hAnsi="Arial" w:cs="Arial"/>
          <w:kern w:val="0"/>
          <w:sz w:val="23"/>
          <w:szCs w:val="23"/>
        </w:rPr>
        <w:t xml:space="preserve"> da mu je </w:t>
      </w:r>
      <w:proofErr w:type="spellStart"/>
      <w:r w:rsidR="007D7018" w:rsidRPr="00F86DC6">
        <w:rPr>
          <w:rFonts w:ascii="Arial" w:eastAsia="Calibri" w:hAnsi="Arial" w:cs="Arial"/>
          <w:kern w:val="0"/>
          <w:sz w:val="23"/>
          <w:szCs w:val="23"/>
        </w:rPr>
        <w:t>odobreno</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odlaganje</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plaćanja</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poreza</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i</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doprinosa</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koje</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blagovremeno</w:t>
      </w:r>
      <w:proofErr w:type="spellEnd"/>
      <w:r w:rsidR="007D7018" w:rsidRPr="00F86DC6">
        <w:rPr>
          <w:rFonts w:ascii="Arial" w:eastAsia="Calibri" w:hAnsi="Arial" w:cs="Arial"/>
          <w:kern w:val="0"/>
          <w:sz w:val="23"/>
          <w:szCs w:val="23"/>
        </w:rPr>
        <w:t xml:space="preserve"> </w:t>
      </w:r>
      <w:proofErr w:type="spellStart"/>
      <w:r w:rsidR="007D7018" w:rsidRPr="00F86DC6">
        <w:rPr>
          <w:rFonts w:ascii="Arial" w:eastAsia="Calibri" w:hAnsi="Arial" w:cs="Arial"/>
          <w:kern w:val="0"/>
          <w:sz w:val="23"/>
          <w:szCs w:val="23"/>
        </w:rPr>
        <w:t>izvršava</w:t>
      </w:r>
      <w:proofErr w:type="spellEnd"/>
      <w:r w:rsidR="007D7018" w:rsidRPr="00F86DC6">
        <w:rPr>
          <w:rFonts w:ascii="Arial" w:eastAsia="Calibri" w:hAnsi="Arial" w:cs="Arial"/>
          <w:kern w:val="0"/>
          <w:sz w:val="23"/>
          <w:szCs w:val="23"/>
        </w:rPr>
        <w:t>.</w:t>
      </w:r>
    </w:p>
    <w:p w14:paraId="5DE23122" w14:textId="77777777" w:rsidR="00721ACD" w:rsidRPr="00DA6313" w:rsidRDefault="00721ACD" w:rsidP="0006653B">
      <w:pPr>
        <w:spacing w:after="0" w:line="240" w:lineRule="auto"/>
        <w:jc w:val="both"/>
        <w:rPr>
          <w:rFonts w:ascii="Arial" w:hAnsi="Arial" w:cs="Arial"/>
          <w:noProof/>
        </w:rPr>
      </w:pPr>
    </w:p>
    <w:p w14:paraId="4983C110" w14:textId="77777777" w:rsidR="00721ACD" w:rsidRPr="00DA6313" w:rsidRDefault="00721ACD" w:rsidP="00721ACD">
      <w:pPr>
        <w:spacing w:after="0" w:line="240" w:lineRule="auto"/>
        <w:jc w:val="both"/>
        <w:rPr>
          <w:rFonts w:ascii="Arial" w:hAnsi="Arial" w:cs="Arial"/>
          <w:noProof/>
        </w:rPr>
      </w:pPr>
      <w:r w:rsidRPr="00DA6313">
        <w:rPr>
          <w:rFonts w:ascii="Arial" w:hAnsi="Arial" w:cs="Arial"/>
          <w:noProof/>
        </w:rPr>
        <w:t>S tim u vezi, u cilju dokazivanja da je ponuđač podoban da učestvuje u postupku jav</w:t>
      </w:r>
      <w:r w:rsidR="00CC5526">
        <w:rPr>
          <w:rFonts w:ascii="Arial" w:hAnsi="Arial" w:cs="Arial"/>
          <w:noProof/>
        </w:rPr>
        <w:t>n</w:t>
      </w:r>
      <w:r w:rsidRPr="00DA6313">
        <w:rPr>
          <w:rFonts w:ascii="Arial" w:hAnsi="Arial" w:cs="Arial"/>
          <w:noProof/>
        </w:rPr>
        <w:t>og nadmetanja, neophodno je dostaviti sljedeću dokumentaciju:</w:t>
      </w:r>
    </w:p>
    <w:p w14:paraId="5E92693D" w14:textId="77777777" w:rsidR="00721ACD" w:rsidRPr="00DA6313" w:rsidRDefault="00721ACD" w:rsidP="00721ACD">
      <w:pPr>
        <w:spacing w:after="0" w:line="240" w:lineRule="auto"/>
        <w:jc w:val="both"/>
        <w:rPr>
          <w:rFonts w:ascii="Arial" w:hAnsi="Arial" w:cs="Arial"/>
          <w:noProof/>
          <w:color w:val="FF0000"/>
        </w:rPr>
      </w:pPr>
    </w:p>
    <w:p w14:paraId="31DC2E9D" w14:textId="77777777" w:rsidR="00B86EB8" w:rsidRPr="00DA6313" w:rsidRDefault="00B86EB8" w:rsidP="00664C2A">
      <w:pPr>
        <w:pStyle w:val="ListParagraph"/>
        <w:numPr>
          <w:ilvl w:val="0"/>
          <w:numId w:val="17"/>
        </w:numPr>
        <w:suppressAutoHyphens w:val="0"/>
        <w:spacing w:after="0" w:line="240" w:lineRule="auto"/>
        <w:contextualSpacing w:val="0"/>
        <w:jc w:val="both"/>
        <w:rPr>
          <w:rFonts w:ascii="Arial" w:eastAsia="Times New Roman" w:hAnsi="Arial" w:cs="Arial"/>
          <w:noProof/>
        </w:rPr>
      </w:pPr>
      <w:r w:rsidRPr="00DA6313">
        <w:rPr>
          <w:rFonts w:ascii="Arial" w:eastAsia="Times New Roman" w:hAnsi="Arial" w:cs="Arial"/>
          <w:noProof/>
        </w:rPr>
        <w:t xml:space="preserve">Izvod iz sudskog, ili drugog odgovarajućeg registra države u kojoj ponuđač ima sjedište- </w:t>
      </w:r>
      <w:r w:rsidRPr="0006653B">
        <w:rPr>
          <w:rFonts w:ascii="Arial" w:eastAsia="Times New Roman" w:hAnsi="Arial" w:cs="Arial"/>
          <w:noProof/>
          <w:u w:val="single"/>
        </w:rPr>
        <w:t>dokaz izdaje CRPS</w:t>
      </w:r>
      <w:r w:rsidRPr="00DA6313">
        <w:rPr>
          <w:rFonts w:ascii="Arial" w:eastAsia="Times New Roman" w:hAnsi="Arial" w:cs="Arial"/>
          <w:noProof/>
        </w:rPr>
        <w:t>;</w:t>
      </w:r>
    </w:p>
    <w:p w14:paraId="66F514A0" w14:textId="77777777" w:rsidR="00B86EB8" w:rsidRPr="0006653B" w:rsidRDefault="00B86EB8" w:rsidP="00664C2A">
      <w:pPr>
        <w:pStyle w:val="ListParagraph"/>
        <w:numPr>
          <w:ilvl w:val="0"/>
          <w:numId w:val="9"/>
        </w:numPr>
        <w:suppressAutoHyphens w:val="0"/>
        <w:spacing w:after="0" w:line="240" w:lineRule="auto"/>
        <w:contextualSpacing w:val="0"/>
        <w:jc w:val="both"/>
        <w:rPr>
          <w:rFonts w:ascii="Arial" w:eastAsia="Times New Roman" w:hAnsi="Arial" w:cs="Arial"/>
          <w:noProof/>
          <w:u w:val="single"/>
        </w:rPr>
      </w:pPr>
      <w:r w:rsidRPr="00DA6313">
        <w:rPr>
          <w:rFonts w:ascii="Arial" w:eastAsia="Times New Roman" w:hAnsi="Arial" w:cs="Arial"/>
          <w:noProof/>
        </w:rPr>
        <w:t xml:space="preserve">dokaz da protiv </w:t>
      </w:r>
      <w:r w:rsidR="00F86DC6">
        <w:rPr>
          <w:rFonts w:ascii="Arial" w:eastAsia="Times New Roman" w:hAnsi="Arial" w:cs="Arial"/>
          <w:noProof/>
        </w:rPr>
        <w:t>ponuđača</w:t>
      </w:r>
      <w:r w:rsidRPr="00DA6313">
        <w:rPr>
          <w:rFonts w:ascii="Arial" w:eastAsia="Times New Roman" w:hAnsi="Arial" w:cs="Arial"/>
          <w:noProof/>
        </w:rPr>
        <w:t xml:space="preserve"> nije pokrenut postupak stečaja - </w:t>
      </w:r>
      <w:r w:rsidRPr="0006653B">
        <w:rPr>
          <w:rFonts w:ascii="Arial" w:eastAsia="Times New Roman" w:hAnsi="Arial" w:cs="Arial"/>
          <w:noProof/>
          <w:u w:val="single"/>
        </w:rPr>
        <w:t>dokaz/potvrdu izdaje Privredni sud;</w:t>
      </w:r>
    </w:p>
    <w:p w14:paraId="632524ED" w14:textId="77777777" w:rsidR="00B86EB8" w:rsidRPr="00DA6313" w:rsidRDefault="00B86EB8" w:rsidP="00664C2A">
      <w:pPr>
        <w:pStyle w:val="ListParagraph"/>
        <w:numPr>
          <w:ilvl w:val="0"/>
          <w:numId w:val="9"/>
        </w:numPr>
        <w:suppressAutoHyphens w:val="0"/>
        <w:spacing w:after="0" w:line="240" w:lineRule="auto"/>
        <w:contextualSpacing w:val="0"/>
        <w:jc w:val="both"/>
        <w:rPr>
          <w:rFonts w:ascii="Arial" w:eastAsia="Times New Roman" w:hAnsi="Arial" w:cs="Arial"/>
          <w:noProof/>
        </w:rPr>
      </w:pPr>
      <w:r w:rsidRPr="00DA6313">
        <w:rPr>
          <w:rFonts w:ascii="Arial" w:eastAsia="Times New Roman" w:hAnsi="Arial" w:cs="Arial"/>
          <w:noProof/>
        </w:rPr>
        <w:t xml:space="preserve">dokaz da </w:t>
      </w:r>
      <w:r w:rsidR="00F86DC6">
        <w:rPr>
          <w:rFonts w:ascii="Arial" w:eastAsia="Times New Roman" w:hAnsi="Arial" w:cs="Arial"/>
          <w:noProof/>
        </w:rPr>
        <w:t xml:space="preserve">ponuđač </w:t>
      </w:r>
      <w:r w:rsidR="003018F6">
        <w:rPr>
          <w:rFonts w:ascii="Arial" w:eastAsia="Times New Roman" w:hAnsi="Arial" w:cs="Arial"/>
          <w:noProof/>
        </w:rPr>
        <w:t xml:space="preserve">ili njegov zakonski zastupnik </w:t>
      </w:r>
      <w:r w:rsidRPr="00DA6313">
        <w:rPr>
          <w:rFonts w:ascii="Arial" w:eastAsia="Times New Roman" w:hAnsi="Arial" w:cs="Arial"/>
          <w:noProof/>
        </w:rPr>
        <w:t xml:space="preserve">nije pravosnažno osuđeno za krivično djelo </w:t>
      </w:r>
      <w:proofErr w:type="spellStart"/>
      <w:r w:rsidR="00F86DC6" w:rsidRPr="007D7018">
        <w:rPr>
          <w:rFonts w:ascii="Arial" w:eastAsia="Calibri" w:hAnsi="Arial" w:cs="Arial"/>
          <w:kern w:val="0"/>
          <w:sz w:val="23"/>
          <w:szCs w:val="23"/>
        </w:rPr>
        <w:t>kriminalnog</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udruživanja</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stvaranje</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kriminalne</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organizacije</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davanje</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mita</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primanje</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mita</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davanje</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mita</w:t>
      </w:r>
      <w:proofErr w:type="spellEnd"/>
      <w:r w:rsidR="00F86DC6" w:rsidRPr="007D7018">
        <w:rPr>
          <w:rFonts w:ascii="Arial" w:eastAsia="Calibri" w:hAnsi="Arial" w:cs="Arial"/>
          <w:kern w:val="0"/>
          <w:sz w:val="23"/>
          <w:szCs w:val="23"/>
        </w:rPr>
        <w:t xml:space="preserve"> u </w:t>
      </w:r>
      <w:proofErr w:type="spellStart"/>
      <w:r w:rsidR="00F86DC6" w:rsidRPr="007D7018">
        <w:rPr>
          <w:rFonts w:ascii="Arial" w:eastAsia="Calibri" w:hAnsi="Arial" w:cs="Arial"/>
          <w:kern w:val="0"/>
          <w:sz w:val="23"/>
          <w:szCs w:val="23"/>
        </w:rPr>
        <w:t>privrednom</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poslovanju</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primanje</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mita</w:t>
      </w:r>
      <w:proofErr w:type="spellEnd"/>
      <w:r w:rsidR="00F86DC6" w:rsidRPr="007D7018">
        <w:rPr>
          <w:rFonts w:ascii="Arial" w:eastAsia="Calibri" w:hAnsi="Arial" w:cs="Arial"/>
          <w:kern w:val="0"/>
          <w:sz w:val="23"/>
          <w:szCs w:val="23"/>
        </w:rPr>
        <w:t xml:space="preserve"> u </w:t>
      </w:r>
      <w:proofErr w:type="spellStart"/>
      <w:r w:rsidR="00F86DC6" w:rsidRPr="007D7018">
        <w:rPr>
          <w:rFonts w:ascii="Arial" w:eastAsia="Calibri" w:hAnsi="Arial" w:cs="Arial"/>
          <w:kern w:val="0"/>
          <w:sz w:val="23"/>
          <w:szCs w:val="23"/>
        </w:rPr>
        <w:t>privrednom</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poslovanju</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prevare</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terorizma</w:t>
      </w:r>
      <w:proofErr w:type="spellEnd"/>
      <w:r w:rsidR="00F86DC6" w:rsidRPr="007D7018">
        <w:rPr>
          <w:rFonts w:ascii="Arial" w:eastAsia="Calibri" w:hAnsi="Arial" w:cs="Arial"/>
          <w:kern w:val="0"/>
          <w:sz w:val="23"/>
          <w:szCs w:val="23"/>
        </w:rPr>
        <w:t>;</w:t>
      </w:r>
      <w:r w:rsidR="00F86DC6">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finansiranje</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terorizma</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terorističko</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udruživanje</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učestvovanje</w:t>
      </w:r>
      <w:proofErr w:type="spellEnd"/>
      <w:r w:rsidR="00F86DC6" w:rsidRPr="007D7018">
        <w:rPr>
          <w:rFonts w:ascii="Arial" w:eastAsia="Calibri" w:hAnsi="Arial" w:cs="Arial"/>
          <w:kern w:val="0"/>
          <w:sz w:val="23"/>
          <w:szCs w:val="23"/>
        </w:rPr>
        <w:t xml:space="preserve"> u </w:t>
      </w:r>
      <w:proofErr w:type="spellStart"/>
      <w:r w:rsidR="00F86DC6" w:rsidRPr="007D7018">
        <w:rPr>
          <w:rFonts w:ascii="Arial" w:eastAsia="Calibri" w:hAnsi="Arial" w:cs="Arial"/>
          <w:kern w:val="0"/>
          <w:sz w:val="23"/>
          <w:szCs w:val="23"/>
        </w:rPr>
        <w:t>stranim</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oružanim</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formacijama</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pranja</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novca</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trgovine</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ljudima</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trgovine</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maloljetnim</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licima</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radi</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usvojenja</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zasnivanje</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ropskog</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odnosa</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i</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prevoz</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lica</w:t>
      </w:r>
      <w:proofErr w:type="spellEnd"/>
      <w:r w:rsidR="00F86DC6" w:rsidRPr="007D7018">
        <w:rPr>
          <w:rFonts w:ascii="Arial" w:eastAsia="Calibri" w:hAnsi="Arial" w:cs="Arial"/>
          <w:kern w:val="0"/>
          <w:sz w:val="23"/>
          <w:szCs w:val="23"/>
        </w:rPr>
        <w:t xml:space="preserve"> u </w:t>
      </w:r>
      <w:proofErr w:type="spellStart"/>
      <w:r w:rsidR="00F86DC6" w:rsidRPr="007D7018">
        <w:rPr>
          <w:rFonts w:ascii="Arial" w:eastAsia="Calibri" w:hAnsi="Arial" w:cs="Arial"/>
          <w:kern w:val="0"/>
          <w:sz w:val="23"/>
          <w:szCs w:val="23"/>
        </w:rPr>
        <w:t>ropskom</w:t>
      </w:r>
      <w:proofErr w:type="spellEnd"/>
      <w:r w:rsidR="00F86DC6" w:rsidRPr="007D7018">
        <w:rPr>
          <w:rFonts w:ascii="Arial" w:eastAsia="Calibri" w:hAnsi="Arial" w:cs="Arial"/>
          <w:kern w:val="0"/>
          <w:sz w:val="23"/>
          <w:szCs w:val="23"/>
        </w:rPr>
        <w:t xml:space="preserve"> </w:t>
      </w:r>
      <w:proofErr w:type="spellStart"/>
      <w:r w:rsidR="00F86DC6" w:rsidRPr="007D7018">
        <w:rPr>
          <w:rFonts w:ascii="Arial" w:eastAsia="Calibri" w:hAnsi="Arial" w:cs="Arial"/>
          <w:kern w:val="0"/>
          <w:sz w:val="23"/>
          <w:szCs w:val="23"/>
        </w:rPr>
        <w:t>položaju</w:t>
      </w:r>
      <w:proofErr w:type="spellEnd"/>
      <w:r w:rsidR="00F86DC6">
        <w:rPr>
          <w:rFonts w:ascii="Arial" w:eastAsia="Calibri" w:hAnsi="Arial" w:cs="Arial"/>
          <w:kern w:val="0"/>
          <w:sz w:val="23"/>
          <w:szCs w:val="23"/>
        </w:rPr>
        <w:t xml:space="preserve"> </w:t>
      </w:r>
      <w:r w:rsidRPr="00DA6313">
        <w:rPr>
          <w:rFonts w:ascii="Arial" w:eastAsia="Times New Roman" w:hAnsi="Arial" w:cs="Arial"/>
          <w:noProof/>
        </w:rPr>
        <w:t xml:space="preserve">– </w:t>
      </w:r>
      <w:r w:rsidRPr="00DA6313">
        <w:rPr>
          <w:rFonts w:ascii="Arial" w:eastAsia="Times New Roman" w:hAnsi="Arial" w:cs="Arial"/>
          <w:noProof/>
          <w:u w:val="single"/>
        </w:rPr>
        <w:t>dokaz/potvrdu izdaje Ministarstvo pravde</w:t>
      </w:r>
      <w:r w:rsidR="00F86DC6">
        <w:rPr>
          <w:rFonts w:ascii="Arial" w:eastAsia="Times New Roman" w:hAnsi="Arial" w:cs="Arial"/>
          <w:noProof/>
          <w:u w:val="single"/>
        </w:rPr>
        <w:t xml:space="preserve">, ljudskih </w:t>
      </w:r>
      <w:r w:rsidR="0006653B">
        <w:rPr>
          <w:rFonts w:ascii="Arial" w:eastAsia="Times New Roman" w:hAnsi="Arial" w:cs="Arial"/>
          <w:noProof/>
          <w:u w:val="single"/>
        </w:rPr>
        <w:t>i</w:t>
      </w:r>
      <w:r w:rsidR="00F86DC6">
        <w:rPr>
          <w:rFonts w:ascii="Arial" w:eastAsia="Times New Roman" w:hAnsi="Arial" w:cs="Arial"/>
          <w:noProof/>
          <w:u w:val="single"/>
        </w:rPr>
        <w:t xml:space="preserve"> manjinskih prava</w:t>
      </w:r>
      <w:r w:rsidRPr="00DA6313">
        <w:rPr>
          <w:rFonts w:ascii="Arial" w:eastAsia="Times New Roman" w:hAnsi="Arial" w:cs="Arial"/>
          <w:noProof/>
        </w:rPr>
        <w:t xml:space="preserve">, a za fizička lica </w:t>
      </w:r>
      <w:r w:rsidRPr="0006653B">
        <w:rPr>
          <w:rFonts w:ascii="Arial" w:eastAsia="Times New Roman" w:hAnsi="Arial" w:cs="Arial"/>
          <w:noProof/>
          <w:u w:val="single"/>
        </w:rPr>
        <w:t>dokaz/potvrdu izdaje</w:t>
      </w:r>
      <w:r w:rsidRPr="00DA6313">
        <w:rPr>
          <w:rFonts w:ascii="Arial" w:eastAsia="Times New Roman" w:hAnsi="Arial" w:cs="Arial"/>
          <w:noProof/>
        </w:rPr>
        <w:t xml:space="preserve"> </w:t>
      </w:r>
      <w:r w:rsidRPr="00DA6313">
        <w:rPr>
          <w:rFonts w:ascii="Arial" w:eastAsia="Times New Roman" w:hAnsi="Arial" w:cs="Arial"/>
          <w:noProof/>
          <w:u w:val="single"/>
        </w:rPr>
        <w:t>nadležni Osnovni sud</w:t>
      </w:r>
      <w:r w:rsidRPr="00DA6313">
        <w:rPr>
          <w:rFonts w:ascii="Arial" w:eastAsia="Times New Roman" w:hAnsi="Arial" w:cs="Arial"/>
          <w:noProof/>
        </w:rPr>
        <w:t>;</w:t>
      </w:r>
    </w:p>
    <w:p w14:paraId="23067A08" w14:textId="77777777" w:rsidR="00262380" w:rsidRPr="003018F6" w:rsidRDefault="00B86EB8" w:rsidP="00664C2A">
      <w:pPr>
        <w:pStyle w:val="ListParagraph"/>
        <w:numPr>
          <w:ilvl w:val="0"/>
          <w:numId w:val="9"/>
        </w:numPr>
        <w:suppressAutoHyphens w:val="0"/>
        <w:spacing w:after="0" w:line="240" w:lineRule="auto"/>
        <w:contextualSpacing w:val="0"/>
        <w:jc w:val="both"/>
        <w:rPr>
          <w:rFonts w:ascii="Arial" w:eastAsia="Times New Roman" w:hAnsi="Arial" w:cs="Arial"/>
          <w:noProof/>
          <w:u w:val="single"/>
        </w:rPr>
      </w:pPr>
      <w:r w:rsidRPr="00F86DC6">
        <w:rPr>
          <w:rFonts w:ascii="Arial" w:eastAsia="Times New Roman" w:hAnsi="Arial" w:cs="Arial"/>
          <w:noProof/>
        </w:rPr>
        <w:t xml:space="preserve">dokaz da je </w:t>
      </w:r>
      <w:r w:rsidR="003018F6">
        <w:rPr>
          <w:rFonts w:ascii="Arial" w:eastAsia="Times New Roman" w:hAnsi="Arial" w:cs="Arial"/>
          <w:noProof/>
        </w:rPr>
        <w:t>ponuđač izmiri</w:t>
      </w:r>
      <w:r w:rsidRPr="00F86DC6">
        <w:rPr>
          <w:rFonts w:ascii="Arial" w:eastAsia="Times New Roman" w:hAnsi="Arial" w:cs="Arial"/>
          <w:noProof/>
        </w:rPr>
        <w:t xml:space="preserve">o obaveze po osnovu svih </w:t>
      </w:r>
      <w:proofErr w:type="spellStart"/>
      <w:r w:rsidR="00F86DC6" w:rsidRPr="00F86DC6">
        <w:rPr>
          <w:rFonts w:ascii="Arial" w:eastAsia="Calibri" w:hAnsi="Arial" w:cs="Arial"/>
          <w:kern w:val="0"/>
        </w:rPr>
        <w:t>poreza</w:t>
      </w:r>
      <w:proofErr w:type="spellEnd"/>
      <w:r w:rsidR="00F86DC6" w:rsidRPr="00F86DC6">
        <w:rPr>
          <w:rFonts w:ascii="Arial" w:eastAsia="Calibri" w:hAnsi="Arial" w:cs="Arial"/>
          <w:kern w:val="0"/>
        </w:rPr>
        <w:t xml:space="preserve"> </w:t>
      </w:r>
      <w:proofErr w:type="spellStart"/>
      <w:r w:rsidR="00F86DC6" w:rsidRPr="00F86DC6">
        <w:rPr>
          <w:rFonts w:ascii="Arial" w:eastAsia="Calibri" w:hAnsi="Arial" w:cs="Arial"/>
          <w:kern w:val="0"/>
        </w:rPr>
        <w:t>i</w:t>
      </w:r>
      <w:proofErr w:type="spellEnd"/>
      <w:r w:rsidR="00F86DC6" w:rsidRPr="00F86DC6">
        <w:rPr>
          <w:rFonts w:ascii="Arial" w:eastAsia="Calibri" w:hAnsi="Arial" w:cs="Arial"/>
          <w:kern w:val="0"/>
        </w:rPr>
        <w:t xml:space="preserve"> </w:t>
      </w:r>
      <w:proofErr w:type="spellStart"/>
      <w:r w:rsidR="00F86DC6" w:rsidRPr="00F86DC6">
        <w:rPr>
          <w:rFonts w:ascii="Arial" w:eastAsia="Calibri" w:hAnsi="Arial" w:cs="Arial"/>
          <w:kern w:val="0"/>
        </w:rPr>
        <w:t>doprinosa</w:t>
      </w:r>
      <w:proofErr w:type="spellEnd"/>
      <w:r w:rsidR="00F86DC6" w:rsidRPr="00F86DC6">
        <w:rPr>
          <w:rFonts w:ascii="Arial" w:eastAsia="Calibri" w:hAnsi="Arial" w:cs="Arial"/>
          <w:kern w:val="0"/>
        </w:rPr>
        <w:t xml:space="preserve"> u </w:t>
      </w:r>
      <w:proofErr w:type="spellStart"/>
      <w:r w:rsidR="00F86DC6" w:rsidRPr="00F86DC6">
        <w:rPr>
          <w:rFonts w:ascii="Arial" w:eastAsia="Calibri" w:hAnsi="Arial" w:cs="Arial"/>
          <w:kern w:val="0"/>
        </w:rPr>
        <w:t>skladu</w:t>
      </w:r>
      <w:proofErr w:type="spellEnd"/>
      <w:r w:rsidR="00F86DC6" w:rsidRPr="00F86DC6">
        <w:rPr>
          <w:rFonts w:ascii="Arial" w:eastAsia="Calibri" w:hAnsi="Arial" w:cs="Arial"/>
          <w:kern w:val="0"/>
        </w:rPr>
        <w:t xml:space="preserve"> </w:t>
      </w:r>
      <w:proofErr w:type="spellStart"/>
      <w:r w:rsidR="00F86DC6" w:rsidRPr="00F86DC6">
        <w:rPr>
          <w:rFonts w:ascii="Arial" w:eastAsia="Calibri" w:hAnsi="Arial" w:cs="Arial"/>
          <w:kern w:val="0"/>
        </w:rPr>
        <w:t>sa</w:t>
      </w:r>
      <w:proofErr w:type="spellEnd"/>
      <w:r w:rsidR="00F86DC6" w:rsidRPr="00F86DC6">
        <w:rPr>
          <w:rFonts w:ascii="Arial" w:eastAsia="Calibri" w:hAnsi="Arial" w:cs="Arial"/>
          <w:kern w:val="0"/>
        </w:rPr>
        <w:t xml:space="preserve"> </w:t>
      </w:r>
      <w:proofErr w:type="spellStart"/>
      <w:r w:rsidR="00F86DC6" w:rsidRPr="00F86DC6">
        <w:rPr>
          <w:rFonts w:ascii="Arial" w:eastAsia="Calibri" w:hAnsi="Arial" w:cs="Arial"/>
          <w:kern w:val="0"/>
        </w:rPr>
        <w:t>propisima</w:t>
      </w:r>
      <w:proofErr w:type="spellEnd"/>
      <w:r w:rsidR="00F86DC6" w:rsidRPr="00F86DC6">
        <w:rPr>
          <w:rFonts w:ascii="Arial" w:eastAsia="Calibri" w:hAnsi="Arial" w:cs="Arial"/>
          <w:kern w:val="0"/>
        </w:rPr>
        <w:t xml:space="preserve"> </w:t>
      </w:r>
      <w:proofErr w:type="spellStart"/>
      <w:r w:rsidR="00F86DC6" w:rsidRPr="00F86DC6">
        <w:rPr>
          <w:rFonts w:ascii="Arial" w:eastAsia="Calibri" w:hAnsi="Arial" w:cs="Arial"/>
          <w:kern w:val="0"/>
        </w:rPr>
        <w:t>država</w:t>
      </w:r>
      <w:proofErr w:type="spellEnd"/>
      <w:r w:rsidR="00F86DC6" w:rsidRPr="00F86DC6">
        <w:rPr>
          <w:rFonts w:ascii="Arial" w:eastAsia="Calibri" w:hAnsi="Arial" w:cs="Arial"/>
          <w:kern w:val="0"/>
        </w:rPr>
        <w:t xml:space="preserve"> u </w:t>
      </w:r>
      <w:proofErr w:type="spellStart"/>
      <w:r w:rsidR="00F86DC6" w:rsidRPr="00F86DC6">
        <w:rPr>
          <w:rFonts w:ascii="Arial" w:eastAsia="Calibri" w:hAnsi="Arial" w:cs="Arial"/>
          <w:kern w:val="0"/>
        </w:rPr>
        <w:t>kojima</w:t>
      </w:r>
      <w:proofErr w:type="spellEnd"/>
      <w:r w:rsidR="00F86DC6" w:rsidRPr="00F86DC6">
        <w:rPr>
          <w:rFonts w:ascii="Arial" w:eastAsia="Calibri" w:hAnsi="Arial" w:cs="Arial"/>
          <w:kern w:val="0"/>
        </w:rPr>
        <w:t xml:space="preserve"> </w:t>
      </w:r>
      <w:proofErr w:type="spellStart"/>
      <w:r w:rsidR="00F86DC6" w:rsidRPr="00F86DC6">
        <w:rPr>
          <w:rFonts w:ascii="Arial" w:eastAsia="Calibri" w:hAnsi="Arial" w:cs="Arial"/>
          <w:kern w:val="0"/>
        </w:rPr>
        <w:t>imaju</w:t>
      </w:r>
      <w:proofErr w:type="spellEnd"/>
      <w:r w:rsidR="00F86DC6" w:rsidRPr="00F86DC6">
        <w:rPr>
          <w:rFonts w:ascii="Arial" w:eastAsia="Calibri" w:hAnsi="Arial" w:cs="Arial"/>
          <w:kern w:val="0"/>
        </w:rPr>
        <w:t xml:space="preserve"> </w:t>
      </w:r>
      <w:proofErr w:type="spellStart"/>
      <w:r w:rsidR="00F86DC6" w:rsidRPr="00F86DC6">
        <w:rPr>
          <w:rFonts w:ascii="Arial" w:eastAsia="Calibri" w:hAnsi="Arial" w:cs="Arial"/>
          <w:kern w:val="0"/>
        </w:rPr>
        <w:t>sjedišta</w:t>
      </w:r>
      <w:proofErr w:type="spellEnd"/>
      <w:r w:rsidRPr="00F86DC6">
        <w:rPr>
          <w:rFonts w:ascii="Arial" w:eastAsia="Times New Roman" w:hAnsi="Arial" w:cs="Arial"/>
          <w:noProof/>
        </w:rPr>
        <w:t xml:space="preserve"> – </w:t>
      </w:r>
      <w:r w:rsidRPr="003018F6">
        <w:rPr>
          <w:rFonts w:ascii="Arial" w:eastAsia="Times New Roman" w:hAnsi="Arial" w:cs="Arial"/>
          <w:noProof/>
          <w:u w:val="single"/>
        </w:rPr>
        <w:t>dokaz/e izdaje/u poreski/e organ/i uprave na državnom i lokalnom nivou;</w:t>
      </w:r>
    </w:p>
    <w:p w14:paraId="4A8447E4" w14:textId="77777777" w:rsidR="003018F6" w:rsidRPr="003018F6" w:rsidRDefault="003018F6" w:rsidP="00F623A2">
      <w:pPr>
        <w:pStyle w:val="ListParagraph"/>
        <w:numPr>
          <w:ilvl w:val="0"/>
          <w:numId w:val="9"/>
        </w:numPr>
        <w:suppressAutoHyphens w:val="0"/>
        <w:spacing w:after="0" w:line="240" w:lineRule="auto"/>
        <w:contextualSpacing w:val="0"/>
        <w:jc w:val="both"/>
        <w:rPr>
          <w:rFonts w:ascii="Arial" w:eastAsia="Times New Roman" w:hAnsi="Arial" w:cs="Arial"/>
          <w:noProof/>
          <w:u w:val="single"/>
        </w:rPr>
      </w:pPr>
      <w:r>
        <w:rPr>
          <w:rFonts w:ascii="Arial" w:eastAsia="Times New Roman" w:hAnsi="Arial" w:cs="Arial"/>
          <w:noProof/>
        </w:rPr>
        <w:t xml:space="preserve">dokaz da ponuđač nema raskinut ugovor o koncesiji zbog neispunjenja obaveza – </w:t>
      </w:r>
      <w:r w:rsidRPr="003018F6">
        <w:rPr>
          <w:rFonts w:ascii="Arial" w:eastAsia="Times New Roman" w:hAnsi="Arial" w:cs="Arial"/>
          <w:noProof/>
          <w:u w:val="single"/>
        </w:rPr>
        <w:t>dokaz izdaje Komisija za koncesije;</w:t>
      </w:r>
    </w:p>
    <w:p w14:paraId="4FC6DE81" w14:textId="77777777" w:rsidR="00721ACD" w:rsidRPr="00DA6313" w:rsidRDefault="00B86EB8" w:rsidP="00F623A2">
      <w:pPr>
        <w:pStyle w:val="ListParagraph"/>
        <w:numPr>
          <w:ilvl w:val="0"/>
          <w:numId w:val="9"/>
        </w:numPr>
        <w:suppressAutoHyphens w:val="0"/>
        <w:spacing w:after="0" w:line="240" w:lineRule="auto"/>
        <w:contextualSpacing w:val="0"/>
        <w:jc w:val="both"/>
        <w:rPr>
          <w:rFonts w:ascii="Arial" w:eastAsia="Times New Roman" w:hAnsi="Arial" w:cs="Arial"/>
          <w:noProof/>
        </w:rPr>
      </w:pPr>
      <w:r w:rsidRPr="00DA6313">
        <w:rPr>
          <w:rFonts w:ascii="Arial" w:eastAsia="Times New Roman" w:hAnsi="Arial" w:cs="Arial"/>
          <w:noProof/>
        </w:rPr>
        <w:t xml:space="preserve">dokaz da </w:t>
      </w:r>
      <w:r w:rsidR="003018F6">
        <w:rPr>
          <w:rFonts w:ascii="Arial" w:eastAsia="Times New Roman" w:hAnsi="Arial" w:cs="Arial"/>
          <w:noProof/>
        </w:rPr>
        <w:t>ponuđač</w:t>
      </w:r>
      <w:r w:rsidRPr="00DA6313">
        <w:rPr>
          <w:rFonts w:ascii="Arial" w:eastAsia="Times New Roman" w:hAnsi="Arial" w:cs="Arial"/>
          <w:noProof/>
        </w:rPr>
        <w:t xml:space="preserve"> nema neizmirenih obaveza po osnovu kazni izrečenih u krivičnom ili prekršajnom postupku - </w:t>
      </w:r>
      <w:r w:rsidRPr="00DA6313">
        <w:rPr>
          <w:rFonts w:ascii="Arial" w:eastAsia="Times New Roman" w:hAnsi="Arial" w:cs="Arial"/>
          <w:noProof/>
          <w:u w:val="single"/>
        </w:rPr>
        <w:t>dokaz/potvrdu izdaje Ministarstvo pravde</w:t>
      </w:r>
      <w:r w:rsidR="003018F6">
        <w:rPr>
          <w:rFonts w:ascii="Arial" w:eastAsia="Times New Roman" w:hAnsi="Arial" w:cs="Arial"/>
          <w:noProof/>
          <w:u w:val="single"/>
        </w:rPr>
        <w:t>,</w:t>
      </w:r>
      <w:r w:rsidR="0006653B">
        <w:rPr>
          <w:rFonts w:ascii="Arial" w:eastAsia="Times New Roman" w:hAnsi="Arial" w:cs="Arial"/>
          <w:noProof/>
          <w:u w:val="single"/>
        </w:rPr>
        <w:t>ljudskih I manjinskih prava</w:t>
      </w:r>
      <w:r w:rsidR="003018F6">
        <w:rPr>
          <w:rFonts w:ascii="Arial" w:eastAsia="Times New Roman" w:hAnsi="Arial" w:cs="Arial"/>
          <w:noProof/>
          <w:u w:val="single"/>
        </w:rPr>
        <w:t xml:space="preserve"> </w:t>
      </w:r>
      <w:r w:rsidR="00B7795A" w:rsidRPr="00DA6313">
        <w:rPr>
          <w:rFonts w:ascii="Arial" w:eastAsia="Times New Roman" w:hAnsi="Arial" w:cs="Arial"/>
          <w:noProof/>
          <w:u w:val="single"/>
        </w:rPr>
        <w:t>.</w:t>
      </w:r>
    </w:p>
    <w:p w14:paraId="1B52CB30" w14:textId="77777777" w:rsidR="00B86EB8" w:rsidRPr="00DA6313" w:rsidRDefault="00B86EB8" w:rsidP="00F623A2">
      <w:pPr>
        <w:spacing w:after="0" w:line="240" w:lineRule="auto"/>
        <w:jc w:val="both"/>
        <w:rPr>
          <w:rFonts w:ascii="Arial" w:eastAsia="Times New Roman" w:hAnsi="Arial" w:cs="Arial"/>
          <w:noProof/>
        </w:rPr>
      </w:pPr>
    </w:p>
    <w:p w14:paraId="5249BF7C" w14:textId="77777777" w:rsidR="00721ACD" w:rsidRDefault="00721ACD" w:rsidP="00F623A2">
      <w:pPr>
        <w:spacing w:after="0" w:line="240" w:lineRule="auto"/>
        <w:jc w:val="both"/>
        <w:rPr>
          <w:rFonts w:ascii="Arial" w:hAnsi="Arial" w:cs="Arial"/>
          <w:noProof/>
        </w:rPr>
      </w:pPr>
      <w:r w:rsidRPr="00DA6313">
        <w:rPr>
          <w:rFonts w:ascii="Arial" w:hAnsi="Arial" w:cs="Arial"/>
          <w:noProof/>
        </w:rPr>
        <w:t xml:space="preserve">Navedeni dokazi ne smiju biti stariji od </w:t>
      </w:r>
      <w:r w:rsidR="003338BC">
        <w:rPr>
          <w:rFonts w:ascii="Arial" w:hAnsi="Arial" w:cs="Arial"/>
          <w:noProof/>
        </w:rPr>
        <w:t>60 (šezdeset</w:t>
      </w:r>
      <w:r w:rsidRPr="00DA6313">
        <w:rPr>
          <w:rFonts w:ascii="Arial" w:hAnsi="Arial" w:cs="Arial"/>
          <w:noProof/>
        </w:rPr>
        <w:t>) dana od dana objavljivanja oglasa.</w:t>
      </w:r>
    </w:p>
    <w:p w14:paraId="7243EA16" w14:textId="77777777" w:rsidR="00CC5526" w:rsidRDefault="00CC5526" w:rsidP="00F623A2">
      <w:pPr>
        <w:spacing w:after="0" w:line="240" w:lineRule="auto"/>
        <w:jc w:val="both"/>
        <w:rPr>
          <w:rFonts w:ascii="Arial" w:hAnsi="Arial" w:cs="Arial"/>
          <w:noProof/>
        </w:rPr>
      </w:pPr>
    </w:p>
    <w:p w14:paraId="3278395E" w14:textId="77777777" w:rsidR="00721ACD" w:rsidRPr="00DA6313" w:rsidRDefault="00721ACD" w:rsidP="00F623A2">
      <w:pPr>
        <w:spacing w:after="0" w:line="240" w:lineRule="auto"/>
        <w:jc w:val="both"/>
        <w:rPr>
          <w:rFonts w:ascii="Arial" w:hAnsi="Arial" w:cs="Arial"/>
          <w:noProof/>
        </w:rPr>
      </w:pPr>
      <w:r w:rsidRPr="00DA6313">
        <w:rPr>
          <w:rFonts w:ascii="Arial" w:hAnsi="Arial" w:cs="Arial"/>
          <w:noProof/>
        </w:rPr>
        <w:t>Pored navedenog, ponuđač je dužan dostaviti i:</w:t>
      </w:r>
    </w:p>
    <w:p w14:paraId="493D89DD" w14:textId="77777777" w:rsidR="00721ACD" w:rsidRPr="00DA6313" w:rsidRDefault="00721ACD" w:rsidP="00F623A2">
      <w:pPr>
        <w:spacing w:after="0" w:line="240" w:lineRule="auto"/>
        <w:jc w:val="both"/>
        <w:rPr>
          <w:rFonts w:ascii="Arial" w:hAnsi="Arial" w:cs="Arial"/>
          <w:noProof/>
        </w:rPr>
      </w:pPr>
    </w:p>
    <w:p w14:paraId="58DEBE66" w14:textId="77777777" w:rsidR="00721ACD" w:rsidRPr="00DA6313" w:rsidRDefault="00721ACD" w:rsidP="00F623A2">
      <w:pPr>
        <w:pStyle w:val="Default"/>
        <w:widowControl w:val="0"/>
        <w:numPr>
          <w:ilvl w:val="0"/>
          <w:numId w:val="14"/>
        </w:numPr>
        <w:jc w:val="both"/>
        <w:rPr>
          <w:rFonts w:ascii="Arial" w:eastAsia="Times New Roman" w:hAnsi="Arial" w:cs="Arial"/>
          <w:noProof/>
          <w:color w:val="auto"/>
          <w:sz w:val="22"/>
          <w:szCs w:val="22"/>
        </w:rPr>
      </w:pPr>
      <w:r w:rsidRPr="00DA6313">
        <w:rPr>
          <w:rFonts w:ascii="Arial" w:eastAsia="Times New Roman" w:hAnsi="Arial" w:cs="Arial"/>
          <w:noProof/>
          <w:color w:val="auto"/>
          <w:sz w:val="22"/>
          <w:szCs w:val="22"/>
        </w:rPr>
        <w:t>Bankarsku garanciju ponude u skladu sa Uputstvom za podnošenje ponuda i</w:t>
      </w:r>
    </w:p>
    <w:p w14:paraId="2FB940D3" w14:textId="79D26786" w:rsidR="00721ACD" w:rsidRPr="00F623A2" w:rsidRDefault="00721ACD" w:rsidP="00F623A2">
      <w:pPr>
        <w:pStyle w:val="Default"/>
        <w:widowControl w:val="0"/>
        <w:numPr>
          <w:ilvl w:val="0"/>
          <w:numId w:val="14"/>
        </w:numPr>
        <w:jc w:val="both"/>
        <w:rPr>
          <w:rFonts w:ascii="Arial" w:eastAsia="Times New Roman" w:hAnsi="Arial" w:cs="Arial"/>
          <w:noProof/>
          <w:color w:val="auto"/>
          <w:sz w:val="22"/>
          <w:szCs w:val="22"/>
        </w:rPr>
      </w:pPr>
      <w:r w:rsidRPr="00DA6313">
        <w:rPr>
          <w:rFonts w:ascii="Arial" w:eastAsia="Times New Roman" w:hAnsi="Arial" w:cs="Arial"/>
          <w:noProof/>
          <w:color w:val="auto"/>
          <w:sz w:val="22"/>
          <w:szCs w:val="22"/>
        </w:rPr>
        <w:t>Popunjeni Obrazac iz Uputstva za podnošenje ponuda.</w:t>
      </w:r>
    </w:p>
    <w:p w14:paraId="70F8A2D6" w14:textId="77777777" w:rsidR="00E52914" w:rsidRPr="00DA6313" w:rsidRDefault="00E52914" w:rsidP="00F623A2">
      <w:pPr>
        <w:pStyle w:val="Heading2"/>
        <w:numPr>
          <w:ilvl w:val="1"/>
          <w:numId w:val="29"/>
        </w:numPr>
      </w:pPr>
      <w:bookmarkStart w:id="87" w:name="_Toc390549930"/>
      <w:bookmarkStart w:id="88" w:name="_Toc401959460"/>
      <w:bookmarkStart w:id="89" w:name="_Toc401959553"/>
      <w:bookmarkStart w:id="90" w:name="_Toc435529041"/>
      <w:bookmarkStart w:id="91" w:name="_Toc436124918"/>
      <w:r w:rsidRPr="00DA6313">
        <w:lastRenderedPageBreak/>
        <w:t>Ugovor o koncesiji</w:t>
      </w:r>
      <w:bookmarkEnd w:id="87"/>
      <w:bookmarkEnd w:id="88"/>
      <w:bookmarkEnd w:id="89"/>
      <w:bookmarkEnd w:id="90"/>
      <w:bookmarkEnd w:id="91"/>
    </w:p>
    <w:p w14:paraId="0D8BD0D3" w14:textId="77777777" w:rsidR="00FD2BCF" w:rsidRPr="00DA6313" w:rsidRDefault="00FD2BCF" w:rsidP="00F623A2">
      <w:pPr>
        <w:spacing w:after="0" w:line="240" w:lineRule="auto"/>
        <w:jc w:val="both"/>
        <w:rPr>
          <w:rFonts w:ascii="Arial" w:hAnsi="Arial" w:cs="Arial"/>
          <w:noProof/>
        </w:rPr>
      </w:pPr>
    </w:p>
    <w:p w14:paraId="47D6E37A" w14:textId="77777777" w:rsidR="00E52914" w:rsidRPr="00DA6313" w:rsidRDefault="00CC5526" w:rsidP="00F623A2">
      <w:pPr>
        <w:spacing w:after="0" w:line="240" w:lineRule="auto"/>
        <w:jc w:val="both"/>
        <w:rPr>
          <w:rFonts w:ascii="Arial" w:hAnsi="Arial" w:cs="Arial"/>
          <w:noProof/>
        </w:rPr>
      </w:pPr>
      <w:r>
        <w:rPr>
          <w:rFonts w:ascii="Arial" w:eastAsia="Times New Roman" w:hAnsi="Arial" w:cs="Arial"/>
          <w:noProof/>
        </w:rPr>
        <w:t>Sastavni dio Ten</w:t>
      </w:r>
      <w:r w:rsidR="00E52914" w:rsidRPr="00DA6313">
        <w:rPr>
          <w:rFonts w:ascii="Arial" w:eastAsia="Times New Roman" w:hAnsi="Arial" w:cs="Arial"/>
          <w:noProof/>
        </w:rPr>
        <w:t>derske dokumentacije je i Nacrt</w:t>
      </w:r>
      <w:r w:rsidR="00E52914" w:rsidRPr="00DA6313">
        <w:rPr>
          <w:rFonts w:ascii="Arial" w:hAnsi="Arial" w:cs="Arial"/>
          <w:noProof/>
        </w:rPr>
        <w:t xml:space="preserve"> ugovora o koncesiji, koji je dat kao Prilog Koncesionog akta.</w:t>
      </w:r>
    </w:p>
    <w:p w14:paraId="19E19B56" w14:textId="77777777" w:rsidR="00C9673F" w:rsidRPr="00DA6313" w:rsidRDefault="00C9673F" w:rsidP="00F623A2">
      <w:pPr>
        <w:spacing w:after="0" w:line="240" w:lineRule="auto"/>
        <w:jc w:val="both"/>
        <w:rPr>
          <w:rFonts w:ascii="Arial" w:hAnsi="Arial" w:cs="Arial"/>
          <w:noProof/>
        </w:rPr>
      </w:pPr>
    </w:p>
    <w:p w14:paraId="7F10E7D0" w14:textId="77777777" w:rsidR="00E52914" w:rsidRPr="00DA6313" w:rsidRDefault="00E52914" w:rsidP="00F623A2">
      <w:pPr>
        <w:pStyle w:val="Heading2"/>
        <w:numPr>
          <w:ilvl w:val="1"/>
          <w:numId w:val="29"/>
        </w:numPr>
      </w:pPr>
      <w:bookmarkStart w:id="92" w:name="_Toc390549931"/>
      <w:bookmarkStart w:id="93" w:name="_Toc401959461"/>
      <w:bookmarkStart w:id="94" w:name="_Toc401959554"/>
      <w:bookmarkStart w:id="95" w:name="_Toc435529042"/>
      <w:bookmarkStart w:id="96" w:name="_Toc436124919"/>
      <w:r w:rsidRPr="00DA6313">
        <w:t>Uputstvo za podnošenje ponuda</w:t>
      </w:r>
      <w:bookmarkEnd w:id="92"/>
      <w:bookmarkEnd w:id="93"/>
      <w:bookmarkEnd w:id="94"/>
      <w:bookmarkEnd w:id="95"/>
      <w:bookmarkEnd w:id="96"/>
    </w:p>
    <w:p w14:paraId="469A11E5" w14:textId="77777777" w:rsidR="00FD2BCF" w:rsidRPr="00DA6313" w:rsidRDefault="00FD2BCF" w:rsidP="00F623A2">
      <w:pPr>
        <w:spacing w:after="0" w:line="240" w:lineRule="auto"/>
        <w:jc w:val="both"/>
        <w:rPr>
          <w:rFonts w:ascii="Arial" w:hAnsi="Arial" w:cs="Arial"/>
          <w:noProof/>
        </w:rPr>
      </w:pPr>
    </w:p>
    <w:p w14:paraId="1FAD576F" w14:textId="77777777" w:rsidR="00E52914" w:rsidRPr="00DA6313" w:rsidRDefault="00E52914" w:rsidP="00F623A2">
      <w:pPr>
        <w:spacing w:after="0" w:line="240" w:lineRule="auto"/>
        <w:jc w:val="both"/>
        <w:rPr>
          <w:rFonts w:ascii="Arial" w:hAnsi="Arial" w:cs="Arial"/>
          <w:noProof/>
        </w:rPr>
      </w:pPr>
      <w:r w:rsidRPr="00DA6313">
        <w:rPr>
          <w:rFonts w:ascii="Arial" w:eastAsia="Times New Roman" w:hAnsi="Arial" w:cs="Arial"/>
          <w:noProof/>
        </w:rPr>
        <w:t xml:space="preserve">Sastavni dio </w:t>
      </w:r>
      <w:r w:rsidR="00A41E38">
        <w:rPr>
          <w:rFonts w:ascii="Arial" w:eastAsia="Times New Roman" w:hAnsi="Arial" w:cs="Arial"/>
          <w:noProof/>
        </w:rPr>
        <w:t>D</w:t>
      </w:r>
      <w:r w:rsidRPr="00DA6313">
        <w:rPr>
          <w:rFonts w:ascii="Arial" w:eastAsia="Times New Roman" w:hAnsi="Arial" w:cs="Arial"/>
          <w:noProof/>
        </w:rPr>
        <w:t xml:space="preserve">okumentacije je i </w:t>
      </w:r>
      <w:r w:rsidRPr="00DA6313">
        <w:rPr>
          <w:rFonts w:ascii="Arial" w:hAnsi="Arial" w:cs="Arial"/>
          <w:noProof/>
        </w:rPr>
        <w:t>Uputstvo za podnošenje ponuda, koji je dato kao Prilog Koncesionog akta.</w:t>
      </w:r>
    </w:p>
    <w:p w14:paraId="57FFFD9D" w14:textId="77777777" w:rsidR="00682F5D" w:rsidRPr="00DA6313" w:rsidRDefault="00682F5D" w:rsidP="00F623A2">
      <w:pPr>
        <w:spacing w:after="0" w:line="240" w:lineRule="auto"/>
        <w:jc w:val="both"/>
        <w:rPr>
          <w:rFonts w:ascii="Arial" w:hAnsi="Arial" w:cs="Arial"/>
          <w:noProof/>
        </w:rPr>
      </w:pPr>
    </w:p>
    <w:p w14:paraId="12B14408" w14:textId="77777777" w:rsidR="00B7795A" w:rsidRPr="00DA6313" w:rsidRDefault="00B7795A" w:rsidP="00F623A2">
      <w:pPr>
        <w:spacing w:after="0" w:line="240" w:lineRule="auto"/>
        <w:jc w:val="both"/>
        <w:rPr>
          <w:rFonts w:ascii="Arial" w:hAnsi="Arial" w:cs="Arial"/>
          <w:noProof/>
        </w:rPr>
      </w:pPr>
    </w:p>
    <w:p w14:paraId="358BB223" w14:textId="77777777" w:rsidR="00933594" w:rsidRPr="00DA6313" w:rsidRDefault="001409D3" w:rsidP="00F623A2">
      <w:pPr>
        <w:pStyle w:val="Heading1"/>
        <w:numPr>
          <w:ilvl w:val="0"/>
          <w:numId w:val="29"/>
        </w:numPr>
        <w:rPr>
          <w:rFonts w:ascii="Arial" w:hAnsi="Arial" w:cs="Arial"/>
          <w:noProof/>
          <w:sz w:val="22"/>
          <w:szCs w:val="22"/>
        </w:rPr>
      </w:pPr>
      <w:bookmarkStart w:id="97" w:name="_Toc390549932"/>
      <w:bookmarkStart w:id="98" w:name="_Toc401959462"/>
      <w:bookmarkStart w:id="99" w:name="_Toc401959555"/>
      <w:bookmarkStart w:id="100" w:name="_Toc435529043"/>
      <w:bookmarkStart w:id="101" w:name="_Toc436124920"/>
      <w:r w:rsidRPr="00DA6313">
        <w:rPr>
          <w:rFonts w:ascii="Arial" w:hAnsi="Arial" w:cs="Arial"/>
          <w:noProof/>
          <w:sz w:val="22"/>
          <w:szCs w:val="22"/>
        </w:rPr>
        <w:t>SPISAK PROPISA KOJI SE PRIMJENJUJE U POSTUPKU DAVANJA KONCESIJE I U</w:t>
      </w:r>
      <w:r w:rsidR="00423855" w:rsidRPr="00DA6313">
        <w:rPr>
          <w:rFonts w:ascii="Arial" w:hAnsi="Arial" w:cs="Arial"/>
          <w:noProof/>
          <w:sz w:val="22"/>
          <w:szCs w:val="22"/>
        </w:rPr>
        <w:t xml:space="preserve"> </w:t>
      </w:r>
      <w:r w:rsidRPr="00DA6313">
        <w:rPr>
          <w:rFonts w:ascii="Arial" w:hAnsi="Arial" w:cs="Arial"/>
          <w:noProof/>
          <w:sz w:val="22"/>
          <w:szCs w:val="22"/>
        </w:rPr>
        <w:t>VRŠENJU KONCESIONE DJELATNOSTI</w:t>
      </w:r>
      <w:bookmarkEnd w:id="97"/>
      <w:bookmarkEnd w:id="98"/>
      <w:bookmarkEnd w:id="99"/>
      <w:bookmarkEnd w:id="100"/>
      <w:bookmarkEnd w:id="101"/>
    </w:p>
    <w:p w14:paraId="4B3DAA47" w14:textId="77777777" w:rsidR="001409D3" w:rsidRPr="00DA6313" w:rsidRDefault="001409D3" w:rsidP="00F623A2">
      <w:pPr>
        <w:spacing w:after="0" w:line="240" w:lineRule="auto"/>
        <w:jc w:val="both"/>
        <w:rPr>
          <w:rFonts w:ascii="Arial" w:hAnsi="Arial" w:cs="Arial"/>
          <w:noProof/>
        </w:rPr>
      </w:pPr>
    </w:p>
    <w:p w14:paraId="17BA3D2A" w14:textId="77777777" w:rsidR="00721ACD" w:rsidRPr="00DA6313" w:rsidRDefault="00721ACD" w:rsidP="00F623A2">
      <w:pPr>
        <w:spacing w:after="0" w:line="240" w:lineRule="auto"/>
        <w:jc w:val="both"/>
        <w:rPr>
          <w:rFonts w:ascii="Arial" w:eastAsia="Times New Roman" w:hAnsi="Arial" w:cs="Arial"/>
          <w:noProof/>
        </w:rPr>
      </w:pPr>
      <w:r w:rsidRPr="00DA6313">
        <w:rPr>
          <w:rFonts w:ascii="Arial" w:hAnsi="Arial" w:cs="Arial"/>
          <w:noProof/>
        </w:rPr>
        <w:t>P</w:t>
      </w:r>
      <w:r w:rsidRPr="00DA6313">
        <w:rPr>
          <w:rFonts w:ascii="Arial" w:eastAsia="Times New Roman" w:hAnsi="Arial" w:cs="Arial"/>
          <w:noProof/>
        </w:rPr>
        <w:t>ropisi koji se primijenjuju u postupku</w:t>
      </w:r>
      <w:r w:rsidRPr="00DA6313">
        <w:rPr>
          <w:rFonts w:ascii="Arial" w:hAnsi="Arial" w:cs="Arial"/>
          <w:noProof/>
        </w:rPr>
        <w:t xml:space="preserve"> davanja koncesije i</w:t>
      </w:r>
      <w:r w:rsidRPr="00DA6313">
        <w:rPr>
          <w:rFonts w:ascii="Arial" w:eastAsia="Times New Roman" w:hAnsi="Arial" w:cs="Arial"/>
          <w:noProof/>
        </w:rPr>
        <w:t xml:space="preserve"> vršenja koncesione djelatnosti: </w:t>
      </w:r>
    </w:p>
    <w:p w14:paraId="5EC91FCA" w14:textId="77777777" w:rsidR="00721ACD" w:rsidRPr="00DA6313" w:rsidRDefault="00721ACD" w:rsidP="00F623A2">
      <w:pPr>
        <w:spacing w:after="0" w:line="240" w:lineRule="auto"/>
        <w:jc w:val="both"/>
        <w:rPr>
          <w:rFonts w:ascii="Arial" w:eastAsia="Times New Roman" w:hAnsi="Arial" w:cs="Arial"/>
          <w:noProof/>
        </w:rPr>
      </w:pPr>
    </w:p>
    <w:p w14:paraId="64D576AD" w14:textId="77777777" w:rsidR="00262380" w:rsidRPr="00DA6313" w:rsidRDefault="00262380" w:rsidP="00F623A2">
      <w:pPr>
        <w:spacing w:after="0" w:line="240" w:lineRule="auto"/>
        <w:jc w:val="both"/>
        <w:rPr>
          <w:rFonts w:ascii="Arial" w:eastAsia="Times New Roman" w:hAnsi="Arial" w:cs="Arial"/>
          <w:noProof/>
        </w:rPr>
      </w:pPr>
      <w:r w:rsidRPr="00DA6313">
        <w:rPr>
          <w:rFonts w:ascii="Arial" w:hAnsi="Arial" w:cs="Arial"/>
          <w:noProof/>
        </w:rPr>
        <w:t>P</w:t>
      </w:r>
      <w:r w:rsidRPr="00DA6313">
        <w:rPr>
          <w:rFonts w:ascii="Arial" w:eastAsia="Times New Roman" w:hAnsi="Arial" w:cs="Arial"/>
          <w:noProof/>
        </w:rPr>
        <w:t>ropisi koji se primijenjuju u postupku</w:t>
      </w:r>
      <w:r w:rsidRPr="00DA6313">
        <w:rPr>
          <w:rFonts w:ascii="Arial" w:hAnsi="Arial" w:cs="Arial"/>
          <w:noProof/>
        </w:rPr>
        <w:t xml:space="preserve"> davanja koncesije i</w:t>
      </w:r>
      <w:r w:rsidRPr="00DA6313">
        <w:rPr>
          <w:rFonts w:ascii="Arial" w:eastAsia="Times New Roman" w:hAnsi="Arial" w:cs="Arial"/>
          <w:noProof/>
        </w:rPr>
        <w:t xml:space="preserve"> vršenja koncesione djelatnosti: </w:t>
      </w:r>
    </w:p>
    <w:p w14:paraId="6C36B312" w14:textId="77777777" w:rsidR="00262380" w:rsidRPr="00DA6313" w:rsidRDefault="00262380" w:rsidP="00F623A2">
      <w:pPr>
        <w:pStyle w:val="ListParagraph"/>
        <w:numPr>
          <w:ilvl w:val="0"/>
          <w:numId w:val="19"/>
        </w:numPr>
        <w:spacing w:after="0" w:line="240" w:lineRule="auto"/>
        <w:jc w:val="both"/>
        <w:rPr>
          <w:rFonts w:ascii="Arial" w:hAnsi="Arial" w:cs="Arial"/>
          <w:noProof/>
        </w:rPr>
      </w:pPr>
      <w:r w:rsidRPr="00DA6313">
        <w:rPr>
          <w:rFonts w:ascii="Arial" w:hAnsi="Arial" w:cs="Arial"/>
          <w:noProof/>
        </w:rPr>
        <w:t>Zakon o koncesijama (“Sl. list CG”, br. 8/09</w:t>
      </w:r>
      <w:r w:rsidR="004926CE">
        <w:rPr>
          <w:rFonts w:ascii="Arial" w:hAnsi="Arial" w:cs="Arial"/>
          <w:noProof/>
        </w:rPr>
        <w:t xml:space="preserve"> i 73/19</w:t>
      </w:r>
      <w:r w:rsidRPr="00DA6313">
        <w:rPr>
          <w:rFonts w:ascii="Arial" w:hAnsi="Arial" w:cs="Arial"/>
          <w:noProof/>
        </w:rPr>
        <w:t>);</w:t>
      </w:r>
    </w:p>
    <w:p w14:paraId="0980ACC8"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 xml:space="preserve">Uredba o bližem načinu sprovođenja postupka javnog nadmetanja u otvorenom i dvostepenom postupku davanja koncesije </w:t>
      </w:r>
      <w:r w:rsidRPr="00DA6313">
        <w:rPr>
          <w:rFonts w:ascii="Arial" w:eastAsia="Times New Roman" w:hAnsi="Arial" w:cs="Arial"/>
          <w:noProof/>
        </w:rPr>
        <w:t>(“Sl. list CG”, br. 8/09);</w:t>
      </w:r>
    </w:p>
    <w:p w14:paraId="28713638"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Zakon o rudarstvu („Sl. list CG“, br. 65/08);</w:t>
      </w:r>
    </w:p>
    <w:p w14:paraId="1A39D9B6"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Zakon o geološkim istraživanjima (‘’Sl. list RCG’’, br. 28/93, 27/94, 42/94 i 26/07 i „Sl. list CG“, br. 28/11);</w:t>
      </w:r>
    </w:p>
    <w:p w14:paraId="3861ED04" w14:textId="77777777" w:rsidR="00262380" w:rsidRPr="00DA6313" w:rsidRDefault="00262380" w:rsidP="00664C2A">
      <w:pPr>
        <w:pStyle w:val="ListParagraph"/>
        <w:numPr>
          <w:ilvl w:val="0"/>
          <w:numId w:val="19"/>
        </w:numPr>
        <w:spacing w:line="240" w:lineRule="auto"/>
        <w:jc w:val="both"/>
        <w:rPr>
          <w:rFonts w:ascii="Arial" w:eastAsia="Times New Roman" w:hAnsi="Arial" w:cs="Arial"/>
          <w:noProof/>
        </w:rPr>
      </w:pPr>
      <w:r w:rsidRPr="00DA6313">
        <w:rPr>
          <w:rFonts w:ascii="Arial" w:hAnsi="Arial" w:cs="Arial"/>
          <w:noProof/>
        </w:rPr>
        <w:t>Zakon o zaštiti i zdravlju na radu  („Sl. list CG“, br. 34/14</w:t>
      </w:r>
      <w:r w:rsidR="004926CE">
        <w:rPr>
          <w:rFonts w:ascii="Arial" w:hAnsi="Arial" w:cs="Arial"/>
          <w:noProof/>
        </w:rPr>
        <w:t xml:space="preserve"> i 44/18</w:t>
      </w:r>
      <w:r w:rsidRPr="00DA6313">
        <w:rPr>
          <w:rFonts w:ascii="Arial" w:hAnsi="Arial" w:cs="Arial"/>
          <w:noProof/>
        </w:rPr>
        <w:t>);</w:t>
      </w:r>
    </w:p>
    <w:p w14:paraId="1FCE7A63" w14:textId="77777777" w:rsidR="00262380" w:rsidRPr="00DA6313" w:rsidRDefault="00262380" w:rsidP="00664C2A">
      <w:pPr>
        <w:pStyle w:val="ListParagraph"/>
        <w:numPr>
          <w:ilvl w:val="0"/>
          <w:numId w:val="19"/>
        </w:numPr>
        <w:spacing w:line="240" w:lineRule="auto"/>
        <w:jc w:val="both"/>
        <w:rPr>
          <w:rFonts w:ascii="Arial" w:eastAsia="Times New Roman" w:hAnsi="Arial" w:cs="Arial"/>
          <w:noProof/>
        </w:rPr>
      </w:pPr>
      <w:r w:rsidRPr="00DA6313">
        <w:rPr>
          <w:rFonts w:ascii="Arial" w:hAnsi="Arial" w:cs="Arial"/>
          <w:noProof/>
        </w:rPr>
        <w:t>Zakon o planiranju prostora i izgradnji objekata (“Sl. list CG”, br. 64/17</w:t>
      </w:r>
      <w:r w:rsidR="004926CE">
        <w:rPr>
          <w:rFonts w:ascii="Arial" w:hAnsi="Arial" w:cs="Arial"/>
          <w:noProof/>
        </w:rPr>
        <w:t>, 44/18, 63/18, 11/19 i 82/20</w:t>
      </w:r>
      <w:r w:rsidRPr="00DA6313">
        <w:rPr>
          <w:rFonts w:ascii="Arial" w:hAnsi="Arial" w:cs="Arial"/>
          <w:noProof/>
        </w:rPr>
        <w:t>);</w:t>
      </w:r>
    </w:p>
    <w:p w14:paraId="4F39E9D4"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 xml:space="preserve">Zakon o </w:t>
      </w:r>
      <w:r w:rsidRPr="00026F4F">
        <w:rPr>
          <w:rFonts w:ascii="Arial" w:hAnsi="Arial" w:cs="Arial"/>
          <w:noProof/>
        </w:rPr>
        <w:t>procjeni uticaja</w:t>
      </w:r>
      <w:r w:rsidRPr="00DA6313">
        <w:rPr>
          <w:rFonts w:ascii="Arial" w:hAnsi="Arial" w:cs="Arial"/>
          <w:noProof/>
        </w:rPr>
        <w:t xml:space="preserve"> na životnu sredinu („Sl. list RCG“, br. </w:t>
      </w:r>
      <w:r w:rsidR="00026F4F">
        <w:rPr>
          <w:rFonts w:ascii="Arial" w:hAnsi="Arial" w:cs="Arial"/>
          <w:noProof/>
        </w:rPr>
        <w:t>75/18</w:t>
      </w:r>
      <w:r w:rsidRPr="00DA6313">
        <w:rPr>
          <w:rFonts w:ascii="Arial" w:hAnsi="Arial" w:cs="Arial"/>
          <w:noProof/>
        </w:rPr>
        <w:t>);</w:t>
      </w:r>
    </w:p>
    <w:p w14:paraId="7BCC36E4"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Zakon o zaštiti prirode („Sl. list CG“, br. 54/16</w:t>
      </w:r>
      <w:r w:rsidR="004926CE">
        <w:rPr>
          <w:rFonts w:ascii="Arial" w:hAnsi="Arial" w:cs="Arial"/>
          <w:noProof/>
        </w:rPr>
        <w:t xml:space="preserve"> i 18/19</w:t>
      </w:r>
      <w:r w:rsidRPr="00DA6313">
        <w:rPr>
          <w:rFonts w:ascii="Arial" w:hAnsi="Arial" w:cs="Arial"/>
          <w:noProof/>
        </w:rPr>
        <w:t>);</w:t>
      </w:r>
    </w:p>
    <w:p w14:paraId="6462B09A"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Zakon o životnoj sredini („Sl. list CG“, br. 52/16</w:t>
      </w:r>
      <w:r w:rsidR="004926CE">
        <w:rPr>
          <w:rFonts w:ascii="Arial" w:hAnsi="Arial" w:cs="Arial"/>
          <w:noProof/>
        </w:rPr>
        <w:t xml:space="preserve"> </w:t>
      </w:r>
      <w:r w:rsidR="00A34EA2">
        <w:rPr>
          <w:rFonts w:ascii="Arial" w:hAnsi="Arial" w:cs="Arial"/>
          <w:noProof/>
        </w:rPr>
        <w:t>i 73/19</w:t>
      </w:r>
      <w:r w:rsidRPr="00DA6313">
        <w:rPr>
          <w:rFonts w:ascii="Arial" w:hAnsi="Arial" w:cs="Arial"/>
          <w:noProof/>
        </w:rPr>
        <w:t>);</w:t>
      </w:r>
    </w:p>
    <w:p w14:paraId="391DF3D0"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Zakon o zaštiti kulturnih dobara Crne Gore („Sllist CG“, br. 49/10</w:t>
      </w:r>
      <w:r w:rsidR="00A34EA2">
        <w:rPr>
          <w:rFonts w:ascii="Arial" w:hAnsi="Arial" w:cs="Arial"/>
          <w:noProof/>
        </w:rPr>
        <w:t>, 40/11, 44/17 i 18/19</w:t>
      </w:r>
      <w:r w:rsidRPr="00DA6313">
        <w:rPr>
          <w:rFonts w:ascii="Arial" w:hAnsi="Arial" w:cs="Arial"/>
          <w:noProof/>
        </w:rPr>
        <w:t>);</w:t>
      </w:r>
    </w:p>
    <w:p w14:paraId="4D1F53AB"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Zakon o državnoj imovini (“Sl. list CG”, br. 21/09 i 40/11);</w:t>
      </w:r>
    </w:p>
    <w:p w14:paraId="45D9B08C"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Uredba o kriterijumima i načinu obračuna iznosa minimalne koncesione naknade za ustupanje prava na istraživanje i eksploataciju mineralnih sirovina („Sl. list CG“, br. 37/11 i 40/16);</w:t>
      </w:r>
    </w:p>
    <w:p w14:paraId="4B56B424"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Uredba o visini sredstava za sanaciju i rekultivaciju prostora na kojem se izvode rudarski radovi, način obračunavanja, plaćanja i korišćenja tih sredstava („Sl. list CG“, br. 51/11);</w:t>
      </w:r>
    </w:p>
    <w:p w14:paraId="58499547"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Pravlnik o klasifikaciji, kategorizaciji i proračunu rezervi čvrstih mineralnih sirovina i vođenju evidencije o njima („Sl. list SFRJ“, br. 53/79);</w:t>
      </w:r>
    </w:p>
    <w:p w14:paraId="19F0BA95"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Pravilnik o rudarskim mjerenjima („Sl. list RCG“, br. 26/94);</w:t>
      </w:r>
    </w:p>
    <w:p w14:paraId="4332AE49"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Pravilnik o izradi projekata geoloških istraživanja („Sl. list SRCG“, br. 9/85 i 16/85);</w:t>
      </w:r>
    </w:p>
    <w:p w14:paraId="0A54FD4A"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Pravilnik o sadržini rudarskih projekata („Sl. list CG“, br. 74/09);</w:t>
      </w:r>
    </w:p>
    <w:p w14:paraId="7985C065" w14:textId="77777777" w:rsidR="00262380" w:rsidRPr="00DA6313" w:rsidRDefault="00262380" w:rsidP="00664C2A">
      <w:pPr>
        <w:pStyle w:val="ListParagraph"/>
        <w:numPr>
          <w:ilvl w:val="0"/>
          <w:numId w:val="20"/>
        </w:numPr>
        <w:spacing w:after="0" w:line="240" w:lineRule="auto"/>
        <w:jc w:val="both"/>
        <w:rPr>
          <w:rFonts w:ascii="Arial" w:hAnsi="Arial" w:cs="Arial"/>
          <w:noProof/>
        </w:rPr>
      </w:pPr>
      <w:r w:rsidRPr="00DA6313">
        <w:rPr>
          <w:rFonts w:ascii="Arial" w:hAnsi="Arial" w:cs="Arial"/>
          <w:noProof/>
        </w:rPr>
        <w:t>Pravilnik o sadržaju zahtjeva i dokumentaciji za izdavanje dozvole za preradu i/ili zbrinjavanje otpada iz rudarstva ("Službeni list Crne Gore", br. 78/16)</w:t>
      </w:r>
    </w:p>
    <w:p w14:paraId="1B32CB98"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Pravilnik o tehničkim normativima za površinsku eksploataciju ležišta mineralnih sirovina („Sl. list SFRJ“, br. 62/87);</w:t>
      </w:r>
    </w:p>
    <w:p w14:paraId="06B94516" w14:textId="77777777" w:rsidR="00262380" w:rsidRPr="00DA6313" w:rsidRDefault="00262380" w:rsidP="00664C2A">
      <w:pPr>
        <w:pStyle w:val="ListParagraph"/>
        <w:numPr>
          <w:ilvl w:val="0"/>
          <w:numId w:val="19"/>
        </w:numPr>
        <w:spacing w:line="240" w:lineRule="auto"/>
        <w:jc w:val="both"/>
        <w:rPr>
          <w:rFonts w:ascii="Arial" w:hAnsi="Arial" w:cs="Arial"/>
          <w:noProof/>
        </w:rPr>
      </w:pPr>
      <w:r w:rsidRPr="00DA6313">
        <w:rPr>
          <w:rFonts w:ascii="Arial" w:hAnsi="Arial" w:cs="Arial"/>
          <w:noProof/>
        </w:rPr>
        <w:t xml:space="preserve">Uputstvo o izradi godišnjeg tehničkog izvještaja i godišnjeg finansijskog izvještaja o poslovanju koncesionara koji imaju pravo na eksploataciju mineralnih sirovina („Sl. list RCG“, br. 10/95) i </w:t>
      </w:r>
    </w:p>
    <w:p w14:paraId="0C9C1FAF" w14:textId="17DA7A57" w:rsidR="00262380" w:rsidRPr="00F623A2" w:rsidRDefault="00262380" w:rsidP="00664C2A">
      <w:pPr>
        <w:pStyle w:val="ListParagraph"/>
        <w:numPr>
          <w:ilvl w:val="0"/>
          <w:numId w:val="19"/>
        </w:numPr>
        <w:spacing w:line="240" w:lineRule="auto"/>
        <w:jc w:val="both"/>
        <w:rPr>
          <w:rFonts w:ascii="Arial" w:hAnsi="Arial" w:cs="Arial"/>
          <w:noProof/>
        </w:rPr>
      </w:pPr>
      <w:r w:rsidRPr="00DA6313">
        <w:rPr>
          <w:rFonts w:ascii="Arial" w:eastAsia="Times New Roman" w:hAnsi="Arial" w:cs="Arial"/>
          <w:noProof/>
        </w:rPr>
        <w:t>ostali propisi.</w:t>
      </w:r>
    </w:p>
    <w:p w14:paraId="33941C6B" w14:textId="77777777" w:rsidR="00F623A2" w:rsidRPr="00DA6313" w:rsidRDefault="00F623A2" w:rsidP="00525578">
      <w:pPr>
        <w:pStyle w:val="ListParagraph"/>
        <w:spacing w:line="240" w:lineRule="auto"/>
        <w:jc w:val="both"/>
        <w:rPr>
          <w:rFonts w:ascii="Arial" w:hAnsi="Arial" w:cs="Arial"/>
          <w:noProof/>
        </w:rPr>
      </w:pPr>
    </w:p>
    <w:p w14:paraId="5C782303" w14:textId="77777777" w:rsidR="00262380" w:rsidRPr="00DA6313" w:rsidRDefault="00262380" w:rsidP="00262380">
      <w:pPr>
        <w:suppressAutoHyphens w:val="0"/>
        <w:spacing w:after="0" w:line="240" w:lineRule="auto"/>
        <w:jc w:val="both"/>
        <w:rPr>
          <w:rFonts w:ascii="Arial" w:eastAsia="Times New Roman" w:hAnsi="Arial" w:cs="Arial"/>
          <w:b/>
          <w:noProof/>
        </w:rPr>
      </w:pPr>
      <w:r w:rsidRPr="00DA6313">
        <w:rPr>
          <w:rFonts w:ascii="Arial" w:eastAsia="Times New Roman" w:hAnsi="Arial" w:cs="Arial"/>
          <w:b/>
          <w:noProof/>
        </w:rPr>
        <w:t>Napomena:</w:t>
      </w:r>
    </w:p>
    <w:p w14:paraId="07E40AE7" w14:textId="77777777" w:rsidR="00262380" w:rsidRDefault="00262380" w:rsidP="00262380">
      <w:pPr>
        <w:suppressAutoHyphens w:val="0"/>
        <w:spacing w:after="0" w:line="240" w:lineRule="auto"/>
        <w:jc w:val="both"/>
        <w:rPr>
          <w:rFonts w:ascii="Arial" w:eastAsia="Times New Roman" w:hAnsi="Arial" w:cs="Arial"/>
          <w:noProof/>
        </w:rPr>
      </w:pPr>
      <w:r w:rsidRPr="00DA6313">
        <w:rPr>
          <w:rFonts w:ascii="Arial" w:eastAsia="Times New Roman" w:hAnsi="Arial" w:cs="Arial"/>
          <w:noProof/>
        </w:rPr>
        <w:t>Prikazani parametri i podaci predstavljaju samo okvirnu ocjenu ekonomske opravdanosti investicije i nijesu garancija investitorima na osnovu koje imaju pravo na bilo kakvu štetu, već ponuđač prihvata kompletan rizik prilikom podnošenja ponude.</w:t>
      </w:r>
    </w:p>
    <w:p w14:paraId="5282E71B" w14:textId="6DF3C738" w:rsidR="00512C15" w:rsidRDefault="00512C15" w:rsidP="00262380">
      <w:pPr>
        <w:suppressAutoHyphens w:val="0"/>
        <w:spacing w:after="0" w:line="240" w:lineRule="auto"/>
        <w:jc w:val="both"/>
        <w:rPr>
          <w:rFonts w:ascii="Arial" w:eastAsia="Times New Roman" w:hAnsi="Arial" w:cs="Arial"/>
          <w:noProof/>
        </w:rPr>
      </w:pPr>
    </w:p>
    <w:p w14:paraId="3C2E9F70" w14:textId="63A75B56" w:rsidR="00F623A2" w:rsidRDefault="00F623A2" w:rsidP="00262380">
      <w:pPr>
        <w:suppressAutoHyphens w:val="0"/>
        <w:spacing w:after="0" w:line="240" w:lineRule="auto"/>
        <w:jc w:val="both"/>
        <w:rPr>
          <w:rFonts w:ascii="Arial" w:eastAsia="Times New Roman" w:hAnsi="Arial" w:cs="Arial"/>
          <w:noProof/>
        </w:rPr>
      </w:pPr>
    </w:p>
    <w:p w14:paraId="2667CF4E" w14:textId="77777777" w:rsidR="00F623A2" w:rsidRPr="00DA6313" w:rsidRDefault="00F623A2" w:rsidP="00262380">
      <w:pPr>
        <w:suppressAutoHyphens w:val="0"/>
        <w:spacing w:after="0" w:line="240" w:lineRule="auto"/>
        <w:jc w:val="both"/>
        <w:rPr>
          <w:rFonts w:ascii="Arial" w:eastAsia="Times New Roman" w:hAnsi="Arial" w:cs="Arial"/>
          <w:noProof/>
        </w:rPr>
      </w:pPr>
    </w:p>
    <w:p w14:paraId="02E8D094" w14:textId="77777777" w:rsidR="00262380" w:rsidRPr="00DA6313" w:rsidRDefault="00262380" w:rsidP="00262380">
      <w:pPr>
        <w:spacing w:after="0" w:line="240" w:lineRule="auto"/>
        <w:jc w:val="both"/>
        <w:rPr>
          <w:rFonts w:ascii="Arial" w:hAnsi="Arial" w:cs="Arial"/>
          <w:noProof/>
        </w:rPr>
      </w:pPr>
      <w:r w:rsidRPr="00DA6313">
        <w:rPr>
          <w:rFonts w:ascii="Arial" w:hAnsi="Arial" w:cs="Arial"/>
          <w:b/>
          <w:bCs/>
          <w:noProof/>
        </w:rPr>
        <w:lastRenderedPageBreak/>
        <w:t>P R I L O Z I</w:t>
      </w:r>
    </w:p>
    <w:p w14:paraId="3896621B" w14:textId="77777777" w:rsidR="00D34056" w:rsidRPr="004922A7" w:rsidRDefault="00D34056" w:rsidP="00D34056">
      <w:pPr>
        <w:spacing w:after="0" w:line="240" w:lineRule="auto"/>
        <w:jc w:val="both"/>
        <w:rPr>
          <w:rFonts w:ascii="Arial" w:hAnsi="Arial" w:cs="Arial"/>
          <w:lang w:val="sr-Latn-CS"/>
        </w:rPr>
      </w:pPr>
    </w:p>
    <w:p w14:paraId="7C3E8351" w14:textId="77777777" w:rsidR="00D34056" w:rsidRDefault="00202721" w:rsidP="00664C2A">
      <w:pPr>
        <w:numPr>
          <w:ilvl w:val="1"/>
          <w:numId w:val="22"/>
        </w:numPr>
        <w:spacing w:after="0" w:line="240" w:lineRule="auto"/>
        <w:jc w:val="both"/>
        <w:rPr>
          <w:rFonts w:ascii="Arial" w:hAnsi="Arial" w:cs="Arial"/>
          <w:lang w:val="sr-Latn-CS"/>
        </w:rPr>
      </w:pPr>
      <w:r>
        <w:rPr>
          <w:rFonts w:ascii="Arial" w:hAnsi="Arial" w:cs="Arial"/>
          <w:lang w:val="sr-Latn-CS"/>
        </w:rPr>
        <w:t>Nacrt</w:t>
      </w:r>
      <w:r w:rsidR="00D34056" w:rsidRPr="00F4049E">
        <w:rPr>
          <w:rFonts w:ascii="Arial" w:hAnsi="Arial" w:cs="Arial"/>
          <w:lang w:val="sr-Latn-CS"/>
        </w:rPr>
        <w:t xml:space="preserve"> </w:t>
      </w:r>
      <w:r>
        <w:rPr>
          <w:rFonts w:ascii="Arial" w:hAnsi="Arial" w:cs="Arial"/>
          <w:lang w:val="sr-Latn-CS"/>
        </w:rPr>
        <w:t>u</w:t>
      </w:r>
      <w:r w:rsidR="00D34056" w:rsidRPr="00F4049E">
        <w:rPr>
          <w:rFonts w:ascii="Arial" w:hAnsi="Arial" w:cs="Arial"/>
          <w:lang w:val="sr-Latn-CS"/>
        </w:rPr>
        <w:t>govora</w:t>
      </w:r>
    </w:p>
    <w:p w14:paraId="0540C5A5" w14:textId="77777777" w:rsidR="00202721" w:rsidRPr="00202721" w:rsidRDefault="00202721" w:rsidP="00202721">
      <w:pPr>
        <w:spacing w:after="0" w:line="240" w:lineRule="auto"/>
        <w:ind w:left="1440"/>
        <w:jc w:val="both"/>
        <w:rPr>
          <w:rFonts w:ascii="Arial" w:hAnsi="Arial" w:cs="Arial"/>
          <w:lang w:val="sr-Latn-CS"/>
        </w:rPr>
      </w:pPr>
    </w:p>
    <w:p w14:paraId="20EB114D" w14:textId="77777777" w:rsidR="00202721" w:rsidRPr="00F4049E" w:rsidRDefault="00202721" w:rsidP="00202721">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F4049E">
        <w:rPr>
          <w:rFonts w:ascii="Arial" w:hAnsi="Arial" w:cs="Arial"/>
          <w:lang w:val="sr-Latn-CS"/>
        </w:rPr>
        <w:t>Prilog 1 – obrazac  bankarske garancije za Fazu detaljnih geoloških istraživanja</w:t>
      </w:r>
    </w:p>
    <w:p w14:paraId="75037FF3" w14:textId="77777777" w:rsidR="00202721" w:rsidRPr="00F4049E" w:rsidRDefault="00202721" w:rsidP="00202721">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F4049E">
        <w:rPr>
          <w:rFonts w:ascii="Arial" w:hAnsi="Arial" w:cs="Arial"/>
          <w:lang w:val="sr-Latn-CS"/>
        </w:rPr>
        <w:t>Prilog 2 – obrazac bankarske garancije za ispunjavanje ugovornih obaveza</w:t>
      </w:r>
    </w:p>
    <w:p w14:paraId="22508A56" w14:textId="77777777" w:rsidR="00202721" w:rsidRDefault="00202721" w:rsidP="00202721">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F4049E">
        <w:rPr>
          <w:rFonts w:ascii="Arial" w:hAnsi="Arial" w:cs="Arial"/>
          <w:lang w:val="sr-Latn-CS"/>
        </w:rPr>
        <w:t>Prilog 3 – obrazac bankarske garancije za rekultivaciju</w:t>
      </w:r>
    </w:p>
    <w:p w14:paraId="06D7BEDE" w14:textId="77777777" w:rsidR="003B463B" w:rsidRDefault="003B463B" w:rsidP="00202721">
      <w:pPr>
        <w:pStyle w:val="ListParagraph"/>
        <w:suppressAutoHyphens w:val="0"/>
        <w:spacing w:after="0" w:line="240" w:lineRule="auto"/>
        <w:ind w:left="0"/>
        <w:contextualSpacing w:val="0"/>
        <w:jc w:val="both"/>
        <w:rPr>
          <w:rFonts w:ascii="Arial" w:hAnsi="Arial" w:cs="Arial"/>
          <w:lang w:val="sr-Latn-CS"/>
        </w:rPr>
      </w:pPr>
    </w:p>
    <w:p w14:paraId="1DC1F1EA" w14:textId="77777777" w:rsidR="003B463B" w:rsidRPr="00F4049E" w:rsidRDefault="003B463B" w:rsidP="00202721">
      <w:pPr>
        <w:pStyle w:val="ListParagraph"/>
        <w:suppressAutoHyphens w:val="0"/>
        <w:spacing w:after="0" w:line="240" w:lineRule="auto"/>
        <w:ind w:left="0"/>
        <w:contextualSpacing w:val="0"/>
        <w:jc w:val="both"/>
        <w:rPr>
          <w:rFonts w:ascii="Arial" w:hAnsi="Arial" w:cs="Arial"/>
          <w:lang w:val="sr-Latn-CS"/>
        </w:rPr>
      </w:pPr>
    </w:p>
    <w:p w14:paraId="346A5861" w14:textId="77777777" w:rsidR="00D34056" w:rsidRPr="0006653B" w:rsidRDefault="00D34056" w:rsidP="00664C2A">
      <w:pPr>
        <w:pStyle w:val="ListParagraph"/>
        <w:numPr>
          <w:ilvl w:val="1"/>
          <w:numId w:val="22"/>
        </w:numPr>
        <w:spacing w:after="0" w:line="240" w:lineRule="auto"/>
        <w:jc w:val="both"/>
        <w:rPr>
          <w:rFonts w:ascii="Arial" w:hAnsi="Arial" w:cs="Arial"/>
          <w:lang w:val="sr-Latn-CS"/>
        </w:rPr>
      </w:pPr>
      <w:r w:rsidRPr="0006653B">
        <w:rPr>
          <w:rFonts w:ascii="Arial" w:hAnsi="Arial" w:cs="Arial"/>
          <w:lang w:val="sr-Latn-CS"/>
        </w:rPr>
        <w:t>Prilozi i uputstva</w:t>
      </w:r>
    </w:p>
    <w:p w14:paraId="6ECD47D1" w14:textId="77777777" w:rsidR="0006653B" w:rsidRPr="0006653B" w:rsidRDefault="0006653B" w:rsidP="0006653B">
      <w:pPr>
        <w:pStyle w:val="ListParagraph"/>
        <w:spacing w:after="0" w:line="240" w:lineRule="auto"/>
        <w:ind w:left="1440"/>
        <w:jc w:val="both"/>
        <w:rPr>
          <w:rFonts w:ascii="Arial" w:hAnsi="Arial" w:cs="Arial"/>
          <w:lang w:val="sr-Latn-CS"/>
        </w:rPr>
      </w:pPr>
    </w:p>
    <w:p w14:paraId="5449212C" w14:textId="77777777" w:rsidR="00D34056" w:rsidRPr="00F4049E" w:rsidRDefault="00D34056" w:rsidP="00D34056">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F4049E">
        <w:rPr>
          <w:rFonts w:ascii="Arial" w:hAnsi="Arial" w:cs="Arial"/>
          <w:lang w:val="sr-Latn-CS"/>
        </w:rPr>
        <w:t>Obrazac A – Podaci o ponuđaču</w:t>
      </w:r>
    </w:p>
    <w:p w14:paraId="148A85C1" w14:textId="77777777" w:rsidR="00D34056" w:rsidRPr="00F4049E" w:rsidRDefault="00D34056" w:rsidP="00D34056">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F4049E">
        <w:rPr>
          <w:rFonts w:ascii="Arial" w:hAnsi="Arial" w:cs="Arial"/>
          <w:lang w:val="sr-Latn-CS"/>
        </w:rPr>
        <w:t>Obrazac B – Tehnička ponuda</w:t>
      </w:r>
    </w:p>
    <w:p w14:paraId="2139FEC1" w14:textId="77777777" w:rsidR="00D34056" w:rsidRPr="00F4049E" w:rsidRDefault="00D34056" w:rsidP="00D34056">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F4049E">
        <w:rPr>
          <w:rFonts w:ascii="Arial" w:hAnsi="Arial" w:cs="Arial"/>
          <w:lang w:val="sr-Latn-CS"/>
        </w:rPr>
        <w:t>Obrazac C – Forma bankarske garancije za ponudu</w:t>
      </w:r>
    </w:p>
    <w:p w14:paraId="48EEEA16" w14:textId="77777777" w:rsidR="0057133F" w:rsidRPr="009534C8" w:rsidRDefault="00D34056" w:rsidP="00262380">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F4049E">
        <w:rPr>
          <w:rFonts w:ascii="Arial" w:hAnsi="Arial" w:cs="Arial"/>
          <w:lang w:val="sr-Latn-CS"/>
        </w:rPr>
        <w:t xml:space="preserve">Prilog 4 </w:t>
      </w:r>
      <w:r w:rsidR="009534C8">
        <w:rPr>
          <w:rFonts w:ascii="Arial" w:hAnsi="Arial" w:cs="Arial"/>
          <w:lang w:val="sr-Latn-CS"/>
        </w:rPr>
        <w:t>– Uputstvo za podnošenje ponuda</w:t>
      </w:r>
    </w:p>
    <w:sectPr w:rsidR="0057133F" w:rsidRPr="009534C8" w:rsidSect="009F41AA">
      <w:footerReference w:type="default" r:id="rId10"/>
      <w:pgSz w:w="11907" w:h="16839" w:code="9"/>
      <w:pgMar w:top="864" w:right="1008"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78DB2" w14:textId="77777777" w:rsidR="00ED78DE" w:rsidRDefault="00ED78DE" w:rsidP="004B525C">
      <w:pPr>
        <w:spacing w:after="0" w:line="240" w:lineRule="auto"/>
      </w:pPr>
      <w:r>
        <w:separator/>
      </w:r>
    </w:p>
  </w:endnote>
  <w:endnote w:type="continuationSeparator" w:id="0">
    <w:p w14:paraId="249EDC9B" w14:textId="77777777" w:rsidR="00ED78DE" w:rsidRDefault="00ED78DE"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2" w:type="pct"/>
      <w:tblBorders>
        <w:top w:val="single" w:sz="18" w:space="0" w:color="808080"/>
        <w:insideV w:val="single" w:sz="18" w:space="0" w:color="808080"/>
      </w:tblBorders>
      <w:tblLook w:val="04A0" w:firstRow="1" w:lastRow="0" w:firstColumn="1" w:lastColumn="0" w:noHBand="0" w:noVBand="1"/>
    </w:tblPr>
    <w:tblGrid>
      <w:gridCol w:w="1025"/>
      <w:gridCol w:w="8866"/>
      <w:gridCol w:w="8866"/>
    </w:tblGrid>
    <w:tr w:rsidR="00E85264" w:rsidRPr="00832B61" w14:paraId="5FE0B7FD" w14:textId="77777777" w:rsidTr="003F2286">
      <w:tc>
        <w:tcPr>
          <w:tcW w:w="1025" w:type="dxa"/>
        </w:tcPr>
        <w:p w14:paraId="19B11D23" w14:textId="77777777" w:rsidR="00E85264" w:rsidRPr="0041118F" w:rsidRDefault="00E85264" w:rsidP="003F2286">
          <w:pPr>
            <w:pStyle w:val="Footer"/>
            <w:jc w:val="right"/>
            <w:rPr>
              <w:rFonts w:ascii="Cambria" w:hAnsi="Cambria" w:cs="Calibri"/>
              <w:b/>
              <w:color w:val="4F81BD"/>
            </w:rPr>
          </w:pPr>
          <w:r w:rsidRPr="003F2286">
            <w:rPr>
              <w:rFonts w:ascii="Cambria" w:hAnsi="Cambria" w:cs="Calibri"/>
            </w:rPr>
            <w:fldChar w:fldCharType="begin"/>
          </w:r>
          <w:r w:rsidRPr="003F2286">
            <w:rPr>
              <w:rFonts w:ascii="Cambria" w:hAnsi="Cambria" w:cs="Calibri"/>
            </w:rPr>
            <w:instrText xml:space="preserve"> PAGE   \* MERGEFORMAT </w:instrText>
          </w:r>
          <w:r w:rsidRPr="003F2286">
            <w:rPr>
              <w:rFonts w:ascii="Cambria" w:hAnsi="Cambria" w:cs="Calibri"/>
            </w:rPr>
            <w:fldChar w:fldCharType="separate"/>
          </w:r>
          <w:r w:rsidR="00F32F63" w:rsidRPr="00F32F63">
            <w:rPr>
              <w:rFonts w:ascii="Cambria" w:hAnsi="Cambria" w:cs="Calibri"/>
              <w:b/>
              <w:noProof/>
            </w:rPr>
            <w:t>4</w:t>
          </w:r>
          <w:r w:rsidRPr="003F2286">
            <w:rPr>
              <w:rFonts w:ascii="Cambria" w:hAnsi="Cambria" w:cs="Calibri"/>
              <w:b/>
              <w:noProof/>
            </w:rPr>
            <w:fldChar w:fldCharType="end"/>
          </w:r>
        </w:p>
      </w:tc>
      <w:tc>
        <w:tcPr>
          <w:tcW w:w="8866" w:type="dxa"/>
        </w:tcPr>
        <w:p w14:paraId="3AB77EDD" w14:textId="77777777" w:rsidR="00E85264" w:rsidRPr="00BE06E3" w:rsidRDefault="00E85264" w:rsidP="003F2286">
          <w:pPr>
            <w:pStyle w:val="Footer"/>
            <w:rPr>
              <w:rFonts w:ascii="Arial" w:hAnsi="Arial" w:cs="Arial"/>
              <w:sz w:val="16"/>
              <w:szCs w:val="16"/>
              <w:lang w:val="pl-PL"/>
            </w:rPr>
          </w:pPr>
          <w:r>
            <w:rPr>
              <w:rFonts w:ascii="Arial" w:hAnsi="Arial" w:cs="Arial"/>
              <w:sz w:val="16"/>
              <w:szCs w:val="16"/>
              <w:lang w:val="pl-PL"/>
            </w:rPr>
            <w:t>Koncesioni akt o energetskoj</w:t>
          </w:r>
          <w:r w:rsidRPr="00BE06E3">
            <w:rPr>
              <w:rFonts w:ascii="Arial" w:hAnsi="Arial" w:cs="Arial"/>
              <w:sz w:val="16"/>
              <w:szCs w:val="16"/>
              <w:lang w:val="pl-PL"/>
            </w:rPr>
            <w:t xml:space="preserve"> mineralnoj sirovini </w:t>
          </w:r>
          <w:r>
            <w:rPr>
              <w:rFonts w:ascii="Arial" w:hAnsi="Arial" w:cs="Arial"/>
              <w:sz w:val="16"/>
              <w:szCs w:val="16"/>
              <w:lang w:val="pl-PL"/>
            </w:rPr>
            <w:t>mrkolignitni</w:t>
          </w:r>
          <w:r w:rsidRPr="00BE06E3">
            <w:rPr>
              <w:rFonts w:ascii="Arial" w:hAnsi="Arial" w:cs="Arial"/>
              <w:sz w:val="16"/>
              <w:szCs w:val="16"/>
              <w:lang w:val="pl-PL"/>
            </w:rPr>
            <w:t xml:space="preserve"> </w:t>
          </w:r>
          <w:r>
            <w:rPr>
              <w:rFonts w:ascii="Arial" w:hAnsi="Arial" w:cs="Arial"/>
              <w:sz w:val="16"/>
              <w:szCs w:val="16"/>
              <w:lang w:val="pl-PL"/>
            </w:rPr>
            <w:t>ugalj</w:t>
          </w:r>
          <w:r w:rsidRPr="00BE06E3">
            <w:rPr>
              <w:rFonts w:ascii="Arial" w:hAnsi="Arial" w:cs="Arial"/>
              <w:sz w:val="16"/>
              <w:szCs w:val="16"/>
              <w:lang w:val="pl-PL"/>
            </w:rPr>
            <w:t xml:space="preserve"> lokaliteta </w:t>
          </w:r>
          <w:r>
            <w:rPr>
              <w:rFonts w:ascii="Arial" w:hAnsi="Arial" w:cs="Arial"/>
              <w:sz w:val="16"/>
              <w:szCs w:val="16"/>
              <w:lang w:val="pl-PL"/>
            </w:rPr>
            <w:t>„Mataruge</w:t>
          </w:r>
          <w:r w:rsidRPr="00BE06E3">
            <w:rPr>
              <w:rFonts w:ascii="Arial" w:hAnsi="Arial" w:cs="Arial"/>
              <w:sz w:val="16"/>
              <w:szCs w:val="16"/>
              <w:lang w:val="pl-PL"/>
            </w:rPr>
            <w:t xml:space="preserve">”, </w:t>
          </w:r>
          <w:r>
            <w:rPr>
              <w:rFonts w:ascii="Arial" w:hAnsi="Arial" w:cs="Arial"/>
              <w:sz w:val="16"/>
              <w:szCs w:val="16"/>
              <w:lang w:val="pl-PL"/>
            </w:rPr>
            <w:t>O</w:t>
          </w:r>
          <w:r w:rsidRPr="00BE06E3">
            <w:rPr>
              <w:rFonts w:ascii="Arial" w:hAnsi="Arial" w:cs="Arial"/>
              <w:sz w:val="16"/>
              <w:szCs w:val="16"/>
              <w:lang w:val="pl-PL"/>
            </w:rPr>
            <w:t xml:space="preserve">pština </w:t>
          </w:r>
          <w:r>
            <w:rPr>
              <w:rFonts w:ascii="Arial" w:hAnsi="Arial" w:cs="Arial"/>
              <w:sz w:val="16"/>
              <w:szCs w:val="16"/>
              <w:lang w:val="pl-PL"/>
            </w:rPr>
            <w:t>Pljevlja</w:t>
          </w:r>
        </w:p>
      </w:tc>
      <w:tc>
        <w:tcPr>
          <w:tcW w:w="8866" w:type="dxa"/>
        </w:tcPr>
        <w:p w14:paraId="2C8AB223" w14:textId="77777777" w:rsidR="00E85264" w:rsidRPr="00BE06E3" w:rsidRDefault="00E85264" w:rsidP="003F2286">
          <w:pPr>
            <w:pStyle w:val="Footer"/>
            <w:rPr>
              <w:rFonts w:ascii="Arial" w:hAnsi="Arial" w:cs="Arial"/>
              <w:sz w:val="16"/>
              <w:szCs w:val="16"/>
              <w:lang w:val="pl-PL"/>
            </w:rPr>
          </w:pPr>
        </w:p>
      </w:tc>
    </w:tr>
  </w:tbl>
  <w:p w14:paraId="4AFF457E" w14:textId="77777777" w:rsidR="00E85264" w:rsidRDefault="00E852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insideV w:val="single" w:sz="18" w:space="0" w:color="808080"/>
      </w:tblBorders>
      <w:tblLook w:val="04A0" w:firstRow="1" w:lastRow="0" w:firstColumn="1" w:lastColumn="0" w:noHBand="0" w:noVBand="1"/>
    </w:tblPr>
    <w:tblGrid>
      <w:gridCol w:w="1025"/>
      <w:gridCol w:w="8866"/>
    </w:tblGrid>
    <w:tr w:rsidR="00E85264" w:rsidRPr="00832B61" w14:paraId="198180CF" w14:textId="77777777">
      <w:tc>
        <w:tcPr>
          <w:tcW w:w="918" w:type="dxa"/>
        </w:tcPr>
        <w:p w14:paraId="7F91CBC8" w14:textId="77777777" w:rsidR="00E85264" w:rsidRPr="0041118F" w:rsidRDefault="00E85264">
          <w:pPr>
            <w:pStyle w:val="Footer"/>
            <w:jc w:val="right"/>
            <w:rPr>
              <w:rFonts w:ascii="Cambria" w:hAnsi="Cambria" w:cs="Calibri"/>
              <w:b/>
              <w:color w:val="4F81BD"/>
            </w:rPr>
          </w:pPr>
          <w:r w:rsidRPr="0041118F">
            <w:rPr>
              <w:rFonts w:ascii="Cambria" w:hAnsi="Cambria" w:cs="Calibri"/>
            </w:rPr>
            <w:fldChar w:fldCharType="begin"/>
          </w:r>
          <w:r w:rsidRPr="0041118F">
            <w:rPr>
              <w:rFonts w:ascii="Cambria" w:hAnsi="Cambria" w:cs="Calibri"/>
            </w:rPr>
            <w:instrText xml:space="preserve"> PAGE   \* MERGEFORMAT </w:instrText>
          </w:r>
          <w:r w:rsidRPr="0041118F">
            <w:rPr>
              <w:rFonts w:ascii="Cambria" w:hAnsi="Cambria" w:cs="Calibri"/>
            </w:rPr>
            <w:fldChar w:fldCharType="separate"/>
          </w:r>
          <w:r w:rsidR="00F32F63" w:rsidRPr="00F32F63">
            <w:rPr>
              <w:rFonts w:ascii="Cambria" w:hAnsi="Cambria" w:cs="Calibri"/>
              <w:b/>
              <w:noProof/>
              <w:color w:val="4F81BD"/>
            </w:rPr>
            <w:t>23</w:t>
          </w:r>
          <w:r w:rsidRPr="0041118F">
            <w:rPr>
              <w:rFonts w:ascii="Cambria" w:hAnsi="Cambria" w:cs="Calibri"/>
              <w:b/>
              <w:noProof/>
              <w:color w:val="4F81BD"/>
            </w:rPr>
            <w:fldChar w:fldCharType="end"/>
          </w:r>
        </w:p>
      </w:tc>
      <w:tc>
        <w:tcPr>
          <w:tcW w:w="7938" w:type="dxa"/>
        </w:tcPr>
        <w:p w14:paraId="1743A79A" w14:textId="77777777" w:rsidR="00E85264" w:rsidRPr="00F623A2" w:rsidRDefault="00E85264" w:rsidP="002312A9">
          <w:pPr>
            <w:pStyle w:val="Footer"/>
            <w:rPr>
              <w:rFonts w:asciiTheme="minorHAnsi" w:hAnsiTheme="minorHAnsi" w:cstheme="minorHAnsi"/>
              <w:sz w:val="18"/>
              <w:szCs w:val="18"/>
              <w:lang w:val="pl-PL"/>
            </w:rPr>
          </w:pPr>
          <w:r w:rsidRPr="00F623A2">
            <w:rPr>
              <w:rFonts w:asciiTheme="minorHAnsi" w:hAnsiTheme="minorHAnsi" w:cstheme="minorHAnsi"/>
              <w:sz w:val="18"/>
              <w:szCs w:val="18"/>
              <w:lang w:val="pl-PL"/>
            </w:rPr>
            <w:t>Koncesioni akt o energetskoj mineralnoj sirovini mrkolignitni ugalj lokaliteta „Mataruge”, Opština Pljevlja</w:t>
          </w:r>
        </w:p>
      </w:tc>
    </w:tr>
  </w:tbl>
  <w:p w14:paraId="18375214" w14:textId="77777777" w:rsidR="00E85264" w:rsidRDefault="00E852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000808" w14:textId="77777777" w:rsidR="00ED78DE" w:rsidRDefault="00ED78DE" w:rsidP="004B525C">
      <w:pPr>
        <w:spacing w:after="0" w:line="240" w:lineRule="auto"/>
      </w:pPr>
      <w:r>
        <w:separator/>
      </w:r>
    </w:p>
  </w:footnote>
  <w:footnote w:type="continuationSeparator" w:id="0">
    <w:p w14:paraId="53A73B57" w14:textId="77777777" w:rsidR="00ED78DE" w:rsidRDefault="00ED78DE" w:rsidP="004B52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3A90B89"/>
    <w:multiLevelType w:val="hybridMultilevel"/>
    <w:tmpl w:val="D902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6626742"/>
    <w:multiLevelType w:val="multilevel"/>
    <w:tmpl w:val="D2AE0728"/>
    <w:lvl w:ilvl="0">
      <w:start w:val="10"/>
      <w:numFmt w:val="decimal"/>
      <w:lvlText w:val="%1."/>
      <w:lvlJc w:val="left"/>
      <w:pPr>
        <w:ind w:left="735" w:hanging="375"/>
      </w:pPr>
      <w:rPr>
        <w:rFonts w:hint="default"/>
      </w:rPr>
    </w:lvl>
    <w:lvl w:ilvl="1">
      <w:start w:val="1"/>
      <w:numFmt w:val="decimal"/>
      <w:isLgl/>
      <w:lvlText w:val="%1.%2."/>
      <w:lvlJc w:val="left"/>
      <w:pPr>
        <w:ind w:left="2790" w:hanging="720"/>
      </w:pPr>
      <w:rPr>
        <w:rFonts w:hint="default"/>
      </w:rPr>
    </w:lvl>
    <w:lvl w:ilvl="2">
      <w:start w:val="1"/>
      <w:numFmt w:val="decimal"/>
      <w:isLgl/>
      <w:lvlText w:val="%1.%2.%3."/>
      <w:lvlJc w:val="left"/>
      <w:pPr>
        <w:ind w:left="4500" w:hanging="720"/>
      </w:pPr>
      <w:rPr>
        <w:rFonts w:hint="default"/>
      </w:rPr>
    </w:lvl>
    <w:lvl w:ilvl="3">
      <w:start w:val="1"/>
      <w:numFmt w:val="decimal"/>
      <w:isLgl/>
      <w:lvlText w:val="%1.%2.%3.%4."/>
      <w:lvlJc w:val="left"/>
      <w:pPr>
        <w:ind w:left="6570" w:hanging="1080"/>
      </w:pPr>
      <w:rPr>
        <w:rFonts w:hint="default"/>
      </w:rPr>
    </w:lvl>
    <w:lvl w:ilvl="4">
      <w:start w:val="1"/>
      <w:numFmt w:val="decimal"/>
      <w:isLgl/>
      <w:lvlText w:val="%1.%2.%3.%4.%5."/>
      <w:lvlJc w:val="left"/>
      <w:pPr>
        <w:ind w:left="8280" w:hanging="1080"/>
      </w:pPr>
      <w:rPr>
        <w:rFonts w:hint="default"/>
      </w:rPr>
    </w:lvl>
    <w:lvl w:ilvl="5">
      <w:start w:val="1"/>
      <w:numFmt w:val="decimal"/>
      <w:isLgl/>
      <w:lvlText w:val="%1.%2.%3.%4.%5.%6."/>
      <w:lvlJc w:val="left"/>
      <w:pPr>
        <w:ind w:left="10350" w:hanging="1440"/>
      </w:pPr>
      <w:rPr>
        <w:rFonts w:hint="default"/>
      </w:rPr>
    </w:lvl>
    <w:lvl w:ilvl="6">
      <w:start w:val="1"/>
      <w:numFmt w:val="decimal"/>
      <w:isLgl/>
      <w:lvlText w:val="%1.%2.%3.%4.%5.%6.%7."/>
      <w:lvlJc w:val="left"/>
      <w:pPr>
        <w:ind w:left="12060" w:hanging="1440"/>
      </w:pPr>
      <w:rPr>
        <w:rFonts w:hint="default"/>
      </w:rPr>
    </w:lvl>
    <w:lvl w:ilvl="7">
      <w:start w:val="1"/>
      <w:numFmt w:val="decimal"/>
      <w:isLgl/>
      <w:lvlText w:val="%1.%2.%3.%4.%5.%6.%7.%8."/>
      <w:lvlJc w:val="left"/>
      <w:pPr>
        <w:ind w:left="14130" w:hanging="1800"/>
      </w:pPr>
      <w:rPr>
        <w:rFonts w:hint="default"/>
      </w:rPr>
    </w:lvl>
    <w:lvl w:ilvl="8">
      <w:start w:val="1"/>
      <w:numFmt w:val="decimal"/>
      <w:isLgl/>
      <w:lvlText w:val="%1.%2.%3.%4.%5.%6.%7.%8.%9."/>
      <w:lvlJc w:val="left"/>
      <w:pPr>
        <w:ind w:left="15840" w:hanging="1800"/>
      </w:pPr>
      <w:rPr>
        <w:rFonts w:hint="default"/>
      </w:rPr>
    </w:lvl>
  </w:abstractNum>
  <w:abstractNum w:abstractNumId="24">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A055C05"/>
    <w:multiLevelType w:val="hybridMultilevel"/>
    <w:tmpl w:val="03B21C2A"/>
    <w:lvl w:ilvl="0" w:tplc="04090005">
      <w:start w:val="1"/>
      <w:numFmt w:val="bullet"/>
      <w:lvlText w:val=""/>
      <w:lvlJc w:val="left"/>
      <w:pPr>
        <w:tabs>
          <w:tab w:val="num" w:pos="1080"/>
        </w:tabs>
        <w:ind w:left="10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295636C"/>
    <w:multiLevelType w:val="hybridMultilevel"/>
    <w:tmpl w:val="CDDE74D0"/>
    <w:lvl w:ilvl="0" w:tplc="0B46CA16">
      <w:numFmt w:val="bullet"/>
      <w:lvlText w:val="-"/>
      <w:lvlJc w:val="left"/>
      <w:pPr>
        <w:ind w:left="1440" w:hanging="360"/>
      </w:pPr>
      <w:rPr>
        <w:rFonts w:ascii="Arial" w:eastAsia="Calibr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22E67B35"/>
    <w:multiLevelType w:val="hybridMultilevel"/>
    <w:tmpl w:val="3FC2612C"/>
    <w:lvl w:ilvl="0" w:tplc="2E18DAEC">
      <w:start w:val="1"/>
      <w:numFmt w:val="decimal"/>
      <w:lvlText w:val="Korak %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8643E77"/>
    <w:multiLevelType w:val="multilevel"/>
    <w:tmpl w:val="9628EC40"/>
    <w:lvl w:ilvl="0">
      <w:start w:val="8"/>
      <w:numFmt w:val="decimal"/>
      <w:lvlText w:val="%1."/>
      <w:lvlJc w:val="left"/>
      <w:pPr>
        <w:ind w:left="360" w:hanging="360"/>
      </w:pPr>
      <w:rPr>
        <w:rFonts w:hint="default"/>
      </w:rPr>
    </w:lvl>
    <w:lvl w:ilvl="1">
      <w:start w:val="1"/>
      <w:numFmt w:val="decimal"/>
      <w:lvlText w:val="%1.%2."/>
      <w:lvlJc w:val="left"/>
      <w:pPr>
        <w:ind w:left="279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0">
    <w:nsid w:val="30670C12"/>
    <w:multiLevelType w:val="multilevel"/>
    <w:tmpl w:val="F2A4401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363846C0"/>
    <w:multiLevelType w:val="multilevel"/>
    <w:tmpl w:val="0074C1B0"/>
    <w:lvl w:ilvl="0">
      <w:start w:val="1"/>
      <w:numFmt w:val="decimal"/>
      <w:pStyle w:val="Heading1"/>
      <w:lvlText w:val="%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113"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04A0F75"/>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7EF7253"/>
    <w:multiLevelType w:val="hybridMultilevel"/>
    <w:tmpl w:val="5978E21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40">
    <w:nsid w:val="625B11DF"/>
    <w:multiLevelType w:val="hybridMultilevel"/>
    <w:tmpl w:val="273211DA"/>
    <w:lvl w:ilvl="0" w:tplc="0809000F">
      <w:start w:val="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0C6352E"/>
    <w:multiLevelType w:val="hybridMultilevel"/>
    <w:tmpl w:val="D298C602"/>
    <w:lvl w:ilvl="0" w:tplc="057CA0DC">
      <w:start w:val="1"/>
      <w:numFmt w:val="bullet"/>
      <w:lvlText w:val=""/>
      <w:lvlJc w:val="left"/>
      <w:pPr>
        <w:tabs>
          <w:tab w:val="num" w:pos="720"/>
        </w:tabs>
        <w:ind w:left="720" w:hanging="360"/>
      </w:pPr>
      <w:rPr>
        <w:rFonts w:ascii="Symbol" w:hAnsi="Symbol" w:hint="default"/>
      </w:rPr>
    </w:lvl>
    <w:lvl w:ilvl="1" w:tplc="081A0019" w:tentative="1">
      <w:start w:val="1"/>
      <w:numFmt w:val="bullet"/>
      <w:lvlText w:val="o"/>
      <w:lvlJc w:val="left"/>
      <w:pPr>
        <w:tabs>
          <w:tab w:val="num" w:pos="1440"/>
        </w:tabs>
        <w:ind w:left="1440" w:hanging="360"/>
      </w:pPr>
      <w:rPr>
        <w:rFonts w:ascii="Courier New" w:hAnsi="Courier New" w:cs="Courier New" w:hint="default"/>
      </w:rPr>
    </w:lvl>
    <w:lvl w:ilvl="2" w:tplc="081A001B" w:tentative="1">
      <w:start w:val="1"/>
      <w:numFmt w:val="bullet"/>
      <w:lvlText w:val=""/>
      <w:lvlJc w:val="left"/>
      <w:pPr>
        <w:tabs>
          <w:tab w:val="num" w:pos="2160"/>
        </w:tabs>
        <w:ind w:left="2160" w:hanging="360"/>
      </w:pPr>
      <w:rPr>
        <w:rFonts w:ascii="Wingdings" w:hAnsi="Wingdings" w:hint="default"/>
      </w:rPr>
    </w:lvl>
    <w:lvl w:ilvl="3" w:tplc="081A000F" w:tentative="1">
      <w:start w:val="1"/>
      <w:numFmt w:val="bullet"/>
      <w:lvlText w:val=""/>
      <w:lvlJc w:val="left"/>
      <w:pPr>
        <w:tabs>
          <w:tab w:val="num" w:pos="2880"/>
        </w:tabs>
        <w:ind w:left="2880" w:hanging="360"/>
      </w:pPr>
      <w:rPr>
        <w:rFonts w:ascii="Symbol" w:hAnsi="Symbol" w:hint="default"/>
      </w:rPr>
    </w:lvl>
    <w:lvl w:ilvl="4" w:tplc="081A0019" w:tentative="1">
      <w:start w:val="1"/>
      <w:numFmt w:val="bullet"/>
      <w:lvlText w:val="o"/>
      <w:lvlJc w:val="left"/>
      <w:pPr>
        <w:tabs>
          <w:tab w:val="num" w:pos="3600"/>
        </w:tabs>
        <w:ind w:left="3600" w:hanging="360"/>
      </w:pPr>
      <w:rPr>
        <w:rFonts w:ascii="Courier New" w:hAnsi="Courier New" w:cs="Courier New" w:hint="default"/>
      </w:rPr>
    </w:lvl>
    <w:lvl w:ilvl="5" w:tplc="081A001B" w:tentative="1">
      <w:start w:val="1"/>
      <w:numFmt w:val="bullet"/>
      <w:lvlText w:val=""/>
      <w:lvlJc w:val="left"/>
      <w:pPr>
        <w:tabs>
          <w:tab w:val="num" w:pos="4320"/>
        </w:tabs>
        <w:ind w:left="4320" w:hanging="360"/>
      </w:pPr>
      <w:rPr>
        <w:rFonts w:ascii="Wingdings" w:hAnsi="Wingdings" w:hint="default"/>
      </w:rPr>
    </w:lvl>
    <w:lvl w:ilvl="6" w:tplc="081A000F" w:tentative="1">
      <w:start w:val="1"/>
      <w:numFmt w:val="bullet"/>
      <w:lvlText w:val=""/>
      <w:lvlJc w:val="left"/>
      <w:pPr>
        <w:tabs>
          <w:tab w:val="num" w:pos="5040"/>
        </w:tabs>
        <w:ind w:left="5040" w:hanging="360"/>
      </w:pPr>
      <w:rPr>
        <w:rFonts w:ascii="Symbol" w:hAnsi="Symbol" w:hint="default"/>
      </w:rPr>
    </w:lvl>
    <w:lvl w:ilvl="7" w:tplc="081A0019" w:tentative="1">
      <w:start w:val="1"/>
      <w:numFmt w:val="bullet"/>
      <w:lvlText w:val="o"/>
      <w:lvlJc w:val="left"/>
      <w:pPr>
        <w:tabs>
          <w:tab w:val="num" w:pos="5760"/>
        </w:tabs>
        <w:ind w:left="5760" w:hanging="360"/>
      </w:pPr>
      <w:rPr>
        <w:rFonts w:ascii="Courier New" w:hAnsi="Courier New" w:cs="Courier New" w:hint="default"/>
      </w:rPr>
    </w:lvl>
    <w:lvl w:ilvl="8" w:tplc="081A001B" w:tentative="1">
      <w:start w:val="1"/>
      <w:numFmt w:val="bullet"/>
      <w:lvlText w:val=""/>
      <w:lvlJc w:val="left"/>
      <w:pPr>
        <w:tabs>
          <w:tab w:val="num" w:pos="6480"/>
        </w:tabs>
        <w:ind w:left="6480" w:hanging="360"/>
      </w:pPr>
      <w:rPr>
        <w:rFonts w:ascii="Wingdings" w:hAnsi="Wingdings" w:hint="default"/>
      </w:rPr>
    </w:lvl>
  </w:abstractNum>
  <w:abstractNum w:abstractNumId="42">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011ED4"/>
    <w:multiLevelType w:val="multilevel"/>
    <w:tmpl w:val="CB5625FE"/>
    <w:lvl w:ilvl="0">
      <w:start w:val="1"/>
      <w:numFmt w:val="decimal"/>
      <w:lvlText w:val="%1."/>
      <w:lvlJc w:val="left"/>
      <w:pPr>
        <w:ind w:left="360" w:hanging="360"/>
      </w:pPr>
      <w:rPr>
        <w:rFonts w:hint="default"/>
      </w:rPr>
    </w:lvl>
    <w:lvl w:ilvl="1">
      <w:start w:val="1"/>
      <w:numFmt w:val="decimal"/>
      <w:lvlText w:val="%1.%2."/>
      <w:lvlJc w:val="left"/>
      <w:pPr>
        <w:ind w:left="1489" w:hanging="72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3387" w:hanging="108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5285" w:hanging="144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7183" w:hanging="1800"/>
      </w:pPr>
      <w:rPr>
        <w:rFonts w:hint="default"/>
      </w:rPr>
    </w:lvl>
    <w:lvl w:ilvl="8">
      <w:start w:val="1"/>
      <w:numFmt w:val="decimal"/>
      <w:lvlText w:val="%1.%2.%3.%4.%5.%6.%7.%8.%9."/>
      <w:lvlJc w:val="left"/>
      <w:pPr>
        <w:ind w:left="7952" w:hanging="1800"/>
      </w:pPr>
      <w:rPr>
        <w:rFonts w:hint="default"/>
      </w:rPr>
    </w:lvl>
  </w:abstractNum>
  <w:abstractNum w:abstractNumId="45">
    <w:nsid w:val="795919D3"/>
    <w:multiLevelType w:val="multilevel"/>
    <w:tmpl w:val="EA7C2CCE"/>
    <w:lvl w:ilvl="0">
      <w:start w:val="10"/>
      <w:numFmt w:val="decimal"/>
      <w:lvlText w:val="%1."/>
      <w:lvlJc w:val="left"/>
      <w:pPr>
        <w:ind w:left="480" w:hanging="480"/>
      </w:pPr>
      <w:rPr>
        <w:rFonts w:hint="default"/>
      </w:rPr>
    </w:lvl>
    <w:lvl w:ilvl="1">
      <w:start w:val="1"/>
      <w:numFmt w:val="decimal"/>
      <w:lvlText w:val="%1.%2."/>
      <w:lvlJc w:val="left"/>
      <w:pPr>
        <w:ind w:left="2790" w:hanging="72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7290" w:hanging="108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790" w:hanging="144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6290" w:hanging="1800"/>
      </w:pPr>
      <w:rPr>
        <w:rFonts w:hint="default"/>
      </w:rPr>
    </w:lvl>
    <w:lvl w:ilvl="8">
      <w:start w:val="1"/>
      <w:numFmt w:val="decimal"/>
      <w:lvlText w:val="%1.%2.%3.%4.%5.%6.%7.%8.%9."/>
      <w:lvlJc w:val="left"/>
      <w:pPr>
        <w:ind w:left="18360" w:hanging="1800"/>
      </w:pPr>
      <w:rPr>
        <w:rFonts w:hint="default"/>
      </w:rPr>
    </w:lvl>
  </w:abstractNum>
  <w:abstractNum w:abstractNumId="46">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32"/>
  </w:num>
  <w:num w:numId="4">
    <w:abstractNumId w:val="43"/>
  </w:num>
  <w:num w:numId="5">
    <w:abstractNumId w:val="28"/>
  </w:num>
  <w:num w:numId="6">
    <w:abstractNumId w:val="24"/>
  </w:num>
  <w:num w:numId="7">
    <w:abstractNumId w:val="31"/>
  </w:num>
  <w:num w:numId="8">
    <w:abstractNumId w:val="46"/>
  </w:num>
  <w:num w:numId="9">
    <w:abstractNumId w:val="26"/>
  </w:num>
  <w:num w:numId="10">
    <w:abstractNumId w:val="36"/>
  </w:num>
  <w:num w:numId="11">
    <w:abstractNumId w:val="42"/>
  </w:num>
  <w:num w:numId="12">
    <w:abstractNumId w:val="21"/>
  </w:num>
  <w:num w:numId="13">
    <w:abstractNumId w:val="22"/>
  </w:num>
  <w:num w:numId="14">
    <w:abstractNumId w:val="34"/>
  </w:num>
  <w:num w:numId="15">
    <w:abstractNumId w:val="33"/>
  </w:num>
  <w:num w:numId="16">
    <w:abstractNumId w:val="41"/>
  </w:num>
  <w:num w:numId="17">
    <w:abstractNumId w:val="19"/>
  </w:num>
  <w:num w:numId="18">
    <w:abstractNumId w:val="4"/>
  </w:num>
  <w:num w:numId="19">
    <w:abstractNumId w:val="20"/>
  </w:num>
  <w:num w:numId="20">
    <w:abstractNumId w:val="20"/>
  </w:num>
  <w:num w:numId="21">
    <w:abstractNumId w:val="27"/>
  </w:num>
  <w:num w:numId="22">
    <w:abstractNumId w:val="25"/>
  </w:num>
  <w:num w:numId="23">
    <w:abstractNumId w:val="37"/>
  </w:num>
  <w:num w:numId="24">
    <w:abstractNumId w:val="40"/>
  </w:num>
  <w:num w:numId="25">
    <w:abstractNumId w:val="29"/>
  </w:num>
  <w:num w:numId="26">
    <w:abstractNumId w:val="39"/>
  </w:num>
  <w:num w:numId="27">
    <w:abstractNumId w:val="30"/>
  </w:num>
  <w:num w:numId="28">
    <w:abstractNumId w:val="45"/>
  </w:num>
  <w:num w:numId="29">
    <w:abstractNumId w:val="23"/>
  </w:num>
  <w:num w:numId="30">
    <w:abstractNumId w:val="44"/>
  </w:num>
  <w:num w:numId="31">
    <w:abstractNumId w:val="35"/>
  </w:num>
  <w:num w:numId="32">
    <w:abstractNumId w:val="3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584"/>
    <w:rsid w:val="00005F27"/>
    <w:rsid w:val="000068E1"/>
    <w:rsid w:val="0000709B"/>
    <w:rsid w:val="0000727F"/>
    <w:rsid w:val="00013081"/>
    <w:rsid w:val="00013C13"/>
    <w:rsid w:val="00013D0B"/>
    <w:rsid w:val="00015479"/>
    <w:rsid w:val="000161E5"/>
    <w:rsid w:val="0002393F"/>
    <w:rsid w:val="000268BD"/>
    <w:rsid w:val="00026DDC"/>
    <w:rsid w:val="00026F4F"/>
    <w:rsid w:val="000277A5"/>
    <w:rsid w:val="00030E38"/>
    <w:rsid w:val="00032743"/>
    <w:rsid w:val="00040AD8"/>
    <w:rsid w:val="0004133D"/>
    <w:rsid w:val="00050F28"/>
    <w:rsid w:val="0006021C"/>
    <w:rsid w:val="00060BBC"/>
    <w:rsid w:val="0006653B"/>
    <w:rsid w:val="0006697E"/>
    <w:rsid w:val="0007012D"/>
    <w:rsid w:val="00070B47"/>
    <w:rsid w:val="00080300"/>
    <w:rsid w:val="00090E99"/>
    <w:rsid w:val="00092FC9"/>
    <w:rsid w:val="00095CCC"/>
    <w:rsid w:val="000A2974"/>
    <w:rsid w:val="000A46CA"/>
    <w:rsid w:val="000A5CF5"/>
    <w:rsid w:val="000A6444"/>
    <w:rsid w:val="000A7CB6"/>
    <w:rsid w:val="000B2618"/>
    <w:rsid w:val="000B353B"/>
    <w:rsid w:val="000C001B"/>
    <w:rsid w:val="000C1077"/>
    <w:rsid w:val="000C3DA5"/>
    <w:rsid w:val="000C601F"/>
    <w:rsid w:val="000D15C5"/>
    <w:rsid w:val="000D22AD"/>
    <w:rsid w:val="000E07A6"/>
    <w:rsid w:val="000E0CEA"/>
    <w:rsid w:val="000E197C"/>
    <w:rsid w:val="000E2011"/>
    <w:rsid w:val="000E2590"/>
    <w:rsid w:val="000E4FD4"/>
    <w:rsid w:val="000E52CE"/>
    <w:rsid w:val="000F6072"/>
    <w:rsid w:val="00102541"/>
    <w:rsid w:val="001032FA"/>
    <w:rsid w:val="00106B4B"/>
    <w:rsid w:val="00107B9D"/>
    <w:rsid w:val="001163A9"/>
    <w:rsid w:val="001175C4"/>
    <w:rsid w:val="00120F99"/>
    <w:rsid w:val="001229EA"/>
    <w:rsid w:val="001239EB"/>
    <w:rsid w:val="0012563B"/>
    <w:rsid w:val="0012616D"/>
    <w:rsid w:val="00127DB0"/>
    <w:rsid w:val="001308BD"/>
    <w:rsid w:val="00132993"/>
    <w:rsid w:val="0013316D"/>
    <w:rsid w:val="00133CCA"/>
    <w:rsid w:val="0014082F"/>
    <w:rsid w:val="001409D3"/>
    <w:rsid w:val="00142C1B"/>
    <w:rsid w:val="00143F0C"/>
    <w:rsid w:val="0014416D"/>
    <w:rsid w:val="00145B56"/>
    <w:rsid w:val="00145CB2"/>
    <w:rsid w:val="001517DE"/>
    <w:rsid w:val="00151EB4"/>
    <w:rsid w:val="001578F4"/>
    <w:rsid w:val="00164E03"/>
    <w:rsid w:val="001652EC"/>
    <w:rsid w:val="00165E87"/>
    <w:rsid w:val="001664BF"/>
    <w:rsid w:val="00171050"/>
    <w:rsid w:val="0017211A"/>
    <w:rsid w:val="001772E4"/>
    <w:rsid w:val="0017759A"/>
    <w:rsid w:val="00181E59"/>
    <w:rsid w:val="00193175"/>
    <w:rsid w:val="001952BB"/>
    <w:rsid w:val="00197069"/>
    <w:rsid w:val="001A3C67"/>
    <w:rsid w:val="001B3770"/>
    <w:rsid w:val="001B54E3"/>
    <w:rsid w:val="001B62E4"/>
    <w:rsid w:val="001B697C"/>
    <w:rsid w:val="001B6F18"/>
    <w:rsid w:val="001D5B3E"/>
    <w:rsid w:val="001D5BDC"/>
    <w:rsid w:val="001D6C2E"/>
    <w:rsid w:val="001E37E9"/>
    <w:rsid w:val="001E3F2C"/>
    <w:rsid w:val="001E4F96"/>
    <w:rsid w:val="001E5209"/>
    <w:rsid w:val="001E5E97"/>
    <w:rsid w:val="001F084E"/>
    <w:rsid w:val="001F241E"/>
    <w:rsid w:val="001F29D8"/>
    <w:rsid w:val="001F75DE"/>
    <w:rsid w:val="002008E3"/>
    <w:rsid w:val="00202721"/>
    <w:rsid w:val="00205B7D"/>
    <w:rsid w:val="00230A7A"/>
    <w:rsid w:val="0023118C"/>
    <w:rsid w:val="002312A9"/>
    <w:rsid w:val="002352BE"/>
    <w:rsid w:val="0023547B"/>
    <w:rsid w:val="00237F0E"/>
    <w:rsid w:val="00240805"/>
    <w:rsid w:val="002423A3"/>
    <w:rsid w:val="002431A8"/>
    <w:rsid w:val="002449B2"/>
    <w:rsid w:val="00247931"/>
    <w:rsid w:val="002528E3"/>
    <w:rsid w:val="00252C3C"/>
    <w:rsid w:val="00255318"/>
    <w:rsid w:val="00255ABC"/>
    <w:rsid w:val="00260730"/>
    <w:rsid w:val="00262380"/>
    <w:rsid w:val="00272BC7"/>
    <w:rsid w:val="002778FC"/>
    <w:rsid w:val="00287E8F"/>
    <w:rsid w:val="00294D6B"/>
    <w:rsid w:val="00296D40"/>
    <w:rsid w:val="00297F2E"/>
    <w:rsid w:val="002A2745"/>
    <w:rsid w:val="002A5726"/>
    <w:rsid w:val="002B0C60"/>
    <w:rsid w:val="002B4633"/>
    <w:rsid w:val="002C0CE9"/>
    <w:rsid w:val="002C4C57"/>
    <w:rsid w:val="002C59A4"/>
    <w:rsid w:val="002C63AC"/>
    <w:rsid w:val="002D0162"/>
    <w:rsid w:val="002D205C"/>
    <w:rsid w:val="002D2313"/>
    <w:rsid w:val="002D2601"/>
    <w:rsid w:val="002E3226"/>
    <w:rsid w:val="002E5F64"/>
    <w:rsid w:val="002E7A10"/>
    <w:rsid w:val="002F070F"/>
    <w:rsid w:val="002F17B8"/>
    <w:rsid w:val="002F24ED"/>
    <w:rsid w:val="002F4156"/>
    <w:rsid w:val="003018F6"/>
    <w:rsid w:val="00305E84"/>
    <w:rsid w:val="00306FFD"/>
    <w:rsid w:val="00307B8A"/>
    <w:rsid w:val="00310904"/>
    <w:rsid w:val="00312EBF"/>
    <w:rsid w:val="00313046"/>
    <w:rsid w:val="0032264F"/>
    <w:rsid w:val="00325E5B"/>
    <w:rsid w:val="00331EEE"/>
    <w:rsid w:val="003325BE"/>
    <w:rsid w:val="003338BC"/>
    <w:rsid w:val="00335B10"/>
    <w:rsid w:val="00336C95"/>
    <w:rsid w:val="0033725D"/>
    <w:rsid w:val="00341761"/>
    <w:rsid w:val="00341F27"/>
    <w:rsid w:val="003423FB"/>
    <w:rsid w:val="00343137"/>
    <w:rsid w:val="003443A1"/>
    <w:rsid w:val="003456A4"/>
    <w:rsid w:val="00346014"/>
    <w:rsid w:val="003466FE"/>
    <w:rsid w:val="00350430"/>
    <w:rsid w:val="00351A0D"/>
    <w:rsid w:val="003542D0"/>
    <w:rsid w:val="00356105"/>
    <w:rsid w:val="00356F6D"/>
    <w:rsid w:val="00361B9D"/>
    <w:rsid w:val="00363797"/>
    <w:rsid w:val="00363969"/>
    <w:rsid w:val="00370B6E"/>
    <w:rsid w:val="003723F1"/>
    <w:rsid w:val="00374F7E"/>
    <w:rsid w:val="00376693"/>
    <w:rsid w:val="00377391"/>
    <w:rsid w:val="00380CD9"/>
    <w:rsid w:val="00386BAD"/>
    <w:rsid w:val="00387701"/>
    <w:rsid w:val="00390082"/>
    <w:rsid w:val="00397EC6"/>
    <w:rsid w:val="003A5A2F"/>
    <w:rsid w:val="003B02CB"/>
    <w:rsid w:val="003B180A"/>
    <w:rsid w:val="003B463B"/>
    <w:rsid w:val="003B7A63"/>
    <w:rsid w:val="003B7BF4"/>
    <w:rsid w:val="003C0AA3"/>
    <w:rsid w:val="003C379D"/>
    <w:rsid w:val="003C3CE5"/>
    <w:rsid w:val="003C518E"/>
    <w:rsid w:val="003C5414"/>
    <w:rsid w:val="003C5489"/>
    <w:rsid w:val="003C5651"/>
    <w:rsid w:val="003C7F1E"/>
    <w:rsid w:val="003E1049"/>
    <w:rsid w:val="003E777D"/>
    <w:rsid w:val="003F2286"/>
    <w:rsid w:val="003F5D0A"/>
    <w:rsid w:val="003F769F"/>
    <w:rsid w:val="004051DD"/>
    <w:rsid w:val="0041118F"/>
    <w:rsid w:val="004128C7"/>
    <w:rsid w:val="0041480D"/>
    <w:rsid w:val="00416F8E"/>
    <w:rsid w:val="0042201E"/>
    <w:rsid w:val="00423855"/>
    <w:rsid w:val="00424925"/>
    <w:rsid w:val="00425062"/>
    <w:rsid w:val="00435E93"/>
    <w:rsid w:val="00436AE7"/>
    <w:rsid w:val="00442C3D"/>
    <w:rsid w:val="00442CD3"/>
    <w:rsid w:val="004466D8"/>
    <w:rsid w:val="0044695C"/>
    <w:rsid w:val="00452ECD"/>
    <w:rsid w:val="004537C1"/>
    <w:rsid w:val="004548ED"/>
    <w:rsid w:val="00464071"/>
    <w:rsid w:val="0046668E"/>
    <w:rsid w:val="00466C19"/>
    <w:rsid w:val="00466D6A"/>
    <w:rsid w:val="004712EC"/>
    <w:rsid w:val="00473B80"/>
    <w:rsid w:val="00473EF1"/>
    <w:rsid w:val="004779A1"/>
    <w:rsid w:val="00484347"/>
    <w:rsid w:val="00484625"/>
    <w:rsid w:val="00486798"/>
    <w:rsid w:val="00487870"/>
    <w:rsid w:val="004926CE"/>
    <w:rsid w:val="004959EE"/>
    <w:rsid w:val="004978EF"/>
    <w:rsid w:val="004A0705"/>
    <w:rsid w:val="004A470A"/>
    <w:rsid w:val="004A7CF9"/>
    <w:rsid w:val="004B431E"/>
    <w:rsid w:val="004B525C"/>
    <w:rsid w:val="004B6C47"/>
    <w:rsid w:val="004C69B2"/>
    <w:rsid w:val="004C7585"/>
    <w:rsid w:val="004C7D77"/>
    <w:rsid w:val="004D1738"/>
    <w:rsid w:val="004D3844"/>
    <w:rsid w:val="004D56BD"/>
    <w:rsid w:val="004D63DD"/>
    <w:rsid w:val="004E035F"/>
    <w:rsid w:val="004E2AB4"/>
    <w:rsid w:val="004E3969"/>
    <w:rsid w:val="004E5DB1"/>
    <w:rsid w:val="004E64D5"/>
    <w:rsid w:val="004E6654"/>
    <w:rsid w:val="004F3CB4"/>
    <w:rsid w:val="004F4110"/>
    <w:rsid w:val="004F4C37"/>
    <w:rsid w:val="004F5315"/>
    <w:rsid w:val="0050239F"/>
    <w:rsid w:val="005069B0"/>
    <w:rsid w:val="00506BD2"/>
    <w:rsid w:val="00512C15"/>
    <w:rsid w:val="0051343F"/>
    <w:rsid w:val="00514D27"/>
    <w:rsid w:val="00515125"/>
    <w:rsid w:val="00516BFC"/>
    <w:rsid w:val="005201A7"/>
    <w:rsid w:val="00522424"/>
    <w:rsid w:val="0052289E"/>
    <w:rsid w:val="00525578"/>
    <w:rsid w:val="005319AF"/>
    <w:rsid w:val="00531EFF"/>
    <w:rsid w:val="00537596"/>
    <w:rsid w:val="00542272"/>
    <w:rsid w:val="00543502"/>
    <w:rsid w:val="00544D4B"/>
    <w:rsid w:val="00546C03"/>
    <w:rsid w:val="00551497"/>
    <w:rsid w:val="0055212F"/>
    <w:rsid w:val="00557B10"/>
    <w:rsid w:val="00557B33"/>
    <w:rsid w:val="00560683"/>
    <w:rsid w:val="00563BF6"/>
    <w:rsid w:val="00565647"/>
    <w:rsid w:val="005677F9"/>
    <w:rsid w:val="0057133F"/>
    <w:rsid w:val="00574BC1"/>
    <w:rsid w:val="005751DD"/>
    <w:rsid w:val="00581116"/>
    <w:rsid w:val="0058269B"/>
    <w:rsid w:val="00582B14"/>
    <w:rsid w:val="005836E1"/>
    <w:rsid w:val="00590060"/>
    <w:rsid w:val="005931FB"/>
    <w:rsid w:val="00597659"/>
    <w:rsid w:val="005A0D63"/>
    <w:rsid w:val="005A1074"/>
    <w:rsid w:val="005B148C"/>
    <w:rsid w:val="005B1EA0"/>
    <w:rsid w:val="005C07FC"/>
    <w:rsid w:val="005C094E"/>
    <w:rsid w:val="005C2B41"/>
    <w:rsid w:val="005C628B"/>
    <w:rsid w:val="005C7176"/>
    <w:rsid w:val="005C7848"/>
    <w:rsid w:val="005D0424"/>
    <w:rsid w:val="005D46F9"/>
    <w:rsid w:val="005D7401"/>
    <w:rsid w:val="005E0F75"/>
    <w:rsid w:val="005E12A0"/>
    <w:rsid w:val="005E12C7"/>
    <w:rsid w:val="005E242A"/>
    <w:rsid w:val="005F22EC"/>
    <w:rsid w:val="005F3DF7"/>
    <w:rsid w:val="005F5EAD"/>
    <w:rsid w:val="005F6D11"/>
    <w:rsid w:val="00600E09"/>
    <w:rsid w:val="006015B2"/>
    <w:rsid w:val="006034C2"/>
    <w:rsid w:val="00607502"/>
    <w:rsid w:val="00614EFB"/>
    <w:rsid w:val="00616DE2"/>
    <w:rsid w:val="00620199"/>
    <w:rsid w:val="00622996"/>
    <w:rsid w:val="006247D2"/>
    <w:rsid w:val="006265CD"/>
    <w:rsid w:val="00631D35"/>
    <w:rsid w:val="00633FE6"/>
    <w:rsid w:val="00634602"/>
    <w:rsid w:val="00640685"/>
    <w:rsid w:val="00645488"/>
    <w:rsid w:val="00647A0E"/>
    <w:rsid w:val="00653AF9"/>
    <w:rsid w:val="00653D40"/>
    <w:rsid w:val="00657232"/>
    <w:rsid w:val="00660C5E"/>
    <w:rsid w:val="00662406"/>
    <w:rsid w:val="00664C2A"/>
    <w:rsid w:val="00665305"/>
    <w:rsid w:val="00665FF4"/>
    <w:rsid w:val="00674220"/>
    <w:rsid w:val="00675C47"/>
    <w:rsid w:val="00682310"/>
    <w:rsid w:val="00682F5D"/>
    <w:rsid w:val="006845D5"/>
    <w:rsid w:val="00687325"/>
    <w:rsid w:val="006958D4"/>
    <w:rsid w:val="006A0319"/>
    <w:rsid w:val="006A3D4F"/>
    <w:rsid w:val="006A728B"/>
    <w:rsid w:val="006B1CD5"/>
    <w:rsid w:val="006B4273"/>
    <w:rsid w:val="006B765D"/>
    <w:rsid w:val="006B7A9A"/>
    <w:rsid w:val="006C18D8"/>
    <w:rsid w:val="006C7714"/>
    <w:rsid w:val="006D133F"/>
    <w:rsid w:val="006D38B5"/>
    <w:rsid w:val="006D3EFF"/>
    <w:rsid w:val="006D48EC"/>
    <w:rsid w:val="006D6926"/>
    <w:rsid w:val="006E110D"/>
    <w:rsid w:val="006E17E5"/>
    <w:rsid w:val="006E5A8A"/>
    <w:rsid w:val="006E6319"/>
    <w:rsid w:val="006F2B89"/>
    <w:rsid w:val="006F5517"/>
    <w:rsid w:val="006F5AFF"/>
    <w:rsid w:val="006F61DA"/>
    <w:rsid w:val="00714FCC"/>
    <w:rsid w:val="00721ACD"/>
    <w:rsid w:val="00722039"/>
    <w:rsid w:val="00722F8D"/>
    <w:rsid w:val="007266C9"/>
    <w:rsid w:val="00726F26"/>
    <w:rsid w:val="00727427"/>
    <w:rsid w:val="00730B75"/>
    <w:rsid w:val="0073354B"/>
    <w:rsid w:val="007359AE"/>
    <w:rsid w:val="00744584"/>
    <w:rsid w:val="00745A93"/>
    <w:rsid w:val="007503EC"/>
    <w:rsid w:val="00754CD0"/>
    <w:rsid w:val="00754E35"/>
    <w:rsid w:val="00755016"/>
    <w:rsid w:val="007604A6"/>
    <w:rsid w:val="00767018"/>
    <w:rsid w:val="00767F37"/>
    <w:rsid w:val="00770A8D"/>
    <w:rsid w:val="00774073"/>
    <w:rsid w:val="00774FBB"/>
    <w:rsid w:val="0078396C"/>
    <w:rsid w:val="00785035"/>
    <w:rsid w:val="00786258"/>
    <w:rsid w:val="0078640C"/>
    <w:rsid w:val="0078687B"/>
    <w:rsid w:val="007953BD"/>
    <w:rsid w:val="007A3D17"/>
    <w:rsid w:val="007B2647"/>
    <w:rsid w:val="007B31F2"/>
    <w:rsid w:val="007B3640"/>
    <w:rsid w:val="007C6913"/>
    <w:rsid w:val="007C6C74"/>
    <w:rsid w:val="007D3EC0"/>
    <w:rsid w:val="007D4AC5"/>
    <w:rsid w:val="007D617C"/>
    <w:rsid w:val="007D7018"/>
    <w:rsid w:val="007D7E04"/>
    <w:rsid w:val="007E2E7D"/>
    <w:rsid w:val="007E2E9A"/>
    <w:rsid w:val="007E3723"/>
    <w:rsid w:val="007E4CAB"/>
    <w:rsid w:val="007E4CAF"/>
    <w:rsid w:val="007E5458"/>
    <w:rsid w:val="007F2411"/>
    <w:rsid w:val="007F3CA8"/>
    <w:rsid w:val="007F42A9"/>
    <w:rsid w:val="007F4467"/>
    <w:rsid w:val="007F7580"/>
    <w:rsid w:val="008002F7"/>
    <w:rsid w:val="008039B4"/>
    <w:rsid w:val="008069D7"/>
    <w:rsid w:val="00810064"/>
    <w:rsid w:val="00813BD8"/>
    <w:rsid w:val="00814FAA"/>
    <w:rsid w:val="00815586"/>
    <w:rsid w:val="0081756F"/>
    <w:rsid w:val="008178A6"/>
    <w:rsid w:val="00823143"/>
    <w:rsid w:val="008245D4"/>
    <w:rsid w:val="008250B1"/>
    <w:rsid w:val="00825FB7"/>
    <w:rsid w:val="00832B61"/>
    <w:rsid w:val="0084036A"/>
    <w:rsid w:val="008406A7"/>
    <w:rsid w:val="00845915"/>
    <w:rsid w:val="00850015"/>
    <w:rsid w:val="00851F22"/>
    <w:rsid w:val="008522FF"/>
    <w:rsid w:val="0085239B"/>
    <w:rsid w:val="00854188"/>
    <w:rsid w:val="0085435A"/>
    <w:rsid w:val="00854F54"/>
    <w:rsid w:val="00855196"/>
    <w:rsid w:val="008703AE"/>
    <w:rsid w:val="008804EC"/>
    <w:rsid w:val="00881527"/>
    <w:rsid w:val="0088480A"/>
    <w:rsid w:val="00884F0D"/>
    <w:rsid w:val="00885CFC"/>
    <w:rsid w:val="00890AE4"/>
    <w:rsid w:val="00890B28"/>
    <w:rsid w:val="008916D9"/>
    <w:rsid w:val="00894876"/>
    <w:rsid w:val="0089507F"/>
    <w:rsid w:val="00896CBD"/>
    <w:rsid w:val="008A27DF"/>
    <w:rsid w:val="008A464B"/>
    <w:rsid w:val="008B57F1"/>
    <w:rsid w:val="008B7718"/>
    <w:rsid w:val="008C034F"/>
    <w:rsid w:val="008C1E65"/>
    <w:rsid w:val="008C36B6"/>
    <w:rsid w:val="008C687C"/>
    <w:rsid w:val="008D08A0"/>
    <w:rsid w:val="008D1AD8"/>
    <w:rsid w:val="008D2281"/>
    <w:rsid w:val="008D4C89"/>
    <w:rsid w:val="008D5BCE"/>
    <w:rsid w:val="008D636E"/>
    <w:rsid w:val="008E0EDC"/>
    <w:rsid w:val="008E36B7"/>
    <w:rsid w:val="008E50B7"/>
    <w:rsid w:val="008E5465"/>
    <w:rsid w:val="008F0241"/>
    <w:rsid w:val="0090111C"/>
    <w:rsid w:val="009032BE"/>
    <w:rsid w:val="009100C2"/>
    <w:rsid w:val="009107C0"/>
    <w:rsid w:val="00911612"/>
    <w:rsid w:val="0091225D"/>
    <w:rsid w:val="00915E27"/>
    <w:rsid w:val="0091625A"/>
    <w:rsid w:val="00922F59"/>
    <w:rsid w:val="009239C1"/>
    <w:rsid w:val="00927171"/>
    <w:rsid w:val="0093059A"/>
    <w:rsid w:val="00933594"/>
    <w:rsid w:val="00935A9C"/>
    <w:rsid w:val="00940546"/>
    <w:rsid w:val="0094726F"/>
    <w:rsid w:val="009479B5"/>
    <w:rsid w:val="009534C8"/>
    <w:rsid w:val="009552D0"/>
    <w:rsid w:val="0096727C"/>
    <w:rsid w:val="00971A2F"/>
    <w:rsid w:val="00980865"/>
    <w:rsid w:val="00980E06"/>
    <w:rsid w:val="00982256"/>
    <w:rsid w:val="009866D9"/>
    <w:rsid w:val="009867E5"/>
    <w:rsid w:val="00987031"/>
    <w:rsid w:val="00990E15"/>
    <w:rsid w:val="00991234"/>
    <w:rsid w:val="009930FA"/>
    <w:rsid w:val="00993969"/>
    <w:rsid w:val="00994C61"/>
    <w:rsid w:val="00995207"/>
    <w:rsid w:val="009A0B2B"/>
    <w:rsid w:val="009A224C"/>
    <w:rsid w:val="009A6457"/>
    <w:rsid w:val="009B5113"/>
    <w:rsid w:val="009B750E"/>
    <w:rsid w:val="009C21E3"/>
    <w:rsid w:val="009C3BE9"/>
    <w:rsid w:val="009C4632"/>
    <w:rsid w:val="009D158C"/>
    <w:rsid w:val="009D474B"/>
    <w:rsid w:val="009E0902"/>
    <w:rsid w:val="009E0BEA"/>
    <w:rsid w:val="009F11D3"/>
    <w:rsid w:val="009F2F62"/>
    <w:rsid w:val="009F41AA"/>
    <w:rsid w:val="009F41B9"/>
    <w:rsid w:val="009F486A"/>
    <w:rsid w:val="00A01C56"/>
    <w:rsid w:val="00A0702E"/>
    <w:rsid w:val="00A16483"/>
    <w:rsid w:val="00A3437C"/>
    <w:rsid w:val="00A34D3A"/>
    <w:rsid w:val="00A34EA2"/>
    <w:rsid w:val="00A4020D"/>
    <w:rsid w:val="00A4098E"/>
    <w:rsid w:val="00A40F06"/>
    <w:rsid w:val="00A41E38"/>
    <w:rsid w:val="00A43B63"/>
    <w:rsid w:val="00A47AF3"/>
    <w:rsid w:val="00A53C07"/>
    <w:rsid w:val="00A601B6"/>
    <w:rsid w:val="00A64C0B"/>
    <w:rsid w:val="00A735D9"/>
    <w:rsid w:val="00A7638C"/>
    <w:rsid w:val="00A83511"/>
    <w:rsid w:val="00A9046A"/>
    <w:rsid w:val="00A920EC"/>
    <w:rsid w:val="00A95388"/>
    <w:rsid w:val="00AA69E2"/>
    <w:rsid w:val="00AB1BD0"/>
    <w:rsid w:val="00AC0689"/>
    <w:rsid w:val="00AC0973"/>
    <w:rsid w:val="00AC7EBC"/>
    <w:rsid w:val="00AE2C9E"/>
    <w:rsid w:val="00AE498C"/>
    <w:rsid w:val="00AF4391"/>
    <w:rsid w:val="00AF5478"/>
    <w:rsid w:val="00AF5538"/>
    <w:rsid w:val="00B12945"/>
    <w:rsid w:val="00B13657"/>
    <w:rsid w:val="00B1792D"/>
    <w:rsid w:val="00B17AB8"/>
    <w:rsid w:val="00B21747"/>
    <w:rsid w:val="00B23E01"/>
    <w:rsid w:val="00B25D4A"/>
    <w:rsid w:val="00B2662A"/>
    <w:rsid w:val="00B318F4"/>
    <w:rsid w:val="00B32CC6"/>
    <w:rsid w:val="00B33146"/>
    <w:rsid w:val="00B33D15"/>
    <w:rsid w:val="00B35EE6"/>
    <w:rsid w:val="00B420C1"/>
    <w:rsid w:val="00B47793"/>
    <w:rsid w:val="00B52A7A"/>
    <w:rsid w:val="00B56D79"/>
    <w:rsid w:val="00B61E89"/>
    <w:rsid w:val="00B64DCE"/>
    <w:rsid w:val="00B65980"/>
    <w:rsid w:val="00B6609F"/>
    <w:rsid w:val="00B67266"/>
    <w:rsid w:val="00B67B0D"/>
    <w:rsid w:val="00B70F70"/>
    <w:rsid w:val="00B723F3"/>
    <w:rsid w:val="00B73F0C"/>
    <w:rsid w:val="00B74AD2"/>
    <w:rsid w:val="00B75475"/>
    <w:rsid w:val="00B756DD"/>
    <w:rsid w:val="00B75B9D"/>
    <w:rsid w:val="00B75CCB"/>
    <w:rsid w:val="00B7795A"/>
    <w:rsid w:val="00B82EA7"/>
    <w:rsid w:val="00B86EB8"/>
    <w:rsid w:val="00B87771"/>
    <w:rsid w:val="00B94389"/>
    <w:rsid w:val="00B94632"/>
    <w:rsid w:val="00B97235"/>
    <w:rsid w:val="00B972BC"/>
    <w:rsid w:val="00BA06AA"/>
    <w:rsid w:val="00BA2642"/>
    <w:rsid w:val="00BA39F5"/>
    <w:rsid w:val="00BA524F"/>
    <w:rsid w:val="00BA5B3C"/>
    <w:rsid w:val="00BB4726"/>
    <w:rsid w:val="00BB7584"/>
    <w:rsid w:val="00BC074D"/>
    <w:rsid w:val="00BC16FE"/>
    <w:rsid w:val="00BC2B4A"/>
    <w:rsid w:val="00BC52A0"/>
    <w:rsid w:val="00BC5B1E"/>
    <w:rsid w:val="00BC5E13"/>
    <w:rsid w:val="00BC5F79"/>
    <w:rsid w:val="00BD3559"/>
    <w:rsid w:val="00BD6F56"/>
    <w:rsid w:val="00BD7D45"/>
    <w:rsid w:val="00BE06E3"/>
    <w:rsid w:val="00BE50E2"/>
    <w:rsid w:val="00BE669F"/>
    <w:rsid w:val="00BE73B7"/>
    <w:rsid w:val="00BF14D8"/>
    <w:rsid w:val="00BF220D"/>
    <w:rsid w:val="00BF61C2"/>
    <w:rsid w:val="00C0747A"/>
    <w:rsid w:val="00C11F8E"/>
    <w:rsid w:val="00C134C7"/>
    <w:rsid w:val="00C17EDC"/>
    <w:rsid w:val="00C22FC4"/>
    <w:rsid w:val="00C23165"/>
    <w:rsid w:val="00C23BC9"/>
    <w:rsid w:val="00C246BF"/>
    <w:rsid w:val="00C248ED"/>
    <w:rsid w:val="00C37A94"/>
    <w:rsid w:val="00C468BE"/>
    <w:rsid w:val="00C4739E"/>
    <w:rsid w:val="00C51C11"/>
    <w:rsid w:val="00C52256"/>
    <w:rsid w:val="00C55F35"/>
    <w:rsid w:val="00C615FE"/>
    <w:rsid w:val="00C634ED"/>
    <w:rsid w:val="00C64899"/>
    <w:rsid w:val="00C663DC"/>
    <w:rsid w:val="00C714FE"/>
    <w:rsid w:val="00C716EA"/>
    <w:rsid w:val="00C729A2"/>
    <w:rsid w:val="00C75F62"/>
    <w:rsid w:val="00C76F38"/>
    <w:rsid w:val="00C7797D"/>
    <w:rsid w:val="00C803EC"/>
    <w:rsid w:val="00C80594"/>
    <w:rsid w:val="00C8130D"/>
    <w:rsid w:val="00C824E0"/>
    <w:rsid w:val="00C848BF"/>
    <w:rsid w:val="00C92323"/>
    <w:rsid w:val="00C94C5A"/>
    <w:rsid w:val="00C9673F"/>
    <w:rsid w:val="00C97682"/>
    <w:rsid w:val="00C97FC4"/>
    <w:rsid w:val="00CA7B9C"/>
    <w:rsid w:val="00CB2232"/>
    <w:rsid w:val="00CB525A"/>
    <w:rsid w:val="00CC5526"/>
    <w:rsid w:val="00CD11D4"/>
    <w:rsid w:val="00CD2F6C"/>
    <w:rsid w:val="00CD464D"/>
    <w:rsid w:val="00CE5CC1"/>
    <w:rsid w:val="00CF1EFC"/>
    <w:rsid w:val="00D00830"/>
    <w:rsid w:val="00D01ACA"/>
    <w:rsid w:val="00D0533F"/>
    <w:rsid w:val="00D07D02"/>
    <w:rsid w:val="00D10E97"/>
    <w:rsid w:val="00D1640B"/>
    <w:rsid w:val="00D16BC1"/>
    <w:rsid w:val="00D26616"/>
    <w:rsid w:val="00D2785D"/>
    <w:rsid w:val="00D32849"/>
    <w:rsid w:val="00D34056"/>
    <w:rsid w:val="00D34893"/>
    <w:rsid w:val="00D46DDD"/>
    <w:rsid w:val="00D5219C"/>
    <w:rsid w:val="00D558CA"/>
    <w:rsid w:val="00D616E1"/>
    <w:rsid w:val="00D62A70"/>
    <w:rsid w:val="00D63234"/>
    <w:rsid w:val="00D67551"/>
    <w:rsid w:val="00D70736"/>
    <w:rsid w:val="00D73320"/>
    <w:rsid w:val="00D748F0"/>
    <w:rsid w:val="00D80A9E"/>
    <w:rsid w:val="00D853AE"/>
    <w:rsid w:val="00D857CE"/>
    <w:rsid w:val="00D87310"/>
    <w:rsid w:val="00D92C95"/>
    <w:rsid w:val="00D9633D"/>
    <w:rsid w:val="00DA6313"/>
    <w:rsid w:val="00DB0D56"/>
    <w:rsid w:val="00DB347A"/>
    <w:rsid w:val="00DB58E7"/>
    <w:rsid w:val="00DC2B5C"/>
    <w:rsid w:val="00DC541C"/>
    <w:rsid w:val="00DC59F3"/>
    <w:rsid w:val="00DD364E"/>
    <w:rsid w:val="00DD7E4A"/>
    <w:rsid w:val="00DE3FED"/>
    <w:rsid w:val="00DF0681"/>
    <w:rsid w:val="00DF0DD3"/>
    <w:rsid w:val="00DF161F"/>
    <w:rsid w:val="00DF278F"/>
    <w:rsid w:val="00DF39F4"/>
    <w:rsid w:val="00DF3E81"/>
    <w:rsid w:val="00DF4DF3"/>
    <w:rsid w:val="00DF6748"/>
    <w:rsid w:val="00E00A45"/>
    <w:rsid w:val="00E00CE0"/>
    <w:rsid w:val="00E02A21"/>
    <w:rsid w:val="00E0390A"/>
    <w:rsid w:val="00E0748D"/>
    <w:rsid w:val="00E10EC2"/>
    <w:rsid w:val="00E15F13"/>
    <w:rsid w:val="00E20E22"/>
    <w:rsid w:val="00E25CCE"/>
    <w:rsid w:val="00E30A59"/>
    <w:rsid w:val="00E34A11"/>
    <w:rsid w:val="00E42AFD"/>
    <w:rsid w:val="00E43324"/>
    <w:rsid w:val="00E52914"/>
    <w:rsid w:val="00E57637"/>
    <w:rsid w:val="00E667BE"/>
    <w:rsid w:val="00E66CB9"/>
    <w:rsid w:val="00E70CE1"/>
    <w:rsid w:val="00E70D68"/>
    <w:rsid w:val="00E73649"/>
    <w:rsid w:val="00E77CC5"/>
    <w:rsid w:val="00E81785"/>
    <w:rsid w:val="00E85160"/>
    <w:rsid w:val="00E85264"/>
    <w:rsid w:val="00E952C3"/>
    <w:rsid w:val="00E95FDC"/>
    <w:rsid w:val="00E95FF8"/>
    <w:rsid w:val="00E964FB"/>
    <w:rsid w:val="00E96CF0"/>
    <w:rsid w:val="00E97978"/>
    <w:rsid w:val="00EA63E3"/>
    <w:rsid w:val="00EB2941"/>
    <w:rsid w:val="00EB3B0A"/>
    <w:rsid w:val="00EB6A56"/>
    <w:rsid w:val="00EB7419"/>
    <w:rsid w:val="00EC1A75"/>
    <w:rsid w:val="00EC4B05"/>
    <w:rsid w:val="00EC4BA9"/>
    <w:rsid w:val="00EC73E8"/>
    <w:rsid w:val="00ED2807"/>
    <w:rsid w:val="00ED3C44"/>
    <w:rsid w:val="00ED3D5C"/>
    <w:rsid w:val="00ED78DE"/>
    <w:rsid w:val="00EE018A"/>
    <w:rsid w:val="00EE14DE"/>
    <w:rsid w:val="00EE3F83"/>
    <w:rsid w:val="00EE5BB8"/>
    <w:rsid w:val="00EF293A"/>
    <w:rsid w:val="00EF33E1"/>
    <w:rsid w:val="00F036DB"/>
    <w:rsid w:val="00F03F65"/>
    <w:rsid w:val="00F057A3"/>
    <w:rsid w:val="00F06EDC"/>
    <w:rsid w:val="00F10EBA"/>
    <w:rsid w:val="00F12153"/>
    <w:rsid w:val="00F1340A"/>
    <w:rsid w:val="00F176E9"/>
    <w:rsid w:val="00F17AFD"/>
    <w:rsid w:val="00F20EC9"/>
    <w:rsid w:val="00F23025"/>
    <w:rsid w:val="00F2620A"/>
    <w:rsid w:val="00F26943"/>
    <w:rsid w:val="00F27B69"/>
    <w:rsid w:val="00F30CC7"/>
    <w:rsid w:val="00F32F63"/>
    <w:rsid w:val="00F355CB"/>
    <w:rsid w:val="00F36574"/>
    <w:rsid w:val="00F36594"/>
    <w:rsid w:val="00F4223B"/>
    <w:rsid w:val="00F435A5"/>
    <w:rsid w:val="00F46ACF"/>
    <w:rsid w:val="00F52C98"/>
    <w:rsid w:val="00F5357E"/>
    <w:rsid w:val="00F54FA0"/>
    <w:rsid w:val="00F5613D"/>
    <w:rsid w:val="00F57D37"/>
    <w:rsid w:val="00F6039B"/>
    <w:rsid w:val="00F61794"/>
    <w:rsid w:val="00F623A2"/>
    <w:rsid w:val="00F636A9"/>
    <w:rsid w:val="00F64B62"/>
    <w:rsid w:val="00F65246"/>
    <w:rsid w:val="00F736D1"/>
    <w:rsid w:val="00F737B9"/>
    <w:rsid w:val="00F76D75"/>
    <w:rsid w:val="00F818B6"/>
    <w:rsid w:val="00F83830"/>
    <w:rsid w:val="00F8467A"/>
    <w:rsid w:val="00F86DC6"/>
    <w:rsid w:val="00F9699D"/>
    <w:rsid w:val="00FA4517"/>
    <w:rsid w:val="00FA73E2"/>
    <w:rsid w:val="00FA7D67"/>
    <w:rsid w:val="00FB2C1B"/>
    <w:rsid w:val="00FC0B71"/>
    <w:rsid w:val="00FD2BCF"/>
    <w:rsid w:val="00FD7358"/>
    <w:rsid w:val="00FE3A09"/>
    <w:rsid w:val="00FE797E"/>
    <w:rsid w:val="00FE7DE6"/>
    <w:rsid w:val="00FF27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46108"/>
  <w15:docId w15:val="{FCD1A4D0-17B2-4835-A6B4-37E119936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7"/>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D62A70"/>
    <w:pPr>
      <w:keepNext/>
      <w:spacing w:after="0" w:line="240" w:lineRule="auto"/>
      <w:ind w:left="709"/>
      <w:outlineLvl w:val="1"/>
    </w:pPr>
    <w:rPr>
      <w:rFonts w:ascii="Arial" w:hAnsi="Arial" w:cs="Times New Roman"/>
      <w:b/>
      <w:bCs/>
      <w:iCs/>
      <w:noProof/>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7"/>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7"/>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7"/>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7"/>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7"/>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7"/>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D62A70"/>
    <w:rPr>
      <w:rFonts w:ascii="Arial" w:eastAsia="Arial Unicode MS" w:hAnsi="Arial"/>
      <w:b/>
      <w:bCs/>
      <w:iCs/>
      <w:noProof/>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kern w:val="1"/>
      <w:sz w:val="22"/>
      <w:szCs w:val="22"/>
    </w:rPr>
  </w:style>
  <w:style w:type="numbering" w:customStyle="1" w:styleId="Style1">
    <w:name w:val="Style1"/>
    <w:uiPriority w:val="99"/>
    <w:rsid w:val="00030E38"/>
    <w:pPr>
      <w:numPr>
        <w:numId w:val="15"/>
      </w:numPr>
    </w:pPr>
  </w:style>
  <w:style w:type="character" w:customStyle="1" w:styleId="NoSpacingChar">
    <w:name w:val="No Spacing Char"/>
    <w:link w:val="NoSpacing"/>
    <w:uiPriority w:val="1"/>
    <w:rsid w:val="00B86EB8"/>
    <w:rPr>
      <w:rFonts w:eastAsia="Arial Unicode MS"/>
      <w:kern w:val="1"/>
      <w:sz w:val="22"/>
      <w:szCs w:val="22"/>
      <w:lang w:bidi="ar-SA"/>
    </w:rPr>
  </w:style>
  <w:style w:type="character" w:customStyle="1" w:styleId="fontstyle01">
    <w:name w:val="fontstyle01"/>
    <w:rsid w:val="00127DB0"/>
    <w:rPr>
      <w:rFonts w:ascii="ArialMT" w:hAnsi="ArialMT" w:hint="default"/>
      <w:b w:val="0"/>
      <w:bCs w:val="0"/>
      <w:i w:val="0"/>
      <w:iCs w:val="0"/>
      <w:color w:val="000000"/>
      <w:sz w:val="24"/>
      <w:szCs w:val="24"/>
    </w:rPr>
  </w:style>
  <w:style w:type="character" w:customStyle="1" w:styleId="fontstyle21">
    <w:name w:val="fontstyle21"/>
    <w:rsid w:val="00202721"/>
    <w:rPr>
      <w:rFonts w:ascii="SymbolMT" w:hAnsi="Symbol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324068">
      <w:bodyDiv w:val="1"/>
      <w:marLeft w:val="0"/>
      <w:marRight w:val="0"/>
      <w:marTop w:val="0"/>
      <w:marBottom w:val="0"/>
      <w:divBdr>
        <w:top w:val="none" w:sz="0" w:space="0" w:color="auto"/>
        <w:left w:val="none" w:sz="0" w:space="0" w:color="auto"/>
        <w:bottom w:val="none" w:sz="0" w:space="0" w:color="auto"/>
        <w:right w:val="none" w:sz="0" w:space="0" w:color="auto"/>
      </w:divBdr>
    </w:div>
    <w:div w:id="529758991">
      <w:bodyDiv w:val="1"/>
      <w:marLeft w:val="0"/>
      <w:marRight w:val="0"/>
      <w:marTop w:val="0"/>
      <w:marBottom w:val="0"/>
      <w:divBdr>
        <w:top w:val="none" w:sz="0" w:space="0" w:color="auto"/>
        <w:left w:val="none" w:sz="0" w:space="0" w:color="auto"/>
        <w:bottom w:val="none" w:sz="0" w:space="0" w:color="auto"/>
        <w:right w:val="none" w:sz="0" w:space="0" w:color="auto"/>
      </w:divBdr>
    </w:div>
    <w:div w:id="801077592">
      <w:bodyDiv w:val="1"/>
      <w:marLeft w:val="0"/>
      <w:marRight w:val="0"/>
      <w:marTop w:val="0"/>
      <w:marBottom w:val="0"/>
      <w:divBdr>
        <w:top w:val="none" w:sz="0" w:space="0" w:color="auto"/>
        <w:left w:val="none" w:sz="0" w:space="0" w:color="auto"/>
        <w:bottom w:val="none" w:sz="0" w:space="0" w:color="auto"/>
        <w:right w:val="none" w:sz="0" w:space="0" w:color="auto"/>
      </w:divBdr>
    </w:div>
    <w:div w:id="838228496">
      <w:bodyDiv w:val="1"/>
      <w:marLeft w:val="0"/>
      <w:marRight w:val="0"/>
      <w:marTop w:val="0"/>
      <w:marBottom w:val="0"/>
      <w:divBdr>
        <w:top w:val="none" w:sz="0" w:space="0" w:color="auto"/>
        <w:left w:val="none" w:sz="0" w:space="0" w:color="auto"/>
        <w:bottom w:val="none" w:sz="0" w:space="0" w:color="auto"/>
        <w:right w:val="none" w:sz="0" w:space="0" w:color="auto"/>
      </w:divBdr>
    </w:div>
    <w:div w:id="1007830830">
      <w:bodyDiv w:val="1"/>
      <w:marLeft w:val="0"/>
      <w:marRight w:val="0"/>
      <w:marTop w:val="0"/>
      <w:marBottom w:val="0"/>
      <w:divBdr>
        <w:top w:val="none" w:sz="0" w:space="0" w:color="auto"/>
        <w:left w:val="none" w:sz="0" w:space="0" w:color="auto"/>
        <w:bottom w:val="none" w:sz="0" w:space="0" w:color="auto"/>
        <w:right w:val="none" w:sz="0" w:space="0" w:color="auto"/>
      </w:divBdr>
    </w:div>
    <w:div w:id="1057238635">
      <w:bodyDiv w:val="1"/>
      <w:marLeft w:val="0"/>
      <w:marRight w:val="0"/>
      <w:marTop w:val="0"/>
      <w:marBottom w:val="0"/>
      <w:divBdr>
        <w:top w:val="none" w:sz="0" w:space="0" w:color="auto"/>
        <w:left w:val="none" w:sz="0" w:space="0" w:color="auto"/>
        <w:bottom w:val="none" w:sz="0" w:space="0" w:color="auto"/>
        <w:right w:val="none" w:sz="0" w:space="0" w:color="auto"/>
      </w:divBdr>
    </w:div>
    <w:div w:id="1113473602">
      <w:bodyDiv w:val="1"/>
      <w:marLeft w:val="0"/>
      <w:marRight w:val="0"/>
      <w:marTop w:val="0"/>
      <w:marBottom w:val="0"/>
      <w:divBdr>
        <w:top w:val="none" w:sz="0" w:space="0" w:color="auto"/>
        <w:left w:val="none" w:sz="0" w:space="0" w:color="auto"/>
        <w:bottom w:val="none" w:sz="0" w:space="0" w:color="auto"/>
        <w:right w:val="none" w:sz="0" w:space="0" w:color="auto"/>
      </w:divBdr>
    </w:div>
    <w:div w:id="1628469194">
      <w:bodyDiv w:val="1"/>
      <w:marLeft w:val="0"/>
      <w:marRight w:val="0"/>
      <w:marTop w:val="0"/>
      <w:marBottom w:val="0"/>
      <w:divBdr>
        <w:top w:val="none" w:sz="0" w:space="0" w:color="auto"/>
        <w:left w:val="none" w:sz="0" w:space="0" w:color="auto"/>
        <w:bottom w:val="none" w:sz="0" w:space="0" w:color="auto"/>
        <w:right w:val="none" w:sz="0" w:space="0" w:color="auto"/>
      </w:divBdr>
    </w:div>
    <w:div w:id="1645550624">
      <w:bodyDiv w:val="1"/>
      <w:marLeft w:val="0"/>
      <w:marRight w:val="0"/>
      <w:marTop w:val="0"/>
      <w:marBottom w:val="0"/>
      <w:divBdr>
        <w:top w:val="none" w:sz="0" w:space="0" w:color="auto"/>
        <w:left w:val="none" w:sz="0" w:space="0" w:color="auto"/>
        <w:bottom w:val="none" w:sz="0" w:space="0" w:color="auto"/>
        <w:right w:val="none" w:sz="0" w:space="0" w:color="auto"/>
      </w:divBdr>
    </w:div>
    <w:div w:id="1885175298">
      <w:bodyDiv w:val="1"/>
      <w:marLeft w:val="0"/>
      <w:marRight w:val="0"/>
      <w:marTop w:val="0"/>
      <w:marBottom w:val="0"/>
      <w:divBdr>
        <w:top w:val="none" w:sz="0" w:space="0" w:color="auto"/>
        <w:left w:val="none" w:sz="0" w:space="0" w:color="auto"/>
        <w:bottom w:val="none" w:sz="0" w:space="0" w:color="auto"/>
        <w:right w:val="none" w:sz="0" w:space="0" w:color="auto"/>
      </w:divBdr>
    </w:div>
    <w:div w:id="1936281689">
      <w:bodyDiv w:val="1"/>
      <w:marLeft w:val="0"/>
      <w:marRight w:val="0"/>
      <w:marTop w:val="0"/>
      <w:marBottom w:val="0"/>
      <w:divBdr>
        <w:top w:val="none" w:sz="0" w:space="0" w:color="auto"/>
        <w:left w:val="none" w:sz="0" w:space="0" w:color="auto"/>
        <w:bottom w:val="none" w:sz="0" w:space="0" w:color="auto"/>
        <w:right w:val="none" w:sz="0" w:space="0" w:color="auto"/>
      </w:divBdr>
    </w:div>
    <w:div w:id="1993290400">
      <w:bodyDiv w:val="1"/>
      <w:marLeft w:val="0"/>
      <w:marRight w:val="0"/>
      <w:marTop w:val="0"/>
      <w:marBottom w:val="0"/>
      <w:divBdr>
        <w:top w:val="none" w:sz="0" w:space="0" w:color="auto"/>
        <w:left w:val="none" w:sz="0" w:space="0" w:color="auto"/>
        <w:bottom w:val="none" w:sz="0" w:space="0" w:color="auto"/>
        <w:right w:val="none" w:sz="0" w:space="0" w:color="auto"/>
      </w:divBdr>
    </w:div>
    <w:div w:id="202705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A7CE3-DA54-4CB0-86BA-00D107B8A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23</Pages>
  <Words>8693</Words>
  <Characters>49555</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cp:lastModifiedBy>Win 10</cp:lastModifiedBy>
  <cp:revision>24</cp:revision>
  <cp:lastPrinted>2021-03-25T11:38:00Z</cp:lastPrinted>
  <dcterms:created xsi:type="dcterms:W3CDTF">2021-03-15T09:43:00Z</dcterms:created>
  <dcterms:modified xsi:type="dcterms:W3CDTF">2021-12-07T17:40:00Z</dcterms:modified>
</cp:coreProperties>
</file>