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63422755"/>
    <w:p w14:paraId="5954B939" w14:textId="3C738DEE" w:rsidR="00DD2D01" w:rsidRPr="00DD2D01" w:rsidRDefault="00DD2D01" w:rsidP="00DD2D01">
      <w:pPr>
        <w:pStyle w:val="NoSpacing"/>
        <w:rPr>
          <w:rFonts w:ascii="Arial" w:hAnsi="Arial" w:cs="Arial"/>
          <w:noProof/>
          <w:sz w:val="28"/>
          <w:szCs w:val="28"/>
          <w:lang w:val="en-US"/>
        </w:rPr>
      </w:pPr>
      <w:r w:rsidRPr="00DD2D01">
        <w:rPr>
          <w:noProof/>
          <w:lang w:val="en-US"/>
        </w:rPr>
        <mc:AlternateContent>
          <mc:Choice Requires="wps">
            <w:drawing>
              <wp:anchor distT="0" distB="0" distL="114300" distR="114300" simplePos="0" relativeHeight="251659264" behindDoc="0" locked="0" layoutInCell="1" allowOverlap="1" wp14:anchorId="761CDCE7" wp14:editId="4C539057">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42405"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DD2D01">
        <w:rPr>
          <w:noProof/>
          <w:lang w:val="en-US"/>
        </w:rPr>
        <w:drawing>
          <wp:anchor distT="0" distB="0" distL="114300" distR="114300" simplePos="0" relativeHeight="251660288" behindDoc="0" locked="0" layoutInCell="1" allowOverlap="1" wp14:anchorId="3CD52E5A" wp14:editId="595FF6E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noProof/>
          <w:lang w:val="en-US"/>
        </w:rPr>
        <w:t xml:space="preserve">                    </w:t>
      </w:r>
      <w:r w:rsidRPr="00DD2D01">
        <w:rPr>
          <w:rFonts w:ascii="Arial" w:hAnsi="Arial" w:cs="Arial"/>
          <w:noProof/>
          <w:sz w:val="28"/>
          <w:szCs w:val="28"/>
          <w:lang w:val="en-US"/>
        </w:rPr>
        <w:t>Crna Gora</w:t>
      </w:r>
      <w:r w:rsidRPr="00DD2D01">
        <w:rPr>
          <w:rFonts w:ascii="Arial" w:hAnsi="Arial" w:cs="Arial"/>
          <w:noProof/>
          <w:sz w:val="28"/>
          <w:szCs w:val="28"/>
          <w:lang w:val="en-US"/>
        </w:rPr>
        <w:tab/>
      </w:r>
    </w:p>
    <w:p w14:paraId="22529E1E" w14:textId="5A9EF7B4" w:rsidR="00DD2D01" w:rsidRPr="00DD2D01" w:rsidRDefault="00DD2D01" w:rsidP="00DD2D01">
      <w:pPr>
        <w:pStyle w:val="NoSpacing"/>
        <w:rPr>
          <w:rFonts w:ascii="Arial" w:hAnsi="Arial" w:cs="Arial"/>
          <w:noProof/>
          <w:sz w:val="28"/>
          <w:szCs w:val="28"/>
          <w:lang w:val="en-US"/>
        </w:rPr>
      </w:pPr>
      <w:r w:rsidRPr="00DD2D01">
        <w:rPr>
          <w:rFonts w:ascii="Arial" w:hAnsi="Arial" w:cs="Arial"/>
          <w:noProof/>
          <w:sz w:val="28"/>
          <w:szCs w:val="28"/>
          <w:lang w:val="en-US"/>
        </w:rPr>
        <w:t xml:space="preserve">Mi       </w:t>
      </w:r>
      <w:r>
        <w:rPr>
          <w:rFonts w:ascii="Arial" w:hAnsi="Arial" w:cs="Arial"/>
          <w:noProof/>
          <w:sz w:val="28"/>
          <w:szCs w:val="28"/>
          <w:lang w:val="en-US"/>
        </w:rPr>
        <w:t xml:space="preserve">   </w:t>
      </w:r>
      <w:r w:rsidRPr="00DD2D01">
        <w:rPr>
          <w:rFonts w:ascii="Arial" w:hAnsi="Arial" w:cs="Arial"/>
          <w:noProof/>
          <w:sz w:val="28"/>
          <w:szCs w:val="28"/>
          <w:lang w:val="en-US"/>
        </w:rPr>
        <w:t>Ministarstvo ekonomskog razvoja</w:t>
      </w:r>
    </w:p>
    <w:p w14:paraId="5688B9A4" w14:textId="07497C0C" w:rsidR="00DD2D01" w:rsidRPr="00DD2D01" w:rsidRDefault="00DD2D01" w:rsidP="00DD2D01">
      <w:pPr>
        <w:pStyle w:val="NoSpacing"/>
        <w:rPr>
          <w:rFonts w:ascii="Arial" w:hAnsi="Arial" w:cs="Arial"/>
          <w:noProof/>
          <w:sz w:val="28"/>
          <w:szCs w:val="28"/>
          <w:lang w:val="bs-Latn-BA"/>
        </w:rPr>
      </w:pPr>
      <w:r w:rsidRPr="00DD2D01">
        <w:rPr>
          <w:rFonts w:ascii="Arial" w:hAnsi="Arial" w:cs="Arial"/>
          <w:noProof/>
          <w:sz w:val="28"/>
          <w:szCs w:val="28"/>
          <w:lang w:val="en-US"/>
        </w:rPr>
        <w:t xml:space="preserve">           </w:t>
      </w:r>
      <w:r>
        <w:rPr>
          <w:rFonts w:ascii="Arial" w:hAnsi="Arial" w:cs="Arial"/>
          <w:noProof/>
          <w:sz w:val="28"/>
          <w:szCs w:val="28"/>
          <w:lang w:val="en-US"/>
        </w:rPr>
        <w:t xml:space="preserve">   </w:t>
      </w:r>
      <w:r w:rsidRPr="00DD2D01">
        <w:rPr>
          <w:rFonts w:ascii="Arial" w:hAnsi="Arial" w:cs="Arial"/>
          <w:noProof/>
          <w:sz w:val="28"/>
          <w:szCs w:val="28"/>
          <w:lang w:val="bs-Latn-BA"/>
        </w:rPr>
        <w:t>Direktorat za unutrašnje tržište i konkurenciju</w:t>
      </w:r>
    </w:p>
    <w:p w14:paraId="0D5E4F82" w14:textId="1F9190DB" w:rsidR="00DD2D01" w:rsidRPr="00DD2D01" w:rsidRDefault="009F240D" w:rsidP="00DD2D01">
      <w:pPr>
        <w:pStyle w:val="NoSpacing"/>
        <w:rPr>
          <w:rFonts w:ascii="Arial" w:hAnsi="Arial" w:cs="Arial"/>
          <w:noProof/>
          <w:sz w:val="28"/>
          <w:szCs w:val="28"/>
          <w:lang w:val="bs-Latn-BA"/>
        </w:rPr>
      </w:pPr>
      <w:r w:rsidRPr="00DD2D01">
        <w:rPr>
          <w:rFonts w:ascii="Arial" w:hAnsi="Arial" w:cs="Arial"/>
          <w:noProof/>
          <w:sz w:val="28"/>
          <w:szCs w:val="28"/>
          <w:lang w:val="en-US"/>
        </w:rPr>
        <mc:AlternateContent>
          <mc:Choice Requires="wps">
            <w:drawing>
              <wp:anchor distT="45720" distB="45720" distL="114300" distR="114300" simplePos="0" relativeHeight="251661312" behindDoc="0" locked="0" layoutInCell="1" allowOverlap="1" wp14:anchorId="518EFAD1" wp14:editId="6AA055AA">
                <wp:simplePos x="0" y="0"/>
                <wp:positionH relativeFrom="column">
                  <wp:posOffset>4905375</wp:posOffset>
                </wp:positionH>
                <wp:positionV relativeFrom="paragraph">
                  <wp:posOffset>78740</wp:posOffset>
                </wp:positionV>
                <wp:extent cx="1685925" cy="75565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55650"/>
                        </a:xfrm>
                        <a:prstGeom prst="rect">
                          <a:avLst/>
                        </a:prstGeom>
                        <a:solidFill>
                          <a:srgbClr val="FFFFFF"/>
                        </a:solidFill>
                        <a:ln w="9525">
                          <a:noFill/>
                          <a:miter lim="800000"/>
                          <a:headEnd/>
                          <a:tailEnd/>
                        </a:ln>
                      </wps:spPr>
                      <wps:txbx>
                        <w:txbxContent>
                          <w:p w14:paraId="7A65F2BD" w14:textId="77777777" w:rsidR="00863D9B" w:rsidRPr="00156DFE" w:rsidRDefault="00863D9B" w:rsidP="00DD2D01">
                            <w:pPr>
                              <w:spacing w:before="0" w:after="0" w:line="240" w:lineRule="auto"/>
                              <w:jc w:val="right"/>
                              <w:rPr>
                                <w:sz w:val="20"/>
                                <w:lang w:val="bs-Latn-BA"/>
                              </w:rPr>
                            </w:pPr>
                            <w:r w:rsidRPr="00156DFE">
                              <w:rPr>
                                <w:sz w:val="20"/>
                                <w:lang w:val="bs-Latn-BA"/>
                              </w:rPr>
                              <w:t>Adresa: Rimski trg 46</w:t>
                            </w:r>
                          </w:p>
                          <w:p w14:paraId="341E4687" w14:textId="77777777" w:rsidR="00863D9B" w:rsidRPr="00156DFE" w:rsidRDefault="00863D9B" w:rsidP="00DD2D01">
                            <w:pPr>
                              <w:spacing w:before="0" w:after="0" w:line="240" w:lineRule="auto"/>
                              <w:jc w:val="right"/>
                              <w:rPr>
                                <w:sz w:val="20"/>
                                <w:lang w:val="bs-Latn-BA"/>
                              </w:rPr>
                            </w:pPr>
                            <w:r w:rsidRPr="00156DFE">
                              <w:rPr>
                                <w:sz w:val="20"/>
                                <w:lang w:val="bs-Latn-BA"/>
                              </w:rPr>
                              <w:t>81000 Podgorica Crna Gora</w:t>
                            </w:r>
                          </w:p>
                          <w:p w14:paraId="08848B47" w14:textId="77777777" w:rsidR="00863D9B" w:rsidRPr="00156DFE" w:rsidRDefault="00863D9B" w:rsidP="00DD2D01">
                            <w:pPr>
                              <w:spacing w:before="0" w:after="0" w:line="240" w:lineRule="auto"/>
                              <w:jc w:val="right"/>
                              <w:rPr>
                                <w:sz w:val="20"/>
                                <w:lang w:val="bs-Latn-BA"/>
                              </w:rPr>
                            </w:pPr>
                            <w:r w:rsidRPr="00156DFE">
                              <w:rPr>
                                <w:sz w:val="20"/>
                                <w:lang w:val="bs-Latn-BA"/>
                              </w:rPr>
                              <w:t>tel: +382 20 230 529</w:t>
                            </w:r>
                          </w:p>
                          <w:p w14:paraId="5FDFDB4A" w14:textId="77777777" w:rsidR="00863D9B" w:rsidRPr="00156DFE" w:rsidRDefault="00863D9B" w:rsidP="00DD2D01">
                            <w:pPr>
                              <w:spacing w:before="0" w:after="0" w:line="240" w:lineRule="auto"/>
                              <w:jc w:val="right"/>
                              <w:rPr>
                                <w:sz w:val="20"/>
                                <w:lang w:val="bs-Latn-BA"/>
                              </w:rPr>
                            </w:pPr>
                            <w:bookmarkStart w:id="1" w:name="_Hlk81921026"/>
                            <w:bookmarkStart w:id="2" w:name="_Hlk81921027"/>
                            <w:r w:rsidRPr="00156DFE">
                              <w:rPr>
                                <w:sz w:val="20"/>
                                <w:lang w:val="bs-Latn-BA"/>
                              </w:rPr>
                              <w:t>www.gov.me/mek</w:t>
                            </w:r>
                            <w:bookmarkEnd w:id="1"/>
                            <w:bookmarkEnd w:id="2"/>
                          </w:p>
                          <w:p w14:paraId="29EC7E13" w14:textId="77777777" w:rsidR="00863D9B" w:rsidRDefault="00863D9B" w:rsidP="00DD2D01">
                            <w:pPr>
                              <w:spacing w:before="0" w:after="0" w:line="240" w:lineRule="auto"/>
                              <w:jc w:val="right"/>
                              <w:rPr>
                                <w:color w:val="0070C0"/>
                                <w:sz w:val="20"/>
                              </w:rPr>
                            </w:pPr>
                          </w:p>
                          <w:p w14:paraId="70AD70B9" w14:textId="77777777" w:rsidR="00863D9B" w:rsidRDefault="00863D9B" w:rsidP="00DD2D01">
                            <w:pPr>
                              <w:spacing w:before="0" w:after="0" w:line="240" w:lineRule="auto"/>
                              <w:jc w:val="right"/>
                              <w:rPr>
                                <w:color w:val="0070C0"/>
                                <w:sz w:val="20"/>
                              </w:rPr>
                            </w:pPr>
                          </w:p>
                          <w:p w14:paraId="48CA5088" w14:textId="77777777" w:rsidR="00863D9B" w:rsidRPr="00AF27FF" w:rsidRDefault="00863D9B" w:rsidP="00DD2D01">
                            <w:pPr>
                              <w:spacing w:before="0" w:after="0" w:line="240" w:lineRule="auto"/>
                              <w:jc w:val="right"/>
                              <w:rPr>
                                <w:color w:val="0070C0"/>
                                <w:sz w:val="20"/>
                              </w:rPr>
                            </w:pPr>
                          </w:p>
                          <w:p w14:paraId="14805DD5" w14:textId="77777777" w:rsidR="00863D9B" w:rsidRPr="00AF27FF" w:rsidRDefault="00863D9B" w:rsidP="00DD2D01">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EFAD1" id="_x0000_t202" coordsize="21600,21600" o:spt="202" path="m,l,21600r21600,l21600,xe">
                <v:stroke joinstyle="miter"/>
                <v:path gradientshapeok="t" o:connecttype="rect"/>
              </v:shapetype>
              <v:shape id="Text Box 2" o:spid="_x0000_s1026" type="#_x0000_t202" style="position:absolute;left:0;text-align:left;margin-left:386.25pt;margin-top:6.2pt;width:132.75pt;height:5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" stroked="f">
                <v:textbox>
                  <w:txbxContent>
                    <w:p w14:paraId="7A65F2BD" w14:textId="77777777" w:rsidR="00863D9B" w:rsidRPr="00156DFE" w:rsidRDefault="00863D9B" w:rsidP="00DD2D01">
                      <w:pPr>
                        <w:spacing w:before="0" w:after="0" w:line="240" w:lineRule="auto"/>
                        <w:jc w:val="right"/>
                        <w:rPr>
                          <w:sz w:val="20"/>
                          <w:lang w:val="bs-Latn-BA"/>
                        </w:rPr>
                      </w:pPr>
                      <w:r w:rsidRPr="00156DFE">
                        <w:rPr>
                          <w:sz w:val="20"/>
                          <w:lang w:val="bs-Latn-BA"/>
                        </w:rPr>
                        <w:t>Adresa: Rimski trg 46</w:t>
                      </w:r>
                    </w:p>
                    <w:p w14:paraId="341E4687" w14:textId="77777777" w:rsidR="00863D9B" w:rsidRPr="00156DFE" w:rsidRDefault="00863D9B" w:rsidP="00DD2D01">
                      <w:pPr>
                        <w:spacing w:before="0" w:after="0" w:line="240" w:lineRule="auto"/>
                        <w:jc w:val="right"/>
                        <w:rPr>
                          <w:sz w:val="20"/>
                          <w:lang w:val="bs-Latn-BA"/>
                        </w:rPr>
                      </w:pPr>
                      <w:r w:rsidRPr="00156DFE">
                        <w:rPr>
                          <w:sz w:val="20"/>
                          <w:lang w:val="bs-Latn-BA"/>
                        </w:rPr>
                        <w:t>81000 Podgorica Crna Gora</w:t>
                      </w:r>
                    </w:p>
                    <w:p w14:paraId="08848B47" w14:textId="77777777" w:rsidR="00863D9B" w:rsidRPr="00156DFE" w:rsidRDefault="00863D9B" w:rsidP="00DD2D01">
                      <w:pPr>
                        <w:spacing w:before="0" w:after="0" w:line="240" w:lineRule="auto"/>
                        <w:jc w:val="right"/>
                        <w:rPr>
                          <w:sz w:val="20"/>
                          <w:lang w:val="bs-Latn-BA"/>
                        </w:rPr>
                      </w:pPr>
                      <w:r w:rsidRPr="00156DFE">
                        <w:rPr>
                          <w:sz w:val="20"/>
                          <w:lang w:val="bs-Latn-BA"/>
                        </w:rPr>
                        <w:t>tel: +382 20 230 529</w:t>
                      </w:r>
                    </w:p>
                    <w:p w14:paraId="5FDFDB4A" w14:textId="77777777" w:rsidR="00863D9B" w:rsidRPr="00156DFE" w:rsidRDefault="00863D9B" w:rsidP="00DD2D01">
                      <w:pPr>
                        <w:spacing w:before="0" w:after="0" w:line="240" w:lineRule="auto"/>
                        <w:jc w:val="right"/>
                        <w:rPr>
                          <w:sz w:val="20"/>
                          <w:lang w:val="bs-Latn-BA"/>
                        </w:rPr>
                      </w:pPr>
                      <w:bookmarkStart w:id="3" w:name="_Hlk81921026"/>
                      <w:bookmarkStart w:id="4" w:name="_Hlk81921027"/>
                      <w:r w:rsidRPr="00156DFE">
                        <w:rPr>
                          <w:sz w:val="20"/>
                          <w:lang w:val="bs-Latn-BA"/>
                        </w:rPr>
                        <w:t>www.gov.me/mek</w:t>
                      </w:r>
                      <w:bookmarkEnd w:id="3"/>
                      <w:bookmarkEnd w:id="4"/>
                    </w:p>
                    <w:p w14:paraId="29EC7E13" w14:textId="77777777" w:rsidR="00863D9B" w:rsidRDefault="00863D9B" w:rsidP="00DD2D01">
                      <w:pPr>
                        <w:spacing w:before="0" w:after="0" w:line="240" w:lineRule="auto"/>
                        <w:jc w:val="right"/>
                        <w:rPr>
                          <w:color w:val="0070C0"/>
                          <w:sz w:val="20"/>
                        </w:rPr>
                      </w:pPr>
                    </w:p>
                    <w:p w14:paraId="70AD70B9" w14:textId="77777777" w:rsidR="00863D9B" w:rsidRDefault="00863D9B" w:rsidP="00DD2D01">
                      <w:pPr>
                        <w:spacing w:before="0" w:after="0" w:line="240" w:lineRule="auto"/>
                        <w:jc w:val="right"/>
                        <w:rPr>
                          <w:color w:val="0070C0"/>
                          <w:sz w:val="20"/>
                        </w:rPr>
                      </w:pPr>
                    </w:p>
                    <w:p w14:paraId="48CA5088" w14:textId="77777777" w:rsidR="00863D9B" w:rsidRPr="00AF27FF" w:rsidRDefault="00863D9B" w:rsidP="00DD2D01">
                      <w:pPr>
                        <w:spacing w:before="0" w:after="0" w:line="240" w:lineRule="auto"/>
                        <w:jc w:val="right"/>
                        <w:rPr>
                          <w:color w:val="0070C0"/>
                          <w:sz w:val="20"/>
                        </w:rPr>
                      </w:pPr>
                    </w:p>
                    <w:p w14:paraId="14805DD5" w14:textId="77777777" w:rsidR="00863D9B" w:rsidRPr="00AF27FF" w:rsidRDefault="00863D9B" w:rsidP="00DD2D01">
                      <w:pPr>
                        <w:spacing w:line="240" w:lineRule="auto"/>
                        <w:rPr>
                          <w:sz w:val="20"/>
                        </w:rPr>
                      </w:pPr>
                    </w:p>
                  </w:txbxContent>
                </v:textbox>
              </v:shape>
            </w:pict>
          </mc:Fallback>
        </mc:AlternateContent>
      </w:r>
      <w:r w:rsidR="00DD2D01" w:rsidRPr="00DD2D01">
        <w:rPr>
          <w:rFonts w:ascii="Arial" w:hAnsi="Arial" w:cs="Arial"/>
          <w:noProof/>
          <w:sz w:val="28"/>
          <w:szCs w:val="28"/>
          <w:lang w:val="bs-Latn-BA"/>
        </w:rPr>
        <w:t xml:space="preserve">              Direkcija za tržišni inspekciju</w:t>
      </w:r>
    </w:p>
    <w:p w14:paraId="0A8A5A73" w14:textId="77777777" w:rsidR="00DD2D01" w:rsidRDefault="00DD2D01" w:rsidP="00AA4E1B">
      <w:pPr>
        <w:pStyle w:val="Heading2"/>
        <w:numPr>
          <w:ilvl w:val="0"/>
          <w:numId w:val="0"/>
        </w:numPr>
        <w:ind w:left="360" w:hanging="360"/>
        <w:rPr>
          <w:noProof/>
          <w:lang w:val="sr-Latn-CS"/>
        </w:rPr>
      </w:pPr>
    </w:p>
    <w:p w14:paraId="785D8274" w14:textId="77777777" w:rsidR="00DD2D01" w:rsidRDefault="00DD2D01" w:rsidP="00AA4E1B">
      <w:pPr>
        <w:pStyle w:val="Heading2"/>
        <w:numPr>
          <w:ilvl w:val="0"/>
          <w:numId w:val="0"/>
        </w:numPr>
        <w:ind w:left="360" w:hanging="360"/>
        <w:rPr>
          <w:noProof/>
          <w:lang w:val="sr-Latn-CS"/>
        </w:rPr>
      </w:pPr>
    </w:p>
    <w:p w14:paraId="7F17B918" w14:textId="77777777" w:rsidR="00DD2D01" w:rsidRDefault="00DD2D01" w:rsidP="00AA4E1B">
      <w:pPr>
        <w:pStyle w:val="Heading2"/>
        <w:numPr>
          <w:ilvl w:val="0"/>
          <w:numId w:val="0"/>
        </w:numPr>
        <w:ind w:left="360" w:hanging="360"/>
        <w:rPr>
          <w:noProof/>
          <w:lang w:val="sr-Latn-CS"/>
        </w:rPr>
      </w:pPr>
    </w:p>
    <w:p w14:paraId="3D392649" w14:textId="77777777" w:rsidR="00DD2D01" w:rsidRDefault="00DD2D01" w:rsidP="0011741A">
      <w:pPr>
        <w:pStyle w:val="Heading2"/>
        <w:numPr>
          <w:ilvl w:val="0"/>
          <w:numId w:val="0"/>
        </w:numPr>
        <w:rPr>
          <w:noProof/>
          <w:lang w:val="sr-Latn-CS"/>
        </w:rPr>
      </w:pPr>
    </w:p>
    <w:p w14:paraId="5E7DDB70" w14:textId="77777777" w:rsidR="00A27899" w:rsidRDefault="00A27899" w:rsidP="00D66BB1">
      <w:pPr>
        <w:pStyle w:val="Heading2"/>
        <w:numPr>
          <w:ilvl w:val="0"/>
          <w:numId w:val="0"/>
        </w:numPr>
        <w:tabs>
          <w:tab w:val="clear" w:pos="1134"/>
          <w:tab w:val="left" w:pos="2790"/>
        </w:tabs>
        <w:jc w:val="center"/>
        <w:rPr>
          <w:noProof/>
          <w:sz w:val="28"/>
          <w:szCs w:val="28"/>
        </w:rPr>
      </w:pPr>
    </w:p>
    <w:p w14:paraId="5FF185DA" w14:textId="77777777" w:rsidR="00A27899" w:rsidRDefault="00A27899" w:rsidP="00D66BB1">
      <w:pPr>
        <w:pStyle w:val="Heading2"/>
        <w:numPr>
          <w:ilvl w:val="0"/>
          <w:numId w:val="0"/>
        </w:numPr>
        <w:tabs>
          <w:tab w:val="clear" w:pos="1134"/>
          <w:tab w:val="left" w:pos="2790"/>
        </w:tabs>
        <w:jc w:val="center"/>
        <w:rPr>
          <w:noProof/>
          <w:sz w:val="28"/>
          <w:szCs w:val="28"/>
        </w:rPr>
      </w:pPr>
    </w:p>
    <w:p w14:paraId="06BEC742" w14:textId="77777777" w:rsidR="00A27899" w:rsidRDefault="00A27899" w:rsidP="00D66BB1">
      <w:pPr>
        <w:pStyle w:val="Heading2"/>
        <w:numPr>
          <w:ilvl w:val="0"/>
          <w:numId w:val="0"/>
        </w:numPr>
        <w:tabs>
          <w:tab w:val="clear" w:pos="1134"/>
          <w:tab w:val="left" w:pos="2790"/>
        </w:tabs>
        <w:jc w:val="center"/>
        <w:rPr>
          <w:noProof/>
          <w:sz w:val="28"/>
          <w:szCs w:val="28"/>
        </w:rPr>
      </w:pPr>
    </w:p>
    <w:p w14:paraId="6D692BAB" w14:textId="77777777" w:rsidR="00A27899" w:rsidRDefault="00A27899" w:rsidP="00D66BB1">
      <w:pPr>
        <w:pStyle w:val="Heading2"/>
        <w:numPr>
          <w:ilvl w:val="0"/>
          <w:numId w:val="0"/>
        </w:numPr>
        <w:tabs>
          <w:tab w:val="clear" w:pos="1134"/>
          <w:tab w:val="left" w:pos="2790"/>
        </w:tabs>
        <w:jc w:val="center"/>
        <w:rPr>
          <w:noProof/>
          <w:sz w:val="28"/>
          <w:szCs w:val="28"/>
        </w:rPr>
      </w:pPr>
    </w:p>
    <w:p w14:paraId="7C17FDB5" w14:textId="5FEEF63B" w:rsidR="00DD2D01" w:rsidRPr="00D66BB1" w:rsidRDefault="00DD2D01" w:rsidP="00D66BB1">
      <w:pPr>
        <w:pStyle w:val="Heading2"/>
        <w:numPr>
          <w:ilvl w:val="0"/>
          <w:numId w:val="0"/>
        </w:numPr>
        <w:tabs>
          <w:tab w:val="clear" w:pos="1134"/>
          <w:tab w:val="left" w:pos="2790"/>
        </w:tabs>
        <w:jc w:val="center"/>
        <w:rPr>
          <w:noProof/>
          <w:sz w:val="28"/>
          <w:szCs w:val="28"/>
        </w:rPr>
      </w:pPr>
      <w:r w:rsidRPr="00DD2D01">
        <w:rPr>
          <w:noProof/>
          <w:sz w:val="28"/>
          <w:szCs w:val="28"/>
        </w:rPr>
        <w:t xml:space="preserve">PLAN </w:t>
      </w:r>
      <w:r w:rsidR="00145F57">
        <w:rPr>
          <w:noProof/>
          <w:sz w:val="28"/>
          <w:szCs w:val="28"/>
        </w:rPr>
        <w:t>P</w:t>
      </w:r>
      <w:r w:rsidR="00D66BB1">
        <w:rPr>
          <w:noProof/>
          <w:sz w:val="28"/>
          <w:szCs w:val="28"/>
        </w:rPr>
        <w:t xml:space="preserve">OJAČANOG INSPEKCIJSKOG NADZORA ZA VRIJEME LJETNJE </w:t>
      </w:r>
      <w:r w:rsidR="00145F57">
        <w:rPr>
          <w:noProof/>
          <w:sz w:val="28"/>
          <w:szCs w:val="28"/>
        </w:rPr>
        <w:t>TURISTČK</w:t>
      </w:r>
      <w:r w:rsidR="00D66BB1">
        <w:rPr>
          <w:noProof/>
          <w:sz w:val="28"/>
          <w:szCs w:val="28"/>
        </w:rPr>
        <w:t>E</w:t>
      </w:r>
      <w:r w:rsidR="00145F57">
        <w:rPr>
          <w:noProof/>
          <w:sz w:val="28"/>
          <w:szCs w:val="28"/>
        </w:rPr>
        <w:t xml:space="preserve"> SEZON</w:t>
      </w:r>
      <w:r w:rsidR="00D66BB1">
        <w:rPr>
          <w:noProof/>
          <w:sz w:val="28"/>
          <w:szCs w:val="28"/>
        </w:rPr>
        <w:t>E 2</w:t>
      </w:r>
      <w:r w:rsidRPr="00DD2D01">
        <w:rPr>
          <w:noProof/>
          <w:sz w:val="28"/>
          <w:szCs w:val="28"/>
        </w:rPr>
        <w:t>025. GODIN</w:t>
      </w:r>
      <w:r w:rsidR="00D66BB1">
        <w:rPr>
          <w:noProof/>
          <w:sz w:val="28"/>
          <w:szCs w:val="28"/>
        </w:rPr>
        <w:t>E</w:t>
      </w:r>
    </w:p>
    <w:p w14:paraId="15DBE7CA" w14:textId="2796B086" w:rsidR="00DD2D01" w:rsidRDefault="00DD2D01" w:rsidP="00DD2D01">
      <w:pPr>
        <w:pStyle w:val="Heading2"/>
        <w:numPr>
          <w:ilvl w:val="0"/>
          <w:numId w:val="0"/>
        </w:numPr>
        <w:tabs>
          <w:tab w:val="clear" w:pos="1134"/>
          <w:tab w:val="left" w:pos="2790"/>
        </w:tabs>
        <w:ind w:left="360" w:hanging="360"/>
        <w:jc w:val="center"/>
        <w:rPr>
          <w:noProof/>
          <w:lang w:val="sr-Latn-CS"/>
        </w:rPr>
      </w:pPr>
    </w:p>
    <w:p w14:paraId="37CFF4F5" w14:textId="79CCCFEF" w:rsidR="00DD2D01" w:rsidRDefault="00DD2D01" w:rsidP="00AA4E1B">
      <w:pPr>
        <w:pStyle w:val="Heading2"/>
        <w:numPr>
          <w:ilvl w:val="0"/>
          <w:numId w:val="0"/>
        </w:numPr>
        <w:ind w:left="360" w:hanging="360"/>
        <w:rPr>
          <w:noProof/>
          <w:lang w:val="sr-Latn-CS"/>
        </w:rPr>
      </w:pPr>
    </w:p>
    <w:p w14:paraId="415200BB" w14:textId="77777777" w:rsidR="0011741A" w:rsidRPr="0011741A" w:rsidRDefault="0011741A" w:rsidP="0011741A">
      <w:pPr>
        <w:rPr>
          <w:lang w:val="sr-Latn-CS"/>
        </w:rPr>
      </w:pPr>
    </w:p>
    <w:p w14:paraId="5D8892AC" w14:textId="77777777" w:rsidR="00145F57" w:rsidRDefault="0011741A" w:rsidP="00145F57">
      <w:pPr>
        <w:pStyle w:val="Heading2"/>
        <w:numPr>
          <w:ilvl w:val="0"/>
          <w:numId w:val="0"/>
        </w:numPr>
        <w:rPr>
          <w:noProof/>
          <w:lang w:val="sr-Latn-CS"/>
        </w:rPr>
      </w:pPr>
      <w:r>
        <w:rPr>
          <w:noProof/>
          <w:lang w:val="sr-Latn-CS"/>
        </w:rPr>
        <w:t xml:space="preserve">                                             </w:t>
      </w:r>
    </w:p>
    <w:p w14:paraId="6A91CE06" w14:textId="77777777" w:rsidR="00145F57" w:rsidRDefault="00145F57" w:rsidP="00145F57">
      <w:pPr>
        <w:pStyle w:val="Heading2"/>
        <w:numPr>
          <w:ilvl w:val="0"/>
          <w:numId w:val="0"/>
        </w:numPr>
        <w:rPr>
          <w:noProof/>
          <w:lang w:val="sr-Latn-CS"/>
        </w:rPr>
      </w:pPr>
    </w:p>
    <w:p w14:paraId="0993EEBC" w14:textId="5B6FC97E" w:rsidR="00DD2D01" w:rsidRDefault="0011741A" w:rsidP="00145F57">
      <w:pPr>
        <w:pStyle w:val="Heading2"/>
        <w:numPr>
          <w:ilvl w:val="0"/>
          <w:numId w:val="0"/>
        </w:numPr>
        <w:rPr>
          <w:noProof/>
          <w:lang w:val="sr-Latn-CS"/>
        </w:rPr>
      </w:pPr>
      <w:r>
        <w:rPr>
          <w:noProof/>
          <w:lang w:val="sr-Latn-CS"/>
        </w:rPr>
        <w:t xml:space="preserve">                                 </w:t>
      </w:r>
    </w:p>
    <w:bookmarkEnd w:id="0"/>
    <w:p w14:paraId="4F756479" w14:textId="77777777" w:rsidR="00A52778" w:rsidRDefault="00A52778" w:rsidP="00B03EC1">
      <w:pPr>
        <w:rPr>
          <w:sz w:val="28"/>
          <w:szCs w:val="28"/>
          <w:lang w:val="sr-Latn-CS"/>
        </w:rPr>
      </w:pPr>
    </w:p>
    <w:p w14:paraId="08368379" w14:textId="77777777" w:rsidR="00D66BB1" w:rsidRDefault="00D66BB1" w:rsidP="00B03EC1">
      <w:pPr>
        <w:rPr>
          <w:b/>
          <w:bCs/>
          <w:sz w:val="28"/>
          <w:szCs w:val="28"/>
          <w:lang w:val="bs-Latn-BA"/>
        </w:rPr>
      </w:pPr>
    </w:p>
    <w:p w14:paraId="76D1C2BD" w14:textId="77777777" w:rsidR="00D66BB1" w:rsidRDefault="00D66BB1" w:rsidP="00B03EC1">
      <w:pPr>
        <w:rPr>
          <w:b/>
          <w:bCs/>
          <w:sz w:val="28"/>
          <w:szCs w:val="28"/>
          <w:lang w:val="bs-Latn-BA"/>
        </w:rPr>
      </w:pPr>
    </w:p>
    <w:p w14:paraId="7CC004BD" w14:textId="77777777" w:rsidR="00D66BB1" w:rsidRDefault="00D66BB1" w:rsidP="00A27899">
      <w:pPr>
        <w:jc w:val="center"/>
        <w:rPr>
          <w:b/>
          <w:bCs/>
          <w:sz w:val="28"/>
          <w:szCs w:val="28"/>
          <w:lang w:val="bs-Latn-BA"/>
        </w:rPr>
      </w:pPr>
    </w:p>
    <w:p w14:paraId="4D55FB22" w14:textId="2C24DB4B" w:rsidR="00D66BB1" w:rsidRDefault="00A27899" w:rsidP="00A27899">
      <w:pPr>
        <w:jc w:val="center"/>
        <w:rPr>
          <w:b/>
          <w:bCs/>
          <w:sz w:val="28"/>
          <w:szCs w:val="28"/>
          <w:lang w:val="bs-Latn-BA"/>
        </w:rPr>
      </w:pPr>
      <w:r>
        <w:rPr>
          <w:b/>
          <w:bCs/>
          <w:sz w:val="28"/>
          <w:szCs w:val="28"/>
          <w:lang w:val="bs-Latn-BA"/>
        </w:rPr>
        <w:t>Podgorica, maj 2025. god.</w:t>
      </w:r>
    </w:p>
    <w:p w14:paraId="11A9AE3C" w14:textId="77777777" w:rsidR="00D66BB1" w:rsidRDefault="00D66BB1" w:rsidP="00B03EC1">
      <w:pPr>
        <w:rPr>
          <w:b/>
          <w:bCs/>
          <w:sz w:val="28"/>
          <w:szCs w:val="28"/>
          <w:lang w:val="bs-Latn-BA"/>
        </w:rPr>
      </w:pPr>
    </w:p>
    <w:p w14:paraId="22721D22" w14:textId="77777777" w:rsidR="00D66BB1" w:rsidRDefault="00D66BB1" w:rsidP="00B03EC1">
      <w:pPr>
        <w:rPr>
          <w:b/>
          <w:bCs/>
          <w:sz w:val="28"/>
          <w:szCs w:val="28"/>
          <w:lang w:val="bs-Latn-BA"/>
        </w:rPr>
      </w:pPr>
    </w:p>
    <w:p w14:paraId="08199D64" w14:textId="77777777" w:rsidR="00D66BB1" w:rsidRDefault="00D66BB1" w:rsidP="00B03EC1">
      <w:pPr>
        <w:rPr>
          <w:b/>
          <w:bCs/>
          <w:sz w:val="28"/>
          <w:szCs w:val="28"/>
          <w:lang w:val="bs-Latn-BA"/>
        </w:rPr>
      </w:pPr>
    </w:p>
    <w:p w14:paraId="78A103D9" w14:textId="77777777" w:rsidR="00D66BB1" w:rsidRDefault="00D66BB1" w:rsidP="00B03EC1">
      <w:pPr>
        <w:rPr>
          <w:b/>
          <w:bCs/>
          <w:sz w:val="28"/>
          <w:szCs w:val="28"/>
          <w:lang w:val="bs-Latn-BA"/>
        </w:rPr>
      </w:pPr>
    </w:p>
    <w:p w14:paraId="0FAA0F00" w14:textId="77777777" w:rsidR="00D66BB1" w:rsidRDefault="00D66BB1" w:rsidP="00B03EC1">
      <w:pPr>
        <w:rPr>
          <w:b/>
          <w:bCs/>
          <w:sz w:val="28"/>
          <w:szCs w:val="28"/>
          <w:lang w:val="bs-Latn-BA"/>
        </w:rPr>
      </w:pPr>
    </w:p>
    <w:p w14:paraId="31A31629" w14:textId="541DA0AE" w:rsidR="006D268B" w:rsidRDefault="006D268B" w:rsidP="00B03EC1">
      <w:pPr>
        <w:rPr>
          <w:b/>
          <w:bCs/>
          <w:sz w:val="28"/>
          <w:szCs w:val="28"/>
          <w:lang w:val="bs-Latn-BA"/>
        </w:rPr>
      </w:pPr>
      <w:r w:rsidRPr="00A52778">
        <w:rPr>
          <w:b/>
          <w:bCs/>
          <w:sz w:val="28"/>
          <w:szCs w:val="28"/>
          <w:lang w:val="bs-Latn-BA"/>
        </w:rPr>
        <w:t>Uvod</w:t>
      </w:r>
    </w:p>
    <w:p w14:paraId="600D4EA6" w14:textId="77777777" w:rsidR="00A52778" w:rsidRPr="00A52778" w:rsidRDefault="00A52778" w:rsidP="00B03EC1">
      <w:pPr>
        <w:rPr>
          <w:b/>
          <w:bCs/>
          <w:sz w:val="28"/>
          <w:szCs w:val="28"/>
          <w:lang w:val="bs-Latn-BA"/>
        </w:rPr>
      </w:pPr>
    </w:p>
    <w:p w14:paraId="322D2F78" w14:textId="371870E5" w:rsidR="00B03EC1" w:rsidRDefault="00145F57" w:rsidP="00B03EC1">
      <w:pPr>
        <w:rPr>
          <w:lang w:val="bs-Latn-BA"/>
        </w:rPr>
      </w:pPr>
      <w:r w:rsidRPr="00145F57">
        <w:rPr>
          <w:lang w:val="bs-Latn-BA"/>
        </w:rPr>
        <w:t>U skladu sa</w:t>
      </w:r>
      <w:r>
        <w:rPr>
          <w:b/>
          <w:bCs/>
          <w:lang w:val="bs-Latn-BA"/>
        </w:rPr>
        <w:t xml:space="preserve"> </w:t>
      </w:r>
      <w:r w:rsidRPr="00145F57">
        <w:rPr>
          <w:lang w:val="bs-Latn-BA"/>
        </w:rPr>
        <w:t xml:space="preserve">Godišnjim planom rada </w:t>
      </w:r>
      <w:r w:rsidR="00B03EC1" w:rsidRPr="00145F57">
        <w:rPr>
          <w:lang w:val="bs-Latn-BA"/>
        </w:rPr>
        <w:t>Direkcija za tržišnu inspekciju</w:t>
      </w:r>
      <w:r>
        <w:rPr>
          <w:lang w:val="bs-Latn-BA"/>
        </w:rPr>
        <w:t xml:space="preserve"> za 2025. godinu</w:t>
      </w:r>
      <w:r w:rsidR="00B03EC1" w:rsidRPr="00145F57">
        <w:rPr>
          <w:lang w:val="bs-Latn-BA"/>
        </w:rPr>
        <w:t xml:space="preserve">, </w:t>
      </w:r>
      <w:r>
        <w:rPr>
          <w:lang w:val="bs-Latn-BA"/>
        </w:rPr>
        <w:t>Planom pripreme ljetn</w:t>
      </w:r>
      <w:r w:rsidR="001B58FB">
        <w:rPr>
          <w:lang w:val="bs-Latn-BA"/>
        </w:rPr>
        <w:t>j</w:t>
      </w:r>
      <w:r>
        <w:rPr>
          <w:lang w:val="bs-Latn-BA"/>
        </w:rPr>
        <w:t xml:space="preserve">e </w:t>
      </w:r>
      <w:r w:rsidR="001B58FB">
        <w:rPr>
          <w:lang w:val="bs-Latn-BA"/>
        </w:rPr>
        <w:t>turističke sezone za 2025. godinu</w:t>
      </w:r>
      <w:r w:rsidR="002E11BD">
        <w:rPr>
          <w:lang w:val="bs-Latn-BA"/>
        </w:rPr>
        <w:t xml:space="preserve"> i</w:t>
      </w:r>
      <w:r w:rsidR="00D66BB1">
        <w:rPr>
          <w:lang w:val="bs-Latn-BA"/>
        </w:rPr>
        <w:t xml:space="preserve"> </w:t>
      </w:r>
      <w:r w:rsidR="001B58FB">
        <w:rPr>
          <w:lang w:val="bs-Latn-BA"/>
        </w:rPr>
        <w:t xml:space="preserve"> </w:t>
      </w:r>
      <w:r w:rsidR="00D66BB1">
        <w:rPr>
          <w:lang w:val="bs-Latn-BA"/>
        </w:rPr>
        <w:t>Akcionim planom ljetne turističke sezone za 2025. godinu</w:t>
      </w:r>
      <w:r w:rsidR="002E11BD">
        <w:rPr>
          <w:lang w:val="bs-Latn-BA"/>
        </w:rPr>
        <w:t>, Direkcija za tržišnu inspekciju M</w:t>
      </w:r>
      <w:r w:rsidR="00B03EC1">
        <w:rPr>
          <w:lang w:val="bs-Latn-BA"/>
        </w:rPr>
        <w:t>inistarstva za ekonomski razvoj</w:t>
      </w:r>
      <w:r w:rsidR="002E11BD">
        <w:rPr>
          <w:lang w:val="bs-Latn-BA"/>
        </w:rPr>
        <w:t>a izradila je Plan pojačanog inspekcijskog nadzora za vrijeme ljetn</w:t>
      </w:r>
      <w:r w:rsidR="00DA146E">
        <w:rPr>
          <w:lang w:val="bs-Latn-BA"/>
        </w:rPr>
        <w:t>j</w:t>
      </w:r>
      <w:r w:rsidR="002E11BD">
        <w:rPr>
          <w:lang w:val="bs-Latn-BA"/>
        </w:rPr>
        <w:t>e turističke sezone 2025. godine.</w:t>
      </w:r>
      <w:r w:rsidR="00B03EC1">
        <w:rPr>
          <w:lang w:val="bs-Latn-BA"/>
        </w:rPr>
        <w:t xml:space="preserve"> </w:t>
      </w:r>
      <w:r w:rsidR="002E11BD">
        <w:rPr>
          <w:lang w:val="bs-Latn-BA"/>
        </w:rPr>
        <w:t xml:space="preserve"> </w:t>
      </w:r>
    </w:p>
    <w:p w14:paraId="362BD49D" w14:textId="35FB5734" w:rsidR="00A14FDB" w:rsidRDefault="002E11BD" w:rsidP="00B03EC1">
      <w:pPr>
        <w:rPr>
          <w:lang w:val="bs-Latn-BA"/>
        </w:rPr>
      </w:pPr>
      <w:r>
        <w:rPr>
          <w:lang w:val="bs-Latn-BA"/>
        </w:rPr>
        <w:t xml:space="preserve">Plan obuhvata planirane aktivnosti </w:t>
      </w:r>
      <w:r w:rsidR="00DA146E">
        <w:rPr>
          <w:lang w:val="bs-Latn-BA"/>
        </w:rPr>
        <w:t xml:space="preserve">inspekcijskog nadzora nad primjenom </w:t>
      </w:r>
      <w:r w:rsidR="006A78E6">
        <w:rPr>
          <w:lang w:val="bs-Latn-BA"/>
        </w:rPr>
        <w:t>zakona i drugih propisa iz oblasti unutrašnje</w:t>
      </w:r>
      <w:r w:rsidR="002109C9">
        <w:rPr>
          <w:lang w:val="bs-Latn-BA"/>
        </w:rPr>
        <w:t xml:space="preserve"> trgovine</w:t>
      </w:r>
      <w:r w:rsidR="002E1424">
        <w:rPr>
          <w:lang w:val="bs-Latn-BA"/>
        </w:rPr>
        <w:t>,</w:t>
      </w:r>
      <w:bookmarkStart w:id="5" w:name="_GoBack"/>
      <w:bookmarkEnd w:id="5"/>
      <w:r w:rsidR="002109C9">
        <w:rPr>
          <w:lang w:val="bs-Latn-BA"/>
        </w:rPr>
        <w:t xml:space="preserve"> </w:t>
      </w:r>
      <w:r w:rsidR="002E1424">
        <w:rPr>
          <w:lang w:val="bs-Latn-BA"/>
        </w:rPr>
        <w:t xml:space="preserve">zanatskih </w:t>
      </w:r>
      <w:r w:rsidR="002109C9">
        <w:rPr>
          <w:lang w:val="bs-Latn-BA"/>
        </w:rPr>
        <w:t xml:space="preserve">i </w:t>
      </w:r>
      <w:r w:rsidR="002E1424">
        <w:rPr>
          <w:lang w:val="bs-Latn-BA"/>
        </w:rPr>
        <w:t xml:space="preserve">drugih </w:t>
      </w:r>
      <w:r w:rsidR="002109C9">
        <w:rPr>
          <w:lang w:val="bs-Latn-BA"/>
        </w:rPr>
        <w:t>usluga</w:t>
      </w:r>
      <w:r w:rsidR="00DA146E">
        <w:rPr>
          <w:lang w:val="bs-Latn-BA"/>
        </w:rPr>
        <w:t xml:space="preserve">, </w:t>
      </w:r>
      <w:r w:rsidRPr="002E11BD">
        <w:rPr>
          <w:lang w:val="bs-Cyrl-BA"/>
        </w:rPr>
        <w:t xml:space="preserve"> u cilju stvaranja</w:t>
      </w:r>
      <w:r w:rsidR="00DA146E">
        <w:rPr>
          <w:lang w:val="bs-Latn-BA"/>
        </w:rPr>
        <w:t xml:space="preserve"> </w:t>
      </w:r>
      <w:r w:rsidRPr="002E11BD">
        <w:rPr>
          <w:lang w:val="bs-Cyrl-BA"/>
        </w:rPr>
        <w:t>uslova za kvalitetniju pripremu i odvijanje ljetnje turističke sezone</w:t>
      </w:r>
      <w:r w:rsidR="00A14FDB">
        <w:rPr>
          <w:lang w:val="bs-Latn-BA"/>
        </w:rPr>
        <w:t>.</w:t>
      </w:r>
    </w:p>
    <w:p w14:paraId="0AECED47" w14:textId="77777777" w:rsidR="006B6F2E" w:rsidRPr="002109C9" w:rsidRDefault="006B6F2E" w:rsidP="00B03EC1">
      <w:pPr>
        <w:rPr>
          <w:lang w:val="bs-Latn-BA"/>
        </w:rPr>
      </w:pPr>
    </w:p>
    <w:tbl>
      <w:tblPr>
        <w:tblStyle w:val="TableGrid"/>
        <w:tblW w:w="0" w:type="auto"/>
        <w:tblLook w:val="04A0" w:firstRow="1" w:lastRow="0" w:firstColumn="1" w:lastColumn="0" w:noHBand="0" w:noVBand="1"/>
      </w:tblPr>
      <w:tblGrid>
        <w:gridCol w:w="4957"/>
        <w:gridCol w:w="4393"/>
      </w:tblGrid>
      <w:tr w:rsidR="00A14FDB" w14:paraId="5210FD56" w14:textId="77777777" w:rsidTr="006B6F2E">
        <w:tc>
          <w:tcPr>
            <w:tcW w:w="4957" w:type="dxa"/>
          </w:tcPr>
          <w:p w14:paraId="3D0E6C67" w14:textId="57844CF3" w:rsidR="00A14FDB" w:rsidRPr="00A14FDB" w:rsidRDefault="00A14FDB" w:rsidP="00A14FDB">
            <w:pPr>
              <w:jc w:val="center"/>
              <w:rPr>
                <w:b/>
                <w:bCs/>
                <w:lang w:val="bs-Latn-BA"/>
              </w:rPr>
            </w:pPr>
            <w:r>
              <w:rPr>
                <w:b/>
                <w:bCs/>
                <w:lang w:val="bs-Latn-BA"/>
              </w:rPr>
              <w:t>Planirane a</w:t>
            </w:r>
            <w:r w:rsidRPr="00A14FDB">
              <w:rPr>
                <w:b/>
                <w:bCs/>
                <w:lang w:val="bs-Latn-BA"/>
              </w:rPr>
              <w:t>ktivnosti</w:t>
            </w:r>
          </w:p>
        </w:tc>
        <w:tc>
          <w:tcPr>
            <w:tcW w:w="4393" w:type="dxa"/>
          </w:tcPr>
          <w:p w14:paraId="6D618AA6" w14:textId="3921C111" w:rsidR="00A14FDB" w:rsidRPr="00A14FDB" w:rsidRDefault="00A14FDB" w:rsidP="00A14FDB">
            <w:pPr>
              <w:jc w:val="center"/>
              <w:rPr>
                <w:b/>
                <w:bCs/>
                <w:lang w:val="bs-Latn-BA"/>
              </w:rPr>
            </w:pPr>
            <w:r w:rsidRPr="00A14FDB">
              <w:rPr>
                <w:b/>
                <w:bCs/>
                <w:lang w:val="bs-Latn-BA"/>
              </w:rPr>
              <w:t>Rok realizacije</w:t>
            </w:r>
          </w:p>
        </w:tc>
      </w:tr>
      <w:tr w:rsidR="00A14FDB" w14:paraId="5C990E14" w14:textId="77777777" w:rsidTr="006B6F2E">
        <w:tc>
          <w:tcPr>
            <w:tcW w:w="4957" w:type="dxa"/>
          </w:tcPr>
          <w:p w14:paraId="0E79F559" w14:textId="53C9575F" w:rsidR="00A14FDB" w:rsidRPr="00A14FDB" w:rsidRDefault="00A14FDB" w:rsidP="00A14FDB">
            <w:pPr>
              <w:rPr>
                <w:b/>
                <w:bCs/>
                <w:lang w:val="bs-Latn-BA"/>
              </w:rPr>
            </w:pPr>
            <w:r w:rsidRPr="00A14FDB">
              <w:rPr>
                <w:b/>
                <w:bCs/>
                <w:lang w:val="bs-Latn-BA"/>
              </w:rPr>
              <w:t>I</w:t>
            </w:r>
            <w:r w:rsidRPr="00A14FDB">
              <w:rPr>
                <w:b/>
                <w:bCs/>
                <w:lang w:val="bs-Latn-BA"/>
              </w:rPr>
              <w:t xml:space="preserve">. Unutrašnja trgovina: </w:t>
            </w:r>
          </w:p>
          <w:p w14:paraId="77C600EA" w14:textId="77777777" w:rsidR="00A14FDB" w:rsidRPr="00A14FDB" w:rsidRDefault="00A14FDB" w:rsidP="00A14FDB">
            <w:pPr>
              <w:rPr>
                <w:lang w:val="bs-Latn-BA"/>
              </w:rPr>
            </w:pPr>
            <w:r w:rsidRPr="00A14FDB">
              <w:rPr>
                <w:lang w:val="bs-Latn-BA"/>
              </w:rPr>
              <w:t xml:space="preserve">- </w:t>
            </w:r>
            <w:r w:rsidRPr="00A14FDB">
              <w:rPr>
                <w:b/>
                <w:bCs/>
                <w:i/>
                <w:iCs/>
                <w:lang w:val="bs-Latn-BA"/>
              </w:rPr>
              <w:t>Inspekcijski nadzor nad sprovođenjem Zakona o unutrašnjoj trgovini i podzakonskih propisa donesenih na osnovu ovog zakona -</w:t>
            </w:r>
            <w:r w:rsidRPr="00A14FDB">
              <w:rPr>
                <w:lang w:val="bs-Latn-BA"/>
              </w:rPr>
              <w:t xml:space="preserve"> provjera usaglašenosti poslovanja subjekta nadzora sa odredbama Zakona o unutrašnjoj trgovini i propisa donesenih na osnovu ovog zakona, i to provjera usaglašenosti odredbi koje se odnose na: dokaze o nabavci robe u prometu; prijavljivanje trgovine na malo, trgovine na veliko i trgovinskih usluga; poštovanje neradne nedjelje i neradnih dana u vrijeme državnih praznika; isticanje i pridržavanje rasporeda radnog vremena; vođenje evidencije o nabavci i prodaji robe.</w:t>
            </w:r>
          </w:p>
          <w:p w14:paraId="7D782FC6" w14:textId="40D92785" w:rsidR="006B6F2E" w:rsidRPr="006B6F2E" w:rsidRDefault="00A14FDB" w:rsidP="006B6F2E">
            <w:pPr>
              <w:rPr>
                <w:lang w:val="bs-Latn-BA"/>
              </w:rPr>
            </w:pPr>
            <w:r w:rsidRPr="00A14FDB">
              <w:rPr>
                <w:lang w:val="bs-Latn-BA"/>
              </w:rPr>
              <w:t xml:space="preserve">- </w:t>
            </w:r>
            <w:r w:rsidRPr="00A14FDB">
              <w:rPr>
                <w:b/>
                <w:bCs/>
                <w:i/>
                <w:iCs/>
                <w:lang w:val="bs-Latn-BA"/>
              </w:rPr>
              <w:t xml:space="preserve">Inspekcijski nadzor nad sprovođenjem Zakona o zaštiti potrošača i podzakonskih propisa donesenih na osnovu ovog zakona - </w:t>
            </w:r>
            <w:r w:rsidRPr="00A14FDB">
              <w:rPr>
                <w:lang w:val="bs-Latn-BA"/>
              </w:rPr>
              <w:t xml:space="preserve">provjera usaglašenosti poslovanja subjekta nadzora sa odredbama Zakona o zaštiti potrošača i propisa donesenih na osnovu ovog zakona, i to provjera usaglašenosti odredbi koje se odnose na: </w:t>
            </w:r>
            <w:r w:rsidRPr="006B6F2E">
              <w:rPr>
                <w:i/>
                <w:iCs/>
                <w:lang w:val="bs-Latn-BA"/>
              </w:rPr>
              <w:t>zaštitu ekonomskih interesa potrošača</w:t>
            </w:r>
            <w:r w:rsidRPr="00A14FDB">
              <w:rPr>
                <w:lang w:val="bs-Latn-BA"/>
              </w:rPr>
              <w:t xml:space="preserve"> - </w:t>
            </w:r>
            <w:r w:rsidR="006B6F2E">
              <w:rPr>
                <w:lang w:val="bs-Latn-BA"/>
              </w:rPr>
              <w:t xml:space="preserve"> </w:t>
            </w:r>
            <w:r w:rsidR="006B6F2E" w:rsidRPr="006B6F2E">
              <w:rPr>
                <w:lang w:val="bs-Latn-BA"/>
              </w:rPr>
              <w:t xml:space="preserve">isticanja obavještenja o robi, isticanja cijene proizvoda, pridržavanja istaknutih cijena, isticanje cijene kod prodajnih pogodnosti, isticanje cijene pri oglašavanju, isticanje cijena kod benzinskih stanica i parkirališta; </w:t>
            </w:r>
            <w:r w:rsidR="006B6F2E" w:rsidRPr="006B6F2E">
              <w:rPr>
                <w:i/>
                <w:iCs/>
                <w:lang w:val="bs-Latn-BA"/>
              </w:rPr>
              <w:t>druge obaveze trgovaca</w:t>
            </w:r>
            <w:r w:rsidR="006B6F2E" w:rsidRPr="006B6F2E">
              <w:rPr>
                <w:lang w:val="bs-Latn-BA"/>
              </w:rPr>
              <w:t xml:space="preserve"> – ispunjenje ugovora, upoznavanje sa svojstvima i karekteristikama proizvoda, izdavanje računa, ponudu popravku ili održavanje proizvoda, dostupnost rezervnih djelova i servisa, materijal za pakovanje, dokumentaciju koja prati robu, isporuku robe, opomene za neplaćena novčana potraživanja, prigovor potrošača; prodajne pogodnosti – vrste prodajnih pogodnosti, zabranjeno oglašavanje, sniženje i rasprodaju, akcijsku i promotivnu prodaju, posebne uslove prodaje, posebne prodajne pogodnosti, informisanje i oglašavanje prodajnih pogodnosti; usluge od javnog interesa; saobraznost ugovoru i garancija; potrošačke ugovorne odnose; ugovore zaključene van poslovnih prostorija i ugovore na daljinu; nepoštenu poslovnu praksu i dr.</w:t>
            </w:r>
          </w:p>
          <w:p w14:paraId="06CDBED6" w14:textId="77777777" w:rsidR="006B6F2E" w:rsidRPr="006B6F2E" w:rsidRDefault="006B6F2E" w:rsidP="006B6F2E">
            <w:pPr>
              <w:rPr>
                <w:lang w:val="bs-Latn-BA"/>
              </w:rPr>
            </w:pPr>
            <w:r w:rsidRPr="006B6F2E">
              <w:rPr>
                <w:lang w:val="bs-Latn-BA"/>
              </w:rPr>
              <w:t xml:space="preserve">- </w:t>
            </w:r>
            <w:r w:rsidRPr="006B6F2E">
              <w:rPr>
                <w:b/>
                <w:bCs/>
                <w:i/>
                <w:iCs/>
                <w:lang w:val="bs-Latn-BA"/>
              </w:rPr>
              <w:t>Inspekcijski nadzor nad sprovođenjem Zakona o duvanu  i podzakonskih propisa donesenih na osnovu ovog zakona</w:t>
            </w:r>
            <w:r w:rsidRPr="006B6F2E">
              <w:rPr>
                <w:lang w:val="bs-Latn-BA"/>
              </w:rPr>
              <w:t xml:space="preserve"> - provjera usaglašenosti poslovanja subjekta nadzora sa odredbama Zakona o duvanu i propisa donesenih na osnovu ovog zakona, i to provjera usaglašenosti odredbi koje se odnose na:  promet duvana, obrađenog duvana i prometom na veliko i malo duvanskim proizvodima; ispunjenost uslova za obavljanje prometa obrađenog duvana i prometa na veliko i malo duvanskim proizvodima, kao i posebnim oznakama, evidencijama, registrima i drugom dokumentacijom koja se odnosi na promet duvana, obrađenog duvana i duvanskih proizvoda.</w:t>
            </w:r>
          </w:p>
          <w:p w14:paraId="1E1ECD9E" w14:textId="77777777" w:rsidR="006B6F2E" w:rsidRPr="006B6F2E" w:rsidRDefault="006B6F2E" w:rsidP="006B6F2E">
            <w:pPr>
              <w:rPr>
                <w:lang w:val="bs-Latn-BA"/>
              </w:rPr>
            </w:pPr>
            <w:r w:rsidRPr="006B6F2E">
              <w:rPr>
                <w:lang w:val="bs-Latn-BA"/>
              </w:rPr>
              <w:t>-</w:t>
            </w:r>
            <w:r w:rsidRPr="006B6F2E">
              <w:rPr>
                <w:b/>
                <w:bCs/>
                <w:i/>
                <w:iCs/>
                <w:lang w:val="bs-Latn-BA"/>
              </w:rPr>
              <w:t xml:space="preserve"> Inspekcijski nadzor nad sprovođenjem Zakona o ograničavanju upotrebe duvanskih proizvoda i podzakonskih propisa donesenih na osnovu ovog zakona </w:t>
            </w:r>
            <w:r w:rsidRPr="006B6F2E">
              <w:rPr>
                <w:lang w:val="bs-Latn-BA"/>
              </w:rPr>
              <w:t xml:space="preserve">- provjera usaglašenosti poslovanja subjekta nadzora sa odredbama Zakona o ograničavanju upotrebe duvanskih proizvoda i propisa donesenih na osnovu ovog zakona, i to provjera usaglašenosti odredbi koje se odnose na: zabranu prometa duvana za oralnu upotrebu; zabranu prekogranične kupovine na daljinu duvanskih i sličnih proizvoda, elektronskih cigareta i posuda za ponovno punjenje, kao i novih duvanskih proizvoda; zabranu   prodaje duvanskih proizvoda licima mlađim od 18 godina života; zabranu licima mlađim od 18 godina života da vrše prodaju duvanskih proizvoda; obavezu isticanja na maloprodajnim objektima oznake o zabrani prodaje duvanskih proizvoda licima mlađim od 18 godina života; zabranu promet duvanskih proizvoda: u javnom prostoru sportsko-rekreativnih objekata, iz automatskih aparata,  uz davanje posrednih ili neposrednih povlastica kupcima ili nekom trećem licu, kao što je davanje poklona, premija, sniženog trgovačkog rabata ili prava da se učestvuje u nagradnoj igri, lutriji ili takmičenju, koji sadrže oznake, riječi ili izraze koji upućuju na to da je ta vrsta manje štetna od drugih ("low tar", "light", "mild", "ultra light", odnosno "nizak katran", "laki", "blagi", "ultra laki" i druge slične oznake), na način koji kupcima omogućava samoposluživanje sa izloga maloprodajnih objekata, cigareta pojedinačno ili u pakovanjima koja sadrže manje od 20 cigareta, slatkiša, igračaka i drugih proizvoda namijenjenih djeci koji imaju oblik bilo koje vrste duvanskog proizvoda i proizvoda koji nijesu duvanski proizvodi (odjevni predmeti, modni detalji, motorna vozila i sl.), a imaju naziv, logotip i slične oznake koje upućuju na duvanski proizvod; isticanje na pakovanju duvanskih proizvoda propisanih kombinovanih upozorenja o štetnosti pušenja, podataka o sadržini katrana, nikotina i ugljen monoksida, kao i u odnosu na zdravstvena upozorenja na pojedinačnom i spoljašnjem pakovanju duvanskih proizvoda; </w:t>
            </w:r>
          </w:p>
          <w:p w14:paraId="70D3AFF8" w14:textId="4AEA09D9" w:rsidR="00A14FDB" w:rsidRDefault="006B6F2E" w:rsidP="00A14FDB">
            <w:pPr>
              <w:rPr>
                <w:lang w:val="bs-Latn-BA"/>
              </w:rPr>
            </w:pPr>
            <w:r w:rsidRPr="006B6F2E">
              <w:rPr>
                <w:b/>
                <w:bCs/>
                <w:i/>
                <w:iCs/>
                <w:lang w:val="bs-Latn-BA"/>
              </w:rPr>
              <w:t>- Inspekcijski nadzor nad sprovođenjem propisa kojim se štite prava intelektualne svojine</w:t>
            </w:r>
            <w:r w:rsidRPr="006B6F2E">
              <w:rPr>
                <w:lang w:val="bs-Latn-BA"/>
              </w:rPr>
              <w:t xml:space="preserve"> - provjera usaglašenosti poslovanja subjekta nadzora sa odredbama Zakona o autorskom i srdnim pravima, Zakona o žigu, Zakona o patentima i Zakona o pravnoj zaštiti industrijskog dizajna.</w:t>
            </w:r>
          </w:p>
        </w:tc>
        <w:tc>
          <w:tcPr>
            <w:tcW w:w="4393" w:type="dxa"/>
          </w:tcPr>
          <w:p w14:paraId="0412B43C" w14:textId="2A209BFC" w:rsidR="00A14FDB" w:rsidRPr="006B6F2E" w:rsidRDefault="00A14FDB" w:rsidP="00A14FDB">
            <w:pPr>
              <w:rPr>
                <w:b/>
                <w:bCs/>
              </w:rPr>
            </w:pPr>
            <w:r w:rsidRPr="00A14FDB">
              <w:rPr>
                <w:b/>
                <w:bCs/>
              </w:rPr>
              <w:t xml:space="preserve">Ljetnja turistička sezona </w:t>
            </w:r>
            <w:r w:rsidRPr="006B6F2E">
              <w:rPr>
                <w:b/>
                <w:bCs/>
              </w:rPr>
              <w:t xml:space="preserve">- </w:t>
            </w:r>
            <w:r w:rsidRPr="006B6F2E">
              <w:rPr>
                <w:b/>
                <w:bCs/>
              </w:rPr>
              <w:t>kontinuirano</w:t>
            </w:r>
          </w:p>
        </w:tc>
      </w:tr>
      <w:tr w:rsidR="006B6F2E" w:rsidRPr="00A27899" w14:paraId="2747FF42" w14:textId="77777777" w:rsidTr="006B6F2E">
        <w:tc>
          <w:tcPr>
            <w:tcW w:w="4957" w:type="dxa"/>
          </w:tcPr>
          <w:p w14:paraId="67E3718E" w14:textId="32315AD6" w:rsidR="006B6F2E" w:rsidRPr="00A27899" w:rsidRDefault="006B6F2E" w:rsidP="006B6F2E">
            <w:pPr>
              <w:rPr>
                <w:b/>
                <w:bCs/>
                <w:lang w:val="bs-Latn-BA"/>
              </w:rPr>
            </w:pPr>
            <w:r w:rsidRPr="00A27899">
              <w:rPr>
                <w:b/>
                <w:bCs/>
                <w:lang w:val="bs-Latn-BA"/>
              </w:rPr>
              <w:t>II</w:t>
            </w:r>
            <w:r w:rsidRPr="00A27899">
              <w:rPr>
                <w:b/>
                <w:bCs/>
                <w:lang w:val="bs-Latn-BA"/>
              </w:rPr>
              <w:t xml:space="preserve">. Zanatstvo: </w:t>
            </w:r>
          </w:p>
          <w:p w14:paraId="1B884CEC" w14:textId="77777777" w:rsidR="006B6F2E" w:rsidRPr="00A27899" w:rsidRDefault="006B6F2E" w:rsidP="006B6F2E">
            <w:pPr>
              <w:rPr>
                <w:i/>
                <w:iCs/>
                <w:lang w:val="bs-Latn-BA"/>
              </w:rPr>
            </w:pPr>
            <w:r w:rsidRPr="00A27899">
              <w:rPr>
                <w:b/>
                <w:bCs/>
                <w:i/>
                <w:iCs/>
                <w:lang w:val="bs-Latn-BA"/>
              </w:rPr>
              <w:t>Inspekcijski nadzor nad sprovođenjem Zakona o zanatstvu i podzakonskih propisa donesenih na osnovu ovog zakona</w:t>
            </w:r>
            <w:r w:rsidRPr="00A27899">
              <w:rPr>
                <w:b/>
                <w:bCs/>
                <w:lang w:val="bs-Latn-BA"/>
              </w:rPr>
              <w:t xml:space="preserve"> </w:t>
            </w:r>
            <w:r w:rsidRPr="00A27899">
              <w:rPr>
                <w:lang w:val="bs-Latn-BA"/>
              </w:rPr>
              <w:t>- provjera usaglašenosti poslovanja subjekta nadzora sa odredbama Zakona o zanatstvu i propisa donesenih na osnovu ovog zakona, i to provjera usaglašenosti odredbi koje se odnose naprijavljivanje zanata.</w:t>
            </w:r>
          </w:p>
          <w:p w14:paraId="702335A6" w14:textId="3E0156C1" w:rsidR="006B6F2E" w:rsidRPr="00A27899" w:rsidRDefault="006B6F2E" w:rsidP="006B6F2E">
            <w:pPr>
              <w:rPr>
                <w:b/>
                <w:bCs/>
                <w:lang w:val="bs-Latn-BA"/>
              </w:rPr>
            </w:pPr>
            <w:r w:rsidRPr="00A27899">
              <w:rPr>
                <w:b/>
                <w:bCs/>
                <w:i/>
                <w:iCs/>
                <w:lang w:val="bs-Latn-BA"/>
              </w:rPr>
              <w:t xml:space="preserve">- Inspekcijski nadzor nad sprovođenjem Zakona o zaštiti potrošača i podzakonskih propisa donesenih na osnovu ovog zakona </w:t>
            </w:r>
            <w:r w:rsidRPr="00A27899">
              <w:rPr>
                <w:b/>
                <w:bCs/>
                <w:lang w:val="bs-Latn-BA"/>
              </w:rPr>
              <w:t xml:space="preserve">- </w:t>
            </w:r>
            <w:r w:rsidRPr="00A27899">
              <w:rPr>
                <w:lang w:val="bs-Latn-BA"/>
              </w:rPr>
              <w:t>provjera usaglašenosti poslovanja subjekta nadzora sa odredbama Zakona o zaštiti potrošača i propisa donesenih na osnovu ovog zakona, i to provjera usaglašenosti odredbi koje se odnose na: zaštitu ekonomskih interesa potrošača - isticanja cjenovnika usluga, pridržavanja istaknutih</w:t>
            </w:r>
            <w:r w:rsidRPr="00A27899">
              <w:rPr>
                <w:b/>
                <w:bCs/>
                <w:lang w:val="bs-Latn-BA"/>
              </w:rPr>
              <w:t xml:space="preserve"> </w:t>
            </w:r>
            <w:r w:rsidRPr="00A27899">
              <w:rPr>
                <w:lang w:val="bs-Latn-BA"/>
              </w:rPr>
              <w:t>cijena,</w:t>
            </w:r>
            <w:r w:rsidRPr="00A27899">
              <w:rPr>
                <w:b/>
                <w:bCs/>
                <w:lang w:val="bs-Latn-BA"/>
              </w:rPr>
              <w:t xml:space="preserve"> </w:t>
            </w:r>
            <w:r w:rsidRPr="00A27899">
              <w:rPr>
                <w:lang w:val="bs-Latn-BA"/>
              </w:rPr>
              <w:t>izdavanje računa, ponudu popravku ili održavanje proizvoda i prigovor potrošača</w:t>
            </w:r>
            <w:r w:rsidRPr="00A27899">
              <w:rPr>
                <w:b/>
                <w:bCs/>
                <w:lang w:val="bs-Latn-BA"/>
              </w:rPr>
              <w:t xml:space="preserve">. </w:t>
            </w:r>
          </w:p>
        </w:tc>
        <w:tc>
          <w:tcPr>
            <w:tcW w:w="4393" w:type="dxa"/>
          </w:tcPr>
          <w:p w14:paraId="11CE02A4" w14:textId="77777777" w:rsidR="006B6F2E" w:rsidRPr="00A27899" w:rsidRDefault="006B6F2E" w:rsidP="00A14FDB">
            <w:pPr>
              <w:rPr>
                <w:lang w:val="bs-Latn-BA"/>
              </w:rPr>
            </w:pPr>
          </w:p>
        </w:tc>
      </w:tr>
    </w:tbl>
    <w:p w14:paraId="59183FA0" w14:textId="059C11FA" w:rsidR="002952E7" w:rsidRPr="00A27899" w:rsidRDefault="002952E7" w:rsidP="005C2A17">
      <w:pPr>
        <w:rPr>
          <w:szCs w:val="24"/>
          <w:lang w:val="bs-Latn-BA"/>
        </w:rPr>
      </w:pPr>
    </w:p>
    <w:p w14:paraId="4F6A5A11" w14:textId="0B507EE5" w:rsidR="005C2A17" w:rsidRPr="00A27899" w:rsidRDefault="005C2A17" w:rsidP="005C2A17">
      <w:pPr>
        <w:rPr>
          <w:szCs w:val="24"/>
          <w:lang w:val="bs-Latn-BA"/>
        </w:rPr>
      </w:pPr>
      <w:r w:rsidRPr="00A27899">
        <w:rPr>
          <w:szCs w:val="24"/>
          <w:lang w:val="bs-Latn-BA"/>
        </w:rPr>
        <w:t>Pojačan inspekcijski nadzor, saglasno Akcionom planu</w:t>
      </w:r>
      <w:r w:rsidR="00805CDC" w:rsidRPr="00A27899">
        <w:rPr>
          <w:szCs w:val="24"/>
          <w:lang w:val="bs-Latn-BA"/>
        </w:rPr>
        <w:t xml:space="preserve"> ljetnje turističke sezone za 2025. godinu, vršiće se u šest primorskih opština, </w:t>
      </w:r>
      <w:r w:rsidR="002B1E29" w:rsidRPr="00A27899">
        <w:rPr>
          <w:szCs w:val="24"/>
          <w:lang w:val="bs-Latn-BA"/>
        </w:rPr>
        <w:t xml:space="preserve">u četiri smjene u trajanju od 15 dana, </w:t>
      </w:r>
      <w:r w:rsidR="00805CDC" w:rsidRPr="00A27899">
        <w:rPr>
          <w:szCs w:val="24"/>
          <w:lang w:val="bs-Latn-BA"/>
        </w:rPr>
        <w:t>u periodu od 29.06. – 31.08.2025. godine</w:t>
      </w:r>
      <w:r w:rsidR="00805CDC" w:rsidRPr="00A27899">
        <w:rPr>
          <w:szCs w:val="24"/>
          <w:lang w:val="bs-Latn-BA"/>
        </w:rPr>
        <w:t>. U pojačanom inspekcijskom nadzoru</w:t>
      </w:r>
      <w:r w:rsidR="0011034D" w:rsidRPr="00A27899">
        <w:rPr>
          <w:szCs w:val="24"/>
          <w:lang w:val="bs-Latn-BA"/>
        </w:rPr>
        <w:t xml:space="preserve"> u primorskim opštinama</w:t>
      </w:r>
      <w:r w:rsidR="00805CDC" w:rsidRPr="00A27899">
        <w:rPr>
          <w:szCs w:val="24"/>
          <w:lang w:val="bs-Latn-BA"/>
        </w:rPr>
        <w:t xml:space="preserve">, pored inspektora </w:t>
      </w:r>
      <w:r w:rsidR="0011034D" w:rsidRPr="00A27899">
        <w:rPr>
          <w:szCs w:val="24"/>
          <w:lang w:val="bs-Latn-BA"/>
        </w:rPr>
        <w:t xml:space="preserve">iz Odsjeka za poslove za južno područje </w:t>
      </w:r>
      <w:r w:rsidR="00805CDC" w:rsidRPr="00A27899">
        <w:rPr>
          <w:szCs w:val="24"/>
          <w:lang w:val="bs-Latn-BA"/>
        </w:rPr>
        <w:t xml:space="preserve">(domicilni inspektori), </w:t>
      </w:r>
      <w:r w:rsidR="0011034D" w:rsidRPr="00A27899">
        <w:rPr>
          <w:szCs w:val="24"/>
          <w:lang w:val="bs-Latn-BA"/>
        </w:rPr>
        <w:t>angažovaće se</w:t>
      </w:r>
      <w:r w:rsidR="00805CDC" w:rsidRPr="00A27899">
        <w:rPr>
          <w:szCs w:val="24"/>
          <w:lang w:val="bs-Latn-BA"/>
        </w:rPr>
        <w:t xml:space="preserve"> i inspektori </w:t>
      </w:r>
      <w:r w:rsidR="0011034D" w:rsidRPr="00A27899">
        <w:rPr>
          <w:szCs w:val="24"/>
          <w:lang w:val="bs-Latn-BA"/>
        </w:rPr>
        <w:t>iz Odsjeka za poslove z</w:t>
      </w:r>
      <w:r w:rsidR="00805CDC" w:rsidRPr="00A27899">
        <w:rPr>
          <w:szCs w:val="24"/>
          <w:lang w:val="bs-Latn-BA"/>
        </w:rPr>
        <w:t xml:space="preserve">a </w:t>
      </w:r>
      <w:r w:rsidR="0011034D" w:rsidRPr="00A27899">
        <w:rPr>
          <w:szCs w:val="24"/>
          <w:lang w:val="bs-Latn-BA"/>
        </w:rPr>
        <w:t>centralno područje, kao i inspektori iz Odsjeka za poslove za sjeverno područje</w:t>
      </w:r>
      <w:r w:rsidR="002B1E29" w:rsidRPr="00A27899">
        <w:rPr>
          <w:szCs w:val="24"/>
          <w:lang w:val="bs-Latn-BA"/>
        </w:rPr>
        <w:t xml:space="preserve"> (angažovani inspektori)</w:t>
      </w:r>
      <w:r w:rsidR="0011034D" w:rsidRPr="00A27899">
        <w:rPr>
          <w:szCs w:val="24"/>
          <w:lang w:val="bs-Latn-BA"/>
        </w:rPr>
        <w:t xml:space="preserve">.  </w:t>
      </w:r>
      <w:r w:rsidR="002B1E29" w:rsidRPr="00A27899">
        <w:rPr>
          <w:szCs w:val="24"/>
          <w:lang w:val="bs-Latn-BA"/>
        </w:rPr>
        <w:t>Broj domicilnih i angažovanih inspektora koji učestvuju u pojačanom inspekcijskom nadzoru utvrđen je Akcionim planom.</w:t>
      </w:r>
    </w:p>
    <w:p w14:paraId="4B551BBE" w14:textId="5991FF1A" w:rsidR="00427367" w:rsidRPr="00A27899" w:rsidRDefault="002B1E29" w:rsidP="00293243">
      <w:pPr>
        <w:rPr>
          <w:szCs w:val="24"/>
          <w:lang w:val="bs-Latn-BA"/>
        </w:rPr>
      </w:pPr>
      <w:r w:rsidRPr="002B1E29">
        <w:rPr>
          <w:szCs w:val="24"/>
          <w:lang w:val="bs-Latn-BA"/>
        </w:rPr>
        <w:t xml:space="preserve">Raspored </w:t>
      </w:r>
      <w:r w:rsidR="00A570E9" w:rsidRPr="00A27899">
        <w:rPr>
          <w:szCs w:val="24"/>
          <w:lang w:val="bs-Latn-BA"/>
        </w:rPr>
        <w:t>domicilnih i</w:t>
      </w:r>
      <w:r w:rsidR="00A570E9">
        <w:rPr>
          <w:szCs w:val="24"/>
          <w:lang w:val="en-US"/>
        </w:rPr>
        <w:t xml:space="preserve"> </w:t>
      </w:r>
      <w:r w:rsidR="00A570E9" w:rsidRPr="00A27899">
        <w:rPr>
          <w:szCs w:val="24"/>
          <w:lang w:val="bs-Latn-BA"/>
        </w:rPr>
        <w:t xml:space="preserve">angažovanih </w:t>
      </w:r>
      <w:r w:rsidRPr="002B1E29">
        <w:rPr>
          <w:szCs w:val="24"/>
          <w:lang w:val="bs-Latn-BA"/>
        </w:rPr>
        <w:t xml:space="preserve">tržišnih inspektora </w:t>
      </w:r>
      <w:r w:rsidRPr="00A27899">
        <w:rPr>
          <w:szCs w:val="24"/>
          <w:lang w:val="bs-Latn-BA"/>
        </w:rPr>
        <w:t xml:space="preserve">koji učestvuju </w:t>
      </w:r>
      <w:r w:rsidRPr="002B1E29">
        <w:rPr>
          <w:szCs w:val="24"/>
          <w:lang w:val="bs-Latn-BA"/>
        </w:rPr>
        <w:t xml:space="preserve">u pojačanom </w:t>
      </w:r>
      <w:r w:rsidRPr="00A27899">
        <w:rPr>
          <w:szCs w:val="24"/>
          <w:lang w:val="bs-Latn-BA"/>
        </w:rPr>
        <w:t xml:space="preserve">inspekcijskom </w:t>
      </w:r>
      <w:r w:rsidRPr="002B1E29">
        <w:rPr>
          <w:szCs w:val="24"/>
          <w:lang w:val="bs-Latn-BA"/>
        </w:rPr>
        <w:t xml:space="preserve">nadzoru </w:t>
      </w:r>
      <w:r w:rsidRPr="00A27899">
        <w:rPr>
          <w:szCs w:val="24"/>
          <w:lang w:val="bs-Latn-BA"/>
        </w:rPr>
        <w:t xml:space="preserve">na primorju </w:t>
      </w:r>
      <w:r w:rsidRPr="002B1E29">
        <w:rPr>
          <w:szCs w:val="24"/>
          <w:lang w:val="bs-Latn-BA"/>
        </w:rPr>
        <w:t xml:space="preserve">za vrijeme ljetnje turističke sezone </w:t>
      </w:r>
      <w:r w:rsidR="00A570E9" w:rsidRPr="00A27899">
        <w:rPr>
          <w:szCs w:val="24"/>
          <w:lang w:val="bs-Latn-BA"/>
        </w:rPr>
        <w:t>utvrđuje Glavna tržišni inspektorka najmanje  sedam dana prije početka smjene inspektora.</w:t>
      </w:r>
      <w:r w:rsidRPr="002B1E29">
        <w:rPr>
          <w:szCs w:val="24"/>
          <w:lang w:val="bs-Latn-BA"/>
        </w:rPr>
        <w:t xml:space="preserve"> </w:t>
      </w:r>
      <w:r w:rsidR="00A570E9" w:rsidRPr="00A27899">
        <w:rPr>
          <w:szCs w:val="24"/>
          <w:lang w:val="bs-Latn-BA"/>
        </w:rPr>
        <w:t xml:space="preserve"> </w:t>
      </w:r>
    </w:p>
    <w:p w14:paraId="50F47BD6" w14:textId="4546C5D3" w:rsidR="00A570E9" w:rsidRPr="00A27899" w:rsidRDefault="00A570E9" w:rsidP="00293243">
      <w:pPr>
        <w:rPr>
          <w:szCs w:val="24"/>
          <w:lang w:val="bs-Latn-BA"/>
        </w:rPr>
      </w:pPr>
      <w:r w:rsidRPr="00A27899">
        <w:rPr>
          <w:szCs w:val="24"/>
          <w:lang w:val="bs-Latn-BA"/>
        </w:rPr>
        <w:t xml:space="preserve">Pored pojačanog inspekcijskog nadzora u primorskim opštinama, za vrijeme ljetnje turističke sezone </w:t>
      </w:r>
      <w:r w:rsidR="003A0CBC" w:rsidRPr="00A27899">
        <w:rPr>
          <w:szCs w:val="24"/>
          <w:lang w:val="bs-Latn-BA"/>
        </w:rPr>
        <w:t>p</w:t>
      </w:r>
      <w:r w:rsidRPr="00A27899">
        <w:rPr>
          <w:szCs w:val="24"/>
          <w:lang w:val="bs-Latn-BA"/>
        </w:rPr>
        <w:t>lanira</w:t>
      </w:r>
      <w:r w:rsidR="003A0CBC" w:rsidRPr="00A27899">
        <w:rPr>
          <w:szCs w:val="24"/>
          <w:lang w:val="bs-Latn-BA"/>
        </w:rPr>
        <w:t xml:space="preserve"> se i pojačan inspekcijski nadzor</w:t>
      </w:r>
      <w:r w:rsidRPr="00A27899">
        <w:rPr>
          <w:szCs w:val="24"/>
          <w:lang w:val="bs-Latn-BA"/>
        </w:rPr>
        <w:t xml:space="preserve"> </w:t>
      </w:r>
      <w:r w:rsidR="003A0CBC" w:rsidRPr="00A27899">
        <w:rPr>
          <w:szCs w:val="24"/>
          <w:lang w:val="bs-Latn-BA"/>
        </w:rPr>
        <w:t xml:space="preserve">u centralnom i sjevernom području (angažovanjem inspektora iz istog ili drugog odsjeka najmanje tri puta u toku mjeseca).  </w:t>
      </w:r>
    </w:p>
    <w:p w14:paraId="422E325A" w14:textId="6AA1E5B6" w:rsidR="009F3B34" w:rsidRPr="00A27899" w:rsidRDefault="00F650E9" w:rsidP="00A27899">
      <w:pPr>
        <w:rPr>
          <w:szCs w:val="24"/>
          <w:lang w:val="bs-Latn-BA"/>
        </w:rPr>
      </w:pPr>
      <w:r>
        <w:rPr>
          <w:szCs w:val="24"/>
          <w:lang w:val="bs-Latn-BA"/>
        </w:rPr>
        <w:t>Direkcija za</w:t>
      </w:r>
      <w:r w:rsidR="00427367">
        <w:rPr>
          <w:szCs w:val="24"/>
          <w:lang w:val="bs-Latn-BA"/>
        </w:rPr>
        <w:t xml:space="preserve"> tržišn</w:t>
      </w:r>
      <w:r>
        <w:rPr>
          <w:szCs w:val="24"/>
          <w:lang w:val="bs-Latn-BA"/>
        </w:rPr>
        <w:t>u</w:t>
      </w:r>
      <w:r w:rsidR="00427367">
        <w:rPr>
          <w:szCs w:val="24"/>
          <w:lang w:val="bs-Latn-BA"/>
        </w:rPr>
        <w:t xml:space="preserve"> inspekcij</w:t>
      </w:r>
      <w:r>
        <w:rPr>
          <w:szCs w:val="24"/>
          <w:lang w:val="bs-Latn-BA"/>
        </w:rPr>
        <w:t>u</w:t>
      </w:r>
      <w:r w:rsidR="00427367">
        <w:rPr>
          <w:szCs w:val="24"/>
          <w:lang w:val="bs-Latn-BA"/>
        </w:rPr>
        <w:t xml:space="preserve"> će</w:t>
      </w:r>
      <w:r w:rsidR="003A0CBC">
        <w:rPr>
          <w:szCs w:val="24"/>
          <w:lang w:val="bs-Latn-BA"/>
        </w:rPr>
        <w:t xml:space="preserve"> u toku pojačanog inspekcijskog nadzora </w:t>
      </w:r>
      <w:r w:rsidR="00A27899">
        <w:rPr>
          <w:szCs w:val="24"/>
          <w:lang w:val="bs-Latn-BA"/>
        </w:rPr>
        <w:t xml:space="preserve">za vrijeme </w:t>
      </w:r>
      <w:r w:rsidR="003A0CBC">
        <w:rPr>
          <w:szCs w:val="24"/>
          <w:lang w:val="bs-Latn-BA"/>
        </w:rPr>
        <w:t>turističke sezone</w:t>
      </w:r>
      <w:r w:rsidR="00427367">
        <w:rPr>
          <w:szCs w:val="24"/>
          <w:lang w:val="bs-Latn-BA"/>
        </w:rPr>
        <w:t xml:space="preserve">, u skladu sa članom 10 Zakona o tržišnoj inspekciji („Sl.list CG“, br. 53/11), vršiti </w:t>
      </w:r>
      <w:r w:rsidR="000C5EEC">
        <w:rPr>
          <w:szCs w:val="24"/>
          <w:lang w:val="bs-Latn-BA"/>
        </w:rPr>
        <w:t xml:space="preserve">i </w:t>
      </w:r>
      <w:r w:rsidR="00427367">
        <w:rPr>
          <w:szCs w:val="24"/>
          <w:lang w:val="bs-Latn-BA"/>
        </w:rPr>
        <w:t>inspekcijske nadzore po inicijativama za pokretanje inspekcijskog nadzo</w:t>
      </w:r>
      <w:r w:rsidR="000C5EEC">
        <w:rPr>
          <w:szCs w:val="24"/>
          <w:lang w:val="bs-Latn-BA"/>
        </w:rPr>
        <w:t>ra</w:t>
      </w:r>
      <w:r w:rsidR="003A0CBC">
        <w:rPr>
          <w:szCs w:val="24"/>
          <w:lang w:val="bs-Latn-BA"/>
        </w:rPr>
        <w:t>, kao i po</w:t>
      </w:r>
      <w:r w:rsidR="0011741A">
        <w:rPr>
          <w:szCs w:val="24"/>
          <w:lang w:val="bs-Latn-BA"/>
        </w:rPr>
        <w:t xml:space="preserve"> </w:t>
      </w:r>
      <w:r w:rsidR="00462568">
        <w:rPr>
          <w:szCs w:val="24"/>
          <w:lang w:val="bs-Latn-BA"/>
        </w:rPr>
        <w:t xml:space="preserve">pisanim </w:t>
      </w:r>
      <w:r w:rsidR="0011741A">
        <w:rPr>
          <w:szCs w:val="24"/>
          <w:lang w:val="bs-Latn-BA"/>
        </w:rPr>
        <w:t xml:space="preserve">zahtjevima za zaštitu prava intelektualne svojine podnesenim od strane </w:t>
      </w:r>
      <w:r w:rsidR="00462568" w:rsidRPr="00462568">
        <w:rPr>
          <w:szCs w:val="24"/>
          <w:lang w:val="bs-Latn-BA"/>
        </w:rPr>
        <w:t xml:space="preserve">nosioca </w:t>
      </w:r>
      <w:r w:rsidR="00462568">
        <w:rPr>
          <w:szCs w:val="24"/>
          <w:lang w:val="bs-Latn-BA"/>
        </w:rPr>
        <w:t>prava</w:t>
      </w:r>
      <w:r w:rsidR="00462568" w:rsidRPr="00462568">
        <w:rPr>
          <w:szCs w:val="24"/>
          <w:lang w:val="bs-Latn-BA"/>
        </w:rPr>
        <w:t xml:space="preserve"> ili lica koje ima njegovo ovlašćenje za podnošenje zahtjeva na osnovu opštih pravila o zastupanju.</w:t>
      </w:r>
      <w:bookmarkStart w:id="6" w:name="_Hlk123024673"/>
    </w:p>
    <w:p w14:paraId="4ADE453A" w14:textId="2C837B4C" w:rsidR="009F3B34" w:rsidRPr="009F3B34" w:rsidRDefault="009F3B34" w:rsidP="009F3B34">
      <w:pPr>
        <w:pStyle w:val="Heading3"/>
        <w:rPr>
          <w:rFonts w:asciiTheme="minorHAnsi" w:hAnsiTheme="minorHAnsi" w:cstheme="minorHAnsi"/>
          <w:b w:val="0"/>
          <w:bCs/>
          <w:noProof/>
          <w:szCs w:val="24"/>
        </w:rPr>
      </w:pPr>
      <w:r w:rsidRPr="009F3B34">
        <w:rPr>
          <w:rFonts w:asciiTheme="minorHAnsi" w:hAnsiTheme="minorHAnsi" w:cstheme="minorHAnsi"/>
          <w:b w:val="0"/>
          <w:bCs/>
          <w:noProof/>
          <w:szCs w:val="24"/>
        </w:rPr>
        <w:t xml:space="preserve">Inspektori su u obavezi da </w:t>
      </w:r>
      <w:r w:rsidR="00462568">
        <w:rPr>
          <w:rFonts w:asciiTheme="minorHAnsi" w:hAnsiTheme="minorHAnsi" w:cstheme="minorHAnsi"/>
          <w:b w:val="0"/>
          <w:bCs/>
          <w:noProof/>
          <w:szCs w:val="24"/>
        </w:rPr>
        <w:t xml:space="preserve">podatke iz inspekcijskog nadzora uredno unose u </w:t>
      </w:r>
      <w:r w:rsidR="00C006C9">
        <w:rPr>
          <w:rFonts w:asciiTheme="minorHAnsi" w:hAnsiTheme="minorHAnsi" w:cstheme="minorHAnsi"/>
          <w:b w:val="0"/>
          <w:bCs/>
          <w:noProof/>
          <w:szCs w:val="24"/>
        </w:rPr>
        <w:t xml:space="preserve">informacione sisteme koje koriste pri radu  (JIIS, </w:t>
      </w:r>
      <w:r w:rsidR="00C006C9" w:rsidRPr="00C006C9">
        <w:rPr>
          <w:rFonts w:asciiTheme="minorHAnsi" w:hAnsiTheme="minorHAnsi" w:cstheme="minorHAnsi"/>
          <w:b w:val="0"/>
          <w:bCs/>
          <w:noProof/>
          <w:szCs w:val="24"/>
        </w:rPr>
        <w:t>R</w:t>
      </w:r>
      <w:r w:rsidR="005D169A">
        <w:rPr>
          <w:rFonts w:asciiTheme="minorHAnsi" w:hAnsiTheme="minorHAnsi" w:cstheme="minorHAnsi"/>
          <w:b w:val="0"/>
          <w:bCs/>
          <w:noProof/>
          <w:szCs w:val="24"/>
        </w:rPr>
        <w:t>NKIPE, CISZP) i</w:t>
      </w:r>
      <w:r w:rsidRPr="009F3B34">
        <w:rPr>
          <w:rFonts w:asciiTheme="minorHAnsi" w:hAnsiTheme="minorHAnsi" w:cstheme="minorHAnsi"/>
          <w:b w:val="0"/>
          <w:bCs/>
          <w:noProof/>
          <w:szCs w:val="24"/>
        </w:rPr>
        <w:t xml:space="preserve"> da podnose izvještaje o radu sa podacima iz nadzora, kao i o postupcima pred nadležnim organima (upravnim, pr</w:t>
      </w:r>
      <w:r w:rsidR="005D169A">
        <w:rPr>
          <w:rFonts w:asciiTheme="minorHAnsi" w:hAnsiTheme="minorHAnsi" w:cstheme="minorHAnsi"/>
          <w:b w:val="0"/>
          <w:bCs/>
          <w:noProof/>
          <w:szCs w:val="24"/>
        </w:rPr>
        <w:t>ekršajnim</w:t>
      </w:r>
      <w:r w:rsidRPr="009F3B34">
        <w:rPr>
          <w:rFonts w:asciiTheme="minorHAnsi" w:hAnsiTheme="minorHAnsi" w:cstheme="minorHAnsi"/>
          <w:b w:val="0"/>
          <w:bCs/>
          <w:noProof/>
          <w:szCs w:val="24"/>
        </w:rPr>
        <w:t>);</w:t>
      </w:r>
    </w:p>
    <w:p w14:paraId="4E427567" w14:textId="506D0169" w:rsidR="008B22FF" w:rsidRPr="00A27899" w:rsidRDefault="009F3B34" w:rsidP="00A27899">
      <w:pPr>
        <w:pStyle w:val="Heading3"/>
        <w:rPr>
          <w:rFonts w:asciiTheme="minorHAnsi" w:hAnsiTheme="minorHAnsi" w:cstheme="minorHAnsi"/>
          <w:b w:val="0"/>
          <w:bCs/>
          <w:noProof/>
          <w:szCs w:val="24"/>
        </w:rPr>
      </w:pPr>
      <w:r w:rsidRPr="009F3B34">
        <w:rPr>
          <w:rFonts w:asciiTheme="minorHAnsi" w:hAnsiTheme="minorHAnsi" w:cstheme="minorHAnsi"/>
          <w:b w:val="0"/>
          <w:bCs/>
          <w:noProof/>
          <w:szCs w:val="24"/>
        </w:rPr>
        <w:t xml:space="preserve">Glavna </w:t>
      </w:r>
      <w:r w:rsidR="00DD207F">
        <w:rPr>
          <w:rFonts w:asciiTheme="minorHAnsi" w:hAnsiTheme="minorHAnsi" w:cstheme="minorHAnsi"/>
          <w:b w:val="0"/>
          <w:bCs/>
          <w:noProof/>
          <w:szCs w:val="24"/>
        </w:rPr>
        <w:t xml:space="preserve">tržišna </w:t>
      </w:r>
      <w:r w:rsidRPr="009F3B34">
        <w:rPr>
          <w:rFonts w:asciiTheme="minorHAnsi" w:hAnsiTheme="minorHAnsi" w:cstheme="minorHAnsi"/>
          <w:b w:val="0"/>
          <w:bCs/>
          <w:noProof/>
          <w:szCs w:val="24"/>
        </w:rPr>
        <w:t xml:space="preserve">inspektorka i </w:t>
      </w:r>
      <w:r w:rsidR="00DD207F">
        <w:rPr>
          <w:rFonts w:asciiTheme="minorHAnsi" w:hAnsiTheme="minorHAnsi" w:cstheme="minorHAnsi"/>
          <w:b w:val="0"/>
          <w:bCs/>
          <w:noProof/>
          <w:szCs w:val="24"/>
        </w:rPr>
        <w:t xml:space="preserve">tržišni inspektori </w:t>
      </w:r>
      <w:r w:rsidRPr="009F3B34">
        <w:rPr>
          <w:rFonts w:asciiTheme="minorHAnsi" w:hAnsiTheme="minorHAnsi" w:cstheme="minorHAnsi"/>
          <w:b w:val="0"/>
          <w:bCs/>
          <w:noProof/>
          <w:szCs w:val="24"/>
        </w:rPr>
        <w:t xml:space="preserve">koordinatori prate rad i rezultate rada </w:t>
      </w:r>
      <w:r w:rsidR="00DD207F">
        <w:rPr>
          <w:rFonts w:asciiTheme="minorHAnsi" w:hAnsiTheme="minorHAnsi" w:cstheme="minorHAnsi"/>
          <w:b w:val="0"/>
          <w:bCs/>
          <w:noProof/>
          <w:szCs w:val="24"/>
        </w:rPr>
        <w:t xml:space="preserve">tržišnih </w:t>
      </w:r>
      <w:r w:rsidRPr="009F3B34">
        <w:rPr>
          <w:rFonts w:asciiTheme="minorHAnsi" w:hAnsiTheme="minorHAnsi" w:cstheme="minorHAnsi"/>
          <w:b w:val="0"/>
          <w:bCs/>
          <w:noProof/>
          <w:szCs w:val="24"/>
        </w:rPr>
        <w:t>inspektora i ostalih zaposlenih u TI, na osnovu izvještaja, uvidom u informacioni sistem i putem drugih metoda kontrole rada (organizovano, ciljano, po žalbama i prijavama, po sistemu uzorka);</w:t>
      </w:r>
    </w:p>
    <w:p w14:paraId="0F5343EE" w14:textId="6C202DEC" w:rsidR="007F27DB" w:rsidRPr="00FC4AC3" w:rsidRDefault="005E04CC" w:rsidP="00A27899">
      <w:pPr>
        <w:rPr>
          <w:sz w:val="22"/>
        </w:rPr>
      </w:pPr>
      <w:r w:rsidRPr="00541E09">
        <w:rPr>
          <w:rFonts w:cstheme="minorHAnsi"/>
          <w:bCs/>
        </w:rPr>
        <w:t>Za realizaciju P</w:t>
      </w:r>
      <w:r w:rsidR="00A27899">
        <w:rPr>
          <w:rFonts w:cstheme="minorHAnsi"/>
          <w:bCs/>
        </w:rPr>
        <w:t>lana</w:t>
      </w:r>
      <w:r w:rsidRPr="00541E09">
        <w:rPr>
          <w:rFonts w:cstheme="minorHAnsi"/>
          <w:bCs/>
        </w:rPr>
        <w:t xml:space="preserve"> odgovoran je glavni tržišni inspektor, inspektori-koordinatori, inspektori i ostali</w:t>
      </w:r>
      <w:r w:rsidRPr="00541E09">
        <w:rPr>
          <w:rFonts w:cstheme="minorHAnsi"/>
        </w:rPr>
        <w:t xml:space="preserve"> </w:t>
      </w:r>
      <w:r w:rsidRPr="00541E09">
        <w:rPr>
          <w:rFonts w:cstheme="minorHAnsi"/>
          <w:bCs/>
        </w:rPr>
        <w:t>zaposlenu u Tržišnoj inspekciji, svako u dijelu</w:t>
      </w:r>
      <w:r w:rsidRPr="00541E09">
        <w:rPr>
          <w:rFonts w:cstheme="minorHAnsi"/>
        </w:rPr>
        <w:t xml:space="preserve"> </w:t>
      </w:r>
      <w:r w:rsidRPr="00541E09">
        <w:rPr>
          <w:rFonts w:cstheme="minorHAnsi"/>
          <w:bCs/>
        </w:rPr>
        <w:t>svojih zaduženja</w:t>
      </w:r>
      <w:r w:rsidRPr="00D634BC">
        <w:rPr>
          <w:bCs/>
        </w:rPr>
        <w:t>.</w:t>
      </w:r>
      <w:bookmarkEnd w:id="6"/>
      <w:r w:rsidR="00A27899">
        <w:t xml:space="preserve"> </w:t>
      </w:r>
    </w:p>
    <w:p w14:paraId="740454AB" w14:textId="77777777" w:rsidR="002E1424" w:rsidRDefault="002E1424" w:rsidP="007F27DB">
      <w:pPr>
        <w:rPr>
          <w:lang w:val="sr-Latn-CS"/>
        </w:rPr>
      </w:pPr>
    </w:p>
    <w:p w14:paraId="27FB051B" w14:textId="77777777" w:rsidR="002E1424" w:rsidRDefault="002E1424" w:rsidP="007F27DB">
      <w:pPr>
        <w:rPr>
          <w:lang w:val="sr-Latn-CS"/>
        </w:rPr>
      </w:pPr>
    </w:p>
    <w:p w14:paraId="2DED4858" w14:textId="41D2F8A6" w:rsidR="007F27DB" w:rsidRPr="002E1424" w:rsidRDefault="002E1424" w:rsidP="007F27DB">
      <w:pPr>
        <w:rPr>
          <w:b/>
          <w:bCs/>
          <w:lang w:val="sr-Latn-CS"/>
        </w:rPr>
      </w:pPr>
      <w:r>
        <w:rPr>
          <w:b/>
          <w:bCs/>
          <w:lang w:val="sr-Latn-CS"/>
        </w:rPr>
        <w:t xml:space="preserve">                                                                                                         </w:t>
      </w:r>
      <w:r w:rsidRPr="002E1424">
        <w:rPr>
          <w:b/>
          <w:bCs/>
          <w:lang w:val="sr-Latn-CS"/>
        </w:rPr>
        <w:t>Glavna tržišna inspektorka</w:t>
      </w:r>
    </w:p>
    <w:sectPr w:rsidR="007F27DB" w:rsidRPr="002E1424" w:rsidSect="009F24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7CF0" w14:textId="77777777" w:rsidR="00E561E2" w:rsidRDefault="00E561E2" w:rsidP="00A92611">
      <w:pPr>
        <w:spacing w:before="0" w:after="0" w:line="240" w:lineRule="auto"/>
      </w:pPr>
      <w:r>
        <w:separator/>
      </w:r>
    </w:p>
  </w:endnote>
  <w:endnote w:type="continuationSeparator" w:id="0">
    <w:p w14:paraId="51473F03" w14:textId="77777777" w:rsidR="00E561E2" w:rsidRDefault="00E561E2" w:rsidP="00A926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26AC" w14:textId="77777777" w:rsidR="00E561E2" w:rsidRDefault="00E561E2" w:rsidP="00A92611">
      <w:pPr>
        <w:spacing w:before="0" w:after="0" w:line="240" w:lineRule="auto"/>
      </w:pPr>
      <w:r>
        <w:separator/>
      </w:r>
    </w:p>
  </w:footnote>
  <w:footnote w:type="continuationSeparator" w:id="0">
    <w:p w14:paraId="46B3A3B5" w14:textId="77777777" w:rsidR="00E561E2" w:rsidRDefault="00E561E2" w:rsidP="00A9261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44C"/>
    <w:multiLevelType w:val="hybridMultilevel"/>
    <w:tmpl w:val="D00A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21FF"/>
    <w:multiLevelType w:val="hybridMultilevel"/>
    <w:tmpl w:val="D0865218"/>
    <w:lvl w:ilvl="0" w:tplc="3148FF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034D"/>
    <w:multiLevelType w:val="hybridMultilevel"/>
    <w:tmpl w:val="72744926"/>
    <w:lvl w:ilvl="0" w:tplc="B4BE6076">
      <w:start w:val="1"/>
      <w:numFmt w:val="decimal"/>
      <w:pStyle w:val="Heading2"/>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0348D9"/>
    <w:multiLevelType w:val="hybridMultilevel"/>
    <w:tmpl w:val="D00AA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6526E9"/>
    <w:multiLevelType w:val="hybridMultilevel"/>
    <w:tmpl w:val="C05E7C0E"/>
    <w:lvl w:ilvl="0" w:tplc="1DE64502">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88A6DE0"/>
    <w:multiLevelType w:val="hybridMultilevel"/>
    <w:tmpl w:val="CEAAE3D2"/>
    <w:lvl w:ilvl="0" w:tplc="DE9ED590">
      <w:numFmt w:val="bullet"/>
      <w:lvlText w:val="-"/>
      <w:lvlJc w:val="left"/>
      <w:pPr>
        <w:ind w:left="1080" w:hanging="360"/>
      </w:pPr>
      <w:rPr>
        <w:rFonts w:ascii="Cambria" w:eastAsiaTheme="minorHAnsi" w:hAnsi="Cambr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0D"/>
    <w:rsid w:val="000243C4"/>
    <w:rsid w:val="00024FCC"/>
    <w:rsid w:val="00042180"/>
    <w:rsid w:val="000557A5"/>
    <w:rsid w:val="000660A9"/>
    <w:rsid w:val="00094924"/>
    <w:rsid w:val="000A705D"/>
    <w:rsid w:val="000C5EEC"/>
    <w:rsid w:val="0011034D"/>
    <w:rsid w:val="0011741A"/>
    <w:rsid w:val="00125D59"/>
    <w:rsid w:val="001331C5"/>
    <w:rsid w:val="00145F57"/>
    <w:rsid w:val="001B58FB"/>
    <w:rsid w:val="002109C9"/>
    <w:rsid w:val="002429EE"/>
    <w:rsid w:val="00287A93"/>
    <w:rsid w:val="00293243"/>
    <w:rsid w:val="002952E7"/>
    <w:rsid w:val="002959C2"/>
    <w:rsid w:val="002B1E29"/>
    <w:rsid w:val="002E11BD"/>
    <w:rsid w:val="002E1424"/>
    <w:rsid w:val="0034187B"/>
    <w:rsid w:val="0034261D"/>
    <w:rsid w:val="00345FA3"/>
    <w:rsid w:val="003531A7"/>
    <w:rsid w:val="00361F04"/>
    <w:rsid w:val="003A0CBC"/>
    <w:rsid w:val="003A1EC7"/>
    <w:rsid w:val="003C3425"/>
    <w:rsid w:val="00413B96"/>
    <w:rsid w:val="00427367"/>
    <w:rsid w:val="0044168E"/>
    <w:rsid w:val="00441DAB"/>
    <w:rsid w:val="00462568"/>
    <w:rsid w:val="00470687"/>
    <w:rsid w:val="004E1FAC"/>
    <w:rsid w:val="00541E09"/>
    <w:rsid w:val="005C2A17"/>
    <w:rsid w:val="005D169A"/>
    <w:rsid w:val="005D4A5E"/>
    <w:rsid w:val="005E04CC"/>
    <w:rsid w:val="005E66C4"/>
    <w:rsid w:val="00695D51"/>
    <w:rsid w:val="006A16FA"/>
    <w:rsid w:val="006A59FA"/>
    <w:rsid w:val="006A78E6"/>
    <w:rsid w:val="006B6F2E"/>
    <w:rsid w:val="006C60A3"/>
    <w:rsid w:val="006D268B"/>
    <w:rsid w:val="006E12D6"/>
    <w:rsid w:val="007100CB"/>
    <w:rsid w:val="007117E7"/>
    <w:rsid w:val="0072499A"/>
    <w:rsid w:val="00726E13"/>
    <w:rsid w:val="007854B4"/>
    <w:rsid w:val="007A55E5"/>
    <w:rsid w:val="007C79DE"/>
    <w:rsid w:val="007D330E"/>
    <w:rsid w:val="007D6648"/>
    <w:rsid w:val="007F27DB"/>
    <w:rsid w:val="007F6455"/>
    <w:rsid w:val="00802B4A"/>
    <w:rsid w:val="00805CDC"/>
    <w:rsid w:val="00821DDB"/>
    <w:rsid w:val="008569B2"/>
    <w:rsid w:val="00863D9B"/>
    <w:rsid w:val="00873883"/>
    <w:rsid w:val="0087539F"/>
    <w:rsid w:val="0088646B"/>
    <w:rsid w:val="00893390"/>
    <w:rsid w:val="008A0F4B"/>
    <w:rsid w:val="008A4799"/>
    <w:rsid w:val="008B22FF"/>
    <w:rsid w:val="0091289D"/>
    <w:rsid w:val="009266F9"/>
    <w:rsid w:val="00947744"/>
    <w:rsid w:val="00957EE9"/>
    <w:rsid w:val="009840A4"/>
    <w:rsid w:val="009B6398"/>
    <w:rsid w:val="009F240D"/>
    <w:rsid w:val="009F3B34"/>
    <w:rsid w:val="00A03A31"/>
    <w:rsid w:val="00A14FDB"/>
    <w:rsid w:val="00A27899"/>
    <w:rsid w:val="00A52778"/>
    <w:rsid w:val="00A570E9"/>
    <w:rsid w:val="00A67589"/>
    <w:rsid w:val="00A92611"/>
    <w:rsid w:val="00AA00FC"/>
    <w:rsid w:val="00AA4E1B"/>
    <w:rsid w:val="00B03EC1"/>
    <w:rsid w:val="00B11254"/>
    <w:rsid w:val="00B14E4F"/>
    <w:rsid w:val="00BB1027"/>
    <w:rsid w:val="00BB355D"/>
    <w:rsid w:val="00BC0FF5"/>
    <w:rsid w:val="00C006C9"/>
    <w:rsid w:val="00C04EE2"/>
    <w:rsid w:val="00C6067D"/>
    <w:rsid w:val="00C853AC"/>
    <w:rsid w:val="00CA59A3"/>
    <w:rsid w:val="00CD38DF"/>
    <w:rsid w:val="00D20121"/>
    <w:rsid w:val="00D33D3A"/>
    <w:rsid w:val="00D47488"/>
    <w:rsid w:val="00D54FA7"/>
    <w:rsid w:val="00D634BC"/>
    <w:rsid w:val="00D66BB1"/>
    <w:rsid w:val="00DA146E"/>
    <w:rsid w:val="00DA4A0D"/>
    <w:rsid w:val="00DD207F"/>
    <w:rsid w:val="00DD2D01"/>
    <w:rsid w:val="00DE0C39"/>
    <w:rsid w:val="00DE4525"/>
    <w:rsid w:val="00DE5862"/>
    <w:rsid w:val="00E30F95"/>
    <w:rsid w:val="00E561E2"/>
    <w:rsid w:val="00EA3BE9"/>
    <w:rsid w:val="00F069F3"/>
    <w:rsid w:val="00F200EE"/>
    <w:rsid w:val="00F650E9"/>
    <w:rsid w:val="00F91FEB"/>
    <w:rsid w:val="00FC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BE3D"/>
  <w15:chartTrackingRefBased/>
  <w15:docId w15:val="{D9227B02-E840-489B-BF0E-541F6262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7589"/>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7F6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67589"/>
    <w:pPr>
      <w:numPr>
        <w:numId w:val="1"/>
      </w:numPr>
      <w:tabs>
        <w:tab w:val="left" w:pos="1134"/>
      </w:tabs>
      <w:spacing w:before="240" w:after="240"/>
      <w:outlineLvl w:val="1"/>
    </w:pPr>
    <w:rPr>
      <w:rFonts w:ascii="Arial" w:hAnsi="Arial" w:cs="Arial"/>
      <w:b/>
    </w:rPr>
  </w:style>
  <w:style w:type="paragraph" w:styleId="Heading3">
    <w:name w:val="heading 3"/>
    <w:basedOn w:val="Normal"/>
    <w:next w:val="Normal"/>
    <w:link w:val="Heading3Char"/>
    <w:uiPriority w:val="9"/>
    <w:unhideWhenUsed/>
    <w:qFormat/>
    <w:rsid w:val="00A67589"/>
    <w:pPr>
      <w:tabs>
        <w:tab w:val="left" w:pos="1134"/>
      </w:tabs>
      <w:spacing w:before="240" w:after="240"/>
      <w:outlineLvl w:val="2"/>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7589"/>
    <w:rPr>
      <w:rFonts w:ascii="Arial" w:hAnsi="Arial" w:cs="Arial"/>
      <w:b/>
      <w:sz w:val="24"/>
      <w:lang w:val="sr-Latn-ME"/>
    </w:rPr>
  </w:style>
  <w:style w:type="character" w:customStyle="1" w:styleId="Heading3Char">
    <w:name w:val="Heading 3 Char"/>
    <w:basedOn w:val="DefaultParagraphFont"/>
    <w:link w:val="Heading3"/>
    <w:uiPriority w:val="9"/>
    <w:rsid w:val="00A67589"/>
    <w:rPr>
      <w:rFonts w:ascii="Arial" w:hAnsi="Arial" w:cs="Arial"/>
      <w:b/>
      <w:sz w:val="24"/>
      <w:lang w:val="sr-Latn-ME"/>
    </w:rPr>
  </w:style>
  <w:style w:type="table" w:customStyle="1" w:styleId="TableGrid1">
    <w:name w:val="Table Grid1"/>
    <w:basedOn w:val="TableNormal"/>
    <w:next w:val="TableGrid"/>
    <w:uiPriority w:val="59"/>
    <w:rsid w:val="00A67589"/>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1"/>
    <w:qFormat/>
    <w:rsid w:val="00A67589"/>
    <w:pPr>
      <w:spacing w:before="0" w:after="200" w:line="276" w:lineRule="auto"/>
      <w:ind w:left="720"/>
      <w:contextualSpacing/>
      <w:jc w:val="left"/>
    </w:pPr>
    <w:rPr>
      <w:rFonts w:ascii="Calibri" w:eastAsia="Times New Roman" w:hAnsi="Calibri" w:cs="Times New Roman"/>
      <w:sz w:val="22"/>
      <w:lang w:val="sr-Latn-CS"/>
    </w:rPr>
  </w:style>
  <w:style w:type="character" w:customStyle="1" w:styleId="ListParagraphChar">
    <w:name w:val="List Paragraph Char"/>
    <w:aliases w:val="Table of contents numbered Char"/>
    <w:link w:val="ListParagraph"/>
    <w:uiPriority w:val="1"/>
    <w:locked/>
    <w:rsid w:val="00A67589"/>
    <w:rPr>
      <w:rFonts w:ascii="Calibri" w:eastAsia="Times New Roman" w:hAnsi="Calibri" w:cs="Times New Roman"/>
      <w:lang w:val="sr-Latn-CS"/>
    </w:rPr>
  </w:style>
  <w:style w:type="table" w:styleId="TableGrid">
    <w:name w:val="Table Grid"/>
    <w:basedOn w:val="TableNormal"/>
    <w:uiPriority w:val="59"/>
    <w:rsid w:val="00A6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0A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C60A3"/>
    <w:rPr>
      <w:sz w:val="24"/>
      <w:lang w:val="sr-Latn-ME"/>
    </w:rPr>
  </w:style>
  <w:style w:type="paragraph" w:styleId="FootnoteText">
    <w:name w:val="footnote text"/>
    <w:basedOn w:val="Normal"/>
    <w:link w:val="FootnoteTextChar"/>
    <w:uiPriority w:val="99"/>
    <w:semiHidden/>
    <w:unhideWhenUsed/>
    <w:rsid w:val="00A92611"/>
    <w:pPr>
      <w:spacing w:before="0" w:after="0" w:line="240" w:lineRule="auto"/>
      <w:jc w:val="left"/>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A92611"/>
    <w:rPr>
      <w:rFonts w:eastAsiaTheme="minorEastAsia"/>
      <w:sz w:val="20"/>
      <w:szCs w:val="20"/>
    </w:rPr>
  </w:style>
  <w:style w:type="character" w:styleId="FootnoteReference">
    <w:name w:val="footnote reference"/>
    <w:basedOn w:val="DefaultParagraphFont"/>
    <w:uiPriority w:val="99"/>
    <w:semiHidden/>
    <w:unhideWhenUsed/>
    <w:rsid w:val="00A92611"/>
    <w:rPr>
      <w:vertAlign w:val="superscript"/>
    </w:rPr>
  </w:style>
  <w:style w:type="character" w:styleId="CommentReference">
    <w:name w:val="annotation reference"/>
    <w:basedOn w:val="DefaultParagraphFont"/>
    <w:uiPriority w:val="99"/>
    <w:semiHidden/>
    <w:unhideWhenUsed/>
    <w:rsid w:val="00A92611"/>
    <w:rPr>
      <w:sz w:val="16"/>
      <w:szCs w:val="16"/>
    </w:rPr>
  </w:style>
  <w:style w:type="paragraph" w:styleId="CommentText">
    <w:name w:val="annotation text"/>
    <w:basedOn w:val="Normal"/>
    <w:link w:val="CommentTextChar"/>
    <w:uiPriority w:val="99"/>
    <w:semiHidden/>
    <w:unhideWhenUsed/>
    <w:rsid w:val="00A92611"/>
    <w:pPr>
      <w:spacing w:before="0" w:after="200" w:line="240" w:lineRule="auto"/>
      <w:jc w:val="left"/>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A9261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926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11"/>
    <w:rPr>
      <w:rFonts w:ascii="Segoe UI" w:hAnsi="Segoe UI" w:cs="Segoe UI"/>
      <w:sz w:val="18"/>
      <w:szCs w:val="18"/>
      <w:lang w:val="sr-Latn-ME"/>
    </w:rPr>
  </w:style>
  <w:style w:type="paragraph" w:styleId="NoSpacing">
    <w:name w:val="No Spacing"/>
    <w:uiPriority w:val="1"/>
    <w:qFormat/>
    <w:rsid w:val="00DD2D01"/>
    <w:pPr>
      <w:spacing w:after="0" w:line="240" w:lineRule="auto"/>
      <w:jc w:val="both"/>
    </w:pPr>
    <w:rPr>
      <w:sz w:val="24"/>
      <w:lang w:val="sr-Latn-ME"/>
    </w:rPr>
  </w:style>
  <w:style w:type="character" w:styleId="Hyperlink">
    <w:name w:val="Hyperlink"/>
    <w:basedOn w:val="DefaultParagraphFont"/>
    <w:uiPriority w:val="99"/>
    <w:unhideWhenUsed/>
    <w:rsid w:val="00B03EC1"/>
    <w:rPr>
      <w:color w:val="0563C1" w:themeColor="hyperlink"/>
      <w:u w:val="single"/>
    </w:rPr>
  </w:style>
  <w:style w:type="character" w:styleId="UnresolvedMention">
    <w:name w:val="Unresolved Mention"/>
    <w:basedOn w:val="DefaultParagraphFont"/>
    <w:uiPriority w:val="99"/>
    <w:semiHidden/>
    <w:unhideWhenUsed/>
    <w:rsid w:val="00B03EC1"/>
    <w:rPr>
      <w:color w:val="605E5C"/>
      <w:shd w:val="clear" w:color="auto" w:fill="E1DFDD"/>
    </w:rPr>
  </w:style>
  <w:style w:type="character" w:customStyle="1" w:styleId="Heading1Char">
    <w:name w:val="Heading 1 Char"/>
    <w:basedOn w:val="DefaultParagraphFont"/>
    <w:link w:val="Heading1"/>
    <w:uiPriority w:val="9"/>
    <w:rsid w:val="007F6455"/>
    <w:rPr>
      <w:rFonts w:asciiTheme="majorHAnsi" w:eastAsiaTheme="majorEastAsia" w:hAnsiTheme="majorHAnsi" w:cstheme="majorBidi"/>
      <w:color w:val="2F5496" w:themeColor="accent1" w:themeShade="BF"/>
      <w:sz w:val="32"/>
      <w:szCs w:val="3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8188">
      <w:bodyDiv w:val="1"/>
      <w:marLeft w:val="0"/>
      <w:marRight w:val="0"/>
      <w:marTop w:val="0"/>
      <w:marBottom w:val="0"/>
      <w:divBdr>
        <w:top w:val="none" w:sz="0" w:space="0" w:color="auto"/>
        <w:left w:val="none" w:sz="0" w:space="0" w:color="auto"/>
        <w:bottom w:val="none" w:sz="0" w:space="0" w:color="auto"/>
        <w:right w:val="none" w:sz="0" w:space="0" w:color="auto"/>
      </w:divBdr>
    </w:div>
    <w:div w:id="383648941">
      <w:bodyDiv w:val="1"/>
      <w:marLeft w:val="0"/>
      <w:marRight w:val="0"/>
      <w:marTop w:val="0"/>
      <w:marBottom w:val="0"/>
      <w:divBdr>
        <w:top w:val="none" w:sz="0" w:space="0" w:color="auto"/>
        <w:left w:val="none" w:sz="0" w:space="0" w:color="auto"/>
        <w:bottom w:val="none" w:sz="0" w:space="0" w:color="auto"/>
        <w:right w:val="none" w:sz="0" w:space="0" w:color="auto"/>
      </w:divBdr>
    </w:div>
    <w:div w:id="454639030">
      <w:bodyDiv w:val="1"/>
      <w:marLeft w:val="0"/>
      <w:marRight w:val="0"/>
      <w:marTop w:val="0"/>
      <w:marBottom w:val="0"/>
      <w:divBdr>
        <w:top w:val="none" w:sz="0" w:space="0" w:color="auto"/>
        <w:left w:val="none" w:sz="0" w:space="0" w:color="auto"/>
        <w:bottom w:val="none" w:sz="0" w:space="0" w:color="auto"/>
        <w:right w:val="none" w:sz="0" w:space="0" w:color="auto"/>
      </w:divBdr>
    </w:div>
    <w:div w:id="1054237299">
      <w:bodyDiv w:val="1"/>
      <w:marLeft w:val="0"/>
      <w:marRight w:val="0"/>
      <w:marTop w:val="0"/>
      <w:marBottom w:val="0"/>
      <w:divBdr>
        <w:top w:val="none" w:sz="0" w:space="0" w:color="auto"/>
        <w:left w:val="none" w:sz="0" w:space="0" w:color="auto"/>
        <w:bottom w:val="none" w:sz="0" w:space="0" w:color="auto"/>
        <w:right w:val="none" w:sz="0" w:space="0" w:color="auto"/>
      </w:divBdr>
    </w:div>
    <w:div w:id="1613249012">
      <w:bodyDiv w:val="1"/>
      <w:marLeft w:val="0"/>
      <w:marRight w:val="0"/>
      <w:marTop w:val="0"/>
      <w:marBottom w:val="0"/>
      <w:divBdr>
        <w:top w:val="none" w:sz="0" w:space="0" w:color="auto"/>
        <w:left w:val="none" w:sz="0" w:space="0" w:color="auto"/>
        <w:bottom w:val="none" w:sz="0" w:space="0" w:color="auto"/>
        <w:right w:val="none" w:sz="0" w:space="0" w:color="auto"/>
      </w:divBdr>
    </w:div>
    <w:div w:id="190074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7EAB780-9ABD-4CDF-9813-69902068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Asanovic</dc:creator>
  <cp:keywords/>
  <dc:description/>
  <cp:lastModifiedBy>Ferzad Kardovic</cp:lastModifiedBy>
  <cp:revision>2</cp:revision>
  <cp:lastPrinted>2023-11-24T08:10:00Z</cp:lastPrinted>
  <dcterms:created xsi:type="dcterms:W3CDTF">2025-06-16T22:58:00Z</dcterms:created>
  <dcterms:modified xsi:type="dcterms:W3CDTF">2025-06-16T22:58:00Z</dcterms:modified>
</cp:coreProperties>
</file>