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E9059" w14:textId="5360AEDD" w:rsidR="009520DB" w:rsidRDefault="0032068F">
      <w:pPr>
        <w:pStyle w:val="BodyText"/>
        <w:ind w:left="4684"/>
        <w:rPr>
          <w:sz w:val="20"/>
        </w:rPr>
      </w:pPr>
      <w:r>
        <w:rPr>
          <w:noProof/>
          <w:sz w:val="20"/>
        </w:rPr>
        <w:drawing>
          <wp:inline distT="0" distB="0" distL="0" distR="0" wp14:anchorId="07A34854" wp14:editId="3A6CE33D">
            <wp:extent cx="752475" cy="857250"/>
            <wp:effectExtent l="0" t="0" r="9525" b="0"/>
            <wp:docPr id="1428172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479BB" w14:textId="77777777" w:rsidR="009520DB" w:rsidRDefault="00944E55">
      <w:pPr>
        <w:pStyle w:val="Title"/>
        <w:spacing w:before="70" w:line="242" w:lineRule="auto"/>
        <w:ind w:left="4021" w:right="3633" w:firstLine="508"/>
      </w:pPr>
      <w:r>
        <w:rPr>
          <w:spacing w:val="-2"/>
        </w:rPr>
        <w:t>Montenegro Ministry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Transport</w:t>
      </w:r>
    </w:p>
    <w:p w14:paraId="087EB4C8" w14:textId="77777777" w:rsidR="009520DB" w:rsidRDefault="00944E55">
      <w:pPr>
        <w:pStyle w:val="Title"/>
        <w:spacing w:line="320" w:lineRule="exact"/>
      </w:pPr>
      <w:r>
        <w:t>Western</w:t>
      </w:r>
      <w:r>
        <w:rPr>
          <w:spacing w:val="-12"/>
        </w:rPr>
        <w:t xml:space="preserve"> </w:t>
      </w:r>
      <w:r>
        <w:t>Balkans</w:t>
      </w:r>
      <w:r>
        <w:rPr>
          <w:spacing w:val="-11"/>
        </w:rPr>
        <w:t xml:space="preserve"> </w:t>
      </w:r>
      <w:r>
        <w:t>Trade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Transport</w:t>
      </w:r>
      <w:r>
        <w:rPr>
          <w:spacing w:val="-9"/>
        </w:rPr>
        <w:t xml:space="preserve"> </w:t>
      </w:r>
      <w:r>
        <w:t>Facilitation</w:t>
      </w:r>
      <w:r>
        <w:rPr>
          <w:spacing w:val="-10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(TTFP)</w:t>
      </w:r>
      <w:r>
        <w:rPr>
          <w:spacing w:val="-11"/>
        </w:rPr>
        <w:t xml:space="preserve"> </w:t>
      </w:r>
      <w:r>
        <w:t>Phase</w:t>
      </w:r>
      <w:r>
        <w:rPr>
          <w:spacing w:val="-14"/>
        </w:rPr>
        <w:t xml:space="preserve"> </w:t>
      </w:r>
      <w:r>
        <w:rPr>
          <w:spacing w:val="-10"/>
        </w:rPr>
        <w:t>2</w:t>
      </w:r>
    </w:p>
    <w:p w14:paraId="7FEA18D2" w14:textId="77777777" w:rsidR="009520DB" w:rsidRDefault="009520DB">
      <w:pPr>
        <w:pStyle w:val="BodyText"/>
        <w:spacing w:before="68"/>
        <w:ind w:left="0"/>
        <w:rPr>
          <w:sz w:val="23"/>
        </w:rPr>
      </w:pPr>
    </w:p>
    <w:p w14:paraId="52C72B05" w14:textId="2BF790D6" w:rsidR="009520DB" w:rsidRDefault="00944E55">
      <w:pPr>
        <w:spacing w:before="1" w:line="247" w:lineRule="auto"/>
        <w:ind w:left="1973" w:right="2181" w:firstLine="568"/>
        <w:rPr>
          <w:b/>
          <w:sz w:val="23"/>
        </w:rPr>
      </w:pPr>
      <w:r>
        <w:rPr>
          <w:b/>
          <w:sz w:val="23"/>
        </w:rPr>
        <w:t>REQUEST FOR EXPRESSIONS OF INTEREST</w:t>
      </w:r>
      <w:r>
        <w:rPr>
          <w:b/>
          <w:spacing w:val="40"/>
          <w:sz w:val="23"/>
        </w:rPr>
        <w:t xml:space="preserve"> </w:t>
      </w:r>
      <w:r w:rsidR="007132D8">
        <w:rPr>
          <w:b/>
          <w:spacing w:val="40"/>
          <w:sz w:val="23"/>
        </w:rPr>
        <w:t xml:space="preserve">    </w:t>
      </w:r>
      <w:r>
        <w:rPr>
          <w:b/>
          <w:sz w:val="23"/>
        </w:rPr>
        <w:t>(CONSULTING SERVICES</w:t>
      </w:r>
      <w:r>
        <w:rPr>
          <w:b/>
          <w:spacing w:val="-8"/>
          <w:sz w:val="23"/>
        </w:rPr>
        <w:t xml:space="preserve"> </w:t>
      </w:r>
      <w:r w:rsidR="007132D8">
        <w:rPr>
          <w:b/>
          <w:sz w:val="23"/>
        </w:rPr>
        <w:t>– CONSULTING FIRM</w:t>
      </w:r>
      <w:r>
        <w:rPr>
          <w:b/>
          <w:sz w:val="23"/>
        </w:rPr>
        <w:t>)</w:t>
      </w:r>
    </w:p>
    <w:p w14:paraId="3DCA4D09" w14:textId="77777777" w:rsidR="009520DB" w:rsidRDefault="00944E55">
      <w:pPr>
        <w:spacing w:before="239"/>
        <w:ind w:left="164"/>
        <w:rPr>
          <w:i/>
          <w:sz w:val="23"/>
        </w:rPr>
      </w:pPr>
      <w:r>
        <w:rPr>
          <w:b/>
          <w:w w:val="105"/>
          <w:sz w:val="23"/>
        </w:rPr>
        <w:t>Name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Project:</w:t>
      </w:r>
      <w:r>
        <w:rPr>
          <w:b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“Western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Balkans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Trade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Transport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Facilitation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Phase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2”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(TTFP)</w:t>
      </w:r>
    </w:p>
    <w:p w14:paraId="14FA3388" w14:textId="77777777" w:rsidR="009520DB" w:rsidRDefault="00944E55">
      <w:pPr>
        <w:spacing w:before="75"/>
        <w:ind w:left="164"/>
        <w:rPr>
          <w:i/>
          <w:sz w:val="23"/>
        </w:rPr>
      </w:pPr>
      <w:r>
        <w:rPr>
          <w:b/>
          <w:sz w:val="23"/>
        </w:rPr>
        <w:t>Loan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No:</w:t>
      </w:r>
      <w:r>
        <w:rPr>
          <w:b/>
          <w:spacing w:val="20"/>
          <w:sz w:val="23"/>
        </w:rPr>
        <w:t xml:space="preserve"> </w:t>
      </w:r>
      <w:r>
        <w:rPr>
          <w:i/>
          <w:sz w:val="23"/>
        </w:rPr>
        <w:t>94710-</w:t>
      </w:r>
      <w:r>
        <w:rPr>
          <w:i/>
          <w:spacing w:val="-5"/>
          <w:sz w:val="23"/>
        </w:rPr>
        <w:t>ME</w:t>
      </w:r>
    </w:p>
    <w:p w14:paraId="5D97930A" w14:textId="1F2ACC77" w:rsidR="009520DB" w:rsidRPr="007132D8" w:rsidRDefault="007132D8" w:rsidP="007132D8">
      <w:pPr>
        <w:spacing w:before="72"/>
        <w:rPr>
          <w:b/>
          <w:i/>
          <w:spacing w:val="-2"/>
          <w:w w:val="105"/>
          <w:sz w:val="23"/>
        </w:rPr>
      </w:pPr>
      <w:r>
        <w:rPr>
          <w:b/>
          <w:spacing w:val="-2"/>
          <w:w w:val="105"/>
          <w:sz w:val="23"/>
        </w:rPr>
        <w:t xml:space="preserve">   </w:t>
      </w:r>
      <w:r w:rsidR="00944E55">
        <w:rPr>
          <w:b/>
          <w:spacing w:val="-2"/>
          <w:w w:val="105"/>
          <w:sz w:val="23"/>
        </w:rPr>
        <w:t>Assignment</w:t>
      </w:r>
      <w:r w:rsidR="00944E55">
        <w:rPr>
          <w:b/>
          <w:spacing w:val="-3"/>
          <w:w w:val="105"/>
          <w:sz w:val="23"/>
        </w:rPr>
        <w:t xml:space="preserve"> </w:t>
      </w:r>
      <w:r w:rsidR="00944E55">
        <w:rPr>
          <w:b/>
          <w:spacing w:val="-2"/>
          <w:w w:val="105"/>
          <w:sz w:val="23"/>
        </w:rPr>
        <w:t>Title:</w:t>
      </w:r>
      <w:r w:rsidR="00944E55">
        <w:rPr>
          <w:b/>
          <w:spacing w:val="-1"/>
          <w:w w:val="105"/>
          <w:sz w:val="23"/>
        </w:rPr>
        <w:t xml:space="preserve"> </w:t>
      </w:r>
      <w:r w:rsidRPr="007132D8">
        <w:rPr>
          <w:b/>
          <w:i/>
          <w:spacing w:val="-2"/>
          <w:w w:val="105"/>
          <w:sz w:val="23"/>
        </w:rPr>
        <w:t xml:space="preserve">Business Financial Plan for the National Port Community System Operator (PCSO) </w:t>
      </w:r>
    </w:p>
    <w:p w14:paraId="1AF0CE09" w14:textId="2F563FFF" w:rsidR="009520DB" w:rsidRDefault="00944E55">
      <w:pPr>
        <w:pStyle w:val="Heading1"/>
        <w:spacing w:before="65"/>
        <w:ind w:left="164"/>
      </w:pPr>
      <w:r>
        <w:t>Reference</w:t>
      </w:r>
      <w:r>
        <w:rPr>
          <w:spacing w:val="34"/>
        </w:rPr>
        <w:t xml:space="preserve"> </w:t>
      </w:r>
      <w:r>
        <w:t>No.</w:t>
      </w:r>
      <w:r>
        <w:rPr>
          <w:spacing w:val="31"/>
        </w:rPr>
        <w:t xml:space="preserve"> </w:t>
      </w:r>
      <w:r w:rsidRPr="000B66D3">
        <w:t>MNE-WBTTFP-94710-</w:t>
      </w:r>
      <w:r w:rsidR="007132D8">
        <w:t>CQS</w:t>
      </w:r>
      <w:r w:rsidRPr="000B66D3">
        <w:t>-</w:t>
      </w:r>
      <w:r w:rsidR="007132D8">
        <w:t>CS-</w:t>
      </w:r>
      <w:r w:rsidRPr="0032068F">
        <w:t>2</w:t>
      </w:r>
      <w:r w:rsidR="007132D8" w:rsidRPr="0032068F">
        <w:t>6</w:t>
      </w:r>
      <w:r w:rsidRPr="0032068F">
        <w:t>-</w:t>
      </w:r>
      <w:r w:rsidR="00843E9A" w:rsidRPr="0032068F">
        <w:rPr>
          <w:spacing w:val="-2"/>
        </w:rPr>
        <w:t>2.</w:t>
      </w:r>
      <w:r w:rsidR="007132D8" w:rsidRPr="0032068F">
        <w:rPr>
          <w:spacing w:val="-2"/>
        </w:rPr>
        <w:t>1.5</w:t>
      </w:r>
    </w:p>
    <w:p w14:paraId="231CFC39" w14:textId="20938E1F" w:rsidR="009520DB" w:rsidRPr="0032068F" w:rsidRDefault="00FF38C0">
      <w:pPr>
        <w:spacing w:before="10"/>
        <w:ind w:right="186"/>
        <w:jc w:val="right"/>
        <w:rPr>
          <w:b/>
          <w:bCs/>
          <w:sz w:val="23"/>
        </w:rPr>
      </w:pPr>
      <w:r w:rsidRPr="0032068F">
        <w:rPr>
          <w:b/>
          <w:bCs/>
          <w:sz w:val="23"/>
        </w:rPr>
        <w:t>May 15</w:t>
      </w:r>
      <w:r w:rsidR="007132D8" w:rsidRPr="0032068F">
        <w:rPr>
          <w:b/>
          <w:bCs/>
          <w:sz w:val="23"/>
        </w:rPr>
        <w:t>, 2026</w:t>
      </w:r>
    </w:p>
    <w:p w14:paraId="2A04DF17" w14:textId="73CD6AF2" w:rsidR="009520DB" w:rsidRDefault="00944E55" w:rsidP="007132D8">
      <w:pPr>
        <w:spacing w:before="93"/>
        <w:ind w:right="158"/>
        <w:jc w:val="both"/>
        <w:rPr>
          <w:b/>
          <w:i/>
          <w:sz w:val="23"/>
        </w:rPr>
      </w:pPr>
      <w:r>
        <w:t>The</w:t>
      </w:r>
      <w:r>
        <w:rPr>
          <w:spacing w:val="-14"/>
        </w:rPr>
        <w:t xml:space="preserve"> </w:t>
      </w:r>
      <w:r>
        <w:t>Government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Montenegro</w:t>
      </w:r>
      <w:r>
        <w:rPr>
          <w:spacing w:val="-14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financing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USD</w:t>
      </w:r>
      <w:r>
        <w:rPr>
          <w:spacing w:val="-12"/>
        </w:rPr>
        <w:t xml:space="preserve"> </w:t>
      </w:r>
      <w:r>
        <w:t>15,000,000.00</w:t>
      </w:r>
      <w:r>
        <w:rPr>
          <w:spacing w:val="-11"/>
        </w:rPr>
        <w:t xml:space="preserve"> </w:t>
      </w:r>
      <w:r>
        <w:t>(equivalent)</w:t>
      </w:r>
      <w:r>
        <w:rPr>
          <w:spacing w:val="-14"/>
        </w:rPr>
        <w:t xml:space="preserve"> </w:t>
      </w:r>
      <w:r>
        <w:t>from the World Bank, toward the costs of the “</w:t>
      </w:r>
      <w:r>
        <w:rPr>
          <w:b/>
          <w:i/>
        </w:rPr>
        <w:t xml:space="preserve">Western Balkans Trade and Transport Facilitation Phase 2” (TTFP) </w:t>
      </w:r>
      <w:r>
        <w:t xml:space="preserve">project and intends to apply part of the proceeds of this loan towards payment for Consulting services under the Contract for Individual Consultant: </w:t>
      </w:r>
      <w:r w:rsidR="007132D8" w:rsidRPr="007132D8">
        <w:rPr>
          <w:b/>
          <w:i/>
        </w:rPr>
        <w:t xml:space="preserve">Business Financial Plan for the National Port Community System Operator (PCSO) </w:t>
      </w:r>
      <w:r>
        <w:rPr>
          <w:b/>
          <w:i/>
          <w:sz w:val="23"/>
        </w:rPr>
        <w:t>.</w:t>
      </w:r>
    </w:p>
    <w:p w14:paraId="7C6CB557" w14:textId="77777777" w:rsidR="00FF38C0" w:rsidRPr="007132D8" w:rsidRDefault="00FF38C0" w:rsidP="007132D8">
      <w:pPr>
        <w:spacing w:before="93"/>
        <w:ind w:right="158"/>
        <w:jc w:val="both"/>
        <w:rPr>
          <w:b/>
          <w:i/>
        </w:rPr>
      </w:pPr>
    </w:p>
    <w:p w14:paraId="17EF3AAB" w14:textId="77777777" w:rsidR="009520DB" w:rsidRDefault="00944E55" w:rsidP="00FF38C0">
      <w:pPr>
        <w:pStyle w:val="BodyText"/>
        <w:ind w:left="0" w:right="165"/>
        <w:jc w:val="both"/>
      </w:pPr>
      <w:r>
        <w:t>The Program Development Objective for the MPA is to reduce trade costs and increase transport efficiency in the Western Balkans- Six Countries. Montenegro, with one of the two gateway ports to the Western Balkans, holds a critical position for the landlocked countries of the region as well as along the TEN-T corridor and linkages to the broader European region. Given its advanced progress, towards EU membership and developed road transport infrastructure, Montenegro stands</w:t>
      </w:r>
      <w:r>
        <w:rPr>
          <w:spacing w:val="-3"/>
        </w:rPr>
        <w:t xml:space="preserve"> </w:t>
      </w:r>
      <w:r>
        <w:t>to gain significantly from efficiency gains</w:t>
      </w:r>
      <w:r>
        <w:rPr>
          <w:spacing w:val="-7"/>
        </w:rPr>
        <w:t xml:space="preserve"> </w:t>
      </w:r>
      <w:r>
        <w:t>provided by the TTFP in the country and in neighboring countries</w:t>
      </w:r>
      <w:r>
        <w:rPr>
          <w:spacing w:val="-4"/>
        </w:rPr>
        <w:t xml:space="preserve"> </w:t>
      </w:r>
      <w:r>
        <w:t>through increased road and rail connectivity and enhanced trade integration.</w:t>
      </w:r>
    </w:p>
    <w:p w14:paraId="4FAA6645" w14:textId="77777777" w:rsidR="009520DB" w:rsidRDefault="009520DB">
      <w:pPr>
        <w:pStyle w:val="BodyText"/>
        <w:spacing w:before="2"/>
        <w:ind w:left="0"/>
      </w:pPr>
    </w:p>
    <w:p w14:paraId="645DAAD5" w14:textId="4D140EB2" w:rsidR="007132D8" w:rsidRDefault="00944E55" w:rsidP="00FF38C0">
      <w:pPr>
        <w:pStyle w:val="BodyText"/>
        <w:ind w:left="0" w:right="164"/>
        <w:jc w:val="both"/>
      </w:pPr>
      <w:r w:rsidRPr="000B66D3">
        <w:t>The</w:t>
      </w:r>
      <w:r w:rsidRPr="000B66D3">
        <w:rPr>
          <w:spacing w:val="-8"/>
        </w:rPr>
        <w:t xml:space="preserve"> </w:t>
      </w:r>
      <w:r w:rsidRPr="000B66D3">
        <w:t>Ministry</w:t>
      </w:r>
      <w:r w:rsidRPr="000B66D3">
        <w:rPr>
          <w:spacing w:val="-6"/>
        </w:rPr>
        <w:t xml:space="preserve"> </w:t>
      </w:r>
      <w:r w:rsidRPr="000B66D3">
        <w:t>of</w:t>
      </w:r>
      <w:r w:rsidRPr="000B66D3">
        <w:rPr>
          <w:spacing w:val="-12"/>
        </w:rPr>
        <w:t xml:space="preserve"> </w:t>
      </w:r>
      <w:r w:rsidRPr="000B66D3">
        <w:t>Transport</w:t>
      </w:r>
      <w:r w:rsidRPr="000B66D3">
        <w:rPr>
          <w:spacing w:val="-8"/>
        </w:rPr>
        <w:t xml:space="preserve"> </w:t>
      </w:r>
      <w:r w:rsidRPr="000B66D3">
        <w:t>(MoT)</w:t>
      </w:r>
      <w:r w:rsidRPr="000B66D3">
        <w:rPr>
          <w:spacing w:val="-12"/>
        </w:rPr>
        <w:t xml:space="preserve"> </w:t>
      </w:r>
      <w:r w:rsidRPr="000B66D3">
        <w:t>needs</w:t>
      </w:r>
      <w:r w:rsidRPr="000B66D3">
        <w:rPr>
          <w:spacing w:val="-8"/>
        </w:rPr>
        <w:t xml:space="preserve"> </w:t>
      </w:r>
      <w:r w:rsidRPr="000B66D3">
        <w:t>the</w:t>
      </w:r>
      <w:r w:rsidRPr="000B66D3">
        <w:rPr>
          <w:spacing w:val="-8"/>
        </w:rPr>
        <w:t xml:space="preserve"> </w:t>
      </w:r>
      <w:r w:rsidRPr="000B66D3">
        <w:t>technical</w:t>
      </w:r>
      <w:r w:rsidRPr="000B66D3">
        <w:rPr>
          <w:spacing w:val="-8"/>
        </w:rPr>
        <w:t xml:space="preserve"> </w:t>
      </w:r>
      <w:r w:rsidRPr="000B66D3">
        <w:t>services</w:t>
      </w:r>
      <w:r w:rsidRPr="000B66D3">
        <w:rPr>
          <w:spacing w:val="-8"/>
        </w:rPr>
        <w:t xml:space="preserve"> </w:t>
      </w:r>
      <w:r w:rsidR="007132D8" w:rsidRPr="007132D8">
        <w:t xml:space="preserve">The MoT/ PIU and </w:t>
      </w:r>
      <w:r w:rsidR="0032068F">
        <w:t>Ministry of Maritime Afairs (</w:t>
      </w:r>
      <w:r w:rsidR="007132D8" w:rsidRPr="007132D8">
        <w:t>MoMA</w:t>
      </w:r>
      <w:r w:rsidR="0032068F">
        <w:t>)</w:t>
      </w:r>
      <w:r w:rsidR="007132D8" w:rsidRPr="007132D8">
        <w:t xml:space="preserve"> is seeking a qualified financial advisory firm to support the preparation of the Business Financial Planning document for the PCS operator.</w:t>
      </w:r>
      <w:r w:rsidR="007132D8">
        <w:t xml:space="preserve"> </w:t>
      </w:r>
      <w:r w:rsidR="007132D8" w:rsidRPr="007132D8">
        <w:t>The scope is to develop a Ten (10) Year Financial Business Plan related to the supply, delivery, implementation, commissioning, maintenance and operation of the National Port Community System Operator either as an operating function or a special purpose vehicle of the MoMA.</w:t>
      </w:r>
    </w:p>
    <w:p w14:paraId="4C9961EE" w14:textId="04636028" w:rsidR="009520DB" w:rsidRDefault="007132D8" w:rsidP="0032068F">
      <w:pPr>
        <w:pStyle w:val="BodyText"/>
        <w:ind w:left="0" w:right="164"/>
        <w:jc w:val="both"/>
      </w:pPr>
      <w:r w:rsidRPr="007132D8">
        <w:t>The Consulting firm will report directly to the PIU Project Manager and MoT Project Coordinator, with a dotted-line reporting relationship to the designated PCS Lead within the MoMA.</w:t>
      </w:r>
    </w:p>
    <w:p w14:paraId="334EB9CF" w14:textId="77777777" w:rsidR="009520DB" w:rsidRDefault="00944E55" w:rsidP="0032068F">
      <w:pPr>
        <w:pStyle w:val="BodyText"/>
        <w:ind w:left="0" w:right="161"/>
        <w:jc w:val="both"/>
      </w:pPr>
      <w:r>
        <w:t>The ‘</w:t>
      </w:r>
      <w:r w:rsidRPr="0032068F">
        <w:rPr>
          <w:b/>
          <w:bCs/>
        </w:rPr>
        <w:t>’MoT’</w:t>
      </w:r>
      <w:r>
        <w:t xml:space="preserve">’ through the Technical Service Unit, now invites eligible individual consultants (“Consultants”) to </w:t>
      </w:r>
      <w:r>
        <w:rPr>
          <w:spacing w:val="-2"/>
        </w:rPr>
        <w:t>indicate their</w:t>
      </w:r>
      <w:r>
        <w:rPr>
          <w:spacing w:val="-10"/>
        </w:rPr>
        <w:t xml:space="preserve"> </w:t>
      </w:r>
      <w:r>
        <w:rPr>
          <w:spacing w:val="-2"/>
        </w:rPr>
        <w:t>interest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providing</w:t>
      </w:r>
      <w:r>
        <w:rPr>
          <w:spacing w:val="-10"/>
        </w:rPr>
        <w:t xml:space="preserve"> </w:t>
      </w:r>
      <w:r>
        <w:rPr>
          <w:spacing w:val="-2"/>
        </w:rPr>
        <w:t>the Services. Interested</w:t>
      </w:r>
      <w:r>
        <w:rPr>
          <w:spacing w:val="-6"/>
        </w:rPr>
        <w:t xml:space="preserve"> </w:t>
      </w:r>
      <w:r>
        <w:rPr>
          <w:spacing w:val="-2"/>
        </w:rPr>
        <w:t>Consultants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-11"/>
        </w:rPr>
        <w:t xml:space="preserve"> </w:t>
      </w:r>
      <w:r>
        <w:rPr>
          <w:spacing w:val="-2"/>
        </w:rPr>
        <w:t>provide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5"/>
        </w:rPr>
        <w:t xml:space="preserve"> </w:t>
      </w:r>
      <w:r>
        <w:rPr>
          <w:spacing w:val="-2"/>
        </w:rPr>
        <w:t xml:space="preserve">demonstrating that </w:t>
      </w:r>
      <w:r>
        <w:t>have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qualifications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Services.</w:t>
      </w:r>
      <w:r>
        <w:rPr>
          <w:spacing w:val="-6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consultants</w:t>
      </w:r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offered through the</w:t>
      </w:r>
      <w:r>
        <w:rPr>
          <w:spacing w:val="-3"/>
        </w:rPr>
        <w:t xml:space="preserve"> </w:t>
      </w:r>
      <w:r>
        <w:t>firms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organizations,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 qualifications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consultant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 selection. Contract will be signed with proposed individuals. Successful management of the project requires a dynamic person, with excellent communication skills, who is</w:t>
      </w:r>
      <w:r>
        <w:rPr>
          <w:spacing w:val="-4"/>
        </w:rPr>
        <w:t xml:space="preserve"> </w:t>
      </w:r>
      <w:r>
        <w:t>ready to work in a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and contribute to a</w:t>
      </w:r>
      <w:r>
        <w:rPr>
          <w:spacing w:val="-4"/>
        </w:rPr>
        <w:t xml:space="preserve"> </w:t>
      </w:r>
      <w:r>
        <w:t>positive team spirit.</w:t>
      </w:r>
    </w:p>
    <w:p w14:paraId="3ECC5CAE" w14:textId="77777777" w:rsidR="0032068F" w:rsidRDefault="0032068F" w:rsidP="0032068F">
      <w:pPr>
        <w:pStyle w:val="BodyText"/>
        <w:spacing w:before="251"/>
        <w:ind w:left="0" w:right="163"/>
        <w:jc w:val="both"/>
        <w:rPr>
          <w:b/>
          <w:bCs/>
        </w:rPr>
      </w:pPr>
      <w:r w:rsidRPr="0032068F">
        <w:t xml:space="preserve">The detailed </w:t>
      </w:r>
      <w:r w:rsidRPr="0032068F">
        <w:rPr>
          <w:b/>
          <w:bCs/>
        </w:rPr>
        <w:t>Terms of Reference (TOR)</w:t>
      </w:r>
      <w:r w:rsidRPr="0032068F">
        <w:t xml:space="preserve"> for the assignment which outlines comprehensively the scope, tasks, duties, and responsibilities of the Consultant firm can be obtained upon request at the e-mail address given below or on the Client website </w:t>
      </w:r>
      <w:hyperlink r:id="rId6" w:history="1">
        <w:r w:rsidRPr="00C4239E">
          <w:rPr>
            <w:rStyle w:val="Hyperlink"/>
            <w:b/>
            <w:bCs/>
          </w:rPr>
          <w:t>www.gov.me/msa</w:t>
        </w:r>
      </w:hyperlink>
      <w:r>
        <w:rPr>
          <w:b/>
          <w:bCs/>
        </w:rPr>
        <w:t xml:space="preserve"> .</w:t>
      </w:r>
    </w:p>
    <w:p w14:paraId="6E3B0593" w14:textId="77777777" w:rsidR="009520DB" w:rsidRDefault="009520DB">
      <w:pPr>
        <w:pStyle w:val="BodyText"/>
        <w:spacing w:before="1"/>
        <w:ind w:left="0"/>
      </w:pPr>
    </w:p>
    <w:p w14:paraId="6951CE43" w14:textId="49721243" w:rsidR="009520DB" w:rsidRDefault="007132D8" w:rsidP="0032068F">
      <w:pPr>
        <w:pStyle w:val="BodyText"/>
        <w:spacing w:line="242" w:lineRule="auto"/>
        <w:ind w:left="0" w:right="121"/>
      </w:pPr>
      <w:r>
        <w:t xml:space="preserve">The </w:t>
      </w:r>
      <w:r w:rsidR="0032068F" w:rsidRPr="0032068F">
        <w:rPr>
          <w:b/>
          <w:bCs/>
        </w:rPr>
        <w:t>S</w:t>
      </w:r>
      <w:r w:rsidRPr="0032068F">
        <w:rPr>
          <w:b/>
          <w:bCs/>
        </w:rPr>
        <w:t>election</w:t>
      </w:r>
      <w:r w:rsidR="0032068F">
        <w:rPr>
          <w:b/>
          <w:bCs/>
        </w:rPr>
        <w:t xml:space="preserve"> and E</w:t>
      </w:r>
      <w:r w:rsidR="0032068F" w:rsidRPr="00FC28BF">
        <w:rPr>
          <w:b/>
          <w:bCs/>
        </w:rPr>
        <w:t>valuation criteria</w:t>
      </w:r>
      <w:r w:rsidR="0032068F" w:rsidRPr="000C6944">
        <w:t xml:space="preserve"> which will be applied for evaluation of received </w:t>
      </w:r>
      <w:r w:rsidR="0032068F" w:rsidRPr="00797A3E">
        <w:rPr>
          <w:b/>
          <w:bCs/>
        </w:rPr>
        <w:t>Expressions of Interest</w:t>
      </w:r>
      <w:r w:rsidR="0032068F">
        <w:rPr>
          <w:b/>
          <w:bCs/>
        </w:rPr>
        <w:t>s</w:t>
      </w:r>
      <w:r w:rsidR="0032068F" w:rsidRPr="000C6944">
        <w:t xml:space="preserve"> are:</w:t>
      </w:r>
    </w:p>
    <w:p w14:paraId="26000470" w14:textId="77777777" w:rsidR="0032068F" w:rsidRDefault="007132D8" w:rsidP="0080200B">
      <w:pPr>
        <w:pStyle w:val="BodyText"/>
        <w:spacing w:line="242" w:lineRule="auto"/>
        <w:ind w:left="0" w:right="121"/>
        <w:rPr>
          <w:bCs/>
        </w:rPr>
      </w:pPr>
      <w:r>
        <w:rPr>
          <w:bCs/>
        </w:rPr>
        <w:t xml:space="preserve">    </w:t>
      </w:r>
    </w:p>
    <w:p w14:paraId="1E1B4B3F" w14:textId="77777777" w:rsidR="0080200B" w:rsidRPr="0080200B" w:rsidRDefault="0080200B" w:rsidP="0080200B">
      <w:pPr>
        <w:pStyle w:val="BodyText"/>
        <w:spacing w:line="242" w:lineRule="auto"/>
        <w:ind w:left="0" w:right="121"/>
        <w:rPr>
          <w:bCs/>
        </w:rPr>
      </w:pPr>
    </w:p>
    <w:p w14:paraId="47E7866E" w14:textId="77777777" w:rsidR="0080200B" w:rsidRPr="0080200B" w:rsidRDefault="0080200B" w:rsidP="0080200B">
      <w:pPr>
        <w:pStyle w:val="BodyText"/>
        <w:spacing w:line="242" w:lineRule="auto"/>
        <w:ind w:left="0" w:right="121"/>
        <w:rPr>
          <w:bCs/>
        </w:rPr>
      </w:pPr>
    </w:p>
    <w:p w14:paraId="522D3A2E" w14:textId="77777777" w:rsidR="00FF38C0" w:rsidRDefault="00FF38C0" w:rsidP="00FF38C0">
      <w:pPr>
        <w:ind w:left="-567"/>
        <w:jc w:val="both"/>
      </w:pPr>
      <w:r>
        <w:t xml:space="preserve">          </w:t>
      </w:r>
    </w:p>
    <w:p w14:paraId="714CA40D" w14:textId="36CD5565" w:rsidR="00FF38C0" w:rsidRPr="00082E17" w:rsidRDefault="0032068F" w:rsidP="00FF38C0">
      <w:pPr>
        <w:widowControl/>
        <w:numPr>
          <w:ilvl w:val="0"/>
          <w:numId w:val="10"/>
        </w:numPr>
        <w:suppressAutoHyphens/>
        <w:autoSpaceDE/>
        <w:autoSpaceDN/>
        <w:jc w:val="both"/>
      </w:pPr>
      <w:bookmarkStart w:id="0" w:name="_Hlk220943063"/>
      <w:r>
        <w:rPr>
          <w:b/>
        </w:rPr>
        <w:t>G</w:t>
      </w:r>
      <w:r w:rsidR="00FF38C0" w:rsidRPr="00082E17">
        <w:rPr>
          <w:b/>
        </w:rPr>
        <w:t>eneral Qualification and Competences of the consultant (firm)</w:t>
      </w:r>
    </w:p>
    <w:p w14:paraId="243E80A2" w14:textId="58A3793F" w:rsidR="00FF38C0" w:rsidRPr="00082E17" w:rsidRDefault="00FF38C0" w:rsidP="00FF38C0">
      <w:pPr>
        <w:pStyle w:val="ListParagraph"/>
        <w:ind w:left="142"/>
        <w:jc w:val="both"/>
      </w:pPr>
      <w:r>
        <w:rPr>
          <w:bCs/>
          <w:color w:val="000000"/>
        </w:rPr>
        <w:t xml:space="preserve">      </w:t>
      </w:r>
      <w:r w:rsidR="0032068F">
        <w:rPr>
          <w:bCs/>
          <w:color w:val="000000"/>
        </w:rPr>
        <w:t xml:space="preserve">Legal status, </w:t>
      </w:r>
      <w:r w:rsidRPr="000C6944">
        <w:rPr>
          <w:bCs/>
          <w:color w:val="000000"/>
        </w:rPr>
        <w:t>Core business and years in business</w:t>
      </w:r>
      <w:r>
        <w:rPr>
          <w:bCs/>
          <w:color w:val="000000"/>
        </w:rPr>
        <w:t xml:space="preserve"> </w:t>
      </w:r>
      <w:r w:rsidRPr="00082E17">
        <w:rPr>
          <w:bCs/>
          <w:color w:val="000000"/>
        </w:rPr>
        <w:t>Capacity</w:t>
      </w:r>
      <w:r w:rsidRPr="00082E17">
        <w:t>, competences of the Consultant firm (Company):</w:t>
      </w:r>
    </w:p>
    <w:p w14:paraId="0CD98EB6" w14:textId="69D14D25" w:rsidR="00FF38C0" w:rsidRPr="009E560C" w:rsidRDefault="00FF38C0" w:rsidP="00FF38C0">
      <w:pPr>
        <w:pStyle w:val="ListParagraph"/>
        <w:ind w:left="426"/>
        <w:jc w:val="both"/>
      </w:pPr>
      <w:r w:rsidRPr="00082E17">
        <w:lastRenderedPageBreak/>
        <w:t xml:space="preserve"> ---------------------------------------------------------------------------------</w:t>
      </w:r>
      <w:r>
        <w:t>----------------</w:t>
      </w:r>
      <w:r w:rsidRPr="00082E17">
        <w:t>(Max</w:t>
      </w:r>
      <w:r>
        <w:t xml:space="preserve"> </w:t>
      </w:r>
      <w:r>
        <w:rPr>
          <w:b/>
        </w:rPr>
        <w:t>30</w:t>
      </w:r>
      <w:r w:rsidRPr="00082E17">
        <w:rPr>
          <w:b/>
        </w:rPr>
        <w:t xml:space="preserve"> points</w:t>
      </w:r>
      <w:r w:rsidRPr="00082E17">
        <w:t xml:space="preserve"> on this criteria).</w:t>
      </w:r>
    </w:p>
    <w:bookmarkEnd w:id="0"/>
    <w:p w14:paraId="11449704" w14:textId="77777777" w:rsidR="00FF38C0" w:rsidRPr="00082E17" w:rsidRDefault="00FF38C0" w:rsidP="00FF38C0">
      <w:pPr>
        <w:widowControl/>
        <w:numPr>
          <w:ilvl w:val="0"/>
          <w:numId w:val="10"/>
        </w:numPr>
        <w:suppressAutoHyphens/>
        <w:autoSpaceDE/>
        <w:autoSpaceDN/>
        <w:ind w:left="709"/>
        <w:jc w:val="both"/>
        <w:rPr>
          <w:lang w:eastAsia="en-GB"/>
        </w:rPr>
      </w:pPr>
      <w:r w:rsidRPr="00082E17">
        <w:rPr>
          <w:b/>
        </w:rPr>
        <w:t>Qualification of the consultant (firm) relevant to the assignment</w:t>
      </w:r>
      <w:r w:rsidRPr="00082E17">
        <w:t xml:space="preserve">: </w:t>
      </w:r>
    </w:p>
    <w:p w14:paraId="0F621F17" w14:textId="777D174C" w:rsidR="00FF38C0" w:rsidRPr="00082E17" w:rsidRDefault="00DD61B1" w:rsidP="00FF38C0">
      <w:pPr>
        <w:suppressAutoHyphens/>
        <w:ind w:left="142"/>
        <w:jc w:val="both"/>
      </w:pPr>
      <w:r w:rsidRPr="00DD61B1">
        <w:t>The selected consulting company to convey this assignment should have at a minimum</w:t>
      </w:r>
      <w:r>
        <w:t xml:space="preserve">: </w:t>
      </w:r>
      <w:r w:rsidR="00FF38C0" w:rsidRPr="00FF38C0">
        <w:t xml:space="preserve">Experience in at least 3 assignments in the past 5 years preparing business / financial plans with multi-year (5 years or more) integrated projections (Income Statement, Balance Sheet, Cash Flow, ratios, breakeven). The Consulting firm should provide clear overview of conducted relevant services. Overview must include: detail data on </w:t>
      </w:r>
      <w:r w:rsidR="0032068F" w:rsidRPr="00FF38C0">
        <w:t>entities</w:t>
      </w:r>
      <w:r w:rsidR="00FF38C0" w:rsidRPr="00FF38C0">
        <w:t xml:space="preserve"> for which services are prepared, description of service, value of the contract for performed services, information on the project realization dates, as well as entity’s contact person.</w:t>
      </w:r>
      <w:r w:rsidR="00FF38C0">
        <w:t xml:space="preserve">  </w:t>
      </w:r>
    </w:p>
    <w:p w14:paraId="424F7665" w14:textId="6B775B92" w:rsidR="00FF38C0" w:rsidRDefault="00FF38C0" w:rsidP="00FF38C0">
      <w:pPr>
        <w:suppressAutoHyphens/>
        <w:ind w:left="142"/>
        <w:jc w:val="both"/>
      </w:pPr>
      <w:r w:rsidRPr="00082E17">
        <w:t>-------------------------------------------------------------------------------------</w:t>
      </w:r>
      <w:r>
        <w:t>------------</w:t>
      </w:r>
      <w:r w:rsidRPr="00082E17">
        <w:t xml:space="preserve">(Max </w:t>
      </w:r>
      <w:r>
        <w:rPr>
          <w:b/>
        </w:rPr>
        <w:t>6</w:t>
      </w:r>
      <w:r w:rsidRPr="00082E17">
        <w:rPr>
          <w:b/>
        </w:rPr>
        <w:t>0 points</w:t>
      </w:r>
      <w:r w:rsidRPr="00082E17">
        <w:t xml:space="preserve"> on this criteria).</w:t>
      </w:r>
    </w:p>
    <w:p w14:paraId="7D7DCDA4" w14:textId="77777777" w:rsidR="00FF38C0" w:rsidRPr="000C6944" w:rsidRDefault="00FF38C0" w:rsidP="00FF38C0">
      <w:pPr>
        <w:widowControl/>
        <w:numPr>
          <w:ilvl w:val="0"/>
          <w:numId w:val="10"/>
        </w:numPr>
        <w:suppressAutoHyphens/>
        <w:autoSpaceDE/>
        <w:autoSpaceDN/>
        <w:ind w:left="697" w:hanging="357"/>
        <w:jc w:val="both"/>
        <w:rPr>
          <w:b/>
        </w:rPr>
      </w:pPr>
      <w:r w:rsidRPr="000C6944">
        <w:rPr>
          <w:b/>
        </w:rPr>
        <w:t>Qualification and organizational structure of the consultant (firm)</w:t>
      </w:r>
    </w:p>
    <w:p w14:paraId="5E46FB52" w14:textId="77777777" w:rsidR="00FF38C0" w:rsidRDefault="00FF38C0" w:rsidP="00FF38C0">
      <w:pPr>
        <w:suppressAutoHyphens/>
        <w:ind w:left="142"/>
        <w:jc w:val="both"/>
      </w:pPr>
      <w:r w:rsidRPr="000C6944">
        <w:t xml:space="preserve">Technical and managerial organization of the firm and availability of key staff within the firm 10%. </w:t>
      </w:r>
    </w:p>
    <w:p w14:paraId="6424649C" w14:textId="77777777" w:rsidR="00FF38C0" w:rsidRPr="000C6944" w:rsidRDefault="00FF38C0" w:rsidP="00FF38C0">
      <w:pPr>
        <w:suppressAutoHyphens/>
        <w:ind w:left="142"/>
        <w:jc w:val="both"/>
      </w:pPr>
      <w:r w:rsidRPr="000C6944">
        <w:t>of the Consultant firm (Company):</w:t>
      </w:r>
    </w:p>
    <w:p w14:paraId="63349D1F" w14:textId="4DFDD434" w:rsidR="00FF38C0" w:rsidRDefault="00FF38C0" w:rsidP="00FF38C0">
      <w:pPr>
        <w:suppressAutoHyphens/>
        <w:ind w:left="142"/>
        <w:jc w:val="both"/>
      </w:pPr>
      <w:r w:rsidRPr="000C6944">
        <w:t xml:space="preserve"> ---------------------------------------------------------------------------------</w:t>
      </w:r>
      <w:r>
        <w:t>-------------</w:t>
      </w:r>
      <w:r w:rsidRPr="000C6944">
        <w:t xml:space="preserve">(Max </w:t>
      </w:r>
      <w:r>
        <w:rPr>
          <w:b/>
        </w:rPr>
        <w:t>1</w:t>
      </w:r>
      <w:r w:rsidRPr="000C6944">
        <w:rPr>
          <w:b/>
        </w:rPr>
        <w:t>0 points</w:t>
      </w:r>
      <w:r w:rsidRPr="000C6944">
        <w:t xml:space="preserve"> on this criteria).</w:t>
      </w:r>
    </w:p>
    <w:p w14:paraId="747C900A" w14:textId="77777777" w:rsidR="00FF38C0" w:rsidRPr="007B2BA1" w:rsidRDefault="00FF38C0" w:rsidP="00FF38C0">
      <w:pPr>
        <w:suppressAutoHyphens/>
        <w:ind w:left="142"/>
        <w:rPr>
          <w:i/>
          <w:iCs/>
          <w:sz w:val="24"/>
          <w:szCs w:val="24"/>
        </w:rPr>
      </w:pPr>
      <w:r w:rsidRPr="007B2BA1">
        <w:rPr>
          <w:i/>
          <w:iCs/>
          <w:sz w:val="24"/>
          <w:szCs w:val="24"/>
        </w:rPr>
        <w:t>*CVs or biodata for Key Expert’s- (staff) are not required and will not be evaluated at th</w:t>
      </w:r>
      <w:r>
        <w:rPr>
          <w:i/>
          <w:iCs/>
          <w:sz w:val="24"/>
          <w:szCs w:val="24"/>
        </w:rPr>
        <w:t>is</w:t>
      </w:r>
      <w:r w:rsidRPr="007B2BA1">
        <w:rPr>
          <w:i/>
          <w:iCs/>
          <w:sz w:val="24"/>
          <w:szCs w:val="24"/>
        </w:rPr>
        <w:t xml:space="preserve"> stage.</w:t>
      </w:r>
    </w:p>
    <w:p w14:paraId="209A88DC" w14:textId="25666B05" w:rsidR="00FF38C0" w:rsidRDefault="00FF38C0" w:rsidP="00FF38C0">
      <w:pPr>
        <w:pStyle w:val="BodyText"/>
        <w:spacing w:before="251"/>
        <w:ind w:right="163"/>
        <w:jc w:val="both"/>
      </w:pPr>
      <w:r>
        <w:t>Experience in design of transaction/fee models for digital platforms or ICT services (e.g., PCS, NSW, port/logistics platforms, e-government, or comparable) will be an advantage. Demonstrated experience working with public sector clients and multi-stakeholder environments (ministries, port authorities, customs, terminal operators) will be an advantage. Experience in Western Balkans and/or EU countries will be an advantage.</w:t>
      </w:r>
      <w:r w:rsidRPr="00FF38C0">
        <w:t xml:space="preserve"> Familiarity with World Bank or other international financial institution (IFI) procedures and standards is highly desirable.</w:t>
      </w:r>
      <w:r>
        <w:t xml:space="preserve"> </w:t>
      </w:r>
    </w:p>
    <w:p w14:paraId="122BDFE3" w14:textId="77777777" w:rsidR="0032068F" w:rsidRDefault="0032068F" w:rsidP="0032068F">
      <w:pPr>
        <w:pStyle w:val="BodyText"/>
        <w:spacing w:line="242" w:lineRule="auto"/>
        <w:ind w:left="0" w:right="121"/>
        <w:rPr>
          <w:bCs/>
        </w:rPr>
      </w:pPr>
      <w:r>
        <w:rPr>
          <w:bCs/>
        </w:rPr>
        <w:t xml:space="preserve">   </w:t>
      </w:r>
    </w:p>
    <w:p w14:paraId="71A14D2A" w14:textId="796426A7" w:rsidR="0032068F" w:rsidRPr="0080200B" w:rsidRDefault="0032068F" w:rsidP="0032068F">
      <w:pPr>
        <w:pStyle w:val="BodyText"/>
        <w:spacing w:line="242" w:lineRule="auto"/>
        <w:ind w:left="0" w:right="121"/>
        <w:rPr>
          <w:bCs/>
        </w:rPr>
      </w:pPr>
      <w:r w:rsidRPr="0080200B">
        <w:rPr>
          <w:bCs/>
        </w:rPr>
        <w:t xml:space="preserve">The </w:t>
      </w:r>
      <w:r>
        <w:rPr>
          <w:bCs/>
        </w:rPr>
        <w:t xml:space="preserve">selected </w:t>
      </w:r>
      <w:r w:rsidRPr="0080200B">
        <w:rPr>
          <w:bCs/>
        </w:rPr>
        <w:t>Consultant should plan the team that will consist of the least the following personnel:</w:t>
      </w:r>
    </w:p>
    <w:p w14:paraId="0BFE146E" w14:textId="77777777" w:rsidR="0032068F" w:rsidRPr="0080200B" w:rsidRDefault="0032068F" w:rsidP="0032068F">
      <w:pPr>
        <w:pStyle w:val="BodyText"/>
        <w:spacing w:line="242" w:lineRule="auto"/>
        <w:ind w:left="426" w:right="121"/>
        <w:rPr>
          <w:b/>
          <w:bCs/>
        </w:rPr>
      </w:pPr>
      <w:r w:rsidRPr="0080200B">
        <w:rPr>
          <w:b/>
          <w:bCs/>
        </w:rPr>
        <w:t>Key expert 1: Team Leader/</w:t>
      </w:r>
      <w:r w:rsidRPr="0080200B">
        <w:rPr>
          <w:bCs/>
        </w:rPr>
        <w:t xml:space="preserve"> </w:t>
      </w:r>
      <w:r w:rsidRPr="0080200B">
        <w:rPr>
          <w:b/>
          <w:bCs/>
        </w:rPr>
        <w:t>Financial Specialist</w:t>
      </w:r>
    </w:p>
    <w:p w14:paraId="2D628A4B" w14:textId="77777777" w:rsidR="0032068F" w:rsidRPr="0080200B" w:rsidRDefault="0032068F" w:rsidP="0032068F">
      <w:pPr>
        <w:pStyle w:val="BodyText"/>
        <w:spacing w:line="242" w:lineRule="auto"/>
        <w:ind w:left="426" w:right="121"/>
        <w:rPr>
          <w:b/>
          <w:bCs/>
        </w:rPr>
      </w:pPr>
      <w:r w:rsidRPr="0080200B">
        <w:rPr>
          <w:b/>
          <w:bCs/>
        </w:rPr>
        <w:t>Key expert 2: ICT Systems Specialist</w:t>
      </w:r>
    </w:p>
    <w:p w14:paraId="386019EA" w14:textId="77777777" w:rsidR="0032068F" w:rsidRPr="0080200B" w:rsidRDefault="0032068F" w:rsidP="0032068F">
      <w:pPr>
        <w:pStyle w:val="BodyText"/>
        <w:spacing w:line="242" w:lineRule="auto"/>
        <w:ind w:right="121"/>
        <w:rPr>
          <w:bCs/>
        </w:rPr>
      </w:pPr>
    </w:p>
    <w:p w14:paraId="59CF0876" w14:textId="177EE000" w:rsidR="0032068F" w:rsidRPr="0080200B" w:rsidRDefault="0032068F" w:rsidP="0032068F">
      <w:pPr>
        <w:pStyle w:val="BodyText"/>
        <w:spacing w:line="242" w:lineRule="auto"/>
        <w:ind w:left="0" w:right="121"/>
        <w:rPr>
          <w:bCs/>
        </w:rPr>
      </w:pPr>
      <w:r w:rsidRPr="0080200B">
        <w:rPr>
          <w:bCs/>
        </w:rPr>
        <w:t xml:space="preserve">Non-Key Experts: The consultant is free to propose an appropriate Non-Key Experts position for the additional expertise necessary to perform the above tasks (e.g. financial analyst, data collection analyst, institutional expert, administrative assistant). </w:t>
      </w:r>
      <w:r w:rsidRPr="00FF38C0">
        <w:rPr>
          <w:b/>
        </w:rPr>
        <w:t>The CVs of Non-Key Expert will not be the subject of evaluation.</w:t>
      </w:r>
      <w:r w:rsidRPr="0080200B">
        <w:rPr>
          <w:bCs/>
        </w:rPr>
        <w:t xml:space="preserve"> </w:t>
      </w:r>
    </w:p>
    <w:p w14:paraId="53E1705F" w14:textId="41FC6D2C" w:rsidR="00770CE2" w:rsidRPr="00770CE2" w:rsidRDefault="00770CE2" w:rsidP="0032068F">
      <w:pPr>
        <w:pStyle w:val="BodyText"/>
        <w:spacing w:before="251"/>
        <w:ind w:left="0" w:right="163"/>
        <w:jc w:val="both"/>
      </w:pPr>
      <w:r w:rsidRPr="00770CE2">
        <w:t xml:space="preserve">A Consultant firm will be selected in accordance with the </w:t>
      </w:r>
      <w:r>
        <w:rPr>
          <w:b/>
          <w:bCs/>
        </w:rPr>
        <w:t>CQS</w:t>
      </w:r>
      <w:r w:rsidRPr="00770CE2">
        <w:rPr>
          <w:b/>
          <w:bCs/>
        </w:rPr>
        <w:t xml:space="preserve"> </w:t>
      </w:r>
      <w:r w:rsidRPr="00770CE2">
        <w:t xml:space="preserve">method set out in the World Bank’s </w:t>
      </w:r>
      <w:r w:rsidRPr="00770CE2">
        <w:rPr>
          <w:b/>
          <w:bCs/>
          <w:i/>
          <w:iCs/>
        </w:rPr>
        <w:t xml:space="preserve">“Procurement Regulations for IPF Borrowers” </w:t>
      </w:r>
      <w:r w:rsidRPr="00770CE2">
        <w:t>Issued in September 2023 (Fifth edition) . The attention of interested Consultants is drawn to Section III, paragrap</w:t>
      </w:r>
      <w:r w:rsidRPr="00FF38C0">
        <w:t xml:space="preserve">hs; </w:t>
      </w:r>
      <w:r w:rsidRPr="00FF38C0">
        <w:rPr>
          <w:i/>
          <w:iCs/>
        </w:rPr>
        <w:t>3.13</w:t>
      </w:r>
      <w:r w:rsidR="00FF38C0" w:rsidRPr="00FF38C0">
        <w:rPr>
          <w:i/>
          <w:iCs/>
        </w:rPr>
        <w:t xml:space="preserve"> - </w:t>
      </w:r>
      <w:r w:rsidRPr="00FF38C0">
        <w:rPr>
          <w:i/>
          <w:iCs/>
        </w:rPr>
        <w:t>3.17</w:t>
      </w:r>
      <w:r w:rsidRPr="00FF38C0">
        <w:t xml:space="preserve"> setting</w:t>
      </w:r>
      <w:r w:rsidRPr="00770CE2">
        <w:t xml:space="preserve"> forth the World Bank’s policy on Conflict of interest. </w:t>
      </w:r>
    </w:p>
    <w:p w14:paraId="6C08D7B5" w14:textId="3D456D28" w:rsidR="002C6BB2" w:rsidRDefault="00770CE2" w:rsidP="0032068F">
      <w:pPr>
        <w:pStyle w:val="BodyText"/>
        <w:spacing w:before="251"/>
        <w:ind w:left="0" w:right="163"/>
        <w:jc w:val="both"/>
        <w:rPr>
          <w:b/>
          <w:i/>
        </w:rPr>
      </w:pPr>
      <w:r w:rsidRPr="00770CE2">
        <w:t xml:space="preserve">Expressions of interest must be delivered only by e-mail to the address below and in subject must clearly indicate project name, subject number: </w:t>
      </w:r>
      <w:r w:rsidR="007132D8" w:rsidRPr="007132D8">
        <w:rPr>
          <w:b/>
          <w:i/>
        </w:rPr>
        <w:t>Business Financial Plan for the National Port Community System Operator (PCSO</w:t>
      </w:r>
      <w:r w:rsidR="007132D8">
        <w:rPr>
          <w:b/>
          <w:i/>
        </w:rPr>
        <w:t>)</w:t>
      </w:r>
      <w:r w:rsidR="002C6BB2">
        <w:rPr>
          <w:b/>
        </w:rPr>
        <w:t xml:space="preserve">/ </w:t>
      </w:r>
      <w:r w:rsidR="00943C8D" w:rsidRPr="005A72F6">
        <w:rPr>
          <w:b/>
          <w:i/>
        </w:rPr>
        <w:t>MNE-WBTTFP-94710-IC-CS-25-2.</w:t>
      </w:r>
      <w:r w:rsidR="007132D8">
        <w:rPr>
          <w:b/>
          <w:i/>
        </w:rPr>
        <w:t>1.5</w:t>
      </w:r>
    </w:p>
    <w:p w14:paraId="2A481F3C" w14:textId="77777777" w:rsidR="002C6BB2" w:rsidRDefault="002C6BB2" w:rsidP="002C6BB2">
      <w:pPr>
        <w:pStyle w:val="BodyText"/>
        <w:ind w:left="0"/>
        <w:rPr>
          <w:b/>
          <w:i/>
        </w:rPr>
      </w:pPr>
    </w:p>
    <w:p w14:paraId="2BE30A9A" w14:textId="66B4BC25" w:rsidR="002C6BB2" w:rsidRDefault="002C6BB2" w:rsidP="002C6BB2">
      <w:pPr>
        <w:ind w:left="164"/>
        <w:rPr>
          <w:b/>
        </w:rPr>
      </w:pP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deadline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submission</w:t>
      </w:r>
      <w:r>
        <w:rPr>
          <w:i/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 w:rsidR="00314D54">
        <w:rPr>
          <w:b/>
        </w:rPr>
        <w:t>May</w:t>
      </w:r>
      <w:r w:rsidR="007132D8">
        <w:rPr>
          <w:b/>
        </w:rPr>
        <w:t xml:space="preserve"> </w:t>
      </w:r>
      <w:r w:rsidR="00314D54">
        <w:rPr>
          <w:b/>
        </w:rPr>
        <w:t>29</w:t>
      </w:r>
      <w:bookmarkStart w:id="1" w:name="_GoBack"/>
      <w:bookmarkEnd w:id="1"/>
      <w:r w:rsidRPr="005A72F6">
        <w:rPr>
          <w:b/>
          <w:spacing w:val="-6"/>
        </w:rPr>
        <w:t xml:space="preserve"> </w:t>
      </w:r>
      <w:r w:rsidRPr="005A72F6">
        <w:rPr>
          <w:b/>
        </w:rPr>
        <w:t>--</w:t>
      </w:r>
      <w:r w:rsidRPr="005A72F6">
        <w:rPr>
          <w:b/>
          <w:spacing w:val="-2"/>
        </w:rPr>
        <w:t>1</w:t>
      </w:r>
      <w:r w:rsidR="007132D8">
        <w:rPr>
          <w:b/>
          <w:spacing w:val="-2"/>
        </w:rPr>
        <w:t>2</w:t>
      </w:r>
      <w:r w:rsidRPr="005A72F6">
        <w:rPr>
          <w:b/>
          <w:spacing w:val="-2"/>
        </w:rPr>
        <w:t>:00h.</w:t>
      </w:r>
    </w:p>
    <w:p w14:paraId="401A8C90" w14:textId="77777777" w:rsidR="002C6BB2" w:rsidRDefault="002C6BB2" w:rsidP="002C6BB2">
      <w:pPr>
        <w:pStyle w:val="BodyText"/>
        <w:spacing w:before="248"/>
      </w:pP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Finance</w:t>
      </w:r>
      <w:r>
        <w:rPr>
          <w:spacing w:val="-8"/>
        </w:rPr>
        <w:t xml:space="preserve"> </w:t>
      </w:r>
      <w:r>
        <w:t>/Technical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4"/>
        </w:rPr>
        <w:t>Unit</w:t>
      </w:r>
    </w:p>
    <w:p w14:paraId="558F4940" w14:textId="77777777" w:rsidR="002C6BB2" w:rsidRDefault="002C6BB2" w:rsidP="002C6BB2">
      <w:pPr>
        <w:pStyle w:val="BodyText"/>
        <w:spacing w:before="3" w:line="242" w:lineRule="auto"/>
        <w:ind w:right="4668"/>
      </w:pPr>
      <w:r>
        <w:t>Attention:</w:t>
      </w:r>
      <w:r>
        <w:rPr>
          <w:spacing w:val="-8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Zoran</w:t>
      </w:r>
      <w:r>
        <w:rPr>
          <w:spacing w:val="-9"/>
        </w:rPr>
        <w:t xml:space="preserve"> </w:t>
      </w:r>
      <w:r>
        <w:t>Mijović,</w:t>
      </w:r>
      <w:r>
        <w:rPr>
          <w:spacing w:val="-6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t>Procurement</w:t>
      </w:r>
      <w:r>
        <w:rPr>
          <w:spacing w:val="-2"/>
        </w:rPr>
        <w:t xml:space="preserve"> </w:t>
      </w:r>
      <w:r>
        <w:t>Officer Street Address: Studentska 2 A Floor</w:t>
      </w:r>
    </w:p>
    <w:p w14:paraId="74FA0D64" w14:textId="77777777" w:rsidR="002C6BB2" w:rsidRDefault="002C6BB2" w:rsidP="002C6BB2">
      <w:pPr>
        <w:pStyle w:val="BodyText"/>
        <w:spacing w:before="1"/>
        <w:ind w:right="7521"/>
      </w:pPr>
      <w:r>
        <w:t>City: 81000 Podgorica Country: Montenegro Telephone:</w:t>
      </w:r>
      <w:r>
        <w:rPr>
          <w:spacing w:val="-10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382</w:t>
      </w:r>
      <w:r>
        <w:rPr>
          <w:spacing w:val="-11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201</w:t>
      </w:r>
      <w:r>
        <w:rPr>
          <w:spacing w:val="-8"/>
        </w:rPr>
        <w:t xml:space="preserve"> </w:t>
      </w:r>
      <w:r>
        <w:t>695</w:t>
      </w:r>
    </w:p>
    <w:p w14:paraId="5DFDD4F2" w14:textId="33198D45" w:rsidR="00393B46" w:rsidRDefault="002C6BB2" w:rsidP="005A72F6">
      <w:pPr>
        <w:pStyle w:val="BodyText"/>
        <w:spacing w:before="1"/>
      </w:pPr>
      <w:r>
        <w:t>E-mail:</w:t>
      </w:r>
      <w:r>
        <w:rPr>
          <w:spacing w:val="-5"/>
        </w:rPr>
        <w:t xml:space="preserve"> </w:t>
      </w:r>
      <w:hyperlink r:id="rId7" w:history="1">
        <w:r w:rsidR="00D543C2" w:rsidRPr="00C76C3B">
          <w:rPr>
            <w:rStyle w:val="Hyperlink"/>
            <w:spacing w:val="-2"/>
            <w:u w:color="0000FF"/>
          </w:rPr>
          <w:t>zoran.mijovic@mif.gov.me</w:t>
        </w:r>
      </w:hyperlink>
      <w:r w:rsidR="00D543C2">
        <w:rPr>
          <w:color w:val="0000FF"/>
          <w:spacing w:val="-2"/>
          <w:u w:val="single" w:color="0000FF"/>
        </w:rPr>
        <w:t xml:space="preserve"> </w:t>
      </w:r>
    </w:p>
    <w:sectPr w:rsidR="00393B46">
      <w:pgSz w:w="12240" w:h="15840"/>
      <w:pgMar w:top="6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BDE"/>
    <w:multiLevelType w:val="hybridMultilevel"/>
    <w:tmpl w:val="7B609EEC"/>
    <w:lvl w:ilvl="0" w:tplc="644E900A">
      <w:numFmt w:val="bullet"/>
      <w:lvlText w:val=""/>
      <w:lvlJc w:val="left"/>
      <w:pPr>
        <w:ind w:left="7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766106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C02E259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DF2E984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91D03F8A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15106F92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ABF43E40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6D389B64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BB46E15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61336B"/>
    <w:multiLevelType w:val="hybridMultilevel"/>
    <w:tmpl w:val="8FECBD74"/>
    <w:lvl w:ilvl="0" w:tplc="FE34CE54">
      <w:start w:val="1"/>
      <w:numFmt w:val="lowerRoman"/>
      <w:lvlText w:val="(%1) "/>
      <w:lvlJc w:val="left"/>
      <w:pPr>
        <w:ind w:left="720" w:hanging="360"/>
      </w:pPr>
      <w:rPr>
        <w:rFonts w:ascii="Palatino" w:hAnsi="Palatino" w:cs="Times New Roman"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A74A8"/>
    <w:multiLevelType w:val="hybridMultilevel"/>
    <w:tmpl w:val="220C93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3B35D6"/>
    <w:multiLevelType w:val="hybridMultilevel"/>
    <w:tmpl w:val="1FB49A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2763D"/>
    <w:multiLevelType w:val="hybridMultilevel"/>
    <w:tmpl w:val="BD944B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B06EE0"/>
    <w:multiLevelType w:val="hybridMultilevel"/>
    <w:tmpl w:val="8A2C2ED8"/>
    <w:lvl w:ilvl="0" w:tplc="76504782">
      <w:start w:val="1"/>
      <w:numFmt w:val="lowerRoman"/>
      <w:lvlText w:val="(%1)"/>
      <w:lvlJc w:val="left"/>
      <w:pPr>
        <w:ind w:left="77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5E4278C">
      <w:numFmt w:val="bullet"/>
      <w:lvlText w:val="•"/>
      <w:lvlJc w:val="left"/>
      <w:pPr>
        <w:ind w:left="1746" w:hanging="336"/>
      </w:pPr>
      <w:rPr>
        <w:rFonts w:hint="default"/>
        <w:lang w:val="en-US" w:eastAsia="en-US" w:bidi="ar-SA"/>
      </w:rPr>
    </w:lvl>
    <w:lvl w:ilvl="2" w:tplc="A05A49FA">
      <w:numFmt w:val="bullet"/>
      <w:lvlText w:val="•"/>
      <w:lvlJc w:val="left"/>
      <w:pPr>
        <w:ind w:left="2712" w:hanging="336"/>
      </w:pPr>
      <w:rPr>
        <w:rFonts w:hint="default"/>
        <w:lang w:val="en-US" w:eastAsia="en-US" w:bidi="ar-SA"/>
      </w:rPr>
    </w:lvl>
    <w:lvl w:ilvl="3" w:tplc="5D8EA290">
      <w:numFmt w:val="bullet"/>
      <w:lvlText w:val="•"/>
      <w:lvlJc w:val="left"/>
      <w:pPr>
        <w:ind w:left="3678" w:hanging="336"/>
      </w:pPr>
      <w:rPr>
        <w:rFonts w:hint="default"/>
        <w:lang w:val="en-US" w:eastAsia="en-US" w:bidi="ar-SA"/>
      </w:rPr>
    </w:lvl>
    <w:lvl w:ilvl="4" w:tplc="2018953A">
      <w:numFmt w:val="bullet"/>
      <w:lvlText w:val="•"/>
      <w:lvlJc w:val="left"/>
      <w:pPr>
        <w:ind w:left="4644" w:hanging="336"/>
      </w:pPr>
      <w:rPr>
        <w:rFonts w:hint="default"/>
        <w:lang w:val="en-US" w:eastAsia="en-US" w:bidi="ar-SA"/>
      </w:rPr>
    </w:lvl>
    <w:lvl w:ilvl="5" w:tplc="5630F178">
      <w:numFmt w:val="bullet"/>
      <w:lvlText w:val="•"/>
      <w:lvlJc w:val="left"/>
      <w:pPr>
        <w:ind w:left="5610" w:hanging="336"/>
      </w:pPr>
      <w:rPr>
        <w:rFonts w:hint="default"/>
        <w:lang w:val="en-US" w:eastAsia="en-US" w:bidi="ar-SA"/>
      </w:rPr>
    </w:lvl>
    <w:lvl w:ilvl="6" w:tplc="2774D142">
      <w:numFmt w:val="bullet"/>
      <w:lvlText w:val="•"/>
      <w:lvlJc w:val="left"/>
      <w:pPr>
        <w:ind w:left="6576" w:hanging="336"/>
      </w:pPr>
      <w:rPr>
        <w:rFonts w:hint="default"/>
        <w:lang w:val="en-US" w:eastAsia="en-US" w:bidi="ar-SA"/>
      </w:rPr>
    </w:lvl>
    <w:lvl w:ilvl="7" w:tplc="74847F4A">
      <w:numFmt w:val="bullet"/>
      <w:lvlText w:val="•"/>
      <w:lvlJc w:val="left"/>
      <w:pPr>
        <w:ind w:left="7542" w:hanging="336"/>
      </w:pPr>
      <w:rPr>
        <w:rFonts w:hint="default"/>
        <w:lang w:val="en-US" w:eastAsia="en-US" w:bidi="ar-SA"/>
      </w:rPr>
    </w:lvl>
    <w:lvl w:ilvl="8" w:tplc="B4E08E0C">
      <w:numFmt w:val="bullet"/>
      <w:lvlText w:val="•"/>
      <w:lvlJc w:val="left"/>
      <w:pPr>
        <w:ind w:left="8508" w:hanging="336"/>
      </w:pPr>
      <w:rPr>
        <w:rFonts w:hint="default"/>
        <w:lang w:val="en-US" w:eastAsia="en-US" w:bidi="ar-SA"/>
      </w:rPr>
    </w:lvl>
  </w:abstractNum>
  <w:abstractNum w:abstractNumId="6" w15:restartNumberingAfterBreak="0">
    <w:nsid w:val="496437D9"/>
    <w:multiLevelType w:val="hybridMultilevel"/>
    <w:tmpl w:val="A27E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84D25"/>
    <w:multiLevelType w:val="hybridMultilevel"/>
    <w:tmpl w:val="C916CD20"/>
    <w:lvl w:ilvl="0" w:tplc="D35CF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C6F34"/>
    <w:multiLevelType w:val="hybridMultilevel"/>
    <w:tmpl w:val="E9FC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F551F"/>
    <w:multiLevelType w:val="hybridMultilevel"/>
    <w:tmpl w:val="88128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DB"/>
    <w:rsid w:val="00075A5F"/>
    <w:rsid w:val="000B66D3"/>
    <w:rsid w:val="001E0118"/>
    <w:rsid w:val="002C6BB2"/>
    <w:rsid w:val="00314D54"/>
    <w:rsid w:val="0032068F"/>
    <w:rsid w:val="00393B46"/>
    <w:rsid w:val="00425772"/>
    <w:rsid w:val="00467435"/>
    <w:rsid w:val="00590F79"/>
    <w:rsid w:val="005A72F6"/>
    <w:rsid w:val="007132D8"/>
    <w:rsid w:val="00770CE2"/>
    <w:rsid w:val="00780144"/>
    <w:rsid w:val="00784B62"/>
    <w:rsid w:val="007B0E74"/>
    <w:rsid w:val="0080200B"/>
    <w:rsid w:val="008026E3"/>
    <w:rsid w:val="00843E9A"/>
    <w:rsid w:val="00887B7E"/>
    <w:rsid w:val="0093144D"/>
    <w:rsid w:val="00943C8D"/>
    <w:rsid w:val="00944E55"/>
    <w:rsid w:val="009520DB"/>
    <w:rsid w:val="009B189A"/>
    <w:rsid w:val="009E50E0"/>
    <w:rsid w:val="00A43258"/>
    <w:rsid w:val="00A47CC1"/>
    <w:rsid w:val="00AB5453"/>
    <w:rsid w:val="00B753F2"/>
    <w:rsid w:val="00C03BD3"/>
    <w:rsid w:val="00CF4CA0"/>
    <w:rsid w:val="00D543C2"/>
    <w:rsid w:val="00DA0C46"/>
    <w:rsid w:val="00DD61B1"/>
    <w:rsid w:val="00DF77B7"/>
    <w:rsid w:val="00F127F5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DF27"/>
  <w15:docId w15:val="{5C3A4C3B-6BDB-49F7-BDDB-544D9BC3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4"/>
    </w:pPr>
  </w:style>
  <w:style w:type="paragraph" w:styleId="Title">
    <w:name w:val="Title"/>
    <w:basedOn w:val="Normal"/>
    <w:uiPriority w:val="1"/>
    <w:qFormat/>
    <w:pPr>
      <w:ind w:left="1176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line="252" w:lineRule="exact"/>
      <w:ind w:left="771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B5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4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4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4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5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3C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2068F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20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ran.mijovic@mif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me/ms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TSU Procurement Specialist</dc:creator>
  <cp:keywords/>
  <dc:description/>
  <cp:lastModifiedBy>Kenan Durakovic</cp:lastModifiedBy>
  <cp:revision>3</cp:revision>
  <cp:lastPrinted>2025-12-11T08:01:00Z</cp:lastPrinted>
  <dcterms:created xsi:type="dcterms:W3CDTF">2026-05-15T12:45:00Z</dcterms:created>
  <dcterms:modified xsi:type="dcterms:W3CDTF">2026-05-15T15:44:00Z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