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56B" w:rsidRPr="0015756B" w:rsidRDefault="00F57EC2" w:rsidP="0015756B">
      <w:pPr>
        <w:jc w:val="both"/>
        <w:rPr>
          <w:b/>
          <w:bCs/>
          <w:lang w:val="sr-Latn-ME"/>
        </w:rPr>
      </w:pPr>
      <w:r>
        <w:rPr>
          <w:b/>
          <w:bCs/>
          <w:lang w:val="sr-Latn-ME"/>
        </w:rPr>
        <w:t xml:space="preserve">Aneks III: </w:t>
      </w:r>
      <w:bookmarkStart w:id="0" w:name="_GoBack"/>
      <w:bookmarkEnd w:id="0"/>
      <w:r w:rsidR="0015756B" w:rsidRPr="0015756B">
        <w:rPr>
          <w:b/>
          <w:bCs/>
          <w:lang w:val="sr-Latn-ME"/>
        </w:rPr>
        <w:t>PESTLE analiza</w:t>
      </w:r>
    </w:p>
    <w:p w:rsidR="0015756B" w:rsidRPr="0015756B" w:rsidRDefault="0015756B" w:rsidP="0015756B">
      <w:pPr>
        <w:jc w:val="both"/>
        <w:rPr>
          <w:lang w:val="sr-Latn-ME"/>
        </w:rPr>
      </w:pPr>
      <w:r w:rsidRPr="0015756B">
        <w:rPr>
          <w:i/>
          <w:iCs/>
          <w:lang w:val="sr-Latn-ME"/>
        </w:rPr>
        <w:t>Napomena:</w:t>
      </w:r>
      <w:r w:rsidRPr="0015756B">
        <w:rPr>
          <w:lang w:val="sr-Latn-ME"/>
        </w:rPr>
        <w:t xml:space="preserve"> Dio PESTLE analize je već odrađen kroz Izvještaj koji je poslat 30.07.2021. u smislu što je detaljno prezentovan pravni/strateški okvir koji ima direktan ili indirektan uticaj na Strategiju razvoja turizma 2021-2025, a i dio koji se odnosi na Ekonomski – kroz naučne i stručne radove i preporuke autora, kao i kroz poglavlje koje se odnosi na  kvantitativne/statističke analize. </w:t>
      </w:r>
    </w:p>
    <w:p w:rsidR="0015756B" w:rsidRPr="0015756B" w:rsidRDefault="0015756B" w:rsidP="0015756B">
      <w:pPr>
        <w:jc w:val="both"/>
        <w:rPr>
          <w:lang w:val="sr-Latn-ME"/>
        </w:rPr>
      </w:pPr>
      <w:r w:rsidRPr="0015756B">
        <w:rPr>
          <w:lang w:val="sr-Latn-ME"/>
        </w:rPr>
        <w:t>***</w:t>
      </w:r>
    </w:p>
    <w:p w:rsidR="0015756B" w:rsidRPr="0015756B" w:rsidRDefault="0015756B" w:rsidP="0015756B">
      <w:pPr>
        <w:jc w:val="both"/>
        <w:rPr>
          <w:lang w:val="sr-Latn-ME"/>
        </w:rPr>
      </w:pPr>
      <w:r w:rsidRPr="0015756B">
        <w:rPr>
          <w:lang w:val="sr-Latn-ME"/>
        </w:rPr>
        <w:t>PESTL(E) analiza obuhvata analizu političkih, ekonomskih, socio-kultuloroški, tehnološki i pravnih faktora, a u klasičnoj formi i faktora okruženja (pojedinaca, grupa, prirode, životne sredine i sl. ukoliko to zahtijeva određena javna politika).</w:t>
      </w:r>
      <w:r w:rsidRPr="0015756B">
        <w:rPr>
          <w:vertAlign w:val="superscript"/>
          <w:lang w:val="sr-Latn-ME"/>
        </w:rPr>
        <w:footnoteReference w:id="1"/>
      </w:r>
    </w:p>
    <w:p w:rsidR="0015756B" w:rsidRPr="0015756B" w:rsidRDefault="0015756B" w:rsidP="0015756B">
      <w:pPr>
        <w:jc w:val="both"/>
        <w:rPr>
          <w:lang w:val="sr-Latn-ME"/>
        </w:rPr>
      </w:pPr>
      <w:r w:rsidRPr="0015756B">
        <w:rPr>
          <w:lang w:val="sr-Latn-ME"/>
        </w:rPr>
        <w:t>PESTL(E) analiza treba da pokaže pozitivne i negativne promjene koje se odvijaju u državi/ekonomiji/društvu, kao i novi trendovi koji utiču na razvoj turizma u Crnoj Gori. PESTLE i SWOT analiza moraju biti povezane, odnosno da ono što se prepozna kroz PESTLE analizu bude definisano u SWOT analizi kao mogućnosti/prilike ili prijetnje. Neki od faktora koji se ispituju u okviru PESTL(E) analize su sljedeći:</w:t>
      </w:r>
    </w:p>
    <w:p w:rsidR="0015756B" w:rsidRPr="0015756B" w:rsidRDefault="0015756B" w:rsidP="0015756B">
      <w:pPr>
        <w:numPr>
          <w:ilvl w:val="0"/>
          <w:numId w:val="3"/>
        </w:numPr>
        <w:jc w:val="both"/>
        <w:rPr>
          <w:lang w:val="sr-Latn-ME"/>
        </w:rPr>
      </w:pPr>
      <w:r w:rsidRPr="0015756B">
        <w:rPr>
          <w:lang w:val="sr-Latn-ME"/>
        </w:rPr>
        <w:t>politički (</w:t>
      </w:r>
      <w:r w:rsidRPr="0015756B">
        <w:rPr>
          <w:b/>
          <w:bCs/>
          <w:lang w:val="sr-Latn-ME"/>
        </w:rPr>
        <w:t>P</w:t>
      </w:r>
      <w:r w:rsidRPr="0015756B">
        <w:rPr>
          <w:lang w:val="sr-Latn-ME"/>
        </w:rPr>
        <w:t xml:space="preserve"> - political) - politički faktori se odnose na to kako Vlada i vladine organizacije određuju, odnosno utiču na poslovanje i ekonomiju u cjelini, što uključuje političku stabilnost ili nestabilnost, korupciju i slično.</w:t>
      </w:r>
    </w:p>
    <w:p w:rsidR="0015756B" w:rsidRPr="0015756B" w:rsidRDefault="0015756B" w:rsidP="0015756B">
      <w:pPr>
        <w:jc w:val="both"/>
        <w:rPr>
          <w:lang w:val="sr-Latn-ME"/>
        </w:rPr>
      </w:pPr>
      <w:r w:rsidRPr="0015756B">
        <w:rPr>
          <w:lang w:val="sr-Latn-ME"/>
        </w:rPr>
        <w:t xml:space="preserve">Kao članica NATO alijanse, i zemlja kandidat za EU, Crna Gora se doživljava kao bezbjedna destinacija i politički stabilna. Crna Gora je u decembru 2010. godine postala kandidat za članstvo u EU, a pregovore je zvanično počela 29. juna 2012. godine. Otvorena su sva pregovaračka poglavlja, od čega su 3 poglavlja privremeno zatvorena (poglavlja 25, 26 i 30), što predstavlja najveći napredak od svih zemalja u procesu pristupanja. </w:t>
      </w:r>
      <w:r w:rsidRPr="0015756B">
        <w:rPr>
          <w:vertAlign w:val="superscript"/>
          <w:lang w:val="sr-Latn-ME"/>
        </w:rPr>
        <w:footnoteReference w:id="2"/>
      </w:r>
      <w:r w:rsidRPr="0015756B">
        <w:rPr>
          <w:lang w:val="sr-Latn-ME"/>
        </w:rPr>
        <w:t xml:space="preserve"> Što se tiče daljeg napretka, najveći izazov biće svakako zatvaranje otvorenih poglavlja. Sigurno je da će napredak u svim poglavljima zavisiti od napretka u vladavini prava, odnosno poglavljima 23 i 24. U izvještaju za 2020. godinu naglašena je konstruktivna uloga Crne Gore u kontekstu regionalne saradnje i međususjedskih odnosa, kao i nastavak dosadašnje potpune usklađenosit sa spoljnom i bezbjednosnom politikom EU, kao i učešće u zajedničkim misijama.</w:t>
      </w:r>
    </w:p>
    <w:p w:rsidR="0015756B" w:rsidRPr="0015756B" w:rsidRDefault="0015756B" w:rsidP="0015756B">
      <w:pPr>
        <w:jc w:val="both"/>
        <w:rPr>
          <w:lang w:val="sr-Latn-ME"/>
        </w:rPr>
      </w:pPr>
      <w:r w:rsidRPr="0015756B">
        <w:rPr>
          <w:lang w:val="sr-Latn-ME"/>
        </w:rPr>
        <w:t xml:space="preserve">Politička stabilnost je od izuzetne važnosti, prilikom donošenja odluka ljudi za putovanja, i generalno koju/e će destinaciju/e posjetiti. Posebno se od 2020. godine traže dodatni uslovi, kao što su zdravstvena bezbjednost, u smislu kontinuiranog unapređenje zdravstvenog i sigurnog ambijenta u turističkom poslovanju - uvođenje, razvijanje i primjena novih zdravstvenih i sanitarno-higijenskih standarda/uslova/mjera u pružanju turističkih usluga – kontinuirano poštovanje zdravstvenih i </w:t>
      </w:r>
      <w:r w:rsidRPr="0015756B">
        <w:rPr>
          <w:lang w:val="sr-Latn-ME"/>
        </w:rPr>
        <w:lastRenderedPageBreak/>
        <w:t>sanitarno-higijenskih mjera od strane turističke privrede kroz implementaciju mjera nadležnih institucija uz monitoring istih uz mjerenje uticaja COVID-19 na turistička kretanja.</w:t>
      </w:r>
    </w:p>
    <w:p w:rsidR="0015756B" w:rsidRPr="0015756B" w:rsidRDefault="0015756B" w:rsidP="0015756B">
      <w:pPr>
        <w:jc w:val="both"/>
        <w:rPr>
          <w:lang w:val="sr-Latn-ME"/>
        </w:rPr>
      </w:pPr>
      <w:r w:rsidRPr="0015756B">
        <w:rPr>
          <w:lang w:val="sr-Latn-ME"/>
        </w:rPr>
        <w:t>Uloga države, kao i drugih organa, bilo državnih (Ministarstva, NTO, LTO), privatnih (Privredne komore, Asocijacije, Turističke agencije, Udruženja i dr.) ili NVO igra bitnu ulogu u razvoju turizma. Prema standardima  EU, jedan od ključnih preduslova održivog razvoja turizma je upravo stejholderska saradnja. Upravo je stejkholderska saradnja u turističkim destinacijama u Crnoj Gori nedovoljno razvijena, nedostaju finansijski i ljudski resursi; nedostaje planska dokumentacija za razvoj turizma; nedovoljno razvijeni kanali komunikacije, kao i nedostatak formalnih oblika saradnje i nepostojanje lidera odnosno koordinatora aktivnosti. Potrebna je jača koordinacija među njima, kako bi se postigao sinergetski efekat i doprinijelo bržem i boljem razvoju turizma. Nedostaje Strategija marketinga u oblasti turizma, kao i jedinstveni informacioni sistem, na čemu intezivno poslednjih godina radi NTO. Kao i Strategija nacionalnog brenda. Sa druge strane, usvojen je veliki broj strateških dokumenata iz oblasti turizma, što je prikazano i detaljno obrađeno u dijelu Izvještaja koji se odnosi na Strateški okvir za oblast turizma.</w:t>
      </w:r>
    </w:p>
    <w:p w:rsidR="0015756B" w:rsidRPr="0015756B" w:rsidRDefault="0015756B" w:rsidP="0015756B">
      <w:pPr>
        <w:jc w:val="both"/>
        <w:rPr>
          <w:lang w:val="sr-Latn-ME"/>
        </w:rPr>
      </w:pPr>
    </w:p>
    <w:p w:rsidR="0015756B" w:rsidRPr="0015756B" w:rsidRDefault="0015756B" w:rsidP="0015756B">
      <w:pPr>
        <w:numPr>
          <w:ilvl w:val="0"/>
          <w:numId w:val="3"/>
        </w:numPr>
        <w:jc w:val="both"/>
        <w:rPr>
          <w:lang w:val="sr-Latn-ME"/>
        </w:rPr>
      </w:pPr>
      <w:r w:rsidRPr="0015756B">
        <w:rPr>
          <w:lang w:val="sr-Latn-ME"/>
        </w:rPr>
        <w:t>Ekonomski (</w:t>
      </w:r>
      <w:r w:rsidRPr="0015756B">
        <w:rPr>
          <w:b/>
          <w:bCs/>
          <w:lang w:val="sr-Latn-ME"/>
        </w:rPr>
        <w:t>E</w:t>
      </w:r>
      <w:r w:rsidRPr="0015756B">
        <w:rPr>
          <w:lang w:val="sr-Latn-ME"/>
        </w:rPr>
        <w:t xml:space="preserve"> - economic) - ovi faktori se odnose na ekonomski rast, stopu inflacije, devizne kurseve, kamatne stope, dohodak potrošača, stopa nezaposlenosti</w:t>
      </w:r>
    </w:p>
    <w:p w:rsidR="0015756B" w:rsidRPr="0015756B" w:rsidRDefault="0015756B" w:rsidP="0015756B">
      <w:pPr>
        <w:jc w:val="both"/>
        <w:rPr>
          <w:lang w:val="sr-Latn-ME"/>
        </w:rPr>
      </w:pPr>
      <w:r w:rsidRPr="0015756B">
        <w:rPr>
          <w:lang w:val="sr-Latn-ME"/>
        </w:rPr>
        <w:t>Makroekonomska kretanja u Crnoj Gori tokom 2020. godine (sa nastavkom i u 2021. godini), kao i u većini država, su pod izuzetno velikim uticajem pandemije COVID-19, koju je Svjetska zdravstvena organizacija proglasila u martu 2020. godine, a neposredno nakon toga i u Crnoj Gori je proglašena epidemija ove bolesti. Na osnovu procjene MMF-a iz aprila 2021. godine o uticaju ekonomskog šoka izazvanog pandemijom COVID-19 na realna ekonomska kretanja, svjetska ekonomija je zabilježila realni pad od 3,3%, koji je izraženiji u visoko razvijenim (-4,7%) u odnosu na ekonomije u razvoju (-2,2%). Prema istim procjenama, eurozona je zabilježila snažan pad od 6,6%, dok procjene relevantnih institucija ukazuju da je u sličnoj mjeri efektima pandemije pogođen i region Balkana koji bilježi prosječan ekonomski pad od oko 6%. Epidemija COVID-19 je, i u Crnoj Gori, imala snažan negativan uticaj na ekonomska kretanja. Prema preliminarnim podacima MONSTAT-a, crnogorska privreda je tokom 2020. godine, na osnovu kvartalnih procjena, zabilježila negativnu stopu ekonomskog rasta od 15,2%. Ona je rezultat snažnog pada ekonomskih kretanja tokom drugog, trećeg i četvrtog kvartala (20,3%, 26,9% i 7,5% na godišnjem nivou, respektivno), koji nije mogao biti kompenzovan rastom od 2,6%, ostvarenim u prvom kartalu 2020. godine. Prema procjeni Centralne banke Crne Gore, pad BDP-a u 2020. godini će iznositi oko 17% usljed negativnog uticaja pandemije koronavirusa.</w:t>
      </w:r>
    </w:p>
    <w:p w:rsidR="0015756B" w:rsidRPr="0015756B" w:rsidRDefault="0015756B" w:rsidP="0015756B">
      <w:pPr>
        <w:jc w:val="both"/>
        <w:rPr>
          <w:lang w:val="sr-Latn-ME"/>
        </w:rPr>
      </w:pPr>
      <w:r w:rsidRPr="0015756B">
        <w:rPr>
          <w:lang w:val="sr-Latn-ME"/>
        </w:rPr>
        <w:t xml:space="preserve">BDP-u glavni je glavni pokazatelj ekonomskog razvoja jedne države, zajedno sa stopom zaposlenosti, i nezaposlenosti, nivoa investicija i inflacije. Crna Gora spada u red srednje razvijenih ekonomija. Crnogorski BDP za 2019. godinu iznosio je 4,9 milijardi eura. BDP po glavi stanovnika porastao sa 6.908 eura u 2017. godini na procijenjenih 7.743 eura u 2019. godini, i BDP po glavi stanovnika prema </w:t>
      </w:r>
      <w:r w:rsidRPr="0015756B">
        <w:rPr>
          <w:lang w:val="sr-Latn-ME"/>
        </w:rPr>
        <w:lastRenderedPageBreak/>
        <w:t>standardu kupovne moći u Crnoj Gori porastao sa 44 na 47 odsto prosjeka EU, najviši u regionu Zapadnog Balkana.</w:t>
      </w:r>
      <w:r w:rsidRPr="0015756B">
        <w:rPr>
          <w:vertAlign w:val="superscript"/>
          <w:lang w:val="sr-Latn-ME"/>
        </w:rPr>
        <w:footnoteReference w:id="3"/>
      </w:r>
    </w:p>
    <w:p w:rsidR="0015756B" w:rsidRPr="0015756B" w:rsidRDefault="0015756B" w:rsidP="0015756B">
      <w:pPr>
        <w:jc w:val="both"/>
        <w:rPr>
          <w:lang w:val="sr-Latn-ME"/>
        </w:rPr>
      </w:pPr>
      <w:r w:rsidRPr="0015756B">
        <w:rPr>
          <w:lang w:val="sr-Latn-ME"/>
        </w:rPr>
        <w:t>Prema projekcijama Evropske banke za obnovu i razvoj (EBRD) - očekuje se da će crnogorska ekonomija 2021. godine porasti za 8,5%, poboljšavajući septembarsku prognozu rasta od 5,0%. Takođe, očekuje se da će se 2022. godine crnogorski bruto domaći proizvod (BDP) povećati za 6,0%, naveo je EBRD u najnovijem izdanju svog izvještaja o regionalnim ekonomskim izgledima.</w:t>
      </w:r>
      <w:r w:rsidRPr="0015756B">
        <w:rPr>
          <w:vertAlign w:val="superscript"/>
          <w:lang w:val="sr-Latn-ME"/>
        </w:rPr>
        <w:footnoteReference w:id="4"/>
      </w:r>
      <w:r w:rsidRPr="0015756B">
        <w:rPr>
          <w:lang w:val="sr-Latn-ME"/>
        </w:rPr>
        <w:t xml:space="preserve"> Prognoze Svjetske banke su da će rast BDP-a u 2021. godini iznositi 7,1%, a u 2022. godini 4,5%.</w:t>
      </w:r>
      <w:r w:rsidRPr="0015756B">
        <w:rPr>
          <w:vertAlign w:val="superscript"/>
          <w:lang w:val="sr-Latn-ME"/>
        </w:rPr>
        <w:footnoteReference w:id="5"/>
      </w:r>
      <w:r w:rsidRPr="0015756B">
        <w:rPr>
          <w:lang w:val="sr-Latn-ME"/>
        </w:rPr>
        <w:t xml:space="preserve"> </w:t>
      </w:r>
    </w:p>
    <w:p w:rsidR="0015756B" w:rsidRPr="0015756B" w:rsidRDefault="0015756B" w:rsidP="0015756B">
      <w:pPr>
        <w:jc w:val="both"/>
        <w:rPr>
          <w:lang w:val="sr-Latn-ME"/>
        </w:rPr>
      </w:pPr>
      <w:r w:rsidRPr="0015756B">
        <w:rPr>
          <w:lang w:val="sr-Latn-ME"/>
        </w:rPr>
        <w:t>Regionalna saradnja je ključni elemenat vanjske politike i Crna Gora aktivno doprinosi stabilnosti i bez bjednosti na regionalnom nivou kroz učešće u oko 35 regionalnih organizacija i inicijativa. Za sve zemlje Zapadnog Balkana, Evropska unija je prvi trgovinski partner, s preko 69,4% ukupne trgovinske razmjene regiona u 2019. U smislu stranih direktnih investicija, privredna društva iz zemalja EU daleko su najvažniji investitori u regionu, sa oko 65,5% ukupnih stranih direktnih investicija u 2018. U cilju unapređenja regionalne integracije, EU je predložila mobilisanje do devet milijardi eura kroz Instrument za pretpristupnu pomoć III (2021–2027) kako bi se pružila podrška ekonomskom približavanju zemalja Zapadnog Balkana Evropskoj uniji.</w:t>
      </w:r>
      <w:r w:rsidRPr="0015756B">
        <w:rPr>
          <w:vertAlign w:val="superscript"/>
          <w:lang w:val="sr-Latn-ME"/>
        </w:rPr>
        <w:footnoteReference w:id="6"/>
      </w:r>
    </w:p>
    <w:p w:rsidR="0015756B" w:rsidRPr="0015756B" w:rsidRDefault="0015756B" w:rsidP="0015756B">
      <w:pPr>
        <w:jc w:val="both"/>
        <w:rPr>
          <w:lang w:val="sr-Latn-ME"/>
        </w:rPr>
      </w:pPr>
      <w:r w:rsidRPr="0015756B">
        <w:rPr>
          <w:lang w:val="sr-Latn-ME"/>
        </w:rPr>
        <w:t xml:space="preserve"> U sektoru turizma došlo je do značajnog pada dolazaka i noćenja domaćih i stranih turista. Crnu Goru je u 2020. godini, prema preliminarnim podacima MONSTAT-a, posjetilo 444.065 turista, što je za 83,2% manje u odnosu na prethodnu godinu. Ostvareno je 2,6 miliona noćenja ili 82,1% manje nego u prethodnoj godini. Pandemija COVID-19 imala je značajne efekte i na kretanja u eksternom sektoru, pa je u platnom bilansu zabilježen deficit tekućeg računa od 1,1 milijardu eura (26% procijenjenog BDP-a), što predstavlja znatno povećanje u odnosu na 2019. godinu (za 46,4%). Rast deficita tekućeg računa prevashodno je posljedica smanjenja suficita na računu usluga usljed pada prihoda po osnovu usluga putovanja i turizma. </w:t>
      </w:r>
    </w:p>
    <w:p w:rsidR="0015756B" w:rsidRPr="0015756B" w:rsidRDefault="0015756B" w:rsidP="0015756B">
      <w:pPr>
        <w:jc w:val="both"/>
        <w:rPr>
          <w:lang w:val="sr-Latn-ME"/>
        </w:rPr>
      </w:pPr>
      <w:r w:rsidRPr="0015756B">
        <w:rPr>
          <w:lang w:val="sr-Latn-ME"/>
        </w:rPr>
        <w:t>Kada je riječ o tržištu rada, broj zaposlenih u 2020. godini, u prosjeku je iznosio 176.693 i bio je niži za 13,2% u odnosu na prethodnu godinu. Svi sektori zabilježili su pad broja zaposlenih u 2020. godini, pri čemu je najveći pad zabilježen u sektorima: administrativne i pomoćne uslužne djelatnosti (-37,8%) i usluge smještaja i ishrane (-27,4%). Broj registrovanih nezaposlenih lica u 2020. godini, u prosjeku, iznosio je 41.612 odnosno 13,4% više nego 2019. godine. Stopa nezaposlenosti je, prema podacima Zavoda za zapošljavanje, u decembru iznosila 20,48% i veća je za 4,27 p.p. od stope nezaposlenosti iz decembra 2019. godine. Prema podacima MONSTAT-a, prosječna bruto zarada u Crnoj Gori u 2020. godini iznosila je 783eura, dok je prosječna zarada bez poreza i doprinosa iznosila 524 eura, i u odnosu na 2019. godinu porasle su za 1,3% odnosno 1,7%, respektivno.</w:t>
      </w:r>
    </w:p>
    <w:p w:rsidR="0015756B" w:rsidRPr="0015756B" w:rsidRDefault="0015756B" w:rsidP="0015756B">
      <w:pPr>
        <w:jc w:val="both"/>
        <w:rPr>
          <w:lang w:val="sr-Latn-ME"/>
        </w:rPr>
      </w:pPr>
      <w:r w:rsidRPr="0015756B">
        <w:rPr>
          <w:lang w:val="sr-Latn-ME"/>
        </w:rPr>
        <w:lastRenderedPageBreak/>
        <w:t>Što se tiče dodatno sektora turizma prema podacima WTTC, učešće „putovanja i turizma“ u BDP 2019. godine iznosilo je 30,9%, dok je 2020. godine iznosilo 8,8%. Ukupan doprinos „putovanja i turizma“ zapošljavanju  2019. godine iznosio je 65,0% (31,9% od ukupnog broja zaposlenih), dok je doprinos 2020. godine iznosio 51,8% (27,3% od ukupnog broja zaposlenih). Što se tiče potrošnje ino turista, ona je opala za 81,6% u 2020. godini u odnosu na 2019. godinu, dok je potrošnja domaćih turista opala za 42,7%. Broj turista, kao i noćenja znatno je iznad očekivanja u 2021. godini. Ukoliko se povećaju investicije u turizmu, obezbijede zdravstveni uslovi, poboljša infrastrukutra (transportne veze prvenstveno, što je već naglašen) može se očekivati ne samo veći broj turista, već i produženje sezone.</w:t>
      </w:r>
    </w:p>
    <w:p w:rsidR="0015756B" w:rsidRPr="0015756B" w:rsidRDefault="0015756B" w:rsidP="0015756B">
      <w:pPr>
        <w:jc w:val="both"/>
        <w:rPr>
          <w:lang w:val="sr-Latn-ME"/>
        </w:rPr>
      </w:pPr>
      <w:r w:rsidRPr="0015756B">
        <w:rPr>
          <w:lang w:val="sr-Latn-ME"/>
        </w:rPr>
        <w:t>Godišnja stopa inflacije, mjerena indeksom potrošačkih cijena, u septembru 2020. godine iznosila je 0,1%, a prosječna stopa potrošačkih cijena u prvih devet mjeseci u odnosu na isti period prethodne godine (-0,1%). Ekspertska procjena, ukazuje da na rast realnog BDP-a, kao rezulat niske baze iz 2020. godine, što će uticati dezinflaciono. S druge strane, većina prognoza ukazuje na značajniji rast cijena nafte i nešto umjereniji rast cijena hrane i velikog broja sirovina, što će uticati na rast inflacije. Prisutan je i blagi rast nivoa agregatne tražnje u IV kvartalu 2020. godine u odnosu na prethodni kvartal, ali je agregatna tražnja i dalje niža u odnosu na prva dva kvartala 2020. godine i četvrti kvartal 2019. godine.</w:t>
      </w:r>
    </w:p>
    <w:p w:rsidR="0015756B" w:rsidRPr="0015756B" w:rsidRDefault="0015756B" w:rsidP="0015756B">
      <w:pPr>
        <w:jc w:val="both"/>
        <w:rPr>
          <w:lang w:val="sr-Latn-ME"/>
        </w:rPr>
      </w:pPr>
      <w:r w:rsidRPr="0015756B">
        <w:rPr>
          <w:lang w:val="sr-Latn-ME"/>
        </w:rPr>
        <w:t>Višegodišnji trend smanjenja aktivnih i pasivnih kamatnih stopa iz prethodnog perioda nastavljen je i u 2020. godini. Uslovi finansiranja na međunarodnim finansijskim tržištima doprinijeli su smanjenju aktivnih i pasivnih kamatnih stopa kod crnogorskih banaka, koje u posmatranom periodu dostižu istorijski minimalne vrijednosti. Prosječna ponderisana efektivna kamatna stopa na ukupne kredite na kraju 2020. godine iznosila je 5,84% i u odnosu na kraj 2019. godine bila je niža za 0,17 p.p. Istovremeno, prosječna ponderisana pasivna efektivna kamatna stopa iznosila je 0,40% i bilježi pad od 0,01 p.p. na godišnjem nivou.</w:t>
      </w:r>
      <w:r w:rsidRPr="0015756B">
        <w:rPr>
          <w:vertAlign w:val="superscript"/>
          <w:lang w:val="sr-Latn-ME"/>
        </w:rPr>
        <w:footnoteReference w:id="7"/>
      </w:r>
    </w:p>
    <w:p w:rsidR="0015756B" w:rsidRPr="0015756B" w:rsidRDefault="0015756B" w:rsidP="0015756B">
      <w:pPr>
        <w:jc w:val="both"/>
        <w:rPr>
          <w:lang w:val="sr-Latn-ME"/>
        </w:rPr>
      </w:pPr>
      <w:r w:rsidRPr="0015756B">
        <w:rPr>
          <w:lang w:val="sr-Latn-ME"/>
        </w:rPr>
        <w:t>Crnogorska politička ekonomija može se okarakterisati kao dualna ekonomija: veliki državni sektor i dominantan eksterni sektor, turizam, koji donosi prosperitet u obliku stvaranja radnih mjesta i deviznih prihoda. Veliki javni sektor sprečava privatni sektor da u potpunosti postane nosilac rasta, čime se koči sposobnost zemlje da se diverzifikuje i otvara radna mjesta i usporava napredovanje ka tržišnoj ekonomiji. U ekonomskom smislu, Crna Gora je stvorila dualnu ekonomiju s velikim javnim sektorom, u velikoj mjeri oslanjajući se na turizam. Oslanjanje na jednu granu, u ovom slučaju turizam, u velikoj mjeri guši napore kad je u pitanju dalja diverzifikacija ekonomije. Crnogorska ekonomija ima značajne eksterne disbalanse, sa značajnim računskim deficitom, koji je veći u odnosu na druge zemlje Zapadnog Balkana. Ti disbalansi povećavaju ranjivost Crne Gore na spoljnje udare. Turizam obezbjeđuje oko milijardu eura svake godine, odnosno oko 25% BDP-a. Rastući sektor turizma ne samo da podržava veću stopu učešća i nižu nezaposlenost, nego je i privlači strane direktne investicije.</w:t>
      </w:r>
    </w:p>
    <w:p w:rsidR="0015756B" w:rsidRPr="0015756B" w:rsidRDefault="0015756B" w:rsidP="0015756B">
      <w:pPr>
        <w:numPr>
          <w:ilvl w:val="0"/>
          <w:numId w:val="3"/>
        </w:numPr>
        <w:jc w:val="both"/>
        <w:rPr>
          <w:lang w:val="sr-Latn-ME"/>
        </w:rPr>
      </w:pPr>
      <w:r w:rsidRPr="0015756B">
        <w:rPr>
          <w:lang w:val="sr-Latn-ME"/>
        </w:rPr>
        <w:lastRenderedPageBreak/>
        <w:t>Socijalni (</w:t>
      </w:r>
      <w:r w:rsidRPr="0015756B">
        <w:rPr>
          <w:b/>
          <w:bCs/>
          <w:lang w:val="sr-Latn-ME"/>
        </w:rPr>
        <w:t>S</w:t>
      </w:r>
      <w:r w:rsidRPr="0015756B">
        <w:rPr>
          <w:lang w:val="sr-Latn-ME"/>
        </w:rPr>
        <w:t xml:space="preserve"> - social) - to podrazumijeva cjelokupno okruženje, norme, običaje i vrijednosti stanovništva, demografske karakteristike, stopa rasta stanovništva, stavovi o životu, kulturne barijere, stavovi o karijeri</w:t>
      </w:r>
    </w:p>
    <w:p w:rsidR="0015756B" w:rsidRPr="0015756B" w:rsidRDefault="0015756B" w:rsidP="0015756B">
      <w:pPr>
        <w:jc w:val="both"/>
        <w:rPr>
          <w:lang w:val="sr-Latn-ME"/>
        </w:rPr>
      </w:pPr>
      <w:r w:rsidRPr="0015756B">
        <w:rPr>
          <w:lang w:val="sr-Latn-ME"/>
        </w:rPr>
        <w:t>U okviru dokumenta “Analiza stanja u zemlji”</w:t>
      </w:r>
      <w:r w:rsidRPr="0015756B">
        <w:rPr>
          <w:vertAlign w:val="superscript"/>
          <w:lang w:val="sr-Latn-ME"/>
        </w:rPr>
        <w:footnoteReference w:id="8"/>
      </w:r>
      <w:r w:rsidRPr="0015756B">
        <w:rPr>
          <w:lang w:val="sr-Latn-ME"/>
        </w:rPr>
        <w:t>, Ujedinjene nacije u Crnoj Gori, koji je objavljen u februaru 2021. godine navodi se da bi Crna Gora svoje napore trebalo da fokusira u tri ključna smjera:</w:t>
      </w:r>
    </w:p>
    <w:p w:rsidR="0015756B" w:rsidRPr="0015756B" w:rsidRDefault="0015756B" w:rsidP="0015756B">
      <w:pPr>
        <w:numPr>
          <w:ilvl w:val="0"/>
          <w:numId w:val="2"/>
        </w:numPr>
        <w:jc w:val="both"/>
        <w:rPr>
          <w:lang w:val="sr-Latn-ME"/>
        </w:rPr>
      </w:pPr>
      <w:r w:rsidRPr="0015756B">
        <w:rPr>
          <w:lang w:val="sr-Latn-ME"/>
        </w:rPr>
        <w:t xml:space="preserve">Kratkoročno gledano, onima koji su usljed pandemije Covida 19 ostali bez posla, biće potrebna podrška i brzi povratak na posao. Na srednji do duži rok, fokus bi trebalo da bude na prelasku na novi inkluzivni ekonomski model, na smanjenju troškova javnog sektora, korišćenju digitalizacije i zelene ekonomije, te daljem kretanju ka ekonomiji s nultom stopom emisija ugljenika. Biće potrebne reforme, investicije i politike za otvaranje radnih mjesta, širenje proizvodne osnove, unapređenje konkurentnosti i regionalne integracije. </w:t>
      </w:r>
    </w:p>
    <w:p w:rsidR="0015756B" w:rsidRPr="0015756B" w:rsidRDefault="0015756B" w:rsidP="0015756B">
      <w:pPr>
        <w:numPr>
          <w:ilvl w:val="0"/>
          <w:numId w:val="2"/>
        </w:numPr>
        <w:jc w:val="both"/>
        <w:rPr>
          <w:lang w:val="sr-Latn-ME"/>
        </w:rPr>
      </w:pPr>
      <w:r w:rsidRPr="0015756B">
        <w:rPr>
          <w:lang w:val="sr-Latn-ME"/>
        </w:rPr>
        <w:t xml:space="preserve">Biće potrebno da Crna Gora unaprijedi pružanje usluga, održi nivo potrošnje na zdravstvo, obrazovanje i socijalnu zaštitu, a da istovremeno poboljša efikasnost i djelotvornost te potrošnje. Paralelno s tim, potrebno je uložiti napor da se smanji diskriminacija ranjivih grupa i spriječiti ponavljanje kontraproduktivnih stavova i socijalnih normi. Ranjive grupe bi trebalo uključiti u sve odluke koje ih se tiču – kroz osnaživanje i promovisanje njihovih prava, kao i kroz stvaranje inkluzivnog društva koje obezbjeđuje rodnu ravnopravnost u svim sferama. </w:t>
      </w:r>
    </w:p>
    <w:p w:rsidR="0015756B" w:rsidRPr="0015756B" w:rsidRDefault="0015756B" w:rsidP="0015756B">
      <w:pPr>
        <w:numPr>
          <w:ilvl w:val="0"/>
          <w:numId w:val="2"/>
        </w:numPr>
        <w:jc w:val="both"/>
        <w:rPr>
          <w:lang w:val="sr-Latn-ME"/>
        </w:rPr>
      </w:pPr>
      <w:r w:rsidRPr="0015756B">
        <w:rPr>
          <w:lang w:val="sr-Latn-ME"/>
        </w:rPr>
        <w:t>Napore bi trebalo usmjeriti na djelotvorno sprovođenje Vladinih politika, zakona i strategija zasnovanih na podacima. Unapređenje kvaliteta podataka i digitalizacije dodatno bi unaprijedili pozitivne efekte tih napora, a istovremeno bi poboljšali transparentnost. Potrebna je unaprijeđena javna uprava, koja primjenjuje pristup zasnovan na ljudskim pravima i koja se bori protiv korupcije i nepotizma, čime bi se stvorilo inkluzivnije društvo. Uprava bi trebalo da podstiče okruženje koje karakterišu dijalog i inkluzija, i koje štiti socijalnu koheziju.</w:t>
      </w:r>
    </w:p>
    <w:p w:rsidR="0015756B" w:rsidRPr="0015756B" w:rsidRDefault="0015756B" w:rsidP="0015756B">
      <w:pPr>
        <w:jc w:val="both"/>
        <w:rPr>
          <w:lang w:val="sr-Latn-ME"/>
        </w:rPr>
      </w:pPr>
      <w:r w:rsidRPr="0015756B">
        <w:rPr>
          <w:lang w:val="sr-Latn-ME"/>
        </w:rPr>
        <w:t xml:space="preserve">Ukupan broj stanovnika u Crnoj Gori je oko 620.000 i skoro trećina živi u glavnom gradu Podgorici, dok 67,15% živi u urbanim područjima. Sve su veće unutrašnje migracije sa sjevera zemlje prema jugu i Podgorici. Prema Popisu stanovništva iz 2011. godine, u urbanim područjima živi 65,5% žena, odnosno 63,2% muškaraca. </w:t>
      </w:r>
    </w:p>
    <w:p w:rsidR="0015756B" w:rsidRPr="0015756B" w:rsidRDefault="0015756B" w:rsidP="0015756B">
      <w:pPr>
        <w:jc w:val="both"/>
        <w:rPr>
          <w:lang w:val="sr-Latn-ME"/>
        </w:rPr>
      </w:pPr>
      <w:r w:rsidRPr="0015756B">
        <w:rPr>
          <w:lang w:val="sr-Latn-ME"/>
        </w:rPr>
        <w:t xml:space="preserve">Migracioni trendovi su posebno izraženi među mlađim stanovništvom. Gubitak kvalifikovane radne snage i deficit vještina ima potencijal da negativno utiče na konkurentnost i rast i može dovesti do sve većih poteškoća u obezbjeđivanju socijalne zaštite populaciji koja postaje sve starija. Kao što je pokazano u Dokumentu javne politike o demografiji za Crnu Goru, ulaganje u politike kojima se jača ljudski kapital donijeće Crnoj Gori korist u prilagođavanju demografskim promjenama i pomoći joj u pogledu budućih razvojnih prioriteta i nastojanja da se kvalifikovani kadar zadrži u zemlji. Sve veća urbanizacija razlog je </w:t>
      </w:r>
      <w:r w:rsidRPr="0015756B">
        <w:rPr>
          <w:lang w:val="sr-Latn-ME"/>
        </w:rPr>
        <w:lastRenderedPageBreak/>
        <w:t>za zabrinutost, a njen uzrok je odlazak ljudi iz ruralnih oblasti u gradove. Svakako ovo posebno ima dalekosežni efekat na sektore turizma i poljoprivrede.</w:t>
      </w:r>
    </w:p>
    <w:p w:rsidR="0015756B" w:rsidRPr="0015756B" w:rsidRDefault="0015756B" w:rsidP="0015756B">
      <w:pPr>
        <w:jc w:val="both"/>
        <w:rPr>
          <w:lang w:val="sr-Latn-ME"/>
        </w:rPr>
      </w:pPr>
      <w:r w:rsidRPr="0015756B">
        <w:rPr>
          <w:lang w:val="sr-Latn-ME"/>
        </w:rPr>
        <w:t>Indeks razvoja po mjeri čovjeka za 2020. godinu daje Crnoj Gori prvo mjesto među zemljama Zapadnog Balkana (ne uključujući Hrvatsku i Sloveniju). Prema indeksu razvoja po mjeri čovjeka, Crna Gora je za 13 mjesta rangirana bolje nego prema bruto nacionalnom dohodku po glavi stanovnika. To znači da je, za taj nivo bruto nacionalnog dohodku po glavi stanovnika, Crna Gora rangirana bolje nego što se očekuje, u kontekstu indeksa razvoja po mjeri čovjeka. Međutim, kad se uračunaju efekti pandemije Covida 19, vrijednost tog indeksa pada na 0,812, što predstavlja rizik da se Crna Gora vrati na nivo koji je imala 2014. godine.</w:t>
      </w:r>
    </w:p>
    <w:p w:rsidR="0015756B" w:rsidRPr="0015756B" w:rsidRDefault="0015756B" w:rsidP="0015756B">
      <w:pPr>
        <w:jc w:val="both"/>
        <w:rPr>
          <w:lang w:val="sr-Latn-ME"/>
        </w:rPr>
      </w:pPr>
      <w:r w:rsidRPr="0015756B">
        <w:rPr>
          <w:lang w:val="sr-Latn-ME"/>
        </w:rPr>
        <w:t>Kao mnoge zemlje regiona i Evrope, i Crna Gora ima stanovništvo koje je sve starije. Prema Popisu stanovništva iz 2011, oko 24,9% stanovništva mlađe je od 18 godina, 62,3% je dobi od 18 do 64 godine, a 12,8% starije je od 65 godina. Iako je ukupna stopa fertiliteta u Crnoj Gori niska, nije toliko niska kao u drugim zemljama regiona. Poređenje perioda 1990–1995. i 2010–2015. ukazuje na definitivan trend smanjenja ukupne stope fertiliteta sa 2,1 na 1,8.</w:t>
      </w:r>
    </w:p>
    <w:p w:rsidR="0015756B" w:rsidRPr="0015756B" w:rsidRDefault="0015756B" w:rsidP="0015756B">
      <w:pPr>
        <w:jc w:val="both"/>
        <w:rPr>
          <w:lang w:val="sr-Latn-ME"/>
        </w:rPr>
      </w:pPr>
      <w:r w:rsidRPr="0015756B">
        <w:rPr>
          <w:lang w:val="sr-Latn-ME"/>
        </w:rPr>
        <w:t>Žene su obrazovaniji dio stanovništva. U populaciji sa završenim specijalističkim studijama, žene čine 67%, odnosno 61% onih koji imaju završene master studije. Pa ipak, to nije artikulisano kroz ekonomski potencijal države, budući da žene čine 44% zaposlene i aktivne populacije.</w:t>
      </w:r>
      <w:r w:rsidRPr="0015756B">
        <w:t xml:space="preserve"> </w:t>
      </w:r>
    </w:p>
    <w:p w:rsidR="0015756B" w:rsidRPr="0015756B" w:rsidRDefault="0015756B" w:rsidP="0015756B">
      <w:pPr>
        <w:jc w:val="both"/>
        <w:rPr>
          <w:lang w:val="sr-Latn-ME"/>
        </w:rPr>
      </w:pPr>
      <w:r w:rsidRPr="0015756B">
        <w:rPr>
          <w:lang w:val="sr-Latn-ME"/>
        </w:rPr>
        <w:t>Brza procjena socijalnog uticaja pandemije Covida 19 koju je sproveo sistem UN u zemlji, pokazala je da je oko 21% zaposlenih doživjelo smanjenje zarada, od čega 76% radi u privatnom sektoru, uglavnom u sektorima turizma, usluga i transporta. Jednoj trećini zarada je smanjena za 21–40%, dok je skoro 20% bilo bez ikakvih prihoda. Tokom pandemije, 20% ispitanika kazalo je ili da ne dobija zaradu ili da je izgubilo posao, dok je 12% onih koji su kazali da ostvaruju prihod od posla na kojem nemaju socijalno osiguranje.</w:t>
      </w:r>
      <w:r w:rsidRPr="0015756B">
        <w:rPr>
          <w:vertAlign w:val="superscript"/>
          <w:lang w:val="sr-Latn-ME"/>
        </w:rPr>
        <w:footnoteReference w:id="9"/>
      </w:r>
      <w:r w:rsidRPr="0015756B">
        <w:rPr>
          <w:lang w:val="sr-Latn-ME"/>
        </w:rPr>
        <w:t xml:space="preserve"> U cilju povećanja zaposlenih u sektoru turizma, ali i zarada, potrebno je razmotriti kreiranje praktičnih programa obrazovanja u turizmu; o čemu je više rečeno, odnosno navedeno u dijelu Izvještaja koji se odnosi na Ključne nalaze iz naučnih i istraživačkih radova. Takođe, stvaranjem uslova za neformalno obrazovanje kroz priručnike i vodiče za samostalno pokretanje agroturističkog biznisa, stvaraju se potencijali za brži razvoj različitih vidova turizma, uz različite poreske i druge olakšice od strane države.</w:t>
      </w:r>
    </w:p>
    <w:p w:rsidR="0015756B" w:rsidRPr="0015756B" w:rsidRDefault="0015756B" w:rsidP="0015756B">
      <w:pPr>
        <w:jc w:val="both"/>
        <w:rPr>
          <w:lang w:val="sr-Latn-ME"/>
        </w:rPr>
      </w:pPr>
      <w:r w:rsidRPr="0015756B">
        <w:rPr>
          <w:lang w:val="sr-Latn-ME"/>
        </w:rPr>
        <w:t>Naime, gubitak poreskih prihoda zbog neformalne zaposlenosti i neprijavljenog rada procijenjen je na 2,8% BDP-a godišnje. Neformalna ekonomija i dalje predstavlja veliki dio ekonomije, sa 28% do 33% BDP-a.</w:t>
      </w:r>
      <w:r w:rsidRPr="0015756B">
        <w:rPr>
          <w:vertAlign w:val="superscript"/>
          <w:lang w:val="sr-Latn-ME"/>
        </w:rPr>
        <w:footnoteReference w:id="10"/>
      </w:r>
      <w:r w:rsidRPr="0015756B">
        <w:rPr>
          <w:lang w:val="sr-Latn-ME"/>
        </w:rPr>
        <w:t xml:space="preserve"> Karakteristično je i sezonsko zapošljavanje tokom ljetnje turističke sezone u turističkoj industriji koji prate niske plate, zbog čega zaposleni nijesu motivisani da pruže maksimalni nivo ljubaznosti prema gostima što je posebno važno u sektoru turizmu.</w:t>
      </w:r>
    </w:p>
    <w:p w:rsidR="0015756B" w:rsidRPr="0015756B" w:rsidRDefault="0015756B" w:rsidP="0015756B">
      <w:pPr>
        <w:numPr>
          <w:ilvl w:val="0"/>
          <w:numId w:val="3"/>
        </w:numPr>
        <w:jc w:val="both"/>
        <w:rPr>
          <w:lang w:val="sr-Latn-ME"/>
        </w:rPr>
      </w:pPr>
      <w:r w:rsidRPr="0015756B">
        <w:rPr>
          <w:lang w:val="sr-Latn-ME"/>
        </w:rPr>
        <w:lastRenderedPageBreak/>
        <w:t>Tehnološki (</w:t>
      </w:r>
      <w:r w:rsidRPr="0015756B">
        <w:rPr>
          <w:b/>
          <w:bCs/>
          <w:lang w:val="sr-Latn-ME"/>
        </w:rPr>
        <w:t>T</w:t>
      </w:r>
      <w:r w:rsidRPr="0015756B">
        <w:rPr>
          <w:lang w:val="sr-Latn-ME"/>
        </w:rPr>
        <w:t xml:space="preserve"> - technological) - ovi faktori se odnose na inovacije u tehnologiji koje mogu povoljno ili nepovoljno uticati na određenu javnu politiku, kao i upotreba tehnologija za povećanje efikasnosti i efektivnosti javne politike.</w:t>
      </w:r>
    </w:p>
    <w:p w:rsidR="0015756B" w:rsidRPr="0015756B" w:rsidRDefault="0015756B" w:rsidP="0015756B">
      <w:pPr>
        <w:jc w:val="both"/>
        <w:rPr>
          <w:lang w:val="sr-Latn-ME"/>
        </w:rPr>
      </w:pPr>
      <w:r w:rsidRPr="0015756B">
        <w:rPr>
          <w:lang w:val="sr-Latn-ME"/>
        </w:rPr>
        <w:t>U središtu ekonomskog razvoja Crne Gore treba da bude zelena ekonomija. Zeleni rast ne samo da Crnoj Gori nudi način zadovoljenja nekih zahtjeva za pristupanje EU u smislu ekonomije s nultom stopom emisije uglje nika, već i priliku da se fokusira na nove sektore i nova ulaganja. Proizvodnja energije iz obnovljivih izvora, sa zahtjevom EU da se više električne energije proizvodi iz obnovljivih izvora radi zadovoljenja njenih kvota, dobijaće na značaju u narednim godinama. Razvoj zelenih tehnologija, inovacija u oblasti održive poljoprivrede i turizma, podsticanje preduzetništva, ulaganja u kvalitetna radna mjesta, igraće presudnu ulogu u ostvarivanju dobiti od zelene ekonomije.</w:t>
      </w:r>
      <w:r w:rsidRPr="0015756B">
        <w:rPr>
          <w:vertAlign w:val="superscript"/>
          <w:lang w:val="sr-Latn-ME"/>
        </w:rPr>
        <w:footnoteReference w:id="11"/>
      </w:r>
    </w:p>
    <w:p w:rsidR="0015756B" w:rsidRPr="0015756B" w:rsidRDefault="0015756B" w:rsidP="0015756B">
      <w:pPr>
        <w:jc w:val="both"/>
        <w:rPr>
          <w:lang w:val="sr-Latn-ME"/>
        </w:rPr>
      </w:pPr>
      <w:r w:rsidRPr="0015756B">
        <w:rPr>
          <w:lang w:val="sr-Latn-ME"/>
        </w:rPr>
        <w:t>U junu 2019. godine Crna Gora je usvojila Strategiju pametne specijalizacije (S3), za period 2019-2024, sa ciljem izgradnje konkurentske prednosti kroz povezivanje sopstvenih snaga u istraživanju i inovacijama s potrebama privrede, odgovarajući na koherentan način na rastuće mogućnosti i razvoj tržišta, a čime se izbjegava preklapanje i fragmentacija politika.</w:t>
      </w:r>
    </w:p>
    <w:p w:rsidR="0015756B" w:rsidRPr="0015756B" w:rsidRDefault="0015756B" w:rsidP="0015756B">
      <w:pPr>
        <w:jc w:val="both"/>
        <w:rPr>
          <w:lang w:val="sr-Latn-ME"/>
        </w:rPr>
      </w:pPr>
      <w:r w:rsidRPr="0015756B">
        <w:rPr>
          <w:lang w:val="sr-Latn-ME"/>
        </w:rPr>
        <w:t>Strategijom su utvrđena tri strateška cilja, i to: razvoj ljudskih resursa i istraživačkih kapaciteta; unapređenje međunarodne saradnje i umrežavanja; i jačanje sinergije  između nauke i ekonomije. Ovom strategijom identifikovane su istraživačke oblasti u kojima Crna Gora ima najveći istraživački potencijal i od prioritetnog su značaja: energija; informaciono-komunikacione tehnologije; novi materijali, proizvodi i servisi; medicina i zdravlje ljudi; poljoprivreda i proizvodnja hrane; održivi razvoj i turizam; i nauka, obrazovanje i identitet.</w:t>
      </w:r>
    </w:p>
    <w:p w:rsidR="0015756B" w:rsidRPr="0015756B" w:rsidRDefault="0015756B" w:rsidP="0015756B">
      <w:pPr>
        <w:jc w:val="both"/>
        <w:rPr>
          <w:lang w:val="sr-Latn-ME"/>
        </w:rPr>
      </w:pPr>
      <w:r w:rsidRPr="0015756B">
        <w:rPr>
          <w:lang w:val="sr-Latn-ME"/>
        </w:rPr>
        <w:t>Posebno je u okviru nje obrađen dio koji se odnosi na zdravstveni turizam (a takođe isto je detaljno obrađeno i u Programu razvoja zdravstvenog turizma Crne Gore 2021 – 2023 s akcionim planom do 2023. godine). Vizija Crne Gore u 2024. godini je sljedeća: međunarodno prepoznata destinacija održivog i zdravstvenog turizma sa cjelogodišnjom i diversifikovanom turističkom ponudom baziranom na principima održivosti, jednakosti, kompetitivnosti, inovativnosti i autentičnosti.</w:t>
      </w:r>
    </w:p>
    <w:p w:rsidR="0015756B" w:rsidRPr="0015756B" w:rsidRDefault="0015756B" w:rsidP="0015756B">
      <w:pPr>
        <w:jc w:val="both"/>
        <w:rPr>
          <w:lang w:val="sr-Latn-ME"/>
        </w:rPr>
      </w:pPr>
      <w:r w:rsidRPr="0015756B">
        <w:rPr>
          <w:lang w:val="sr-Latn-ME"/>
        </w:rPr>
        <w:t>Crna Gora bi trebalo da prvenstveno modernizuje saobraćajnu infrastrukturu. Strategijom razvoja saobraćaja za period 2018 – 2035, jasno su definisani ciljevi koje treba postići u pogledu poboljšanja i modernizacije saobraćajne infrastrukture, od gradskog prevoza, preko ITS tehnologija u saobraćaju do smanjenje vremena prelaska na granicama.</w:t>
      </w:r>
      <w:r w:rsidRPr="0015756B">
        <w:t xml:space="preserve"> </w:t>
      </w:r>
      <w:r w:rsidRPr="0015756B">
        <w:rPr>
          <w:lang w:val="sr-Latn-ME"/>
        </w:rPr>
        <w:t>Takođe, panoramski putevi, pješačke i biciklističke staze i sl. bi trebalo biti javna investiciona obaveza. Ona bi predstavljala, zajedno sa ostalom infrastrukturom, osnov na koji bi se naslonilo privatno preduzetništvo u sektoru turizma, i uz nju razvijali i drugi vidovi turizma. I kroz UN 2021 plan definisana je sledeća aktivnost „promocija prirodnog i kulturnog nasljeđa Crne Gore kroz realizovanje biciklističke rute EuroVelo8 i Kulturne rute Savjeta Evrope“.</w:t>
      </w:r>
      <w:r w:rsidRPr="0015756B">
        <w:t xml:space="preserve"> Ona </w:t>
      </w:r>
      <w:proofErr w:type="spellStart"/>
      <w:r w:rsidRPr="0015756B">
        <w:t>podrazumijeva</w:t>
      </w:r>
      <w:proofErr w:type="spellEnd"/>
      <w:r w:rsidRPr="0015756B">
        <w:rPr>
          <w:lang w:val="sr-Latn-ME"/>
        </w:rPr>
        <w:t xml:space="preserve"> podršku kreativnom biznisu u oblastima kulturnih ruta i označavanju kulturnih ruta, povezujući ih sa evropskom biciklističkom rutom, i to kroz: Nastavak promocije specifičnih turističkih proizvoda vezanih za razvoj kulturnog turizma na ovim rutama; Promociju kulturne baštine Crne Gore i </w:t>
      </w:r>
      <w:r w:rsidRPr="0015756B">
        <w:rPr>
          <w:lang w:val="sr-Latn-ME"/>
        </w:rPr>
        <w:lastRenderedPageBreak/>
        <w:t>kulturno-umjetničkog stvaralaštva kroz razvoj ciklo-turizma na sjeveru Crne Gore i evropsku mediteransku rutu EuroVelo8 na primorju, radeći istovremeno na pokretanju novih kulturnih ruta Savjeta Evrope.</w:t>
      </w:r>
    </w:p>
    <w:p w:rsidR="0015756B" w:rsidRPr="0015756B" w:rsidRDefault="0015756B" w:rsidP="0015756B">
      <w:pPr>
        <w:jc w:val="both"/>
        <w:rPr>
          <w:lang w:val="sr-Latn-ME"/>
        </w:rPr>
      </w:pPr>
      <w:r w:rsidRPr="0015756B">
        <w:rPr>
          <w:lang w:val="sr-Latn-ME"/>
        </w:rPr>
        <w:t>Značajna ulaganja neophodna su u infrastrukturu, kada je riječ o zimskom turizmu. Naime, zimski sport fokusira prvenstveno na Kolašin i Žabljak. Obje opštine sela imaju mala skijališta. Dok se u Kolašinu poslednjih godina značajno ulaže u žičare i skijaške staze, odmaralište na Žabljaku je u lošim uslovima i daleko je od međunarodnih standarda. Treće malo skijalište je na Vučju kod Nikšića. Skijališta Crne Gore su ograničeno konkurentna na regionalnom nivou. U poređenju sa drugim skijalištima u Evropi, značajno su su nižeg standarda. Za nordijsko skijanje postoji nedovoljno razvijena infrastruktura.</w:t>
      </w:r>
      <w:r w:rsidRPr="0015756B">
        <w:rPr>
          <w:vertAlign w:val="superscript"/>
          <w:lang w:val="sr-Latn-ME"/>
        </w:rPr>
        <w:footnoteReference w:id="12"/>
      </w:r>
      <w:r w:rsidRPr="0015756B">
        <w:rPr>
          <w:lang w:val="sr-Latn-ME"/>
        </w:rPr>
        <w:t xml:space="preserve"> </w:t>
      </w:r>
    </w:p>
    <w:p w:rsidR="0015756B" w:rsidRPr="0015756B" w:rsidRDefault="0015756B" w:rsidP="0015756B">
      <w:pPr>
        <w:numPr>
          <w:ilvl w:val="0"/>
          <w:numId w:val="3"/>
        </w:numPr>
        <w:jc w:val="both"/>
        <w:rPr>
          <w:lang w:val="sr-Latn-ME"/>
        </w:rPr>
      </w:pPr>
      <w:r w:rsidRPr="0015756B">
        <w:rPr>
          <w:lang w:val="sr-Latn-ME"/>
        </w:rPr>
        <w:t>Pravni (</w:t>
      </w:r>
      <w:r w:rsidRPr="0015756B">
        <w:rPr>
          <w:b/>
          <w:bCs/>
          <w:lang w:val="sr-Latn-ME"/>
        </w:rPr>
        <w:t>L</w:t>
      </w:r>
      <w:r w:rsidRPr="0015756B">
        <w:rPr>
          <w:lang w:val="sr-Latn-ME"/>
        </w:rPr>
        <w:t xml:space="preserve"> - legal) - ovi faktori uključuju zakone koji mogu uticati na javnu politiku, kao eventualne zakonske prepreke koje mogu uticati na sprovođenje predviđenih aktivnosti</w:t>
      </w:r>
    </w:p>
    <w:p w:rsidR="0015756B" w:rsidRPr="0015756B" w:rsidRDefault="0015756B" w:rsidP="0015756B">
      <w:pPr>
        <w:jc w:val="both"/>
        <w:rPr>
          <w:lang w:val="sr-Latn-ME"/>
        </w:rPr>
      </w:pPr>
      <w:r w:rsidRPr="0015756B">
        <w:rPr>
          <w:lang w:val="sr-Latn-ME"/>
        </w:rPr>
        <w:t xml:space="preserve">Pravni dio detaljno je obrađen u dijelu Izvještaja koji se odnosi na Strateški okvir. Dati su ključni nalazi, u vidu preporuka, mjera i uslova koje je potrebno ispuniti u periodima za koji su doneseni strateški akti. </w:t>
      </w:r>
    </w:p>
    <w:p w:rsidR="0015756B" w:rsidRPr="0015756B" w:rsidRDefault="0015756B" w:rsidP="0015756B">
      <w:pPr>
        <w:jc w:val="both"/>
        <w:rPr>
          <w:lang w:val="sr-Latn-ME"/>
        </w:rPr>
      </w:pPr>
      <w:r w:rsidRPr="0015756B">
        <w:rPr>
          <w:lang w:val="sr-Latn-ME"/>
        </w:rPr>
        <w:t>Dodatno, ovdje je bitno napomenuti da je prethodnih godina došlo je do nekoliko sveobuhvatnih reformi i usvajanja važnih zakona, od kojih se očekuje da značajno unaprijede poslovno okruženje i razvoj start-up preduzeća. Među te zakone spadaju i Zakon o podsticajnim mjerama za razvoj istraživanja i inovacija i Zakon o inovativnoj djelatnosti.</w:t>
      </w:r>
    </w:p>
    <w:p w:rsidR="0015756B" w:rsidRPr="0015756B" w:rsidRDefault="0015756B" w:rsidP="0015756B">
      <w:pPr>
        <w:jc w:val="both"/>
        <w:rPr>
          <w:lang w:val="sr-Latn-ME"/>
        </w:rPr>
      </w:pPr>
      <w:r w:rsidRPr="0015756B">
        <w:rPr>
          <w:lang w:val="sr-Latn-ME"/>
        </w:rPr>
        <w:t>Na sjednici Evropskog parlamenta koja je održana u martu 2021. godine takođe je naglašeno da je „epidemija COVID-19 paralizovala turistički sektor EU, stavljajući njegov ekosistem pod neviđen pritisak; ističe se da je kontinuirana kratkoročna finansijska pomoć ključna za opstanak sektora, posebno u svijetlu drugog i trećeg talasa pandemije. Vjeruje se, ipak, da bi trenutna kriza trebala navesti Komisiju i države članice da u potpunosti priznaju važnost turističke industrije, da je u potpunosti integriraju u evropske i nacionalne razvojne planove, da poboljšaju kvalitet svoje ponude, učine je održivijom i pristupačnijom za sve, te za pokretanje dugotrajnih javnih i privatnih ulaganja u digitalizaciju i cjelokupnu modernizaciju sektora.“</w:t>
      </w:r>
      <w:r w:rsidRPr="0015756B">
        <w:rPr>
          <w:vertAlign w:val="superscript"/>
          <w:lang w:val="sr-Latn-ME"/>
        </w:rPr>
        <w:footnoteReference w:id="13"/>
      </w:r>
    </w:p>
    <w:p w:rsidR="0015756B" w:rsidRPr="0015756B" w:rsidRDefault="0015756B" w:rsidP="0015756B">
      <w:pPr>
        <w:numPr>
          <w:ilvl w:val="0"/>
          <w:numId w:val="3"/>
        </w:numPr>
        <w:jc w:val="both"/>
        <w:rPr>
          <w:lang w:val="sr-Latn-ME"/>
        </w:rPr>
      </w:pPr>
      <w:r w:rsidRPr="0015756B">
        <w:rPr>
          <w:lang w:val="sr-Latn-ME"/>
        </w:rPr>
        <w:t>Segment životne sredine (</w:t>
      </w:r>
      <w:r w:rsidRPr="0015756B">
        <w:rPr>
          <w:b/>
          <w:bCs/>
          <w:lang w:val="sr-Latn-ME"/>
        </w:rPr>
        <w:t>E</w:t>
      </w:r>
      <w:r w:rsidRPr="0015756B">
        <w:rPr>
          <w:lang w:val="sr-Latn-ME"/>
        </w:rPr>
        <w:t xml:space="preserve"> - environmental) - ovi faktori se odnose na ekološke aspekte, klimu, zagađenje, i slično. </w:t>
      </w:r>
    </w:p>
    <w:p w:rsidR="0015756B" w:rsidRPr="0015756B" w:rsidRDefault="0015756B" w:rsidP="0015756B">
      <w:pPr>
        <w:jc w:val="both"/>
        <w:rPr>
          <w:lang w:val="sr-Latn-RS"/>
        </w:rPr>
      </w:pPr>
      <w:r w:rsidRPr="0015756B">
        <w:rPr>
          <w:i/>
          <w:iCs/>
          <w:lang w:val="sr-Latn-ME"/>
        </w:rPr>
        <w:t>Napomena:</w:t>
      </w:r>
      <w:r w:rsidRPr="0015756B">
        <w:rPr>
          <w:lang w:val="sr-Latn-ME"/>
        </w:rPr>
        <w:t xml:space="preserve"> Kako je jedan od uslova prilikom izrade Strategije i izrada Strateške procjene uticaja na životnu sredinu, to će svakako najvećim dijelom obuhvatiti i ovaj segment.</w:t>
      </w:r>
    </w:p>
    <w:p w:rsidR="0015756B" w:rsidRPr="0015756B" w:rsidRDefault="0015756B" w:rsidP="0015756B">
      <w:pPr>
        <w:jc w:val="both"/>
        <w:rPr>
          <w:lang w:val="sr-Latn-ME"/>
        </w:rPr>
      </w:pPr>
      <w:r w:rsidRPr="0015756B">
        <w:rPr>
          <w:lang w:val="sr-Latn-ME"/>
        </w:rPr>
        <w:t xml:space="preserve">U članu 2 Ustava, Crna Gora se definiše kao „građanska, demokratska, ekološka i država socijalne pravde, zasnovana na vladavini prava“. Crna Gora je jasno izrazila strateško opredjeljenje za ekološki prihvatljiv ekonomski razvoj, s fokusom na inkluziji, da bi svi građani imali koristi od rasta i razvoja. </w:t>
      </w:r>
      <w:r w:rsidRPr="0015756B">
        <w:rPr>
          <w:lang w:val="sr-Latn-ME"/>
        </w:rPr>
        <w:lastRenderedPageBreak/>
        <w:t>Nakon globalnog usvajanja Agende 2030, 2015. godine, Crna Gora je usvojila Nacionalnu strategiju održivog razvoja (NSOR), čime je integrisala Agendu 2030 u nacionalni strateški okvir. Kao krovni dokument koji predstavlja horizontalnu i dugoročnu strategiju razvoja Crne Gore, NSOR se odnosi ne samo na životnu sredinu i ekonomiju, već i na ljudske resurse i neprocjenjivi socijalni kapital koji bi trebalo da obezbijedi prosperitetan rast i razvoj.</w:t>
      </w:r>
      <w:r w:rsidRPr="0015756B">
        <w:rPr>
          <w:vertAlign w:val="superscript"/>
          <w:lang w:val="sr-Latn-ME"/>
        </w:rPr>
        <w:footnoteReference w:id="14"/>
      </w:r>
    </w:p>
    <w:p w:rsidR="0015756B" w:rsidRPr="0015756B" w:rsidRDefault="0015756B" w:rsidP="0015756B">
      <w:pPr>
        <w:jc w:val="both"/>
        <w:rPr>
          <w:lang w:val="sr-Latn-ME"/>
        </w:rPr>
      </w:pPr>
      <w:r w:rsidRPr="0015756B">
        <w:rPr>
          <w:lang w:val="sr-Latn-ME"/>
        </w:rPr>
        <w:t>Crna Gora je u tranziciji ka ekonomiji s nultom stopom emisija ugljenika i postiže određene nacionalne ciljeve. Na primjer, ostvaren je ambiciozni nacionalni cilj kad je riječ o korišćenju energije iz obnovljivih izvora – da udio energije iz obnovljivih izvora u bruto finalnoj potrošnji iznosi 33% u 2020. Pored toga, Crna Gora se priključila međunarodnim naporima u borbi protiv klimatskih promjena i redovno podnosi izvještaju skladu s Okvirnom konvencijom UN o klimatskim promjenama, i uspostavila je pravni i institucionalni okvir u cilju smanjenja rizika od katastrofa.</w:t>
      </w:r>
      <w:r w:rsidRPr="0015756B">
        <w:rPr>
          <w:vertAlign w:val="superscript"/>
          <w:lang w:val="sr-Latn-ME"/>
        </w:rPr>
        <w:footnoteReference w:id="15"/>
      </w:r>
    </w:p>
    <w:p w:rsidR="0015756B" w:rsidRPr="0015756B" w:rsidRDefault="0015756B" w:rsidP="0015756B">
      <w:pPr>
        <w:jc w:val="both"/>
        <w:rPr>
          <w:lang w:val="sr-Latn-ME"/>
        </w:rPr>
      </w:pPr>
      <w:r w:rsidRPr="0015756B">
        <w:rPr>
          <w:lang w:val="sr-Latn-ME"/>
        </w:rPr>
        <w:t>Privredni razvoj ima značajan uticaj na životnu sredinu. Kako ekonomija raste, nivo motorizacije se povećava, i energetska tražnja se takođe povećava kako domaćinstva postaju imućnija. Sve to se odražava na klimu, zagađenja, a u krajnjem utiče na turizam i odluku turiste gdje će putovati. Tražnja je sve više za čistim vazduhom, mirom i zelenom oazom.</w:t>
      </w:r>
    </w:p>
    <w:p w:rsidR="003462E3" w:rsidRDefault="003462E3" w:rsidP="0015756B">
      <w:pPr>
        <w:jc w:val="both"/>
      </w:pPr>
    </w:p>
    <w:sectPr w:rsidR="003462E3" w:rsidSect="0015756B">
      <w:pgSz w:w="12240" w:h="15840"/>
      <w:pgMar w:top="144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0C6" w:rsidRDefault="00C250C6" w:rsidP="0015756B">
      <w:pPr>
        <w:spacing w:after="0" w:line="240" w:lineRule="auto"/>
      </w:pPr>
      <w:r>
        <w:separator/>
      </w:r>
    </w:p>
  </w:endnote>
  <w:endnote w:type="continuationSeparator" w:id="0">
    <w:p w:rsidR="00C250C6" w:rsidRDefault="00C250C6" w:rsidP="00157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0C6" w:rsidRDefault="00C250C6" w:rsidP="0015756B">
      <w:pPr>
        <w:spacing w:after="0" w:line="240" w:lineRule="auto"/>
      </w:pPr>
      <w:r>
        <w:separator/>
      </w:r>
    </w:p>
  </w:footnote>
  <w:footnote w:type="continuationSeparator" w:id="0">
    <w:p w:rsidR="00C250C6" w:rsidRDefault="00C250C6" w:rsidP="0015756B">
      <w:pPr>
        <w:spacing w:after="0" w:line="240" w:lineRule="auto"/>
      </w:pPr>
      <w:r>
        <w:continuationSeparator/>
      </w:r>
    </w:p>
  </w:footnote>
  <w:footnote w:id="1">
    <w:p w:rsidR="0015756B" w:rsidRPr="00FC03CB" w:rsidRDefault="0015756B" w:rsidP="0015756B">
      <w:pPr>
        <w:tabs>
          <w:tab w:val="left" w:pos="110"/>
        </w:tabs>
        <w:ind w:left="110"/>
        <w:jc w:val="both"/>
        <w:rPr>
          <w:rFonts w:eastAsia="Times New Roman" w:cs="Calibri"/>
          <w:lang w:val="sr-Latn-RS"/>
        </w:rPr>
      </w:pPr>
      <w:r w:rsidRPr="00FC03CB">
        <w:rPr>
          <w:rStyle w:val="FootnoteReference"/>
          <w:rFonts w:cs="Calibri"/>
          <w:lang w:val="sr-Latn-RS"/>
        </w:rPr>
        <w:footnoteRef/>
      </w:r>
      <w:r w:rsidRPr="00FC03CB">
        <w:rPr>
          <w:rFonts w:cs="Calibri"/>
          <w:lang w:val="sr-Latn-RS"/>
        </w:rPr>
        <w:t xml:space="preserve"> Detaljnije na linkovima</w:t>
      </w:r>
      <w:r w:rsidRPr="00FC03CB">
        <w:rPr>
          <w:rFonts w:eastAsia="Times New Roman" w:cs="Calibri"/>
          <w:lang w:val="sr-Latn-RS"/>
        </w:rPr>
        <w:t xml:space="preserve"> </w:t>
      </w:r>
      <w:hyperlink r:id="rId1" w:history="1">
        <w:r w:rsidRPr="00FC03CB">
          <w:rPr>
            <w:rStyle w:val="Hyperlink"/>
            <w:rFonts w:eastAsia="Times New Roman" w:cs="Calibri"/>
            <w:lang w:val="sr-Latn-RS"/>
          </w:rPr>
          <w:t>https://www.mindtools.com/pages/article/newTMC_09.htm</w:t>
        </w:r>
      </w:hyperlink>
      <w:r w:rsidRPr="00FC03CB">
        <w:rPr>
          <w:rFonts w:eastAsia="Times New Roman" w:cs="Calibri"/>
          <w:lang w:val="sr-Latn-RS"/>
        </w:rPr>
        <w:t xml:space="preserve">,   </w:t>
      </w:r>
      <w:hyperlink r:id="rId2" w:history="1">
        <w:r w:rsidRPr="00FC03CB">
          <w:rPr>
            <w:rStyle w:val="Hyperlink"/>
            <w:rFonts w:eastAsia="Times New Roman" w:cs="Calibri"/>
            <w:lang w:val="sr-Latn-RS"/>
          </w:rPr>
          <w:t>https://processpolicy.com/pestle-analysis.htm</w:t>
        </w:r>
      </w:hyperlink>
      <w:r w:rsidRPr="00FC03CB">
        <w:rPr>
          <w:rFonts w:eastAsia="Times New Roman" w:cs="Calibri"/>
          <w:lang w:val="sr-Latn-RS"/>
        </w:rPr>
        <w:t xml:space="preserve"> </w:t>
      </w:r>
      <w:r w:rsidRPr="00FC03CB">
        <w:rPr>
          <w:rFonts w:cs="Calibri"/>
          <w:lang w:val="sr-Latn-RS"/>
        </w:rPr>
        <w:t>, kao što je navedeno i u samoj Metodologiji razvija politika, izrade i praćenja sprovođenja strateških dokumenata,na str. 26, fusnote 21 i 22</w:t>
      </w:r>
    </w:p>
  </w:footnote>
  <w:footnote w:id="2">
    <w:p w:rsidR="0015756B" w:rsidRPr="00FC03CB" w:rsidRDefault="0015756B" w:rsidP="0015756B">
      <w:pPr>
        <w:pStyle w:val="FootnoteText"/>
        <w:spacing w:line="276" w:lineRule="auto"/>
        <w:jc w:val="both"/>
        <w:rPr>
          <w:rFonts w:cs="Calibri"/>
          <w:lang w:val="sr-Latn-RS"/>
        </w:rPr>
      </w:pPr>
      <w:r w:rsidRPr="00FC03CB">
        <w:rPr>
          <w:rStyle w:val="FootnoteReference"/>
          <w:rFonts w:cs="Calibri"/>
          <w:lang w:val="sr-Latn-RS"/>
        </w:rPr>
        <w:footnoteRef/>
      </w:r>
      <w:r w:rsidRPr="00FC03CB">
        <w:rPr>
          <w:rFonts w:cs="Calibri"/>
          <w:lang w:val="sr-Latn-RS"/>
        </w:rPr>
        <w:t xml:space="preserve"> </w:t>
      </w:r>
      <w:hyperlink r:id="rId3" w:history="1">
        <w:r w:rsidRPr="00FC03CB">
          <w:rPr>
            <w:rStyle w:val="Hyperlink"/>
            <w:rFonts w:cs="Calibri"/>
            <w:lang w:val="sr-Latn-RS"/>
          </w:rPr>
          <w:t>https://www.eu.me/evropska-komisija-isplatila-dodatnih-30-miliona-eura-za-podrsku-oporavka-crnogorske-privrede/</w:t>
        </w:r>
      </w:hyperlink>
      <w:r w:rsidRPr="00FC03CB">
        <w:rPr>
          <w:rFonts w:cs="Calibri"/>
          <w:lang w:val="sr-Latn-RS"/>
        </w:rPr>
        <w:t xml:space="preserve"> </w:t>
      </w:r>
    </w:p>
  </w:footnote>
  <w:footnote w:id="3">
    <w:p w:rsidR="0015756B" w:rsidRPr="00FC03CB" w:rsidRDefault="0015756B" w:rsidP="0015756B">
      <w:pPr>
        <w:pStyle w:val="FootnoteText"/>
        <w:spacing w:line="276" w:lineRule="auto"/>
        <w:rPr>
          <w:rFonts w:cs="Calibri"/>
          <w:lang w:val="sr-Latn-RS"/>
        </w:rPr>
      </w:pPr>
      <w:r w:rsidRPr="00FC03CB">
        <w:rPr>
          <w:rStyle w:val="FootnoteReference"/>
          <w:rFonts w:cs="Calibri"/>
          <w:lang w:val="sr-Latn-RS"/>
        </w:rPr>
        <w:footnoteRef/>
      </w:r>
      <w:r w:rsidRPr="00FC03CB">
        <w:rPr>
          <w:rFonts w:cs="Calibri"/>
          <w:lang w:val="sr-Latn-RS"/>
        </w:rPr>
        <w:t xml:space="preserve"> </w:t>
      </w:r>
      <w:r w:rsidRPr="00FC03CB">
        <w:rPr>
          <w:rFonts w:cs="Calibri"/>
          <w:lang w:val="sr-Latn-RS"/>
        </w:rPr>
        <w:t xml:space="preserve">Detaljnije o BDP </w:t>
      </w:r>
      <w:r w:rsidRPr="00FC03CB">
        <w:rPr>
          <w:rFonts w:cs="Calibri"/>
          <w:lang w:val="sr-Latn-RS"/>
        </w:rPr>
        <w:t xml:space="preserve">- </w:t>
      </w:r>
      <w:r w:rsidRPr="00FC03CB">
        <w:rPr>
          <w:rFonts w:cs="Calibri"/>
          <w:lang w:val="sr-Latn-RS"/>
        </w:rPr>
        <w:fldChar w:fldCharType="begin"/>
      </w:r>
      <w:r w:rsidRPr="00FC03CB">
        <w:rPr>
          <w:rFonts w:cs="Calibri"/>
          <w:lang w:val="sr-Latn-RS"/>
        </w:rPr>
        <w:instrText xml:space="preserve"> HYPERLINK "https://monstat.org/uploads/files/Nacionalni%20racuni/BPD/Godisnji%20BDP%202019_crn.pdf" </w:instrText>
      </w:r>
      <w:r w:rsidRPr="00FC03CB">
        <w:rPr>
          <w:rFonts w:cs="Calibri"/>
          <w:lang w:val="sr-Latn-RS"/>
        </w:rPr>
        <w:fldChar w:fldCharType="separate"/>
      </w:r>
      <w:r w:rsidRPr="00FC03CB">
        <w:rPr>
          <w:rStyle w:val="Hyperlink"/>
          <w:rFonts w:cs="Calibri"/>
          <w:lang w:val="sr-Latn-RS"/>
        </w:rPr>
        <w:t>https://monstat.org/uploads/files/Nacionalni%20racuni/BPD/Godisnji%20BDP%202019_crn.pdf</w:t>
      </w:r>
      <w:r w:rsidRPr="00FC03CB">
        <w:rPr>
          <w:rFonts w:cs="Calibri"/>
          <w:lang w:val="sr-Latn-RS"/>
        </w:rPr>
        <w:fldChar w:fldCharType="end"/>
      </w:r>
      <w:r w:rsidRPr="00FC03CB">
        <w:rPr>
          <w:rFonts w:cs="Calibri"/>
          <w:lang w:val="sr-Latn-RS"/>
        </w:rPr>
        <w:t xml:space="preserve"> </w:t>
      </w:r>
    </w:p>
  </w:footnote>
  <w:footnote w:id="4">
    <w:p w:rsidR="0015756B" w:rsidRPr="00FC03CB" w:rsidRDefault="0015756B" w:rsidP="0015756B">
      <w:pPr>
        <w:pStyle w:val="FootnoteText"/>
        <w:spacing w:line="276" w:lineRule="auto"/>
        <w:jc w:val="both"/>
        <w:rPr>
          <w:lang w:val="sr-Latn-RS"/>
        </w:rPr>
      </w:pPr>
      <w:r w:rsidRPr="00FC03CB">
        <w:rPr>
          <w:rStyle w:val="FootnoteReference"/>
          <w:rFonts w:cs="Calibri"/>
          <w:lang w:val="sr-Latn-RS"/>
        </w:rPr>
        <w:footnoteRef/>
      </w:r>
      <w:r w:rsidRPr="00FC03CB">
        <w:rPr>
          <w:rFonts w:cs="Calibri"/>
          <w:lang w:val="sr-Latn-RS"/>
        </w:rPr>
        <w:t xml:space="preserve"> </w:t>
      </w:r>
      <w:r w:rsidRPr="00FC03CB">
        <w:rPr>
          <w:rFonts w:cs="Calibri"/>
          <w:color w:val="202124"/>
          <w:shd w:val="clear" w:color="auto" w:fill="F8F9FA"/>
          <w:lang w:val="sr-Latn-RS"/>
        </w:rPr>
        <w:t> </w:t>
      </w:r>
      <w:r w:rsidRPr="00FC03CB">
        <w:rPr>
          <w:rFonts w:cs="Calibri"/>
          <w:color w:val="202124"/>
          <w:shd w:val="clear" w:color="auto" w:fill="F8F9FA"/>
          <w:lang w:val="sr-Latn-RS"/>
        </w:rPr>
        <w:t xml:space="preserve">EBRD </w:t>
      </w:r>
      <w:r w:rsidRPr="00FC03CB">
        <w:rPr>
          <w:rFonts w:cs="Calibri"/>
          <w:color w:val="202124"/>
          <w:shd w:val="clear" w:color="auto" w:fill="F8F9FA"/>
          <w:lang w:val="sr-Latn-RS"/>
        </w:rPr>
        <w:t xml:space="preserve">- </w:t>
      </w:r>
      <w:r w:rsidRPr="00FC03CB">
        <w:rPr>
          <w:rFonts w:cs="Calibri"/>
          <w:bdr w:val="none" w:sz="0" w:space="0" w:color="auto" w:frame="1"/>
          <w:shd w:val="clear" w:color="auto" w:fill="F8F9FA"/>
          <w:lang w:val="sr-Latn-RS"/>
        </w:rPr>
        <w:fldChar w:fldCharType="begin"/>
      </w:r>
      <w:r w:rsidRPr="00FC03CB">
        <w:rPr>
          <w:rFonts w:cs="Calibri"/>
          <w:bdr w:val="none" w:sz="0" w:space="0" w:color="auto" w:frame="1"/>
          <w:shd w:val="clear" w:color="auto" w:fill="F8F9FA"/>
          <w:lang w:val="sr-Latn-RS"/>
        </w:rPr>
        <w:instrText xml:space="preserve"> HYPERLINK "https://www.ebrd.com/documents/comms-and-bis/rep-report-final-29-june.pdf" </w:instrText>
      </w:r>
      <w:r w:rsidRPr="00FC03CB">
        <w:rPr>
          <w:rFonts w:cs="Calibri"/>
          <w:bdr w:val="none" w:sz="0" w:space="0" w:color="auto" w:frame="1"/>
          <w:shd w:val="clear" w:color="auto" w:fill="F8F9FA"/>
          <w:lang w:val="sr-Latn-RS"/>
        </w:rPr>
        <w:fldChar w:fldCharType="separate"/>
      </w:r>
      <w:r w:rsidRPr="00FC03CB">
        <w:rPr>
          <w:rStyle w:val="Hyperlink"/>
          <w:rFonts w:cs="Calibri"/>
          <w:bdr w:val="none" w:sz="0" w:space="0" w:color="auto" w:frame="1"/>
          <w:shd w:val="clear" w:color="auto" w:fill="F8F9FA"/>
          <w:lang w:val="sr-Latn-RS"/>
        </w:rPr>
        <w:t>https://www.ebrd.com/documents/comms-and-bis/rep-report-final-29-june.pdf</w:t>
      </w:r>
      <w:r w:rsidRPr="00FC03CB">
        <w:rPr>
          <w:rFonts w:cs="Calibri"/>
          <w:bdr w:val="none" w:sz="0" w:space="0" w:color="auto" w:frame="1"/>
          <w:shd w:val="clear" w:color="auto" w:fill="F8F9FA"/>
          <w:lang w:val="sr-Latn-RS"/>
        </w:rPr>
        <w:fldChar w:fldCharType="end"/>
      </w:r>
      <w:r w:rsidRPr="00FC03CB">
        <w:rPr>
          <w:rFonts w:cs="Calibri"/>
          <w:bdr w:val="none" w:sz="0" w:space="0" w:color="auto" w:frame="1"/>
          <w:shd w:val="clear" w:color="auto" w:fill="F8F9FA"/>
          <w:lang w:val="sr-Latn-RS"/>
        </w:rPr>
        <w:t xml:space="preserve"> </w:t>
      </w:r>
      <w:r w:rsidRPr="00FC03CB">
        <w:rPr>
          <w:lang w:val="sr-Latn-RS"/>
        </w:rPr>
        <w:t xml:space="preserve">preuzeto 23.08.2021. </w:t>
      </w:r>
    </w:p>
  </w:footnote>
  <w:footnote w:id="5">
    <w:p w:rsidR="0015756B" w:rsidRPr="00FC03CB" w:rsidRDefault="0015756B" w:rsidP="0015756B">
      <w:pPr>
        <w:pStyle w:val="FootnoteText"/>
        <w:spacing w:line="276" w:lineRule="auto"/>
        <w:jc w:val="both"/>
        <w:rPr>
          <w:lang w:val="sr-Latn-RS"/>
        </w:rPr>
      </w:pPr>
      <w:r w:rsidRPr="00FC03CB">
        <w:rPr>
          <w:rStyle w:val="FootnoteReference"/>
          <w:lang w:val="sr-Latn-RS"/>
        </w:rPr>
        <w:footnoteRef/>
      </w:r>
      <w:r w:rsidRPr="00FC03CB">
        <w:rPr>
          <w:lang w:val="sr-Latn-RS"/>
        </w:rPr>
        <w:t xml:space="preserve"> </w:t>
      </w:r>
      <w:r w:rsidRPr="00FC03CB">
        <w:rPr>
          <w:lang w:val="sr-Latn-RS"/>
        </w:rPr>
        <w:t xml:space="preserve">WB </w:t>
      </w:r>
      <w:r w:rsidRPr="00FC03CB">
        <w:rPr>
          <w:lang w:val="sr-Latn-RS"/>
        </w:rPr>
        <w:t xml:space="preserve">- </w:t>
      </w:r>
      <w:r w:rsidRPr="00FC03CB">
        <w:rPr>
          <w:lang w:val="sr-Latn-RS"/>
        </w:rPr>
        <w:fldChar w:fldCharType="begin"/>
      </w:r>
      <w:r w:rsidRPr="00FC03CB">
        <w:rPr>
          <w:lang w:val="sr-Latn-RS"/>
        </w:rPr>
        <w:instrText xml:space="preserve"> HYPERLINK "https://www.worldbank.org/en/region/eca/publication/western-balkans-regular-economic-report" </w:instrText>
      </w:r>
      <w:r w:rsidRPr="00FC03CB">
        <w:rPr>
          <w:lang w:val="sr-Latn-RS"/>
        </w:rPr>
        <w:fldChar w:fldCharType="separate"/>
      </w:r>
      <w:r w:rsidRPr="00FC03CB">
        <w:rPr>
          <w:rStyle w:val="Hyperlink"/>
          <w:lang w:val="sr-Latn-RS"/>
        </w:rPr>
        <w:t>https://www.worldbank.org/en/region/eca/publication/western-balkans-regular-economic-report</w:t>
      </w:r>
      <w:r w:rsidRPr="00FC03CB">
        <w:rPr>
          <w:lang w:val="sr-Latn-RS"/>
        </w:rPr>
        <w:fldChar w:fldCharType="end"/>
      </w:r>
      <w:r w:rsidRPr="00FC03CB">
        <w:rPr>
          <w:lang w:val="sr-Latn-RS"/>
        </w:rPr>
        <w:t xml:space="preserve"> preuzeto 23.08.2021., “Western Balkans Regular Economic Report: Spring 2021”</w:t>
      </w:r>
    </w:p>
  </w:footnote>
  <w:footnote w:id="6">
    <w:p w:rsidR="0015756B" w:rsidRPr="00FC03CB" w:rsidRDefault="0015756B" w:rsidP="0015756B">
      <w:pPr>
        <w:pStyle w:val="FootnoteText"/>
        <w:spacing w:line="276" w:lineRule="auto"/>
        <w:rPr>
          <w:lang w:val="sr-Latn-RS"/>
        </w:rPr>
      </w:pPr>
      <w:r w:rsidRPr="00FC03CB">
        <w:rPr>
          <w:rStyle w:val="FootnoteReference"/>
          <w:lang w:val="sr-Latn-RS"/>
        </w:rPr>
        <w:footnoteRef/>
      </w:r>
      <w:r w:rsidRPr="00FC03CB">
        <w:rPr>
          <w:lang w:val="sr-Latn-RS"/>
        </w:rPr>
        <w:t xml:space="preserve"> </w:t>
      </w:r>
      <w:hyperlink r:id="rId4" w:history="1">
        <w:r w:rsidRPr="00FC03CB">
          <w:rPr>
            <w:rStyle w:val="Hyperlink"/>
            <w:lang w:val="sr-Latn-RS"/>
          </w:rPr>
          <w:t>https://montenegro.un.org/sites/default/files/2021-04/Common%20Country%20Assessment%20Montenegro%202021%20-%20MNE.pdf</w:t>
        </w:r>
      </w:hyperlink>
      <w:r w:rsidRPr="00FC03CB">
        <w:rPr>
          <w:lang w:val="sr-Latn-RS"/>
        </w:rPr>
        <w:t xml:space="preserve"> str. 12.</w:t>
      </w:r>
    </w:p>
  </w:footnote>
  <w:footnote w:id="7">
    <w:p w:rsidR="0015756B" w:rsidRPr="00FC03CB" w:rsidRDefault="0015756B" w:rsidP="0015756B">
      <w:pPr>
        <w:pStyle w:val="FootnoteText"/>
        <w:spacing w:line="276" w:lineRule="auto"/>
        <w:jc w:val="both"/>
        <w:rPr>
          <w:rFonts w:cs="Calibri"/>
          <w:lang w:val="sr-Latn-RS"/>
        </w:rPr>
      </w:pPr>
      <w:r w:rsidRPr="00FC03CB">
        <w:rPr>
          <w:rStyle w:val="FootnoteReference"/>
          <w:rFonts w:cs="Calibri"/>
          <w:lang w:val="sr-Latn-RS"/>
        </w:rPr>
        <w:footnoteRef/>
      </w:r>
      <w:r w:rsidRPr="00FC03CB">
        <w:rPr>
          <w:rFonts w:cs="Calibri"/>
          <w:lang w:val="sr-Latn-RS"/>
        </w:rPr>
        <w:t xml:space="preserve"> </w:t>
      </w:r>
      <w:r w:rsidRPr="00FC03CB">
        <w:rPr>
          <w:rFonts w:cs="Calibri"/>
          <w:lang w:val="sr-Latn-RS"/>
        </w:rPr>
        <w:t xml:space="preserve">Tekst je većim dijelom preuzet iz Godišnjeg i Kvartalnog izvještaja Centralne banke Crne </w:t>
      </w:r>
      <w:r w:rsidRPr="00FC03CB">
        <w:rPr>
          <w:rFonts w:cs="Calibri"/>
          <w:lang w:val="sr-Latn-RS"/>
        </w:rPr>
        <w:t xml:space="preserve">Gore, </w:t>
      </w:r>
      <w:r w:rsidRPr="00FC03CB">
        <w:rPr>
          <w:rFonts w:cs="Calibri"/>
          <w:lang w:val="sr-Latn-RS"/>
        </w:rPr>
        <w:fldChar w:fldCharType="begin"/>
      </w:r>
      <w:r w:rsidRPr="00FC03CB">
        <w:rPr>
          <w:rFonts w:cs="Calibri"/>
          <w:lang w:val="sr-Latn-RS"/>
        </w:rPr>
        <w:instrText xml:space="preserve"> HYPERLINK "https://www.cbcg.me/slike_i_fajlovi/fajlovi/fajlovi_publikacije/godisnji_makro_izvjestaj/2020/makroekonomsko_okruzenje_2020.pdf" </w:instrText>
      </w:r>
      <w:r w:rsidRPr="00FC03CB">
        <w:rPr>
          <w:rFonts w:cs="Calibri"/>
          <w:lang w:val="sr-Latn-RS"/>
        </w:rPr>
        <w:fldChar w:fldCharType="separate"/>
      </w:r>
      <w:r w:rsidRPr="00FC03CB">
        <w:rPr>
          <w:rStyle w:val="Hyperlink"/>
          <w:rFonts w:cs="Calibri"/>
          <w:lang w:val="sr-Latn-RS"/>
        </w:rPr>
        <w:t>https://www.cbcg.me/slike_i_fajlovi/fajlovi/fajlovi_publikacije/godisnji_makro_izvjestaj/2020/makroekonomsko_okruzenje_2020.pdf</w:t>
      </w:r>
      <w:r w:rsidRPr="00FC03CB">
        <w:rPr>
          <w:rFonts w:cs="Calibri"/>
          <w:lang w:val="sr-Latn-RS"/>
        </w:rPr>
        <w:fldChar w:fldCharType="end"/>
      </w:r>
      <w:r w:rsidRPr="00FC03CB">
        <w:rPr>
          <w:rFonts w:cs="Calibri"/>
          <w:lang w:val="sr-Latn-RS"/>
        </w:rPr>
        <w:t xml:space="preserve">, </w:t>
      </w:r>
      <w:hyperlink r:id="rId5" w:history="1">
        <w:r w:rsidRPr="00FC03CB">
          <w:rPr>
            <w:rStyle w:val="Hyperlink"/>
            <w:rFonts w:cs="Calibri"/>
            <w:lang w:val="sr-Latn-RS"/>
          </w:rPr>
          <w:t>https://www.cbcg.me/me/publikacije/redovne-publikacije/makroekonomski-izvjestaj-cbcg/kvartalni-izvjestaj</w:t>
        </w:r>
      </w:hyperlink>
      <w:r w:rsidRPr="00FC03CB">
        <w:rPr>
          <w:rFonts w:cs="Calibri"/>
          <w:lang w:val="sr-Latn-RS"/>
        </w:rPr>
        <w:t xml:space="preserve"> , kao i sa sajta Monstat-a po različitim statistikama, </w:t>
      </w:r>
      <w:r w:rsidRPr="00FC03CB">
        <w:rPr>
          <w:rFonts w:cs="Calibri"/>
          <w:lang w:val="sr-Latn-RS"/>
        </w:rPr>
        <w:fldChar w:fldCharType="begin"/>
      </w:r>
      <w:r w:rsidRPr="00FC03CB">
        <w:rPr>
          <w:rFonts w:cs="Calibri"/>
          <w:lang w:val="sr-Latn-RS"/>
        </w:rPr>
        <w:instrText xml:space="preserve"> HYPERLINK "https://monstat.org/cg/" </w:instrText>
      </w:r>
      <w:r w:rsidRPr="00FC03CB">
        <w:rPr>
          <w:rFonts w:cs="Calibri"/>
          <w:lang w:val="sr-Latn-RS"/>
        </w:rPr>
        <w:fldChar w:fldCharType="separate"/>
      </w:r>
      <w:r w:rsidRPr="00FC03CB">
        <w:rPr>
          <w:rStyle w:val="Hyperlink"/>
          <w:rFonts w:cs="Calibri"/>
          <w:lang w:val="sr-Latn-RS"/>
        </w:rPr>
        <w:t>https://monstat.org/cg/</w:t>
      </w:r>
      <w:r w:rsidRPr="00FC03CB">
        <w:rPr>
          <w:rFonts w:cs="Calibri"/>
          <w:lang w:val="sr-Latn-RS"/>
        </w:rPr>
        <w:fldChar w:fldCharType="end"/>
      </w:r>
      <w:r w:rsidRPr="00FC03CB">
        <w:rPr>
          <w:rFonts w:cs="Calibri"/>
          <w:lang w:val="sr-Latn-RS"/>
        </w:rPr>
        <w:t xml:space="preserve"> </w:t>
      </w:r>
    </w:p>
  </w:footnote>
  <w:footnote w:id="8">
    <w:p w:rsidR="0015756B" w:rsidRPr="00FC03CB" w:rsidRDefault="0015756B" w:rsidP="0015756B">
      <w:pPr>
        <w:pStyle w:val="FootnoteText"/>
        <w:spacing w:line="276" w:lineRule="auto"/>
        <w:jc w:val="both"/>
        <w:rPr>
          <w:lang w:val="sr-Latn-RS"/>
        </w:rPr>
      </w:pPr>
      <w:r w:rsidRPr="00FC03CB">
        <w:rPr>
          <w:rStyle w:val="FootnoteReference"/>
          <w:lang w:val="sr-Latn-RS"/>
        </w:rPr>
        <w:footnoteRef/>
      </w:r>
      <w:r w:rsidRPr="00FC03CB">
        <w:rPr>
          <w:lang w:val="sr-Latn-RS"/>
        </w:rPr>
        <w:t xml:space="preserve"> Analiza stanja u zemlji (AZS) je interni dokument sistema Ujedinjenih nacija (UN) u Crnoj Gori koji služi za potrebu izrade predstojećeg Okvira saradnje za održivi razvoj za period od 2022- 2026. </w:t>
      </w:r>
      <w:hyperlink r:id="rId6" w:history="1">
        <w:r w:rsidRPr="00FC03CB">
          <w:rPr>
            <w:rStyle w:val="Hyperlink"/>
            <w:lang w:val="sr-Latn-RS"/>
          </w:rPr>
          <w:t>https://montenegro.un.org/sites/default/files/2021-04/Common%20Country%20Assessment%20Montenegro%202021%20-%20MNE.pdf</w:t>
        </w:r>
      </w:hyperlink>
      <w:r w:rsidRPr="00FC03CB">
        <w:rPr>
          <w:lang w:val="sr-Latn-RS"/>
        </w:rPr>
        <w:t xml:space="preserve"> </w:t>
      </w:r>
    </w:p>
  </w:footnote>
  <w:footnote w:id="9">
    <w:p w:rsidR="0015756B" w:rsidRPr="00FC03CB" w:rsidRDefault="0015756B" w:rsidP="0015756B">
      <w:pPr>
        <w:pStyle w:val="FootnoteText"/>
        <w:spacing w:line="276" w:lineRule="auto"/>
        <w:rPr>
          <w:lang w:val="sr-Latn-RS"/>
        </w:rPr>
      </w:pPr>
      <w:r w:rsidRPr="00FC03CB">
        <w:rPr>
          <w:rStyle w:val="FootnoteReference"/>
          <w:lang w:val="sr-Latn-RS"/>
        </w:rPr>
        <w:footnoteRef/>
      </w:r>
      <w:r w:rsidRPr="00FC03CB">
        <w:rPr>
          <w:lang w:val="sr-Latn-RS"/>
        </w:rPr>
        <w:t xml:space="preserve"> </w:t>
      </w:r>
      <w:hyperlink r:id="rId7" w:history="1">
        <w:r w:rsidRPr="00FC03CB">
          <w:rPr>
            <w:rStyle w:val="Hyperlink"/>
            <w:lang w:val="sr-Latn-RS"/>
          </w:rPr>
          <w:t>https://montenegro.un.org/sites/default/files/2021-04/Common%20Country%20Assessment%20Montenegro%202021%20-%20MNE.pdf</w:t>
        </w:r>
      </w:hyperlink>
      <w:r w:rsidRPr="00FC03CB">
        <w:rPr>
          <w:lang w:val="sr-Latn-RS"/>
        </w:rPr>
        <w:t xml:space="preserve"> str. 11-15</w:t>
      </w:r>
    </w:p>
  </w:footnote>
  <w:footnote w:id="10">
    <w:p w:rsidR="0015756B" w:rsidRPr="00FC03CB" w:rsidRDefault="0015756B" w:rsidP="0015756B">
      <w:pPr>
        <w:pStyle w:val="FootnoteText"/>
        <w:spacing w:line="276" w:lineRule="auto"/>
        <w:rPr>
          <w:lang w:val="sr-Latn-RS"/>
        </w:rPr>
      </w:pPr>
      <w:r w:rsidRPr="00FC03CB">
        <w:rPr>
          <w:rStyle w:val="FootnoteReference"/>
          <w:lang w:val="sr-Latn-RS"/>
        </w:rPr>
        <w:footnoteRef/>
      </w:r>
      <w:r w:rsidRPr="00FC03CB">
        <w:rPr>
          <w:lang w:val="sr-Latn-RS"/>
        </w:rPr>
        <w:t xml:space="preserve"> Evropska komisija: Radni dokument Komisije – Program ekonomskih reformi Crne Gore (2019–2021) – Ocjena Komisije</w:t>
      </w:r>
    </w:p>
  </w:footnote>
  <w:footnote w:id="11">
    <w:p w:rsidR="0015756B" w:rsidRPr="00FC03CB" w:rsidRDefault="0015756B" w:rsidP="0015756B">
      <w:pPr>
        <w:pStyle w:val="FootnoteText"/>
        <w:spacing w:line="276" w:lineRule="auto"/>
        <w:rPr>
          <w:lang w:val="sr-Latn-RS"/>
        </w:rPr>
      </w:pPr>
      <w:r w:rsidRPr="00FC03CB">
        <w:rPr>
          <w:rStyle w:val="FootnoteReference"/>
          <w:lang w:val="sr-Latn-RS"/>
        </w:rPr>
        <w:footnoteRef/>
      </w:r>
      <w:r w:rsidRPr="00FC03CB">
        <w:rPr>
          <w:lang w:val="sr-Latn-RS"/>
        </w:rPr>
        <w:t xml:space="preserve"> </w:t>
      </w:r>
      <w:hyperlink r:id="rId8" w:history="1">
        <w:r w:rsidRPr="00FC03CB">
          <w:rPr>
            <w:rStyle w:val="Hyperlink"/>
            <w:lang w:val="sr-Latn-RS"/>
          </w:rPr>
          <w:t>https://montenegro.un.org/sites/default/files/2021-04/Common%20Country%20Assessment%20Montenegro%202021%20-%20MNE.pdf</w:t>
        </w:r>
      </w:hyperlink>
      <w:r w:rsidRPr="00FC03CB">
        <w:rPr>
          <w:lang w:val="sr-Latn-RS"/>
        </w:rPr>
        <w:t>, str. 73</w:t>
      </w:r>
    </w:p>
  </w:footnote>
  <w:footnote w:id="12">
    <w:p w:rsidR="0015756B" w:rsidRPr="00FC03CB" w:rsidRDefault="0015756B" w:rsidP="0015756B">
      <w:pPr>
        <w:pStyle w:val="FootnoteText"/>
        <w:spacing w:line="276" w:lineRule="auto"/>
        <w:rPr>
          <w:lang w:val="sr-Latn-RS"/>
        </w:rPr>
      </w:pPr>
      <w:r w:rsidRPr="00FC03CB">
        <w:rPr>
          <w:rStyle w:val="FootnoteReference"/>
          <w:lang w:val="sr-Latn-RS"/>
        </w:rPr>
        <w:footnoteRef/>
      </w:r>
      <w:r w:rsidRPr="00FC03CB">
        <w:rPr>
          <w:lang w:val="sr-Latn-RS"/>
        </w:rPr>
        <w:t xml:space="preserve"> Michael Steinbach: “Strategy concept for the development of winter tourism in Montenegro”, do</w:t>
      </w:r>
      <w:r>
        <w:rPr>
          <w:lang w:val="sr-Latn-RS"/>
        </w:rPr>
        <w:t>k</w:t>
      </w:r>
      <w:r w:rsidRPr="00FC03CB">
        <w:rPr>
          <w:lang w:val="sr-Latn-RS"/>
        </w:rPr>
        <w:t xml:space="preserve">ument dobijen od </w:t>
      </w:r>
      <w:r w:rsidRPr="00FC03CB">
        <w:rPr>
          <w:rFonts w:cs="Times New Roman"/>
          <w:lang w:val="sr-Latn-RS"/>
        </w:rPr>
        <w:t>Thomas Wöhrstein</w:t>
      </w:r>
      <w:r>
        <w:rPr>
          <w:rFonts w:cs="Times New Roman"/>
          <w:lang w:val="sr-Latn-RS"/>
        </w:rPr>
        <w:t xml:space="preserve"> 5. avgusta 2021. godine</w:t>
      </w:r>
      <w:r w:rsidRPr="00FC03CB">
        <w:rPr>
          <w:rFonts w:cs="Times New Roman"/>
          <w:lang w:val="sr-Latn-RS"/>
        </w:rPr>
        <w:t>. Dokument sadrži i uporedne analize sa drugim zemljama, odnosno skijalištima.</w:t>
      </w:r>
    </w:p>
  </w:footnote>
  <w:footnote w:id="13">
    <w:p w:rsidR="0015756B" w:rsidRPr="00315F2E" w:rsidRDefault="0015756B" w:rsidP="0015756B">
      <w:pPr>
        <w:pStyle w:val="FootnoteText"/>
        <w:rPr>
          <w:lang w:val="sr-Latn-RS"/>
        </w:rPr>
      </w:pPr>
      <w:r>
        <w:rPr>
          <w:rStyle w:val="FootnoteReference"/>
        </w:rPr>
        <w:footnoteRef/>
      </w:r>
      <w:r>
        <w:t xml:space="preserve"> </w:t>
      </w:r>
      <w:hyperlink r:id="rId9" w:history="1">
        <w:r w:rsidRPr="00070B51">
          <w:rPr>
            <w:rStyle w:val="Hyperlink"/>
          </w:rPr>
          <w:t>https://www.accessibletourism.org/?i=enat.en.reports.2230</w:t>
        </w:r>
      </w:hyperlink>
      <w:r>
        <w:t xml:space="preserve">, </w:t>
      </w:r>
      <w:proofErr w:type="spellStart"/>
      <w:r>
        <w:t>preuzeto</w:t>
      </w:r>
      <w:proofErr w:type="spellEnd"/>
      <w:r>
        <w:t xml:space="preserve"> 27.08.2021. </w:t>
      </w:r>
      <w:proofErr w:type="spellStart"/>
      <w:r>
        <w:t>godine</w:t>
      </w:r>
      <w:proofErr w:type="spellEnd"/>
    </w:p>
  </w:footnote>
  <w:footnote w:id="14">
    <w:p w:rsidR="0015756B" w:rsidRPr="00FC03CB" w:rsidRDefault="0015756B" w:rsidP="0015756B">
      <w:pPr>
        <w:pStyle w:val="FootnoteText"/>
        <w:spacing w:line="276" w:lineRule="auto"/>
        <w:rPr>
          <w:lang w:val="sr-Latn-RS"/>
        </w:rPr>
      </w:pPr>
      <w:r w:rsidRPr="00FC03CB">
        <w:rPr>
          <w:rStyle w:val="FootnoteReference"/>
          <w:lang w:val="sr-Latn-RS"/>
        </w:rPr>
        <w:footnoteRef/>
      </w:r>
      <w:r w:rsidRPr="00FC03CB">
        <w:rPr>
          <w:lang w:val="sr-Latn-RS"/>
        </w:rPr>
        <w:t xml:space="preserve"> </w:t>
      </w:r>
      <w:hyperlink r:id="rId10" w:history="1">
        <w:r w:rsidRPr="00FC03CB">
          <w:rPr>
            <w:rStyle w:val="Hyperlink"/>
            <w:lang w:val="sr-Latn-RS"/>
          </w:rPr>
          <w:t>https://montenegro.un.org/sites/default/files/2021-04/Common%20Country%20Assessment%20Montenegro%202021%20-%20MNE.pdf</w:t>
        </w:r>
      </w:hyperlink>
      <w:r w:rsidRPr="00FC03CB">
        <w:rPr>
          <w:lang w:val="sr-Latn-RS"/>
        </w:rPr>
        <w:t xml:space="preserve"> str. 11</w:t>
      </w:r>
    </w:p>
  </w:footnote>
  <w:footnote w:id="15">
    <w:p w:rsidR="0015756B" w:rsidRPr="00FC03CB" w:rsidRDefault="0015756B" w:rsidP="0015756B">
      <w:pPr>
        <w:pStyle w:val="FootnoteText"/>
        <w:spacing w:line="276" w:lineRule="auto"/>
        <w:rPr>
          <w:lang w:val="sr-Latn-RS"/>
        </w:rPr>
      </w:pPr>
      <w:r w:rsidRPr="00FC03CB">
        <w:rPr>
          <w:rStyle w:val="FootnoteReference"/>
          <w:lang w:val="sr-Latn-RS"/>
        </w:rPr>
        <w:footnoteRef/>
      </w:r>
      <w:r w:rsidRPr="00FC03CB">
        <w:rPr>
          <w:lang w:val="sr-Latn-RS"/>
        </w:rPr>
        <w:t xml:space="preserve"> </w:t>
      </w:r>
      <w:hyperlink r:id="rId11" w:history="1">
        <w:r w:rsidRPr="00FC03CB">
          <w:rPr>
            <w:rStyle w:val="Hyperlink"/>
            <w:lang w:val="sr-Latn-RS"/>
          </w:rPr>
          <w:t>https://montenegro.un.org/sites/default/files/2021-04/Common%20Country%20Assessment%20Montenegro%202021%20-%20MNE.pdf</w:t>
        </w:r>
      </w:hyperlink>
      <w:r w:rsidRPr="00FC03CB">
        <w:rPr>
          <w:lang w:val="sr-Latn-RS"/>
        </w:rPr>
        <w:t>, str. 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E1858"/>
    <w:multiLevelType w:val="multilevel"/>
    <w:tmpl w:val="55AAB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E65829"/>
    <w:multiLevelType w:val="hybridMultilevel"/>
    <w:tmpl w:val="5EF455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291142"/>
    <w:multiLevelType w:val="hybridMultilevel"/>
    <w:tmpl w:val="BBF2D892"/>
    <w:lvl w:ilvl="0" w:tplc="63C845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56B"/>
    <w:rsid w:val="000A7482"/>
    <w:rsid w:val="0015756B"/>
    <w:rsid w:val="003462E3"/>
    <w:rsid w:val="00C250C6"/>
    <w:rsid w:val="00F57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26239"/>
  <w15:docId w15:val="{E9E3FF03-76C1-4FB0-AFCB-7A1D00794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5756B"/>
    <w:rPr>
      <w:color w:val="0000FF"/>
      <w:u w:val="single"/>
    </w:rPr>
  </w:style>
  <w:style w:type="paragraph" w:styleId="FootnoteText">
    <w:name w:val="footnote text"/>
    <w:basedOn w:val="Normal"/>
    <w:link w:val="FootnoteTextChar"/>
    <w:uiPriority w:val="99"/>
    <w:semiHidden/>
    <w:unhideWhenUsed/>
    <w:rsid w:val="0015756B"/>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15756B"/>
    <w:rPr>
      <w:rFonts w:ascii="Calibri" w:eastAsia="Calibri" w:hAnsi="Calibri" w:cs="Arial"/>
      <w:sz w:val="20"/>
      <w:szCs w:val="20"/>
    </w:rPr>
  </w:style>
  <w:style w:type="character" w:styleId="FootnoteReference">
    <w:name w:val="footnote reference"/>
    <w:uiPriority w:val="99"/>
    <w:semiHidden/>
    <w:unhideWhenUsed/>
    <w:rsid w:val="001575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montenegro.un.org/sites/default/files/2021-04/Common%20Country%20Assessment%20Montenegro%202021%20-%20MNE.pdf" TargetMode="External"/><Relationship Id="rId3" Type="http://schemas.openxmlformats.org/officeDocument/2006/relationships/hyperlink" Target="https://www.eu.me/evropska-komisija-isplatila-dodatnih-30-miliona-eura-za-podrsku-oporavka-crnogorske-privrede/" TargetMode="External"/><Relationship Id="rId7" Type="http://schemas.openxmlformats.org/officeDocument/2006/relationships/hyperlink" Target="https://montenegro.un.org/sites/default/files/2021-04/Common%20Country%20Assessment%20Montenegro%202021%20-%20MNE.pdf" TargetMode="External"/><Relationship Id="rId2" Type="http://schemas.openxmlformats.org/officeDocument/2006/relationships/hyperlink" Target="https://processpolicy.com/pestle-analysis.htm" TargetMode="External"/><Relationship Id="rId1" Type="http://schemas.openxmlformats.org/officeDocument/2006/relationships/hyperlink" Target="https://www.mindtools.com/pages/article/newTMC_09.htm" TargetMode="External"/><Relationship Id="rId6" Type="http://schemas.openxmlformats.org/officeDocument/2006/relationships/hyperlink" Target="https://montenegro.un.org/sites/default/files/2021-04/Common%20Country%20Assessment%20Montenegro%202021%20-%20MNE.pdf" TargetMode="External"/><Relationship Id="rId11" Type="http://schemas.openxmlformats.org/officeDocument/2006/relationships/hyperlink" Target="https://montenegro.un.org/sites/default/files/2021-04/Common%20Country%20Assessment%20Montenegro%202021%20-%20MNE.pdf" TargetMode="External"/><Relationship Id="rId5" Type="http://schemas.openxmlformats.org/officeDocument/2006/relationships/hyperlink" Target="https://www.cbcg.me/me/publikacije/redovne-publikacije/makroekonomski-izvjestaj-cbcg/kvartalni-izvjestaj" TargetMode="External"/><Relationship Id="rId10" Type="http://schemas.openxmlformats.org/officeDocument/2006/relationships/hyperlink" Target="https://montenegro.un.org/sites/default/files/2021-04/Common%20Country%20Assessment%20Montenegro%202021%20-%20MNE.pdf" TargetMode="External"/><Relationship Id="rId4" Type="http://schemas.openxmlformats.org/officeDocument/2006/relationships/hyperlink" Target="https://montenegro.un.org/sites/default/files/2021-04/Common%20Country%20Assessment%20Montenegro%202021%20-%20MNE.pdf" TargetMode="External"/><Relationship Id="rId9" Type="http://schemas.openxmlformats.org/officeDocument/2006/relationships/hyperlink" Target="https://www.accessibletourism.org/?i=enat.en.reports.2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3865</Words>
  <Characters>22034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Mugosa</dc:creator>
  <cp:lastModifiedBy>Aleksandra Slavuljica Gardasevic</cp:lastModifiedBy>
  <cp:revision>2</cp:revision>
  <dcterms:created xsi:type="dcterms:W3CDTF">2021-11-26T10:49:00Z</dcterms:created>
  <dcterms:modified xsi:type="dcterms:W3CDTF">2021-11-26T10:49:00Z</dcterms:modified>
</cp:coreProperties>
</file>