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767" w:rsidRPr="00623EBC" w:rsidRDefault="003C2767" w:rsidP="003C2767">
      <w:pPr>
        <w:spacing w:before="120" w:after="80" w:line="192" w:lineRule="auto"/>
        <w:ind w:left="1170"/>
        <w:rPr>
          <w:rFonts w:ascii="Calibri" w:eastAsia="Times New Roman" w:hAnsi="Calibri" w:cs="Times New Roman"/>
          <w:noProof/>
          <w:spacing w:val="-10"/>
          <w:kern w:val="28"/>
          <w:sz w:val="28"/>
          <w:szCs w:val="40"/>
          <w:lang w:val="sr-Latn-ME"/>
          <w14:ligatures w14:val="none"/>
        </w:rPr>
      </w:pPr>
      <w:bookmarkStart w:id="0" w:name="_Hlk190087702"/>
      <w:r w:rsidRPr="00623EBC">
        <w:rPr>
          <w:rFonts w:ascii="Calibri" w:eastAsia="Calibri" w:hAnsi="Calibri" w:cs="Times New Roman"/>
          <w:noProof/>
          <w:kern w:val="0"/>
          <w:sz w:val="24"/>
          <w:lang w:val="sr-Latn-ME"/>
          <w14:ligatures w14:val="none"/>
        </w:rPr>
        <w:drawing>
          <wp:anchor distT="0" distB="0" distL="114300" distR="114300" simplePos="0" relativeHeight="251660288" behindDoc="0" locked="0" layoutInCell="1" allowOverlap="1" wp14:anchorId="2A32326A" wp14:editId="62C4E466">
            <wp:simplePos x="0" y="0"/>
            <wp:positionH relativeFrom="column">
              <wp:posOffset>-132715</wp:posOffset>
            </wp:positionH>
            <wp:positionV relativeFrom="paragraph">
              <wp:posOffset>-40640</wp:posOffset>
            </wp:positionV>
            <wp:extent cx="701040" cy="808355"/>
            <wp:effectExtent l="0" t="0" r="381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040"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3EBC">
        <w:rPr>
          <w:rFonts w:ascii="Calibri" w:eastAsia="Calibri" w:hAnsi="Calibri" w:cs="Times New Roman"/>
          <w:noProof/>
          <w:kern w:val="0"/>
          <w:sz w:val="24"/>
          <w:lang w:val="sr-Latn-ME"/>
          <w14:ligatures w14:val="none"/>
        </w:rPr>
        <mc:AlternateContent>
          <mc:Choice Requires="wps">
            <w:drawing>
              <wp:anchor distT="0" distB="0" distL="114297" distR="114297" simplePos="0" relativeHeight="251659264" behindDoc="0" locked="0" layoutInCell="1" allowOverlap="1" wp14:anchorId="367AF95E" wp14:editId="26BD5C99">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68E95D" id="Straight Connector 27"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623EBC">
        <w:rPr>
          <w:rFonts w:ascii="Calibri" w:eastAsia="Times New Roman" w:hAnsi="Calibri" w:cs="Times New Roman"/>
          <w:noProof/>
          <w:spacing w:val="-10"/>
          <w:kern w:val="28"/>
          <w:sz w:val="28"/>
          <w:szCs w:val="40"/>
          <w:lang w:val="sr-Latn-ME"/>
          <w14:ligatures w14:val="none"/>
        </w:rPr>
        <w:t>Crna Gora</w:t>
      </w:r>
    </w:p>
    <w:bookmarkEnd w:id="0"/>
    <w:p w:rsidR="003C2767" w:rsidRPr="00F14C1B" w:rsidRDefault="003C2767" w:rsidP="003C2767">
      <w:pPr>
        <w:spacing w:before="120" w:after="0" w:line="192" w:lineRule="auto"/>
        <w:ind w:left="1134"/>
        <w:rPr>
          <w:rFonts w:ascii="Calibri" w:eastAsia="Times New Roman" w:hAnsi="Calibri" w:cs="Times New Roman"/>
          <w:b/>
          <w:noProof/>
          <w:spacing w:val="-10"/>
          <w:kern w:val="28"/>
          <w:sz w:val="28"/>
          <w:szCs w:val="40"/>
          <w:lang w:val="sr-Latn-ME"/>
          <w14:ligatures w14:val="none"/>
        </w:rPr>
      </w:pPr>
      <w:r w:rsidRPr="00F14C1B">
        <w:rPr>
          <w:rFonts w:ascii="Calibri" w:eastAsia="Times New Roman" w:hAnsi="Calibri" w:cs="Times New Roman"/>
          <w:b/>
          <w:noProof/>
          <w:spacing w:val="-10"/>
          <w:kern w:val="28"/>
          <w:sz w:val="28"/>
          <w:szCs w:val="40"/>
          <w:lang w:val="sr-Latn-ME"/>
          <w14:ligatures w14:val="none"/>
        </w:rPr>
        <w:t xml:space="preserve">Ministarstvo ljudskih i manjinskih prava </w:t>
      </w:r>
    </w:p>
    <w:p w:rsidR="003C2767" w:rsidRPr="00F14C1B" w:rsidRDefault="003C2767" w:rsidP="003C2767">
      <w:pPr>
        <w:spacing w:after="0" w:line="240" w:lineRule="auto"/>
        <w:jc w:val="right"/>
        <w:rPr>
          <w:b/>
          <w:sz w:val="20"/>
        </w:rPr>
      </w:pPr>
    </w:p>
    <w:p w:rsidR="00BA2306" w:rsidRPr="00BA2306" w:rsidRDefault="00BA2306" w:rsidP="00BA2306">
      <w:pPr>
        <w:spacing w:after="0" w:line="240" w:lineRule="auto"/>
        <w:jc w:val="center"/>
        <w:rPr>
          <w:rFonts w:ascii="Arial Black" w:hAnsi="Arial Black" w:cs="Arial"/>
          <w:b/>
          <w:color w:val="2F5496" w:themeColor="accent1" w:themeShade="BF"/>
          <w:kern w:val="0"/>
          <w:sz w:val="32"/>
          <w:szCs w:val="32"/>
          <w:lang w:val="en-GB"/>
          <w14:ligatures w14:val="none"/>
        </w:rPr>
      </w:pPr>
    </w:p>
    <w:p w:rsidR="00BA2306" w:rsidRPr="00BA2306" w:rsidRDefault="00BA2306" w:rsidP="00BA2306">
      <w:pPr>
        <w:spacing w:after="0" w:line="240" w:lineRule="auto"/>
        <w:rPr>
          <w:rFonts w:ascii="Arial Black" w:hAnsi="Arial Black" w:cs="Arial"/>
          <w:b/>
          <w:color w:val="2F5496" w:themeColor="accent1" w:themeShade="BF"/>
          <w:kern w:val="0"/>
          <w:sz w:val="32"/>
          <w:szCs w:val="32"/>
          <w:lang w:val="en-GB"/>
          <w14:ligatures w14:val="none"/>
        </w:rPr>
      </w:pPr>
    </w:p>
    <w:p w:rsidR="00BA2306" w:rsidRPr="00BA2306" w:rsidRDefault="00BA2306" w:rsidP="00BA2306">
      <w:pPr>
        <w:spacing w:after="0" w:line="240" w:lineRule="auto"/>
        <w:jc w:val="center"/>
        <w:rPr>
          <w:rFonts w:ascii="Arial Black" w:hAnsi="Arial Black" w:cs="Arial"/>
          <w:b/>
          <w:color w:val="2F5496" w:themeColor="accent1" w:themeShade="BF"/>
          <w:kern w:val="0"/>
          <w:sz w:val="32"/>
          <w:szCs w:val="32"/>
          <w:lang w:val="en-GB"/>
          <w14:ligatures w14:val="none"/>
        </w:rPr>
      </w:pPr>
    </w:p>
    <w:p w:rsidR="00BA2306" w:rsidRPr="00BA2306" w:rsidRDefault="001123BF" w:rsidP="00BA2306">
      <w:pPr>
        <w:spacing w:after="0" w:line="240" w:lineRule="auto"/>
        <w:jc w:val="center"/>
        <w:rPr>
          <w:rFonts w:ascii="Arial Black" w:hAnsi="Arial Black" w:cs="Arial"/>
          <w:b/>
          <w:color w:val="2F5496" w:themeColor="accent1" w:themeShade="BF"/>
          <w:kern w:val="0"/>
          <w:sz w:val="32"/>
          <w:szCs w:val="32"/>
          <w:lang w:val="en-GB"/>
          <w14:ligatures w14:val="none"/>
        </w:rPr>
      </w:pPr>
      <w:bookmarkStart w:id="1" w:name="_GoBack"/>
      <w:r>
        <w:rPr>
          <w:rFonts w:ascii="Arial Black" w:hAnsi="Arial Black" w:cs="Arial"/>
          <w:b/>
          <w:color w:val="2F5496" w:themeColor="accent1" w:themeShade="BF"/>
          <w:kern w:val="0"/>
          <w:sz w:val="32"/>
          <w:szCs w:val="32"/>
          <w:lang w:val="en-GB"/>
          <w14:ligatures w14:val="none"/>
        </w:rPr>
        <w:t xml:space="preserve">POLUGODIŠNJI </w:t>
      </w:r>
      <w:r w:rsidR="00BA2306" w:rsidRPr="00BA2306">
        <w:rPr>
          <w:rFonts w:ascii="Arial Black" w:hAnsi="Arial Black" w:cs="Arial"/>
          <w:b/>
          <w:color w:val="2F5496" w:themeColor="accent1" w:themeShade="BF"/>
          <w:kern w:val="0"/>
          <w:sz w:val="32"/>
          <w:szCs w:val="32"/>
          <w:lang w:val="en-GB"/>
          <w14:ligatures w14:val="none"/>
        </w:rPr>
        <w:t>IZVJEŠTAJ O RADU KOORDINACIONOG TIJELA ZA PRAĆENJE SPROVOĐENJA DEKLARACIJE PARTNERA ZAPADNOG BALKANA O INTEGRACIJI ROMA/KINJA U SKLOPU PROCESA PROŠIRENJA EVROPSKE UNIJE ZA 2024 GODINU</w:t>
      </w:r>
    </w:p>
    <w:p w:rsidR="00BA2306" w:rsidRPr="00BA2306" w:rsidRDefault="00BA2306" w:rsidP="00BA2306">
      <w:pPr>
        <w:spacing w:line="256" w:lineRule="auto"/>
        <w:jc w:val="center"/>
        <w:rPr>
          <w:rFonts w:ascii="Arial" w:hAnsi="Arial" w:cs="Arial"/>
          <w:color w:val="2F5496" w:themeColor="accent1" w:themeShade="BF"/>
          <w:kern w:val="0"/>
          <w:sz w:val="36"/>
          <w:szCs w:val="36"/>
          <w:lang w:val="sr-Latn-RS"/>
          <w14:ligatures w14:val="none"/>
        </w:rPr>
      </w:pPr>
    </w:p>
    <w:bookmarkEnd w:id="1"/>
    <w:p w:rsidR="00BA2306" w:rsidRPr="00BA2306" w:rsidRDefault="00BA2306" w:rsidP="00BA2306">
      <w:pPr>
        <w:spacing w:line="256" w:lineRule="auto"/>
        <w:rPr>
          <w:rFonts w:ascii="Arial" w:hAnsi="Arial" w:cs="Arial"/>
          <w:color w:val="2F5496" w:themeColor="accent1" w:themeShade="BF"/>
          <w:kern w:val="0"/>
          <w:sz w:val="36"/>
          <w:szCs w:val="36"/>
          <w14:ligatures w14:val="none"/>
        </w:rPr>
      </w:pPr>
    </w:p>
    <w:p w:rsidR="00BA2306" w:rsidRPr="00BA2306" w:rsidRDefault="00BA2306" w:rsidP="00BA2306">
      <w:pPr>
        <w:spacing w:line="256" w:lineRule="auto"/>
        <w:rPr>
          <w:rFonts w:ascii="Arial" w:hAnsi="Arial" w:cs="Arial"/>
          <w:kern w:val="0"/>
          <w14:ligatures w14:val="none"/>
        </w:rPr>
      </w:pPr>
    </w:p>
    <w:p w:rsidR="00BA2306" w:rsidRPr="00BA2306" w:rsidRDefault="00BA2306" w:rsidP="00BA2306">
      <w:pPr>
        <w:spacing w:line="256" w:lineRule="auto"/>
        <w:rPr>
          <w:rFonts w:ascii="Arial" w:hAnsi="Arial" w:cs="Arial"/>
          <w:kern w:val="0"/>
          <w14:ligatures w14:val="none"/>
        </w:rPr>
      </w:pPr>
    </w:p>
    <w:p w:rsidR="00BA2306" w:rsidRPr="00BA2306" w:rsidRDefault="00BA2306" w:rsidP="00BA2306">
      <w:pPr>
        <w:spacing w:line="256" w:lineRule="auto"/>
        <w:rPr>
          <w:rFonts w:ascii="Arial" w:hAnsi="Arial" w:cs="Arial"/>
          <w:kern w:val="0"/>
          <w14:ligatures w14:val="none"/>
        </w:rPr>
      </w:pPr>
    </w:p>
    <w:p w:rsidR="00BA2306" w:rsidRPr="00BA2306" w:rsidRDefault="00BA2306" w:rsidP="00BA2306">
      <w:pPr>
        <w:spacing w:line="256" w:lineRule="auto"/>
        <w:rPr>
          <w:rFonts w:ascii="Arial" w:hAnsi="Arial" w:cs="Arial"/>
          <w:kern w:val="0"/>
          <w14:ligatures w14:val="none"/>
        </w:rPr>
      </w:pPr>
    </w:p>
    <w:p w:rsidR="003C2767" w:rsidRDefault="003C2767" w:rsidP="00BA2306">
      <w:pPr>
        <w:spacing w:line="256" w:lineRule="auto"/>
        <w:jc w:val="center"/>
        <w:rPr>
          <w:rFonts w:ascii="Times New Roman" w:hAnsi="Times New Roman" w:cs="Times New Roman"/>
          <w:kern w:val="0"/>
          <w:sz w:val="32"/>
          <w:szCs w:val="32"/>
          <w:lang w:val="sr-Latn-RS"/>
          <w14:ligatures w14:val="none"/>
        </w:rPr>
      </w:pPr>
    </w:p>
    <w:p w:rsidR="003C2767" w:rsidRDefault="003C2767" w:rsidP="00BA2306">
      <w:pPr>
        <w:spacing w:line="256" w:lineRule="auto"/>
        <w:jc w:val="center"/>
        <w:rPr>
          <w:rFonts w:ascii="Times New Roman" w:hAnsi="Times New Roman" w:cs="Times New Roman"/>
          <w:kern w:val="0"/>
          <w:sz w:val="32"/>
          <w:szCs w:val="32"/>
          <w:lang w:val="sr-Latn-RS"/>
          <w14:ligatures w14:val="none"/>
        </w:rPr>
      </w:pPr>
    </w:p>
    <w:p w:rsidR="00BA2306" w:rsidRDefault="00BA2306" w:rsidP="00BA2306">
      <w:pPr>
        <w:spacing w:line="256" w:lineRule="auto"/>
        <w:jc w:val="center"/>
        <w:rPr>
          <w:rFonts w:ascii="Times New Roman" w:hAnsi="Times New Roman" w:cs="Times New Roman"/>
          <w:kern w:val="0"/>
          <w:sz w:val="32"/>
          <w:szCs w:val="32"/>
          <w:lang w:val="sr-Latn-RS"/>
          <w14:ligatures w14:val="none"/>
        </w:rPr>
      </w:pPr>
      <w:r w:rsidRPr="00BA2306">
        <w:rPr>
          <w:rFonts w:ascii="Times New Roman" w:hAnsi="Times New Roman" w:cs="Times New Roman"/>
          <w:kern w:val="0"/>
          <w:sz w:val="32"/>
          <w:szCs w:val="32"/>
          <w:lang w:val="sr-Latn-RS"/>
          <w14:ligatures w14:val="none"/>
        </w:rPr>
        <w:t>Podgorica, januar 2025. godine</w:t>
      </w:r>
    </w:p>
    <w:p w:rsidR="00BA2306" w:rsidRPr="00BA2306" w:rsidRDefault="00BA2306" w:rsidP="00BA2306">
      <w:pPr>
        <w:spacing w:after="0" w:line="276" w:lineRule="auto"/>
        <w:jc w:val="both"/>
        <w:rPr>
          <w:rFonts w:ascii="Arial Black" w:hAnsi="Arial Black" w:cs="Arial"/>
          <w:b/>
          <w:color w:val="4472C4" w:themeColor="accent1"/>
          <w:sz w:val="36"/>
          <w:szCs w:val="36"/>
          <w:u w:val="single"/>
          <w:lang w:val="sr"/>
        </w:rPr>
      </w:pPr>
      <w:r w:rsidRPr="00BA2306">
        <w:rPr>
          <w:rFonts w:ascii="Arial Black" w:hAnsi="Arial Black" w:cs="Arial"/>
          <w:b/>
          <w:color w:val="4472C4" w:themeColor="accent1"/>
          <w:sz w:val="36"/>
          <w:szCs w:val="36"/>
          <w:u w:val="single"/>
          <w:lang w:val="sr"/>
        </w:rPr>
        <w:lastRenderedPageBreak/>
        <w:t>UVOD</w:t>
      </w: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r w:rsidRPr="00BA2306">
        <w:rPr>
          <w:rFonts w:ascii="Arial" w:hAnsi="Arial" w:cs="Arial"/>
          <w:sz w:val="24"/>
          <w:szCs w:val="24"/>
          <w:lang w:val="sr"/>
        </w:rPr>
        <w:t>Socijalna inkluzija Roma i Egipćana u Crnoj Gori predstavlja kompleksan i višedimenzionalan proces koji zahtijeva sistemski pristup i koordinisano djelovanje svih relevantnih aktera. Romska i egipćanska zajednica se tradicionalno suočava sa značajnim socio-ekonomskim izazovima, uključujući siromaštvo, nisku stopu obrazovanja, ograničen pristup tržištu rada, neadekvatne uslove stanovanja, te diskriminaciju i socijalnu isključenost. Ovi izazovi su prepoznati kao prioritetni u okviru državne politike i međunarodnih obaveza Crne Gore, što je rezultiralo formiranjem Koordinacionog tijela za praćenje sprovođenja Deklaracije partnera Zapadnog Balkana o integraciji Roma/kinja u sklopu procesa proširenja Evropske unije.</w:t>
      </w: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r w:rsidRPr="00BA2306">
        <w:rPr>
          <w:rFonts w:ascii="Arial" w:hAnsi="Arial" w:cs="Arial"/>
          <w:sz w:val="24"/>
          <w:szCs w:val="24"/>
          <w:lang w:val="sr"/>
        </w:rPr>
        <w:t>Ovo tijelo djeluje kao središnja platforma za planiranje, implementaciju i praćenje mjera koje su usmjerene na unapređenje životnih uslova Roma i Egipćana. Njegov rad uključuje širok spektar aktivnosti u saradnji sa ministarstvima, lokalnim samoupravama, nevladinim organizacijama i međunarodnim partnerima. Ključni ciljevi uključuju poboljšanje pristupa obrazovanju, zdravstvenoj zaštiti, zapošljavanju, te obezbjeđivanje osnovnih ličnih dokumenata, što je od vitalnog značaja za ostvarivanje prava ovih zajednica.</w:t>
      </w: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r w:rsidRPr="00BA2306">
        <w:rPr>
          <w:rFonts w:ascii="Arial" w:hAnsi="Arial" w:cs="Arial"/>
          <w:sz w:val="24"/>
          <w:szCs w:val="24"/>
          <w:lang w:val="sr"/>
        </w:rPr>
        <w:t>Ovaj izvještaj ima za cilj da pruži detaljan pregled dosadašnjih postignuća Koordinacionog tijela, kao i izazova s kojima se suočava. Posebna pažnja posvećena je analizi trenutnog stanja u ključnim oblastima, pregledima projekata i programa koji su realizovani, te preporukama za buduće korake kako bi se osigurala održivost postignutih rezultata i nastavilo sa unapređenjem položaja Roma i Egipćana u Crnoj Gori.</w:t>
      </w: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Black" w:hAnsi="Arial Black" w:cs="Arial"/>
          <w:b/>
          <w:color w:val="4472C4" w:themeColor="accent1"/>
          <w:sz w:val="36"/>
          <w:szCs w:val="36"/>
          <w:u w:val="single"/>
          <w:lang w:val="sr"/>
        </w:rPr>
      </w:pPr>
      <w:r w:rsidRPr="00BA2306">
        <w:rPr>
          <w:rFonts w:ascii="Arial Black" w:hAnsi="Arial Black" w:cs="Arial"/>
          <w:b/>
          <w:color w:val="4472C4" w:themeColor="accent1"/>
          <w:sz w:val="36"/>
          <w:szCs w:val="36"/>
          <w:u w:val="single"/>
          <w:lang w:val="sr"/>
        </w:rPr>
        <w:lastRenderedPageBreak/>
        <w:t>Rezime</w:t>
      </w: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r w:rsidRPr="00BA2306">
        <w:rPr>
          <w:rFonts w:ascii="Arial" w:hAnsi="Arial" w:cs="Arial"/>
          <w:sz w:val="24"/>
          <w:szCs w:val="24"/>
          <w:lang w:val="sr"/>
        </w:rPr>
        <w:t xml:space="preserve">Dana 5. jula 2019. godine je datum kada je potpisana Poznaska deklaracija, kada je 5 godina prošlo  od usvajanja Poznanske deklaracije. </w:t>
      </w: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r w:rsidRPr="00BA2306">
        <w:rPr>
          <w:rFonts w:ascii="Arial" w:hAnsi="Arial" w:cs="Arial"/>
          <w:sz w:val="24"/>
          <w:szCs w:val="24"/>
          <w:lang w:val="sr"/>
        </w:rPr>
        <w:t>U periodu od 5 godina učinjen je  značajan napredak u ispunjavanju zacrtanih ciljeva:</w:t>
      </w: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b/>
          <w:sz w:val="24"/>
          <w:szCs w:val="24"/>
          <w:lang w:val="sr"/>
        </w:rPr>
      </w:pPr>
      <w:bookmarkStart w:id="2" w:name="_Hlk187832907"/>
      <w:r w:rsidRPr="00BA2306">
        <w:rPr>
          <w:rFonts w:ascii="Arial" w:hAnsi="Arial" w:cs="Arial"/>
          <w:b/>
          <w:sz w:val="24"/>
          <w:szCs w:val="24"/>
          <w:lang w:val="sr"/>
        </w:rPr>
        <w:t>Zapošljavanje:</w:t>
      </w:r>
    </w:p>
    <w:bookmarkEnd w:id="2"/>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 xml:space="preserve">Koordinaciono tijelo je obaviješteno o inicijativama za suzbijanje sive ekonomije među romskom populacijom. Crna Gora će biti prva zemlja koja će završiti ovaj program, a niz projekata na ovu temu će pokrenuti organizacije REDI i Romska fondacija za Evropu. </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 xml:space="preserve">Planirano je finansiranje romskih biznisa i podrška poslodavcima kroz bespovratne kredite za zapošljavanje pripadnika romske zajednice. </w:t>
      </w:r>
    </w:p>
    <w:p w:rsid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Predstavnici Koordinacionog tijela su učestvovali na sastancima sa relevantnim organizacijama kako bi dogovorili dalje korake za apliciranje za projekat Stanovanje, uključujući finalizaciju istraživanja o socio-ekonomskom položaju Roma.</w:t>
      </w:r>
    </w:p>
    <w:p w:rsidR="0074398D" w:rsidRPr="0074398D" w:rsidRDefault="0074398D" w:rsidP="0074398D">
      <w:pPr>
        <w:numPr>
          <w:ilvl w:val="0"/>
          <w:numId w:val="29"/>
        </w:numPr>
        <w:spacing w:after="0" w:line="276" w:lineRule="auto"/>
        <w:contextualSpacing/>
        <w:jc w:val="both"/>
        <w:rPr>
          <w:rFonts w:ascii="Arial" w:hAnsi="Arial" w:cs="Arial"/>
          <w:sz w:val="24"/>
          <w:szCs w:val="24"/>
          <w:lang w:val="sr"/>
        </w:rPr>
      </w:pPr>
      <w:r w:rsidRPr="0074398D">
        <w:rPr>
          <w:rFonts w:ascii="Arial" w:hAnsi="Arial" w:cs="Arial"/>
          <w:sz w:val="24"/>
          <w:szCs w:val="24"/>
          <w:lang w:val="sr"/>
        </w:rPr>
        <w:t xml:space="preserve">Završen „Nacionalni program za transformaciju neformalne zaposlenosti Roma/Egipćana u Crnoj Gori za period 2024-2026. Godine“. Očekuje se brzo  usvajanje ovog dokumenta na Vladi crne Gore. </w:t>
      </w:r>
    </w:p>
    <w:p w:rsidR="0074398D" w:rsidRPr="0074398D" w:rsidRDefault="0074398D" w:rsidP="0074398D">
      <w:pPr>
        <w:numPr>
          <w:ilvl w:val="0"/>
          <w:numId w:val="29"/>
        </w:numPr>
        <w:spacing w:after="0" w:line="276" w:lineRule="auto"/>
        <w:contextualSpacing/>
        <w:jc w:val="both"/>
        <w:rPr>
          <w:rFonts w:ascii="Arial" w:hAnsi="Arial" w:cs="Arial"/>
          <w:sz w:val="24"/>
          <w:szCs w:val="24"/>
          <w:lang w:val="sr"/>
        </w:rPr>
      </w:pPr>
      <w:r w:rsidRPr="0074398D">
        <w:rPr>
          <w:rFonts w:ascii="Arial" w:hAnsi="Arial" w:cs="Arial"/>
          <w:sz w:val="24"/>
          <w:szCs w:val="24"/>
          <w:lang w:val="sr"/>
        </w:rPr>
        <w:t>U centrima za socijalni rad sistematizovano je radno mjesto Saradnik u socijalnoj zaštiti romske i egipćanske zajednice u oblasti socijalne zaštite, i to u opštinama: Podgorica (2), Nikšić (1), Bar (1), Berane (1) i Bijelo Polje (1). Zadatak Saradnika u socijalnoj inkluziji za Rome i Egipćane u oblasti socijalne zaštite se sastoji u pomaganju pojedincima iz romske i egipćanske  populacije u ostvarivanju prava na socijalnu i dječiju zaštitu. Budžetom za 2025. godinu planirana su sredstva za navedena radna mjesta</w:t>
      </w:r>
    </w:p>
    <w:p w:rsidR="00CE7CD0" w:rsidRDefault="00CE7CD0" w:rsidP="00CE7CD0">
      <w:pPr>
        <w:spacing w:after="0" w:line="276" w:lineRule="auto"/>
        <w:jc w:val="both"/>
        <w:rPr>
          <w:rFonts w:ascii="Arial" w:hAnsi="Arial" w:cs="Arial"/>
          <w:b/>
          <w:sz w:val="24"/>
          <w:szCs w:val="24"/>
          <w:lang w:val="sr"/>
        </w:rPr>
      </w:pPr>
    </w:p>
    <w:p w:rsidR="0074398D" w:rsidRDefault="00CE7CD0" w:rsidP="00CE7CD0">
      <w:pPr>
        <w:spacing w:after="0" w:line="276" w:lineRule="auto"/>
        <w:jc w:val="both"/>
        <w:rPr>
          <w:rFonts w:ascii="Arial" w:hAnsi="Arial" w:cs="Arial"/>
          <w:b/>
          <w:sz w:val="24"/>
          <w:szCs w:val="24"/>
          <w:lang w:val="sr"/>
        </w:rPr>
      </w:pPr>
      <w:r w:rsidRPr="00CE7CD0">
        <w:rPr>
          <w:rFonts w:ascii="Arial" w:hAnsi="Arial" w:cs="Arial"/>
          <w:b/>
          <w:sz w:val="24"/>
          <w:szCs w:val="24"/>
          <w:lang w:val="sr"/>
        </w:rPr>
        <w:t>Socijalno stanovanje</w:t>
      </w:r>
      <w:r>
        <w:rPr>
          <w:rFonts w:ascii="Arial" w:hAnsi="Arial" w:cs="Arial"/>
          <w:b/>
          <w:sz w:val="24"/>
          <w:szCs w:val="24"/>
          <w:lang w:val="sr"/>
        </w:rPr>
        <w:t>:</w:t>
      </w:r>
    </w:p>
    <w:p w:rsidR="00CE7CD0" w:rsidRDefault="00CE7CD0" w:rsidP="00CE7CD0">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 xml:space="preserve">Urađena je Studija izvodljivosti socijalnog stanovanja Roma i Egipćana u osam opština u Crnoj Gori (Bar, Berane, Bijelo Polje, Budva, Herceg Novi, Kotor, Nikšić, Ulcinj). </w:t>
      </w:r>
    </w:p>
    <w:p w:rsidR="00CE7CD0" w:rsidRPr="00BA2306" w:rsidRDefault="00CE7CD0" w:rsidP="00CE7CD0">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Adaptacija naselja socijalnog stanovanja u Pljevljima – Trlica.</w:t>
      </w:r>
      <w:r w:rsidRPr="00BA2306">
        <w:rPr>
          <w:kern w:val="0"/>
          <w14:ligatures w14:val="none"/>
        </w:rPr>
        <w:t xml:space="preserve"> </w:t>
      </w:r>
      <w:r w:rsidRPr="00BA2306">
        <w:rPr>
          <w:rFonts w:ascii="Arial" w:eastAsia="Calibri" w:hAnsi="Arial" w:cs="Arial"/>
          <w:kern w:val="0"/>
          <w:lang w:val="sr-Latn-CS"/>
          <w14:ligatures w14:val="none"/>
        </w:rPr>
        <w:t>Adaptirano deset individualnih stambenih objekata.</w:t>
      </w:r>
    </w:p>
    <w:p w:rsidR="00CE7CD0" w:rsidRPr="00BA2306" w:rsidRDefault="00CE7CD0" w:rsidP="00CE7CD0">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Angažovanje asistenata za podršku korisnicima stambenih jedinica.</w:t>
      </w:r>
      <w:r w:rsidRPr="00BA2306">
        <w:rPr>
          <w:kern w:val="0"/>
          <w14:ligatures w14:val="none"/>
        </w:rPr>
        <w:t xml:space="preserve"> </w:t>
      </w:r>
      <w:r w:rsidRPr="00BA2306">
        <w:rPr>
          <w:rFonts w:ascii="Arial" w:eastAsia="Calibri" w:hAnsi="Arial" w:cs="Arial"/>
          <w:kern w:val="0"/>
          <w:lang w:val="sr-Latn-CS"/>
          <w14:ligatures w14:val="none"/>
        </w:rPr>
        <w:t>Aktivnost realizovana-angažovana dva asistenata za podršku.</w:t>
      </w:r>
    </w:p>
    <w:p w:rsidR="00CE7CD0" w:rsidRPr="003351DA" w:rsidRDefault="00CE7CD0" w:rsidP="00CE7CD0">
      <w:pPr>
        <w:numPr>
          <w:ilvl w:val="0"/>
          <w:numId w:val="8"/>
        </w:numPr>
        <w:spacing w:line="276" w:lineRule="auto"/>
        <w:contextualSpacing/>
        <w:jc w:val="both"/>
        <w:rPr>
          <w:rFonts w:ascii="Arial" w:eastAsia="Calibri" w:hAnsi="Arial" w:cs="Arial"/>
          <w:kern w:val="0"/>
          <w:lang w:val="sr-Latn-CS"/>
          <w14:ligatures w14:val="none"/>
        </w:rPr>
      </w:pPr>
      <w:r w:rsidRPr="003351DA">
        <w:rPr>
          <w:rFonts w:ascii="Arial" w:eastAsia="Calibri" w:hAnsi="Arial" w:cs="Arial"/>
          <w:kern w:val="0"/>
          <w:lang w:val="sr-Latn-CS"/>
          <w14:ligatures w14:val="none"/>
        </w:rPr>
        <w:lastRenderedPageBreak/>
        <w:t>Od februara 2024. godine angažovna su dva saradnika za oblast socijalnog stanovanja, koji u naselju na Vrelima Ribničkim pružaju svakodnevnu podršku stanovnicima te takođe koordiniraju između nadležnih državnih organa u cilju održivosti stanovanja u smislu obaveza po osnovu plaćanja komunalija i otklanjanja eventualnih oštećenja na objektima stanovanja.</w:t>
      </w:r>
    </w:p>
    <w:p w:rsidR="00CE7CD0" w:rsidRPr="00CE7CD0" w:rsidRDefault="00CE7CD0" w:rsidP="00F36039">
      <w:pPr>
        <w:numPr>
          <w:ilvl w:val="0"/>
          <w:numId w:val="8"/>
        </w:numPr>
        <w:spacing w:line="256" w:lineRule="auto"/>
        <w:contextualSpacing/>
        <w:jc w:val="both"/>
        <w:rPr>
          <w:rFonts w:ascii="Cambria" w:hAnsi="Cambria" w:cs="Calibri"/>
          <w:color w:val="000000"/>
          <w:kern w:val="0"/>
          <w:sz w:val="24"/>
          <w:szCs w:val="24"/>
          <w:lang w:val="sr-Latn-RS"/>
          <w14:ligatures w14:val="none"/>
        </w:rPr>
      </w:pPr>
      <w:r w:rsidRPr="00CE7CD0">
        <w:rPr>
          <w:rFonts w:ascii="Arial" w:eastAsia="Calibri" w:hAnsi="Arial" w:cs="Arial"/>
          <w:kern w:val="0"/>
          <w:lang w:val="sr-Latn-CS"/>
          <w14:ligatures w14:val="none"/>
        </w:rPr>
        <w:t xml:space="preserve">Odlukom Glavnog grada Ministarstvu socijalnog staranja, brige o porodici i demografije ustupljena su tri objekta na Vrelima Ribničkim, za čiju je adaptaciju Ministarstvo opredjelilo novčana sredstva u iznosu od 150.000 eura i HELP sredstva u iznosu od 200. 000 eura. </w:t>
      </w:r>
    </w:p>
    <w:p w:rsidR="00CE7CD0" w:rsidRPr="00CE7CD0" w:rsidRDefault="00CE7CD0" w:rsidP="00CE7CD0">
      <w:pPr>
        <w:spacing w:after="0" w:line="276" w:lineRule="auto"/>
        <w:jc w:val="both"/>
        <w:rPr>
          <w:rFonts w:ascii="Arial" w:hAnsi="Arial" w:cs="Arial"/>
          <w:b/>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b/>
          <w:sz w:val="24"/>
          <w:szCs w:val="24"/>
          <w:lang w:val="sr-Latn-RS"/>
        </w:rPr>
      </w:pPr>
      <w:bookmarkStart w:id="3" w:name="_Hlk187832913"/>
      <w:r w:rsidRPr="00BA2306">
        <w:rPr>
          <w:rFonts w:ascii="Arial" w:hAnsi="Arial" w:cs="Arial"/>
          <w:b/>
          <w:sz w:val="24"/>
          <w:szCs w:val="24"/>
          <w:lang w:val="sr"/>
        </w:rPr>
        <w:t>Obrazovanje</w:t>
      </w:r>
      <w:r w:rsidRPr="00BA2306">
        <w:rPr>
          <w:rFonts w:ascii="Arial" w:hAnsi="Arial" w:cs="Arial"/>
          <w:b/>
          <w:sz w:val="24"/>
          <w:szCs w:val="24"/>
          <w:lang w:val="sr-Latn-RS"/>
        </w:rPr>
        <w:t>:</w:t>
      </w:r>
    </w:p>
    <w:p w:rsidR="00E66F9A" w:rsidRDefault="00E66F9A" w:rsidP="00BA2306">
      <w:pPr>
        <w:numPr>
          <w:ilvl w:val="0"/>
          <w:numId w:val="29"/>
        </w:numPr>
        <w:spacing w:after="0" w:line="276" w:lineRule="auto"/>
        <w:contextualSpacing/>
        <w:jc w:val="both"/>
        <w:rPr>
          <w:rFonts w:ascii="Arial" w:hAnsi="Arial" w:cs="Arial"/>
          <w:sz w:val="24"/>
          <w:szCs w:val="24"/>
          <w:lang w:val="sr"/>
        </w:rPr>
      </w:pPr>
      <w:bookmarkStart w:id="4" w:name="_Hlk187832919"/>
      <w:bookmarkEnd w:id="3"/>
      <w:r w:rsidRPr="00E66F9A">
        <w:rPr>
          <w:rFonts w:ascii="Arial" w:hAnsi="Arial" w:cs="Arial"/>
          <w:sz w:val="24"/>
          <w:szCs w:val="24"/>
          <w:lang w:val="sr"/>
        </w:rPr>
        <w:t>Ukupan broj upisane djece u predškolsko obrazovanje 2024/2025. godine je 312, od čega je 52,4% dječaka i 47,76% djevojčica.</w:t>
      </w:r>
    </w:p>
    <w:p w:rsidR="00D754D0" w:rsidRDefault="00D754D0" w:rsidP="00BA2306">
      <w:pPr>
        <w:numPr>
          <w:ilvl w:val="0"/>
          <w:numId w:val="29"/>
        </w:numPr>
        <w:spacing w:after="0" w:line="276" w:lineRule="auto"/>
        <w:contextualSpacing/>
        <w:jc w:val="both"/>
        <w:rPr>
          <w:rFonts w:ascii="Arial" w:hAnsi="Arial" w:cs="Arial"/>
          <w:sz w:val="24"/>
          <w:szCs w:val="24"/>
          <w:lang w:val="sr"/>
        </w:rPr>
      </w:pPr>
      <w:r w:rsidRPr="00D754D0">
        <w:rPr>
          <w:rFonts w:ascii="Arial" w:hAnsi="Arial" w:cs="Arial"/>
          <w:sz w:val="24"/>
          <w:szCs w:val="24"/>
          <w:lang w:val="sr"/>
        </w:rPr>
        <w:t>U školskoj 2024/2025. godini ukupan broj upisane djece u osnovnim školama je 1 721, od čega je 50,1% dječaka i 49,9% djevojčica.</w:t>
      </w:r>
    </w:p>
    <w:p w:rsidR="00D754D0" w:rsidRDefault="00D754D0" w:rsidP="00BA2306">
      <w:pPr>
        <w:numPr>
          <w:ilvl w:val="0"/>
          <w:numId w:val="29"/>
        </w:numPr>
        <w:spacing w:after="0" w:line="276" w:lineRule="auto"/>
        <w:contextualSpacing/>
        <w:jc w:val="both"/>
        <w:rPr>
          <w:rFonts w:ascii="Arial" w:hAnsi="Arial" w:cs="Arial"/>
          <w:sz w:val="24"/>
          <w:szCs w:val="24"/>
          <w:lang w:val="sr"/>
        </w:rPr>
      </w:pPr>
      <w:r w:rsidRPr="00D754D0">
        <w:rPr>
          <w:rFonts w:ascii="Arial" w:hAnsi="Arial" w:cs="Arial"/>
          <w:sz w:val="24"/>
          <w:szCs w:val="24"/>
          <w:lang w:val="sr"/>
        </w:rPr>
        <w:t>Ukupan broj učenika u srednjim školama, školske 2024/2025 je 172, od čega je 57,0% dječaka i 43,0% djevojčica.</w:t>
      </w:r>
    </w:p>
    <w:p w:rsidR="00E66F9A" w:rsidRDefault="00E66F9A" w:rsidP="00BA2306">
      <w:pPr>
        <w:numPr>
          <w:ilvl w:val="0"/>
          <w:numId w:val="29"/>
        </w:numPr>
        <w:spacing w:after="0" w:line="276" w:lineRule="auto"/>
        <w:contextualSpacing/>
        <w:jc w:val="both"/>
        <w:rPr>
          <w:rFonts w:ascii="Arial" w:hAnsi="Arial" w:cs="Arial"/>
          <w:sz w:val="24"/>
          <w:szCs w:val="24"/>
          <w:lang w:val="sr"/>
        </w:rPr>
      </w:pPr>
      <w:r>
        <w:rPr>
          <w:rFonts w:ascii="Arial" w:hAnsi="Arial" w:cs="Arial"/>
          <w:sz w:val="24"/>
          <w:szCs w:val="24"/>
          <w:lang w:val="sr"/>
        </w:rPr>
        <w:t>Ukupan broj studenata/studenkinja koji pohađaju fakultet je 17.</w:t>
      </w:r>
    </w:p>
    <w:p w:rsidR="00BA2306" w:rsidRPr="00BA2306" w:rsidRDefault="00DF7377" w:rsidP="00BA2306">
      <w:pPr>
        <w:numPr>
          <w:ilvl w:val="0"/>
          <w:numId w:val="29"/>
        </w:numPr>
        <w:spacing w:after="0" w:line="276" w:lineRule="auto"/>
        <w:contextualSpacing/>
        <w:jc w:val="both"/>
        <w:rPr>
          <w:rFonts w:ascii="Arial" w:hAnsi="Arial" w:cs="Arial"/>
          <w:sz w:val="24"/>
          <w:szCs w:val="24"/>
          <w:lang w:val="sr"/>
        </w:rPr>
      </w:pPr>
      <w:r>
        <w:rPr>
          <w:rFonts w:ascii="Arial" w:hAnsi="Arial" w:cs="Arial"/>
          <w:sz w:val="24"/>
          <w:szCs w:val="24"/>
          <w:lang w:val="sr"/>
        </w:rPr>
        <w:t xml:space="preserve">Razmotrena </w:t>
      </w:r>
      <w:r w:rsidR="00BA2306" w:rsidRPr="00BA2306">
        <w:rPr>
          <w:rFonts w:ascii="Arial" w:hAnsi="Arial" w:cs="Arial"/>
          <w:sz w:val="24"/>
          <w:szCs w:val="24"/>
          <w:lang w:val="sr"/>
        </w:rPr>
        <w:t xml:space="preserve">je </w:t>
      </w:r>
      <w:r>
        <w:rPr>
          <w:rFonts w:ascii="Arial" w:hAnsi="Arial" w:cs="Arial"/>
          <w:sz w:val="24"/>
          <w:szCs w:val="24"/>
          <w:lang w:val="sr"/>
        </w:rPr>
        <w:t xml:space="preserve">mogučnost </w:t>
      </w:r>
      <w:r w:rsidR="00BA2306" w:rsidRPr="00BA2306">
        <w:rPr>
          <w:rFonts w:ascii="Arial" w:hAnsi="Arial" w:cs="Arial"/>
          <w:sz w:val="24"/>
          <w:szCs w:val="24"/>
          <w:lang w:val="sr"/>
        </w:rPr>
        <w:t>uvođenj</w:t>
      </w:r>
      <w:r>
        <w:rPr>
          <w:rFonts w:ascii="Arial" w:hAnsi="Arial" w:cs="Arial"/>
          <w:sz w:val="24"/>
          <w:szCs w:val="24"/>
          <w:lang w:val="sr"/>
        </w:rPr>
        <w:t>a</w:t>
      </w:r>
      <w:r w:rsidR="00BA2306" w:rsidRPr="00BA2306">
        <w:rPr>
          <w:rFonts w:ascii="Arial" w:hAnsi="Arial" w:cs="Arial"/>
          <w:sz w:val="24"/>
          <w:szCs w:val="24"/>
          <w:lang w:val="sr"/>
        </w:rPr>
        <w:t xml:space="preserve"> Romologije kao smjera na magistarskim studijama i izbornog predmeta za buduće vaspitače i učitelje na Filološkom fakultetu u Nikšiću. </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 xml:space="preserve">Predviđeno je pokretanje projekata kako bi se olakšalo obrazovanje romske djece. </w:t>
      </w:r>
    </w:p>
    <w:p w:rsid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Organizovani su seminari za edukaciju trenera u borbi protiv diskriminacije, a Zavod za stručno obrazovanje će izdavati licence za ovaj program.</w:t>
      </w:r>
    </w:p>
    <w:p w:rsidR="00DF7377" w:rsidRPr="00BA2306" w:rsidRDefault="00DF7377" w:rsidP="00616C56">
      <w:pPr>
        <w:spacing w:after="0" w:line="276" w:lineRule="auto"/>
        <w:ind w:left="720"/>
        <w:contextualSpacing/>
        <w:jc w:val="both"/>
        <w:rPr>
          <w:rFonts w:ascii="Arial" w:hAnsi="Arial" w:cs="Arial"/>
          <w:sz w:val="24"/>
          <w:szCs w:val="24"/>
          <w:lang w:val="sr"/>
        </w:rPr>
      </w:pPr>
    </w:p>
    <w:p w:rsidR="00BA2306" w:rsidRPr="00BA2306" w:rsidRDefault="00BA2306" w:rsidP="00BA2306">
      <w:pPr>
        <w:spacing w:after="0" w:line="276" w:lineRule="auto"/>
        <w:ind w:left="720"/>
        <w:contextualSpacing/>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b/>
          <w:sz w:val="24"/>
          <w:szCs w:val="24"/>
          <w:lang w:val="sr"/>
        </w:rPr>
      </w:pPr>
      <w:r w:rsidRPr="00BA2306">
        <w:rPr>
          <w:rFonts w:ascii="Arial" w:hAnsi="Arial" w:cs="Arial"/>
          <w:b/>
          <w:sz w:val="24"/>
          <w:szCs w:val="24"/>
          <w:lang w:val="sr"/>
        </w:rPr>
        <w:t>Zdravstvena zaštita:</w:t>
      </w:r>
    </w:p>
    <w:bookmarkEnd w:id="4"/>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Prema poslednjem istraživanju koje je UNDP sproveo 2017. godine, 95 odsto Roma i Egipćana uključeno je u sistem zdravstvene zaštite.</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Koordinaciono tijelo je upoznalo Ministarstvo zdravlja sa zaključcima Sa Roma seminara odrzanog 27. novembra- „</w:t>
      </w:r>
      <w:r w:rsidRPr="00BA2306">
        <w:rPr>
          <w:rFonts w:ascii="Arial" w:hAnsi="Arial" w:cs="Arial"/>
          <w:sz w:val="24"/>
          <w:szCs w:val="24"/>
          <w:lang w:val="sr"/>
        </w:rPr>
        <w:tab/>
        <w:t xml:space="preserve">Izraditi Protokol za pristup raseljenih lica zdravstvenoj zastiti i podijeliti svim zdravstvenim ustanovama u Crnoj Gori. Izrada obavezujuceg uputstva u cilju izrade protokola za ostvarivanje zdravstvene zaštite za RE populaciju. Protokol ili uputstvo da distribuira ustanovama resorni  Ministar, shodno Zakonu o zdravstvenoj zaštiti“, kako bi se obezbijedila dostupnost zdravstvene </w:t>
      </w:r>
      <w:r w:rsidRPr="00BA2306">
        <w:rPr>
          <w:rFonts w:ascii="Arial" w:hAnsi="Arial" w:cs="Arial"/>
          <w:sz w:val="24"/>
          <w:szCs w:val="24"/>
          <w:lang w:val="sr"/>
        </w:rPr>
        <w:lastRenderedPageBreak/>
        <w:t>zaštite romskoj populaciji koja nema riješena pitanja državljanstva i ličnih dokumenata. Ove izmjene će biti usklađene sa preporukama Svjetske zdravstvene organizacije i drugim međunarodnim preporukama.</w:t>
      </w:r>
    </w:p>
    <w:p w:rsidR="00BA2306" w:rsidRPr="00BA2306" w:rsidRDefault="00BA2306" w:rsidP="00BA2306">
      <w:pPr>
        <w:spacing w:after="0" w:line="276" w:lineRule="auto"/>
        <w:ind w:left="720"/>
        <w:contextualSpacing/>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b/>
          <w:sz w:val="24"/>
          <w:szCs w:val="24"/>
          <w:lang w:val="sr"/>
        </w:rPr>
      </w:pPr>
      <w:bookmarkStart w:id="5" w:name="_Hlk187832925"/>
      <w:r w:rsidRPr="00BA2306">
        <w:rPr>
          <w:rFonts w:ascii="Arial" w:hAnsi="Arial" w:cs="Arial"/>
          <w:b/>
          <w:sz w:val="24"/>
          <w:szCs w:val="24"/>
          <w:lang w:val="sr"/>
        </w:rPr>
        <w:t>Lična dokumenta i pravni status:</w:t>
      </w:r>
    </w:p>
    <w:bookmarkEnd w:id="5"/>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 xml:space="preserve"> Održani sastanci sa Ministarstvom unutrašnjih poslova, UNHCR-om, Građanskom alijansom i organizacijom „Help“ kako bi se riješila pitanja državljanstva i ličnih dokumenata za romsku populaciju. Identifikovano je 240 lica bez državljanstva prema podacima Popisa stanovništva iz 2023. godine. </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Planiran je terenski obilazak sa predstavnicima Ministarstva unutrašnjih poslova radi evidentiranja lica bez ličnih dokumenata.</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Ukupno je pribavljeno 13 identifikacionih dokumenata države porijekla za navedena lica .</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Broj lica kojima je pružena pomoć od strane Ambasade Republike Srbije i Ambasade Republike Kosovo u Crnoj Gori – 5.</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Broj lica kojima je pružena pravna ili finansijska pomoć za regulisanje pravnog statusa u Crnoj Gori- 43.</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Broj realizovanih informativnih posjeta i sastanaka- 43-lica.</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Broj lica koja su se dobrovoljno vratila u zemlju porijekla. Tokom 2024.godine, nije evidentiran dobrovoljni povratak.</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Broj identifikovanih lica i broj lica kojima je pružena podrška za upis u matične registre- 9.</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Broj lica kojima je pružena pravna pomoć-112 lica.</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Najmanje 100 pripadnika/ca RE zajednice informisano o postupku registracije novorođenčad.</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Tokom 2024.godine, bilo je više okruglih stolova i mediskih nastupa, na kojima je informisana RE populacija o značaju upisa u matičnu knjigu rođenih i značaju posjedovanja ličnih isprava.</w:t>
      </w:r>
    </w:p>
    <w:p w:rsidR="00BA2306" w:rsidRPr="00BA2306" w:rsidRDefault="00BA2306" w:rsidP="00BA2306">
      <w:pPr>
        <w:numPr>
          <w:ilvl w:val="0"/>
          <w:numId w:val="29"/>
        </w:numPr>
        <w:spacing w:line="256" w:lineRule="auto"/>
        <w:contextualSpacing/>
        <w:rPr>
          <w:rFonts w:ascii="Arial" w:hAnsi="Arial" w:cs="Arial"/>
          <w:b/>
          <w:sz w:val="24"/>
          <w:szCs w:val="24"/>
          <w:lang w:val="sr"/>
        </w:rPr>
      </w:pPr>
      <w:r w:rsidRPr="00BA2306">
        <w:rPr>
          <w:rFonts w:ascii="Arial" w:hAnsi="Arial" w:cs="Arial"/>
          <w:sz w:val="24"/>
          <w:szCs w:val="24"/>
          <w:lang w:val="sr"/>
        </w:rPr>
        <w:t xml:space="preserve">Zaključno sa 2024. podnijetih zahtjeva za privremeni boravak i stalni boravak ove populacije je </w:t>
      </w:r>
      <w:r w:rsidRPr="00BA2306">
        <w:rPr>
          <w:rFonts w:ascii="Arial" w:hAnsi="Arial" w:cs="Arial"/>
          <w:b/>
          <w:sz w:val="24"/>
          <w:szCs w:val="24"/>
          <w:lang w:val="sr"/>
        </w:rPr>
        <w:t>ostalo neriješena 42 zahtjeva, zbog nedostajuće dokumentacije matične države.</w:t>
      </w:r>
    </w:p>
    <w:p w:rsidR="00BA2306" w:rsidRPr="00BA2306" w:rsidRDefault="00BA2306" w:rsidP="00BA2306">
      <w:pPr>
        <w:spacing w:after="0" w:line="276" w:lineRule="auto"/>
        <w:ind w:left="720"/>
        <w:contextualSpacing/>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b/>
          <w:sz w:val="24"/>
          <w:szCs w:val="24"/>
          <w:lang w:val="sr"/>
        </w:rPr>
      </w:pPr>
      <w:bookmarkStart w:id="6" w:name="_Hlk187832932"/>
      <w:r w:rsidRPr="00BA2306">
        <w:rPr>
          <w:rFonts w:ascii="Arial" w:hAnsi="Arial" w:cs="Arial"/>
          <w:b/>
          <w:sz w:val="24"/>
          <w:szCs w:val="24"/>
          <w:lang w:val="sr"/>
        </w:rPr>
        <w:t>Ne -diskriminacija:</w:t>
      </w:r>
    </w:p>
    <w:bookmarkEnd w:id="6"/>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Pokrenut je program za borbu protiv svih oblika diskriminacije, sa posebnim fokusom na anticiganizam, razvijen u saradnji sa NVO „Koračajmo zajedno“. Očekuje se obuka trenera koji će realizovati ovaj program. Usvojen je plan za organizaciju seminara na temu ne-diskriminacije, a Koordinaciono tijelo će aktivno pratiti povratne informacije i potrebe učesnika.</w:t>
      </w:r>
    </w:p>
    <w:p w:rsidR="00BA2306" w:rsidRPr="00BA2306" w:rsidRDefault="00BA2306" w:rsidP="00BA2306">
      <w:pPr>
        <w:numPr>
          <w:ilvl w:val="0"/>
          <w:numId w:val="29"/>
        </w:numPr>
        <w:spacing w:after="0" w:line="276" w:lineRule="auto"/>
        <w:contextualSpacing/>
        <w:jc w:val="both"/>
        <w:rPr>
          <w:rFonts w:ascii="Arial" w:hAnsi="Arial" w:cs="Arial"/>
          <w:sz w:val="24"/>
          <w:szCs w:val="24"/>
          <w:lang w:val="sr"/>
        </w:rPr>
      </w:pPr>
      <w:r w:rsidRPr="00BA2306">
        <w:rPr>
          <w:rFonts w:ascii="Arial" w:hAnsi="Arial" w:cs="Arial"/>
          <w:sz w:val="24"/>
          <w:szCs w:val="24"/>
          <w:lang w:val="sr"/>
        </w:rPr>
        <w:t xml:space="preserve">Vlada je na sjednici od 19. decembra 2024. godine usvojila Strategiju razvoja Sistema socijalne i dječije zaštite za period od 2025. do 2028. godine sa Akcionim planom za 2025. godinu. Strategija se donosi se u cilju obezbjeđenja i ostvarivanja mjera </w:t>
      </w:r>
      <w:r w:rsidRPr="00BA2306">
        <w:rPr>
          <w:rFonts w:ascii="Arial" w:hAnsi="Arial" w:cs="Arial"/>
          <w:sz w:val="24"/>
          <w:szCs w:val="24"/>
          <w:lang w:val="sr"/>
        </w:rPr>
        <w:lastRenderedPageBreak/>
        <w:t>i programa namijenjenih pojedincu/pojedinki i porodici kojima je usljed posebnih okolnosti i socijalnog rizika potreban odgovarajući oblik socijalne i dječje zaštite.</w:t>
      </w:r>
    </w:p>
    <w:p w:rsidR="00BA2306" w:rsidRPr="00BA2306" w:rsidRDefault="00BA2306" w:rsidP="00BA2306">
      <w:pPr>
        <w:spacing w:after="0" w:line="276" w:lineRule="auto"/>
        <w:ind w:left="720"/>
        <w:contextualSpacing/>
        <w:jc w:val="both"/>
        <w:rPr>
          <w:rFonts w:ascii="Arial" w:hAnsi="Arial" w:cs="Arial"/>
          <w:sz w:val="24"/>
          <w:szCs w:val="24"/>
          <w:lang w:val="sr"/>
        </w:rPr>
      </w:pPr>
    </w:p>
    <w:p w:rsidR="00BA2306" w:rsidRPr="00BA2306" w:rsidRDefault="00BA2306" w:rsidP="00BA2306">
      <w:pPr>
        <w:spacing w:after="0" w:line="276" w:lineRule="auto"/>
        <w:jc w:val="both"/>
        <w:rPr>
          <w:rFonts w:ascii="Arial" w:hAnsi="Arial" w:cs="Arial"/>
          <w:sz w:val="24"/>
          <w:szCs w:val="24"/>
          <w:lang w:val="sr"/>
        </w:rPr>
      </w:pPr>
    </w:p>
    <w:p w:rsidR="00BA2306" w:rsidRPr="00BA2306" w:rsidRDefault="00BA2306" w:rsidP="00BA2306">
      <w:pPr>
        <w:tabs>
          <w:tab w:val="left" w:pos="1008"/>
        </w:tabs>
        <w:spacing w:line="240" w:lineRule="auto"/>
        <w:contextualSpacing/>
        <w:rPr>
          <w:rFonts w:ascii="Arial Black" w:hAnsi="Arial Black" w:cs="Arial"/>
          <w:b/>
          <w:color w:val="4472C4" w:themeColor="accent1"/>
          <w:kern w:val="0"/>
          <w:sz w:val="36"/>
          <w:szCs w:val="36"/>
          <w:lang w:val="sr-Latn-RS"/>
          <w14:ligatures w14:val="none"/>
        </w:rPr>
      </w:pPr>
      <w:r w:rsidRPr="00BA2306">
        <w:rPr>
          <w:rFonts w:ascii="Arial Black" w:hAnsi="Arial Black" w:cs="Arial"/>
          <w:b/>
          <w:color w:val="4472C4" w:themeColor="accent1"/>
          <w:kern w:val="0"/>
          <w:sz w:val="36"/>
          <w:szCs w:val="36"/>
          <w:lang w:val="sr-Latn-RS"/>
          <w14:ligatures w14:val="none"/>
        </w:rPr>
        <w:t>Zapošljavanje</w:t>
      </w:r>
    </w:p>
    <w:p w:rsidR="00BA2306" w:rsidRPr="00BA2306" w:rsidRDefault="00BA2306" w:rsidP="00BA2306">
      <w:pPr>
        <w:tabs>
          <w:tab w:val="left" w:pos="1008"/>
        </w:tabs>
        <w:spacing w:line="240" w:lineRule="auto"/>
        <w:ind w:left="1080"/>
        <w:contextualSpacing/>
        <w:rPr>
          <w:rFonts w:ascii="Arial Black" w:hAnsi="Arial Black" w:cs="Arial"/>
          <w:b/>
          <w:color w:val="4472C4" w:themeColor="accent1"/>
          <w:kern w:val="0"/>
          <w:sz w:val="36"/>
          <w:szCs w:val="36"/>
          <w:lang w:val="sr-Latn-RS"/>
          <w14:ligatures w14:val="none"/>
        </w:rPr>
      </w:pP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Planirano je sistematizovanje radnih mjesta za saradnike i medijatore u Ministarstvu zdravlja, Ministarstvu rada, zapošljavanja i socijalnog dijaloga, te Ministarstvu socijalnog staranja, brige o porodici i demografiji. Ova inicijativa ima za cilj poboljšanje efikasnosti u pružanju usluga građanima, posebno u segmentima zdravstva, zapošljavanja i socijalne zaštite, kroz angažovanje kvalifikovanih stručnjaka koji će posredovati između institucija i korisnika usluga.</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Pored toga, razvijen je Nacionalni program za transformaciju neformalne zaposlenosti Roma i Egipćana u Crnoj Gori. Ovaj program ima za cilj da integriše romsku i egipatsku zajednicu u formalno tržište rada, pružajući im pristup obrazovanju, stručnom osposobljavanju i radnim pravima, što će dugoročno doprinijeti smanjenju siromaštva i socijalne isključenosti. Program obuhvata niz aktivnosti, uključujući podršku za samozapošljavanje, promociju jednakih mogućnosti i jačanje kapaciteta lokalnih zajednica.</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Pružanje  usluga pripreme za zapošljavanje – individualno savjetovanje/ individualni plan zapošljavanja pripadnicima/cama RE populacije koji se nalaze na evidenciji nezaposlenih lica.</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 xml:space="preserve">Pružanje  usluga pripreme za zapošljavanje -profesionalne orijentacije pripadnicima/cama RE populacije koji se nalaze na evidenciji nezaposlenih lica Broj pripadnika RE populacije koji se nalaze na evidenciji nezaposlenih lica kojima su pružene usluge profesionalne orijentacije - 134, od kojih 34 žene(25,27%), (struktura po polu) ZZZCG i NVO „CAREP", u okviru projekta "Karijerna karta za mlade RE “Od edukacije do zapošljavanja” učestvovao u motivisanju i info sesijama za opštine Nikšić, Bijelo Polje, Berane i Pljevlja, koje su završene prijavom 36 mladih pripadnika RE zainteresovanih za plaćeno stažiranje. </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ZZZCG i NVO „Mladi Romi Podgorice“ motivisanje za učešće u projektu “Osposobljavanje odraslih RE“, u kojem će četiri pripadnice ove populacije pohađati obuku za zanimanje pomoćni frizer.</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Pružanje usluga posredovanja pri zapošljavanju RE populacije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Broj nezaposlenih lica RE populacije kojima su pružene usluge posredovanja pri zapošljavanju-125, od kojih 62 žene(45,92%).</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Broj nezaposlenih lica RE populacije koji su uključeni u program javnih radova -16 (3,16%), od ukupno 506 uključenih nezaposlenih lica.</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Broj nezaposlenih lica RE populacije koji su uključeni u programe obrazovanja odraslih-3 (1,42%), od ukupno 506 uključenih nezaposlenih lica.</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Uključivanje nezaposlenih RE u program podsticaja za zapošljavanje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lastRenderedPageBreak/>
        <w:t>Nezaposlena lica RE populacije nisu bili uključeni u program podsticaja za zapošljavanje.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Organizovanje obuka na radu kod poslodavca za pripadnike/ce RE populacije u opštinama na sjeveru Crne Gore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Broj RE lica- 3 (1,25%), od  ukupno 506 uključenih nezaposlenih lica, završilo obuku  na radu kod poslodavca.</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Aktivacija roditelja u RE porodicama u riziku kroz obuku na radu kod poslodavca i sertifikovane obuke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Najmanje 15 pripadnika/ca – roditelja iz RE zajednice učestvovalo u programu radne aktivacije.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Sistemazovanje radnih mjesta za saradnike/ce u socijalnoj inkluziji RE za oblast zapošljavanja i socijalne zaštite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 xml:space="preserve">Potpisan Memorandum o saradnji, sa ciljem definisanja i uspostavljanja saradnje između Ministarstva ljudskih i manjinskih prava i  Zavoda za zapošljavanje Crne Gore u angažovanju Medijatora-Saradnika, koji djeluju kao posrednici između Romske i Egipćanske zajednice i državnih institucija. Strane potpisnice su saglasne da u okviru svojih nadležnosti uspostave odgovarajuće mehanizame za saradnju u ostvarivanju ljudskih prava, radi preduzimaja zajedničkih aktivnosti na ispunjenju cilja Memoranduma. </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Biznis inkubator za 5 odraslih pripadnika/ca romske i egipćanske zajednice</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5 odraslih građana/ki romske i egipćanske populacije nastavilo da privređuje u okviru biznis inkubatora na Koniku;</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5 građana/ki romske i egipćanske zajednice registrovano i legalno posluju kao preduzetnici.</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Tutorstvo za 20 odraslih pripadnika/ca romske I egipćanske zajednice na temu zapošljavanja (asistencija u pisanju CV-a, infrmisanje o dostupnim poslovima...)</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Pružena pomoć za 20 građana/ki romske i egipćanske zajednice da samostalno aplicira za posao.</w:t>
      </w:r>
    </w:p>
    <w:p w:rsidR="00BA2306" w:rsidRPr="00BA2306" w:rsidRDefault="00BA2306" w:rsidP="00BA2306">
      <w:pPr>
        <w:numPr>
          <w:ilvl w:val="0"/>
          <w:numId w:val="5"/>
        </w:numPr>
        <w:tabs>
          <w:tab w:val="left" w:pos="1008"/>
        </w:tabs>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Organizovanje posjeta sajmovim zapošljavanja/animiranje poslodavaca u cilju prezentacija otvorenih radnih mjesta</w:t>
      </w:r>
    </w:p>
    <w:p w:rsidR="00BA2306" w:rsidRPr="00BA2306" w:rsidRDefault="00BA2306" w:rsidP="00BA2306">
      <w:pPr>
        <w:numPr>
          <w:ilvl w:val="0"/>
          <w:numId w:val="5"/>
        </w:numPr>
        <w:spacing w:line="256" w:lineRule="auto"/>
        <w:contextualSpacing/>
        <w:rPr>
          <w:rFonts w:ascii="Arial" w:eastAsia="Calibri" w:hAnsi="Arial" w:cs="Arial"/>
          <w:kern w:val="0"/>
          <w:lang w:val="sr-Latn-CS"/>
          <w14:ligatures w14:val="none"/>
        </w:rPr>
      </w:pPr>
      <w:r w:rsidRPr="00BA2306">
        <w:rPr>
          <w:rFonts w:ascii="Arial" w:eastAsia="Calibri" w:hAnsi="Arial" w:cs="Arial"/>
          <w:kern w:val="0"/>
          <w:lang w:val="sr-Latn-CS"/>
          <w14:ligatures w14:val="none"/>
        </w:rPr>
        <w:t>U centrima za socijalni rad sistematizovano je radno mjesto Saradnik u socijalnoj zaštiti romske i egipćanske zajednice u oblasti socijalne zaštite, i to u opštinama: Podgorica (2), Nikšić (1), Bar (1), Berane (1) i Bijelo Polje (1). Zadatak Saradnika u socijalnoj inkluziji za Rome i Egipćane u oblasti socijalne zaštite se sastoji u pomaganju pojedincima iz romske i egipćanske  populacije u ostvarivanju prava na socijalnu i dječiju zaštitu. Budžetom za 2025. godinu planirana su sredstva za navedena radna mjesta.</w:t>
      </w:r>
    </w:p>
    <w:p w:rsidR="00BA2306" w:rsidRDefault="00BA2306" w:rsidP="00BA2306">
      <w:pPr>
        <w:spacing w:line="256" w:lineRule="auto"/>
        <w:ind w:left="720"/>
        <w:contextualSpacing/>
        <w:rPr>
          <w:rFonts w:ascii="Arial" w:eastAsia="Calibri" w:hAnsi="Arial" w:cs="Arial"/>
          <w:kern w:val="0"/>
          <w:lang w:val="sr-Latn-CS"/>
          <w14:ligatures w14:val="none"/>
        </w:rPr>
      </w:pPr>
    </w:p>
    <w:p w:rsidR="00774275" w:rsidRPr="00BA2306" w:rsidRDefault="00774275" w:rsidP="00774275">
      <w:pPr>
        <w:tabs>
          <w:tab w:val="left" w:pos="1008"/>
        </w:tabs>
        <w:spacing w:line="240" w:lineRule="auto"/>
        <w:contextualSpacing/>
        <w:rPr>
          <w:rFonts w:ascii="Arial Black" w:hAnsi="Arial Black" w:cs="Arial"/>
          <w:b/>
          <w:color w:val="4472C4" w:themeColor="accent1"/>
          <w:kern w:val="0"/>
          <w:sz w:val="36"/>
          <w:szCs w:val="36"/>
          <w:lang w:val="sr-Latn-RS"/>
          <w14:ligatures w14:val="none"/>
        </w:rPr>
      </w:pPr>
      <w:r>
        <w:rPr>
          <w:rFonts w:ascii="Arial Black" w:hAnsi="Arial Black" w:cs="Arial"/>
          <w:b/>
          <w:color w:val="4472C4" w:themeColor="accent1"/>
          <w:kern w:val="0"/>
          <w:sz w:val="36"/>
          <w:szCs w:val="36"/>
          <w:lang w:val="sr-Latn-RS"/>
          <w14:ligatures w14:val="none"/>
        </w:rPr>
        <w:t xml:space="preserve">Socijalna </w:t>
      </w:r>
      <w:r>
        <w:rPr>
          <w:rFonts w:ascii="Arial Black" w:hAnsi="Arial Black" w:cs="Arial"/>
          <w:b/>
          <w:color w:val="4472C4" w:themeColor="accent1"/>
          <w:kern w:val="0"/>
          <w:sz w:val="36"/>
          <w:szCs w:val="36"/>
          <w:lang w:val="sr-Latn-ME"/>
          <w14:ligatures w14:val="none"/>
        </w:rPr>
        <w:t>zaštita</w:t>
      </w:r>
      <w:r>
        <w:rPr>
          <w:rFonts w:ascii="Arial Black" w:hAnsi="Arial Black" w:cs="Arial"/>
          <w:b/>
          <w:color w:val="4472C4" w:themeColor="accent1"/>
          <w:kern w:val="0"/>
          <w:sz w:val="36"/>
          <w:szCs w:val="36"/>
          <w:lang w:val="sr-Latn-RS"/>
          <w14:ligatures w14:val="none"/>
        </w:rPr>
        <w:t xml:space="preserve"> </w:t>
      </w:r>
    </w:p>
    <w:p w:rsidR="00774275" w:rsidRPr="00BA2306" w:rsidRDefault="00774275" w:rsidP="00774275">
      <w:pPr>
        <w:tabs>
          <w:tab w:val="left" w:pos="1008"/>
        </w:tabs>
        <w:spacing w:line="276" w:lineRule="auto"/>
        <w:ind w:left="720"/>
        <w:contextualSpacing/>
        <w:jc w:val="both"/>
        <w:rPr>
          <w:rFonts w:ascii="Arial" w:eastAsia="Calibri" w:hAnsi="Arial" w:cs="Arial"/>
          <w:kern w:val="0"/>
          <w:lang w:val="sr-Latn-CS"/>
          <w14:ligatures w14:val="none"/>
        </w:rPr>
      </w:pPr>
    </w:p>
    <w:p w:rsidR="00774275" w:rsidRDefault="00774275" w:rsidP="00774275">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Adaptacija naselja socijalnog stanovanja u Pljevljima – Trlica.</w:t>
      </w:r>
      <w:r w:rsidRPr="00BA2306">
        <w:rPr>
          <w:kern w:val="0"/>
          <w14:ligatures w14:val="none"/>
        </w:rPr>
        <w:t xml:space="preserve"> </w:t>
      </w:r>
      <w:r w:rsidRPr="00BA2306">
        <w:rPr>
          <w:rFonts w:ascii="Arial" w:eastAsia="Calibri" w:hAnsi="Arial" w:cs="Arial"/>
          <w:kern w:val="0"/>
          <w:lang w:val="sr-Latn-CS"/>
          <w14:ligatures w14:val="none"/>
        </w:rPr>
        <w:t>Adaptirano deset individualnih stambenih objekata.</w:t>
      </w:r>
    </w:p>
    <w:p w:rsidR="00774275" w:rsidRPr="00BA2306" w:rsidRDefault="00774275" w:rsidP="00774275">
      <w:pPr>
        <w:spacing w:line="276" w:lineRule="auto"/>
        <w:ind w:left="720"/>
        <w:contextualSpacing/>
        <w:jc w:val="both"/>
        <w:rPr>
          <w:rFonts w:ascii="Arial" w:eastAsia="Calibri" w:hAnsi="Arial" w:cs="Arial"/>
          <w:kern w:val="0"/>
          <w:lang w:val="sr-Latn-CS"/>
          <w14:ligatures w14:val="none"/>
        </w:rPr>
      </w:pPr>
    </w:p>
    <w:p w:rsidR="00774275" w:rsidRDefault="00774275" w:rsidP="00774275">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Angažovanje asistenata za podršku korisnicima stambenih jedinica.</w:t>
      </w:r>
      <w:r w:rsidRPr="00BA2306">
        <w:rPr>
          <w:kern w:val="0"/>
          <w14:ligatures w14:val="none"/>
        </w:rPr>
        <w:t xml:space="preserve"> </w:t>
      </w:r>
      <w:r w:rsidRPr="00BA2306">
        <w:rPr>
          <w:rFonts w:ascii="Arial" w:eastAsia="Calibri" w:hAnsi="Arial" w:cs="Arial"/>
          <w:kern w:val="0"/>
          <w:lang w:val="sr-Latn-CS"/>
          <w14:ligatures w14:val="none"/>
        </w:rPr>
        <w:t>Aktivnost realizovana-angažovana dva asistenata za podršku.</w:t>
      </w:r>
    </w:p>
    <w:p w:rsidR="00774275" w:rsidRDefault="00774275" w:rsidP="00774275">
      <w:pPr>
        <w:spacing w:line="276" w:lineRule="auto"/>
        <w:ind w:left="720"/>
        <w:contextualSpacing/>
        <w:jc w:val="both"/>
        <w:rPr>
          <w:rFonts w:ascii="Arial" w:eastAsia="Calibri" w:hAnsi="Arial" w:cs="Arial"/>
          <w:kern w:val="0"/>
          <w:lang w:val="sr-Latn-CS"/>
          <w14:ligatures w14:val="none"/>
        </w:rPr>
      </w:pPr>
    </w:p>
    <w:p w:rsidR="00BA2306" w:rsidRPr="00774275" w:rsidRDefault="00774275" w:rsidP="00774275">
      <w:pPr>
        <w:numPr>
          <w:ilvl w:val="0"/>
          <w:numId w:val="8"/>
        </w:numPr>
        <w:spacing w:line="276" w:lineRule="auto"/>
        <w:contextualSpacing/>
        <w:jc w:val="both"/>
        <w:rPr>
          <w:rFonts w:ascii="Arial" w:eastAsia="Calibri" w:hAnsi="Arial" w:cs="Arial"/>
          <w:kern w:val="0"/>
          <w:lang w:val="sr-Latn-CS"/>
          <w14:ligatures w14:val="none"/>
        </w:rPr>
      </w:pPr>
      <w:r w:rsidRPr="00774275">
        <w:rPr>
          <w:rFonts w:ascii="Arial" w:eastAsia="Calibri" w:hAnsi="Arial" w:cs="Arial"/>
          <w:kern w:val="0"/>
          <w:lang w:val="sr-Latn-CS"/>
          <w14:ligatures w14:val="none"/>
        </w:rPr>
        <w:lastRenderedPageBreak/>
        <w:t>Sistematizovano je 6  radnih mjesta za saradnike i medijatore u, Ministarstvu socijalnog staranja, brige o porodici i demografiji. Ova inicijativa ima za cilj poboljšanje efikasnosti u pružanju usluga građanima, posebno u segmentima socijalne zaštite, kroz angažovanje kvalifikovanih stručnjaka koji će posredovati između institucija i korisnika usluga.</w:t>
      </w:r>
    </w:p>
    <w:p w:rsidR="00BA2306" w:rsidRPr="00BA2306" w:rsidRDefault="00BA2306" w:rsidP="00BA2306">
      <w:pPr>
        <w:tabs>
          <w:tab w:val="left" w:pos="1008"/>
        </w:tabs>
        <w:spacing w:line="276" w:lineRule="auto"/>
        <w:ind w:left="720"/>
        <w:contextualSpacing/>
        <w:jc w:val="both"/>
        <w:rPr>
          <w:rFonts w:ascii="Arial" w:eastAsia="Calibri" w:hAnsi="Arial" w:cs="Arial"/>
          <w:kern w:val="0"/>
          <w:lang w:val="sr-Latn-CS"/>
          <w14:ligatures w14:val="none"/>
        </w:rPr>
      </w:pPr>
    </w:p>
    <w:p w:rsidR="00BA2306" w:rsidRPr="00BA2306" w:rsidRDefault="00BA2306" w:rsidP="00BA2306">
      <w:pPr>
        <w:tabs>
          <w:tab w:val="left" w:pos="1008"/>
        </w:tabs>
        <w:spacing w:line="276" w:lineRule="auto"/>
        <w:ind w:left="720"/>
        <w:contextualSpacing/>
        <w:jc w:val="both"/>
        <w:rPr>
          <w:rFonts w:ascii="Arial" w:eastAsia="Calibri" w:hAnsi="Arial" w:cs="Arial"/>
          <w:kern w:val="0"/>
          <w:lang w:val="sr-Latn-CS"/>
          <w14:ligatures w14:val="none"/>
        </w:rPr>
      </w:pPr>
    </w:p>
    <w:p w:rsidR="00BA2306" w:rsidRPr="00BA2306" w:rsidRDefault="00BA2306" w:rsidP="00BA2306">
      <w:pPr>
        <w:tabs>
          <w:tab w:val="left" w:pos="1008"/>
        </w:tabs>
        <w:spacing w:line="240" w:lineRule="auto"/>
        <w:rPr>
          <w:rFonts w:ascii="Arial Black" w:hAnsi="Arial Black" w:cs="Arial"/>
          <w:kern w:val="0"/>
          <w:sz w:val="28"/>
          <w:szCs w:val="28"/>
          <w:lang w:val="sr-Latn-RS"/>
          <w14:ligatures w14:val="none"/>
        </w:rPr>
      </w:pPr>
      <w:r w:rsidRPr="00BA2306">
        <w:rPr>
          <w:rFonts w:ascii="Arial Black" w:hAnsi="Arial Black" w:cs="Arial"/>
          <w:kern w:val="0"/>
          <w:sz w:val="28"/>
          <w:szCs w:val="28"/>
          <w:lang w:val="sr-Latn-RS"/>
          <w14:ligatures w14:val="none"/>
        </w:rPr>
        <w:t>Preporuke koordinacionog tijela:</w:t>
      </w:r>
    </w:p>
    <w:p w:rsidR="00BA2306" w:rsidRP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 xml:space="preserve">Povećanje broja zaposlenih Roma i Egipćana zahtjeva sveobuhvatan pristup koji uključuje obrazovne, ekonomske, političke i društvene mjere. </w:t>
      </w:r>
    </w:p>
    <w:p w:rsidR="00BA2306" w:rsidRP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U sistematizaciji radnih mjesta za saradnike i medijatore, važno je jasno definisati njihove uloge, odgovornosti i ciljeve. Ovo će omogućiti efikasnije pružanje usluga i bolju koordinaciju između različitih ministarstava.</w:t>
      </w:r>
    </w:p>
    <w:p w:rsidR="00BA2306" w:rsidRP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Omogućiti kontinuiranu obuku i razvoj za nove saradnike i medijatore, kako bi se osigurala njihova stručnost u rješavanju kompleksnih problema RE populacije i pružanju kvalitetnih usluga.</w:t>
      </w:r>
    </w:p>
    <w:p w:rsidR="00BA2306" w:rsidRP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Uspostaviti mehanizme za redovno praćenje i evaluaciju učinka saradnika i medijatora, kako bi se osiguralo da njihove aktivnosti imaju pozitivan uticaj na korisnike usluga.</w:t>
      </w:r>
    </w:p>
    <w:p w:rsidR="00BA2306" w:rsidRP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Kod transformacije neformalne zaposlenosti Roma i Egipćana, preporučuje se aktivno uključivanje predstavnika zajednice u sve faze implementacije programa. Ovo će pomoći u identifikaciji specifičnih potreba i izazova s kojima se suočavaju, te osigurati da program bude prilagođen njihovim stvarnim potrebama.</w:t>
      </w:r>
    </w:p>
    <w:p w:rsidR="00BA2306" w:rsidRP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Razviti partnerstva i saradnju sa Unijom poslodavaca sa privatnim sektorom i nevladinim organizacijama koje mogu pružiti dodatnu podršku, resurse i ekspertizu u procesima integracije u formalno tržište rada.</w:t>
      </w:r>
    </w:p>
    <w:p w:rsidR="00BA2306" w:rsidRP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Pokrenuti informativne kampanje za podizanje svijesti o važnosti formalnog zapošljavanja, pravima radnika i dostupnim resursima. Ovo može pomoći u motivisanju zajednica da se aktivnije uključe u program.</w:t>
      </w:r>
    </w:p>
    <w:p w:rsidR="00BA2306" w:rsidRDefault="00BA2306" w:rsidP="00BA2306">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Uvesti mjere koje će osigurati da i muškarci i žene imaju jednake mogućnosti za pristup programima zapošljavanja i profesionalnog razvoja, posebno u kontekstu romske i egipćanske zajednice gdje tradicionalne rodne uloge mogu predstavljati barijeru.</w:t>
      </w:r>
    </w:p>
    <w:p w:rsidR="00055DF3" w:rsidRPr="00055DF3" w:rsidRDefault="00055DF3" w:rsidP="00055DF3">
      <w:pPr>
        <w:numPr>
          <w:ilvl w:val="0"/>
          <w:numId w:val="39"/>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055DF3">
        <w:rPr>
          <w:rFonts w:ascii="Arial Nova" w:eastAsia="Times New Roman" w:hAnsi="Arial Nova" w:cs="Times New Roman"/>
          <w:kern w:val="0"/>
          <w:sz w:val="24"/>
          <w:szCs w:val="24"/>
          <w:lang w:val="sr-Latn-RS" w:eastAsia="en-GB"/>
          <w14:ligatures w14:val="none"/>
        </w:rPr>
        <w:t>Potrebno je intenzivirati sprovođenje programa stručnog osposobljavanja, prekvalifikacije ili dokvalifikacije,</w:t>
      </w:r>
      <w:r>
        <w:rPr>
          <w:rFonts w:ascii="Arial Nova" w:eastAsia="Times New Roman" w:hAnsi="Arial Nova" w:cs="Times New Roman"/>
          <w:kern w:val="0"/>
          <w:sz w:val="24"/>
          <w:szCs w:val="24"/>
          <w:lang w:val="sr-Latn-RS" w:eastAsia="en-GB"/>
          <w14:ligatures w14:val="none"/>
        </w:rPr>
        <w:t xml:space="preserve"> </w:t>
      </w:r>
      <w:r w:rsidRPr="00055DF3">
        <w:rPr>
          <w:rFonts w:ascii="Arial Nova" w:eastAsia="Times New Roman" w:hAnsi="Arial Nova" w:cs="Times New Roman"/>
          <w:kern w:val="0"/>
          <w:sz w:val="24"/>
          <w:szCs w:val="24"/>
          <w:lang w:val="sr-Latn-RS" w:eastAsia="en-GB"/>
          <w14:ligatures w14:val="none"/>
        </w:rPr>
        <w:t>kao i finansijske podrške i podsticaja za samozapošljavanje Roma i Egipćana i kroz programe namijenjene ranjivim kategorijama na evidenciji Zavoda za zapošljavanje, uključujući žene Romkinje i žene Romkinje iz ruralnih područja</w:t>
      </w:r>
      <w:r>
        <w:rPr>
          <w:rFonts w:ascii="Arial Nova" w:eastAsia="Times New Roman" w:hAnsi="Arial Nova" w:cs="Times New Roman"/>
          <w:kern w:val="0"/>
          <w:sz w:val="24"/>
          <w:szCs w:val="24"/>
          <w:lang w:val="sr-Latn-RS" w:eastAsia="en-GB"/>
          <w14:ligatures w14:val="none"/>
        </w:rPr>
        <w:t>.</w:t>
      </w:r>
    </w:p>
    <w:p w:rsidR="00BA2306" w:rsidRPr="00BA2306" w:rsidRDefault="00BA2306" w:rsidP="00BA2306">
      <w:p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Implementacija ovih preporuka zahtjeva koordinisane napore svih društvenih aktera kako bi se osigurala održiva i efikasna integracija Roma i Egipćana u tržište rada.</w:t>
      </w:r>
    </w:p>
    <w:p w:rsidR="00BA2306" w:rsidRPr="003351DA" w:rsidRDefault="003351DA" w:rsidP="003351DA">
      <w:pPr>
        <w:tabs>
          <w:tab w:val="left" w:pos="1008"/>
        </w:tabs>
        <w:spacing w:line="240" w:lineRule="auto"/>
        <w:rPr>
          <w:rFonts w:ascii="Arial Black" w:hAnsi="Arial Black" w:cs="Arial"/>
          <w:b/>
          <w:color w:val="0070C0"/>
          <w:kern w:val="0"/>
          <w:sz w:val="36"/>
          <w:szCs w:val="36"/>
          <w:lang w:val="sr-Latn-RS"/>
          <w14:ligatures w14:val="none"/>
        </w:rPr>
      </w:pPr>
      <w:r w:rsidRPr="003351DA">
        <w:rPr>
          <w:rFonts w:ascii="Arial Black" w:hAnsi="Arial Black" w:cs="Arial"/>
          <w:b/>
          <w:color w:val="0070C0"/>
          <w:kern w:val="0"/>
          <w:sz w:val="36"/>
          <w:szCs w:val="36"/>
          <w:lang w:val="sr-Latn-RS"/>
          <w14:ligatures w14:val="none"/>
        </w:rPr>
        <w:lastRenderedPageBreak/>
        <w:t>S</w:t>
      </w:r>
      <w:r>
        <w:rPr>
          <w:rFonts w:ascii="Arial Black" w:hAnsi="Arial Black" w:cs="Arial"/>
          <w:b/>
          <w:color w:val="0070C0"/>
          <w:kern w:val="0"/>
          <w:sz w:val="36"/>
          <w:szCs w:val="36"/>
          <w:lang w:val="sr-Latn-RS"/>
          <w14:ligatures w14:val="none"/>
        </w:rPr>
        <w:t>OC</w:t>
      </w:r>
      <w:r w:rsidRPr="003351DA">
        <w:rPr>
          <w:rFonts w:ascii="Arial Black" w:hAnsi="Arial Black" w:cs="Arial"/>
          <w:b/>
          <w:color w:val="0070C0"/>
          <w:kern w:val="0"/>
          <w:sz w:val="36"/>
          <w:szCs w:val="36"/>
          <w:lang w:val="sr-Latn-RS"/>
          <w14:ligatures w14:val="none"/>
        </w:rPr>
        <w:t>IJALNO STARANJE</w:t>
      </w:r>
    </w:p>
    <w:p w:rsidR="003351DA" w:rsidRDefault="003351DA" w:rsidP="003351DA">
      <w:pPr>
        <w:numPr>
          <w:ilvl w:val="0"/>
          <w:numId w:val="8"/>
        </w:numPr>
        <w:spacing w:line="276" w:lineRule="auto"/>
        <w:contextualSpacing/>
        <w:jc w:val="both"/>
        <w:rPr>
          <w:rFonts w:ascii="Arial" w:eastAsia="Calibri" w:hAnsi="Arial" w:cs="Arial"/>
          <w:kern w:val="0"/>
          <w:lang w:val="sr-Latn-CS"/>
          <w14:ligatures w14:val="none"/>
        </w:rPr>
      </w:pPr>
      <w:bookmarkStart w:id="7" w:name="_Hlk188617020"/>
      <w:r w:rsidRPr="00BA2306">
        <w:rPr>
          <w:rFonts w:ascii="Arial" w:eastAsia="Calibri" w:hAnsi="Arial" w:cs="Arial"/>
          <w:kern w:val="0"/>
          <w:lang w:val="sr-Latn-CS"/>
          <w14:ligatures w14:val="none"/>
        </w:rPr>
        <w:t>Urađena je Studija izvodljivosti socijalnog stanovanja Roma i Egipćana u osam opština u Crnoj Gori (Bar, Berane, Bijelo Polje, Budva, Herceg Novi, Kotor, Nikšić, Ulcinj). Studija je urađena u saradnji sa Ministarstvom socijalnog staranja, brige o porodici i demogafija, Ministarstvom prosvjete, nauke i inovacija, Savjetom Evrope, Njemačkom humanitarnom organizacijom Help i Institutom za projekte, analize i studije IPAS iz Nikšića.</w:t>
      </w:r>
    </w:p>
    <w:p w:rsidR="003351DA" w:rsidRPr="00BA2306" w:rsidRDefault="003351DA" w:rsidP="003351DA">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Adaptacija naselja socijalnog stanovanja u Pljevljima – Trlica.</w:t>
      </w:r>
      <w:r w:rsidRPr="00BA2306">
        <w:rPr>
          <w:kern w:val="0"/>
          <w14:ligatures w14:val="none"/>
        </w:rPr>
        <w:t xml:space="preserve"> </w:t>
      </w:r>
      <w:r w:rsidRPr="00BA2306">
        <w:rPr>
          <w:rFonts w:ascii="Arial" w:eastAsia="Calibri" w:hAnsi="Arial" w:cs="Arial"/>
          <w:kern w:val="0"/>
          <w:lang w:val="sr-Latn-CS"/>
          <w14:ligatures w14:val="none"/>
        </w:rPr>
        <w:t>Adaptirano deset individualnih stambenih objekata.</w:t>
      </w:r>
    </w:p>
    <w:p w:rsidR="003351DA" w:rsidRPr="00BA2306" w:rsidRDefault="003351DA" w:rsidP="003351DA">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Angažovanje asistenata za podršku korisnicima stambenih jedinica.</w:t>
      </w:r>
      <w:r w:rsidRPr="00BA2306">
        <w:rPr>
          <w:kern w:val="0"/>
          <w14:ligatures w14:val="none"/>
        </w:rPr>
        <w:t xml:space="preserve"> </w:t>
      </w:r>
      <w:r w:rsidRPr="00BA2306">
        <w:rPr>
          <w:rFonts w:ascii="Arial" w:eastAsia="Calibri" w:hAnsi="Arial" w:cs="Arial"/>
          <w:kern w:val="0"/>
          <w:lang w:val="sr-Latn-CS"/>
          <w14:ligatures w14:val="none"/>
        </w:rPr>
        <w:t>Aktivnost realizovana-angažovana dva asistenata za podršku.</w:t>
      </w:r>
    </w:p>
    <w:p w:rsidR="003351DA" w:rsidRPr="003351DA" w:rsidRDefault="003351DA" w:rsidP="003351DA">
      <w:pPr>
        <w:numPr>
          <w:ilvl w:val="0"/>
          <w:numId w:val="8"/>
        </w:numPr>
        <w:spacing w:line="276" w:lineRule="auto"/>
        <w:contextualSpacing/>
        <w:jc w:val="both"/>
        <w:rPr>
          <w:rFonts w:ascii="Arial" w:eastAsia="Calibri" w:hAnsi="Arial" w:cs="Arial"/>
          <w:kern w:val="0"/>
          <w:lang w:val="sr-Latn-CS"/>
          <w14:ligatures w14:val="none"/>
        </w:rPr>
      </w:pPr>
      <w:r w:rsidRPr="003351DA">
        <w:rPr>
          <w:rFonts w:ascii="Arial" w:eastAsia="Calibri" w:hAnsi="Arial" w:cs="Arial"/>
          <w:kern w:val="0"/>
          <w:lang w:val="sr-Latn-CS"/>
          <w14:ligatures w14:val="none"/>
        </w:rPr>
        <w:t>Od februara 2024. godine angažovna su dva saradnika za oblast socijalnog stanovanja, koji u naselju na Vrelima Ribničkim pružaju svakodnevnu podršku stanovnicima te takođe koordiniraju između nadležnih državnih organa u cilju održivosti stanovanja u smislu obaveza po osnovu plaćanja komunalija i otklanjanja eventualnih oštećenja na objektima stanovanja.</w:t>
      </w:r>
    </w:p>
    <w:p w:rsidR="003351DA" w:rsidRPr="003351DA" w:rsidRDefault="003351DA" w:rsidP="003351DA">
      <w:pPr>
        <w:numPr>
          <w:ilvl w:val="0"/>
          <w:numId w:val="8"/>
        </w:numPr>
        <w:spacing w:line="276" w:lineRule="auto"/>
        <w:contextualSpacing/>
        <w:jc w:val="both"/>
        <w:rPr>
          <w:rFonts w:ascii="Arial" w:eastAsia="Calibri" w:hAnsi="Arial" w:cs="Arial"/>
          <w:kern w:val="0"/>
          <w:lang w:val="sr-Latn-CS"/>
          <w14:ligatures w14:val="none"/>
        </w:rPr>
      </w:pPr>
      <w:r w:rsidRPr="003351DA">
        <w:rPr>
          <w:rFonts w:ascii="Arial" w:eastAsia="Calibri" w:hAnsi="Arial" w:cs="Arial"/>
          <w:kern w:val="0"/>
          <w:lang w:val="sr-Latn-CS"/>
          <w14:ligatures w14:val="none"/>
        </w:rPr>
        <w:t>Odlukom Glavnog grada Ministarstvu socijalnog staranja, brige o porodici i demografije ustupljena su tri objekta na Vrelima Ribničkim, za čiju je adaptaciju Ministarstvo opredjelilo novčana sredstva u iznosu od 150.000 eura i HELP sredstva u iznosu od 200. 000 eura. HELP je raspisao tender o izvođenju radova na adaptaciji objekta, izvođač radova je izabran i zavisno od klimatskih uslova očekuje se da radovi na adaptaciji počnu u najskorijem roku.</w:t>
      </w:r>
    </w:p>
    <w:p w:rsidR="003351DA" w:rsidRPr="00BA2306" w:rsidRDefault="003351DA" w:rsidP="003351DA">
      <w:pPr>
        <w:spacing w:line="256" w:lineRule="auto"/>
        <w:ind w:left="720"/>
        <w:contextualSpacing/>
        <w:jc w:val="both"/>
        <w:rPr>
          <w:rFonts w:ascii="Cambria" w:hAnsi="Cambria" w:cs="Calibri"/>
          <w:color w:val="000000"/>
          <w:kern w:val="0"/>
          <w:sz w:val="24"/>
          <w:szCs w:val="24"/>
          <w:lang w:val="sr-Latn-RS"/>
          <w14:ligatures w14:val="none"/>
        </w:rPr>
      </w:pPr>
    </w:p>
    <w:bookmarkEnd w:id="7"/>
    <w:p w:rsidR="003351DA" w:rsidRPr="003351DA" w:rsidRDefault="003351DA" w:rsidP="003351DA">
      <w:pPr>
        <w:tabs>
          <w:tab w:val="left" w:pos="1008"/>
        </w:tabs>
        <w:spacing w:line="240" w:lineRule="auto"/>
        <w:rPr>
          <w:rFonts w:ascii="Arial Black" w:hAnsi="Arial Black" w:cs="Arial"/>
          <w:kern w:val="0"/>
          <w:sz w:val="28"/>
          <w:szCs w:val="28"/>
          <w:lang w:val="sr-Latn-RS"/>
          <w14:ligatures w14:val="none"/>
        </w:rPr>
      </w:pPr>
      <w:r w:rsidRPr="003351DA">
        <w:rPr>
          <w:rFonts w:ascii="Arial Black" w:hAnsi="Arial Black" w:cs="Arial"/>
          <w:kern w:val="0"/>
          <w:sz w:val="28"/>
          <w:szCs w:val="28"/>
          <w:lang w:val="sr-Latn-RS"/>
          <w14:ligatures w14:val="none"/>
        </w:rPr>
        <w:t>Preporuke</w:t>
      </w:r>
      <w:r>
        <w:rPr>
          <w:rFonts w:ascii="Arial Black" w:hAnsi="Arial Black" w:cs="Arial"/>
          <w:kern w:val="0"/>
          <w:sz w:val="28"/>
          <w:szCs w:val="28"/>
          <w:lang w:val="sr-Latn-RS"/>
          <w14:ligatures w14:val="none"/>
        </w:rPr>
        <w:t xml:space="preserve"> koordinacionog tijela</w:t>
      </w:r>
    </w:p>
    <w:p w:rsidR="003351DA" w:rsidRPr="00BA2306" w:rsidRDefault="003351DA" w:rsidP="003351DA">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Socijalno stanovanje</w:t>
      </w:r>
      <w:r w:rsidRPr="00BA2306">
        <w:rPr>
          <w:rFonts w:ascii="Arial Nova" w:eastAsia="Times New Roman" w:hAnsi="Arial Nova" w:cs="Times New Roman"/>
          <w:kern w:val="0"/>
          <w:sz w:val="24"/>
          <w:szCs w:val="24"/>
          <w:lang w:val="sr-Latn-RS" w:eastAsia="en-GB"/>
          <w14:ligatures w14:val="none"/>
        </w:rPr>
        <w:t>:</w:t>
      </w:r>
    </w:p>
    <w:p w:rsidR="003351DA" w:rsidRPr="00BA2306" w:rsidRDefault="003351DA" w:rsidP="003351DA">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Razvijati programe socijalnog stanovanja koji su prilagođeni potrebama Roma i Egipćana.</w:t>
      </w:r>
    </w:p>
    <w:p w:rsidR="003351DA" w:rsidRDefault="003351DA" w:rsidP="003351DA">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Osigurati subvencionisane stanove za romske i egipćanske  porodice s niskim primanjima.</w:t>
      </w:r>
    </w:p>
    <w:p w:rsidR="00CE7CD0" w:rsidRPr="00BA2306" w:rsidRDefault="00CE7CD0" w:rsidP="00CE7CD0">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Monitoring i evaluacija</w:t>
      </w:r>
      <w:r w:rsidRPr="00BA2306">
        <w:rPr>
          <w:rFonts w:ascii="Arial Nova" w:eastAsia="Times New Roman" w:hAnsi="Arial Nova" w:cs="Times New Roman"/>
          <w:kern w:val="0"/>
          <w:sz w:val="24"/>
          <w:szCs w:val="24"/>
          <w:lang w:val="sr-Latn-RS" w:eastAsia="en-GB"/>
          <w14:ligatures w14:val="none"/>
        </w:rPr>
        <w:t>:</w:t>
      </w:r>
    </w:p>
    <w:p w:rsidR="00CE7CD0" w:rsidRDefault="00CE7CD0" w:rsidP="00CE7CD0">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Redovno pratiti i evaluirati programe stambenog zbrinjavanja kako bi se osiguralo njihovo učinkovito sprovođenje i prilagođavanje prema potrebama zajednice.</w:t>
      </w:r>
    </w:p>
    <w:p w:rsidR="00CE7CD0" w:rsidRPr="00BA2306" w:rsidRDefault="00CE7CD0" w:rsidP="00CE7CD0">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Uključivanje Roma u proces odlučivanja</w:t>
      </w:r>
      <w:r w:rsidRPr="00BA2306">
        <w:rPr>
          <w:rFonts w:ascii="Arial Nova" w:eastAsia="Times New Roman" w:hAnsi="Arial Nova" w:cs="Times New Roman"/>
          <w:kern w:val="0"/>
          <w:sz w:val="24"/>
          <w:szCs w:val="24"/>
          <w:lang w:val="sr-Latn-RS" w:eastAsia="en-GB"/>
          <w14:ligatures w14:val="none"/>
        </w:rPr>
        <w:t>:</w:t>
      </w:r>
    </w:p>
    <w:p w:rsidR="00CE7CD0" w:rsidRPr="00BA2306" w:rsidRDefault="00CE7CD0" w:rsidP="00CE7CD0">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lastRenderedPageBreak/>
        <w:t>Osigurati da Romi i Egipćani učestvuju u planiranju i donošenju odluka vezanih za stambena pitanja koja ih se tiču.</w:t>
      </w:r>
    </w:p>
    <w:p w:rsidR="00CE7CD0" w:rsidRPr="00BA2306" w:rsidRDefault="00CE7CD0" w:rsidP="00CE7CD0">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Raditi na inkluzivnim politikama koje uzimaju u obzir specifične potrebe romske i egipćanske zajednice.</w:t>
      </w:r>
    </w:p>
    <w:p w:rsidR="00CE7CD0" w:rsidRPr="007335C0" w:rsidRDefault="00CE7CD0" w:rsidP="00CE7CD0">
      <w:pPr>
        <w:spacing w:before="100" w:beforeAutospacing="1" w:after="100" w:afterAutospacing="1" w:line="240" w:lineRule="auto"/>
        <w:ind w:left="1440"/>
        <w:jc w:val="both"/>
        <w:rPr>
          <w:rFonts w:ascii="Arial Nova" w:eastAsia="Times New Roman" w:hAnsi="Arial Nova" w:cs="Times New Roman"/>
          <w:kern w:val="0"/>
          <w:sz w:val="24"/>
          <w:szCs w:val="24"/>
          <w:lang w:val="sr-Latn-RS" w:eastAsia="en-GB"/>
          <w14:ligatures w14:val="none"/>
        </w:rPr>
      </w:pPr>
    </w:p>
    <w:p w:rsidR="00CE7CD0" w:rsidRPr="00BA2306" w:rsidRDefault="00CE7CD0" w:rsidP="00CE7CD0">
      <w:pPr>
        <w:spacing w:before="100" w:beforeAutospacing="1" w:after="100" w:afterAutospacing="1" w:line="240" w:lineRule="auto"/>
        <w:ind w:left="1440"/>
        <w:jc w:val="both"/>
        <w:rPr>
          <w:rFonts w:ascii="Arial Nova" w:eastAsia="Times New Roman" w:hAnsi="Arial Nova" w:cs="Times New Roman"/>
          <w:kern w:val="0"/>
          <w:sz w:val="24"/>
          <w:szCs w:val="24"/>
          <w:lang w:val="sr-Latn-RS" w:eastAsia="en-GB"/>
          <w14:ligatures w14:val="none"/>
        </w:rPr>
      </w:pPr>
    </w:p>
    <w:p w:rsidR="003351DA" w:rsidRDefault="003351DA" w:rsidP="003351DA">
      <w:pPr>
        <w:spacing w:line="276" w:lineRule="auto"/>
        <w:ind w:left="720"/>
        <w:contextualSpacing/>
        <w:jc w:val="both"/>
        <w:rPr>
          <w:rFonts w:ascii="Arial" w:eastAsia="Calibri" w:hAnsi="Arial" w:cs="Arial"/>
          <w:kern w:val="0"/>
          <w:lang w:val="sr-Latn-CS"/>
          <w14:ligatures w14:val="none"/>
        </w:rPr>
      </w:pPr>
    </w:p>
    <w:p w:rsidR="003351DA" w:rsidRDefault="003351DA" w:rsidP="00BA2306">
      <w:pPr>
        <w:spacing w:after="0" w:line="240" w:lineRule="auto"/>
        <w:rPr>
          <w:rFonts w:ascii="Times New Roman" w:eastAsia="Times New Roman" w:hAnsi="Times New Roman" w:cs="Times New Roman"/>
          <w:kern w:val="0"/>
          <w:sz w:val="24"/>
          <w:szCs w:val="24"/>
          <w:lang w:val="en-GB" w:eastAsia="en-GB"/>
          <w14:ligatures w14:val="none"/>
        </w:rPr>
      </w:pPr>
    </w:p>
    <w:p w:rsidR="003351DA" w:rsidRPr="00BA2306" w:rsidRDefault="003351DA" w:rsidP="00BA2306">
      <w:pPr>
        <w:spacing w:after="0" w:line="240" w:lineRule="auto"/>
        <w:rPr>
          <w:rFonts w:ascii="Times New Roman" w:eastAsia="Times New Roman" w:hAnsi="Times New Roman" w:cs="Times New Roman"/>
          <w:kern w:val="0"/>
          <w:sz w:val="24"/>
          <w:szCs w:val="24"/>
          <w:lang w:val="en-GB" w:eastAsia="en-GB"/>
          <w14:ligatures w14:val="none"/>
        </w:rPr>
      </w:pPr>
    </w:p>
    <w:p w:rsidR="00BA2306" w:rsidRPr="00BA2306" w:rsidRDefault="00BA2306" w:rsidP="00BA2306">
      <w:pPr>
        <w:tabs>
          <w:tab w:val="left" w:pos="1008"/>
        </w:tabs>
        <w:spacing w:line="240" w:lineRule="auto"/>
        <w:rPr>
          <w:rFonts w:ascii="Arial Black" w:hAnsi="Arial Black" w:cs="Arial"/>
          <w:b/>
          <w:color w:val="0070C0"/>
          <w:kern w:val="0"/>
          <w:sz w:val="36"/>
          <w:szCs w:val="36"/>
          <w:lang w:val="sr-Latn-RS"/>
          <w14:ligatures w14:val="none"/>
        </w:rPr>
      </w:pPr>
      <w:r w:rsidRPr="00BA2306">
        <w:rPr>
          <w:rFonts w:ascii="Arial Black" w:hAnsi="Arial Black" w:cs="Arial"/>
          <w:b/>
          <w:color w:val="0070C0"/>
          <w:kern w:val="0"/>
          <w:sz w:val="36"/>
          <w:szCs w:val="36"/>
          <w:lang w:val="sr-Latn-RS"/>
          <w14:ligatures w14:val="none"/>
        </w:rPr>
        <w:t>Stanovanje</w:t>
      </w:r>
    </w:p>
    <w:p w:rsidR="002E169F" w:rsidRPr="002E169F" w:rsidRDefault="002E169F" w:rsidP="002E169F">
      <w:pPr>
        <w:pStyle w:val="ListParagraph"/>
        <w:numPr>
          <w:ilvl w:val="0"/>
          <w:numId w:val="8"/>
        </w:numPr>
        <w:jc w:val="both"/>
        <w:rPr>
          <w:rFonts w:ascii="Arial" w:eastAsia="Calibri" w:hAnsi="Arial" w:cs="Arial"/>
          <w:kern w:val="0"/>
          <w:lang w:val="sr-Latn-CS"/>
          <w14:ligatures w14:val="none"/>
        </w:rPr>
      </w:pPr>
      <w:r w:rsidRPr="002E169F">
        <w:rPr>
          <w:rFonts w:ascii="Arial" w:eastAsia="Calibri" w:hAnsi="Arial" w:cs="Arial"/>
          <w:kern w:val="0"/>
          <w:lang w:val="sr-Latn-CS"/>
          <w14:ligatures w14:val="none"/>
        </w:rPr>
        <w:t xml:space="preserve">Savjet Evrope je odobrio projekta čiji je cilj finansiranje legalizacije 50 bespravnih objekatakoje koriste Romi i Egipćani. NVO organizacije su mapirale romska naselja i obavezne su dostaviti te podatke, kako bi se podaci ukrstili sa podacima iz  Studije izvodljivosti socijalnog stanovanja Roma i Egipćana i istraživanjem koje je sprovedeno u osam opština. Na osnovu tih podataka pripremiće se  projektni zadatak za izradu Sanacionog programa legalizacije romskih naselja, koji će sadržati detaljnu analizu planske dokumentacije za lokacije na kojima se nalaze romska naselja i koji će sadržati  smjernice o mogućnostima legalizacije bespravnih objekta u romskim naseljima. Za izradu sanacionog programa potrebno je  angažovati  stručnjake u oblasti geodezije, planiranja i urbanizma i prava.  Studija treba da sadrži analizu, i broj objekta koji ispunjavaju uslove za legalizaciju u skladu sa zakonom.  Nakon analize, biće organizovan sastanak sa predstavnicima Ministarstva prostornog planiranja, urbanizma i državne imovine i predstavnicima opština u kojima se nalaze romska naselja. </w:t>
      </w:r>
    </w:p>
    <w:p w:rsidR="00BA2306" w:rsidRPr="00BA2306" w:rsidRDefault="00BA2306" w:rsidP="00BA2306">
      <w:pPr>
        <w:spacing w:line="276" w:lineRule="auto"/>
        <w:ind w:left="720"/>
        <w:contextualSpacing/>
        <w:jc w:val="both"/>
        <w:rPr>
          <w:rFonts w:ascii="Arial" w:eastAsia="Calibri" w:hAnsi="Arial" w:cs="Arial"/>
          <w:kern w:val="0"/>
          <w:lang w:val="sr-Latn-CS"/>
          <w14:ligatures w14:val="none"/>
        </w:rPr>
      </w:pPr>
    </w:p>
    <w:p w:rsidR="00BA2306" w:rsidRPr="00BA2306" w:rsidRDefault="00BA2306" w:rsidP="00BA2306">
      <w:pPr>
        <w:pBdr>
          <w:top w:val="nil"/>
          <w:left w:val="nil"/>
          <w:bottom w:val="nil"/>
          <w:right w:val="nil"/>
          <w:between w:val="nil"/>
        </w:pBdr>
        <w:spacing w:after="0" w:line="276" w:lineRule="auto"/>
        <w:jc w:val="both"/>
        <w:rPr>
          <w:rFonts w:ascii="Arial" w:hAnsi="Arial" w:cs="Arial"/>
          <w:sz w:val="24"/>
          <w:szCs w:val="24"/>
          <w:highlight w:val="yellow"/>
          <w:lang w:val="sr"/>
        </w:rPr>
      </w:pPr>
    </w:p>
    <w:p w:rsidR="00BA2306" w:rsidRPr="00BA2306" w:rsidRDefault="00BA2306" w:rsidP="00BA2306">
      <w:pPr>
        <w:tabs>
          <w:tab w:val="left" w:pos="1008"/>
        </w:tabs>
        <w:spacing w:line="240" w:lineRule="auto"/>
        <w:rPr>
          <w:rFonts w:ascii="Arial Black" w:hAnsi="Arial Black" w:cs="Arial"/>
          <w:kern w:val="0"/>
          <w:sz w:val="28"/>
          <w:szCs w:val="28"/>
          <w:lang w:val="sr-Latn-RS"/>
          <w14:ligatures w14:val="none"/>
        </w:rPr>
      </w:pPr>
      <w:r w:rsidRPr="00BA2306">
        <w:rPr>
          <w:rFonts w:ascii="Arial Black" w:hAnsi="Arial Black" w:cs="Arial"/>
          <w:kern w:val="0"/>
          <w:sz w:val="28"/>
          <w:szCs w:val="28"/>
          <w:lang w:val="sr-Latn-RS"/>
          <w14:ligatures w14:val="none"/>
        </w:rPr>
        <w:t>Preporuke koordinacionog tijela:</w:t>
      </w:r>
    </w:p>
    <w:p w:rsidR="00BA2306" w:rsidRPr="00BA2306" w:rsidRDefault="00BA2306" w:rsidP="00BA2306">
      <w:p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 xml:space="preserve">U cilju rješavanja stambenog pitanja  Romima i Egipćanima u Crnoj Gori zahtijeva sveobuhvatan pristup koji uključuje socijalne, ekonomske, pravne i kulturne aspekte. </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Pravno priznavanje i zaštita</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lastRenderedPageBreak/>
        <w:t>Osigurati legalizaciju neformalnih naselja gdje god je to moguće.</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Pružiti pravnu pomoć za dobijanje vlasničkih papira i legalizaciju postojećih objekata.</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Planiranje i razvoj infrastrukture</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Unaprijediti infrastrukturu u romskim naseljima, uključujući vodovod, kanalizaciju, struju i puteve.</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Planirati naselja koja uključuju pristup osnovnim uslugama poput zdravstvene zaštite, obrazovanja i javnog prevoza.</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Edukacija i podizanje svijesti</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Organizovati kampanje za podizanje svijesti o pravima na stanovanje.</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Edukacija Roma o mogućnostima za stambeno zbrinjavanje i pravima koja im pripadaju.</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Finansijska podrška</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Osigurati finansijsku podršku kroz subvencije, grantove i povoljne kredite za izgradnju ili renoviranje stambenih jedinica.</w:t>
      </w:r>
    </w:p>
    <w:p w:rsidR="00BA2306" w:rsidRPr="00BA2306" w:rsidRDefault="00BA2306" w:rsidP="00BA2306">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Podsticati partnerstva između vlade, nevladinih organizacija i privatnog sektora za finansiranje stambenih projekata za Rome.</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Monitoring i evaluacija</w:t>
      </w:r>
      <w:r w:rsidRPr="00BA2306">
        <w:rPr>
          <w:rFonts w:ascii="Arial Nova" w:eastAsia="Times New Roman" w:hAnsi="Arial Nova" w:cs="Times New Roman"/>
          <w:kern w:val="0"/>
          <w:sz w:val="24"/>
          <w:szCs w:val="24"/>
          <w:lang w:val="sr-Latn-RS" w:eastAsia="en-GB"/>
          <w14:ligatures w14:val="none"/>
        </w:rPr>
        <w:t>:</w:t>
      </w:r>
    </w:p>
    <w:p w:rsidR="00BA2306" w:rsidRPr="007335C0" w:rsidRDefault="00BA2306" w:rsidP="007335C0">
      <w:pPr>
        <w:numPr>
          <w:ilvl w:val="1"/>
          <w:numId w:val="17"/>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Redovno pratiti i evaluirati programe stambenog zbrinjavanja kako bi se osiguralo njihovo učinkovito sprovođenje i prilagođavanje prema potrebama zajednice.</w:t>
      </w:r>
    </w:p>
    <w:p w:rsidR="00BA2306" w:rsidRPr="00BA2306" w:rsidRDefault="00BA2306" w:rsidP="00BA2306">
      <w:pPr>
        <w:tabs>
          <w:tab w:val="left" w:pos="1008"/>
        </w:tabs>
        <w:spacing w:line="240" w:lineRule="auto"/>
        <w:jc w:val="both"/>
        <w:rPr>
          <w:rFonts w:ascii="Arial Black" w:hAnsi="Arial Black" w:cs="Arial"/>
          <w:b/>
          <w:color w:val="0070C0"/>
          <w:kern w:val="0"/>
          <w:sz w:val="36"/>
          <w:szCs w:val="36"/>
          <w:lang w:val="sr-Latn-RS"/>
          <w14:ligatures w14:val="none"/>
        </w:rPr>
      </w:pPr>
      <w:bookmarkStart w:id="8" w:name="_Hlk188346388"/>
      <w:bookmarkStart w:id="9" w:name="_Hlk188346485"/>
      <w:r w:rsidRPr="00BA2306">
        <w:rPr>
          <w:rFonts w:ascii="Arial Black" w:hAnsi="Arial Black" w:cs="Arial"/>
          <w:b/>
          <w:color w:val="0070C0"/>
          <w:kern w:val="0"/>
          <w:sz w:val="36"/>
          <w:szCs w:val="36"/>
          <w:lang w:val="sr-Latn-RS"/>
          <w14:ligatures w14:val="none"/>
        </w:rPr>
        <w:t>Obrazovanje</w:t>
      </w:r>
    </w:p>
    <w:p w:rsidR="00BA2306" w:rsidRPr="00BA2306" w:rsidRDefault="00BA2306" w:rsidP="00BA2306">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Organizovane su brojne posjete romskim naseljima, gdje su roditelji informisani o procesu upisa djece u osnovnu školu putem direktne komunikacije na terenu. Ove posjete su imale za cilj da približe obrazovni sistem roditeljima i motivišu ih da uključe svoju djecu u obrazovni proces.</w:t>
      </w:r>
    </w:p>
    <w:p w:rsidR="00BA2306" w:rsidRPr="00BA2306" w:rsidRDefault="00BA2306" w:rsidP="00BA2306">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 xml:space="preserve">Povodom Međunarodnog dana Roma, koji se obilježava 8. aprila, nevladine organizacije “OFK Nikšić – fudbal da, droga ne”, “Rae” Nikšić i NVU “Budo Tomović” iz Nikšića, uz finansijsku podršku Ministarstva ljudskih i manjinskih prava uručili su kombi vozila namijenjenih </w:t>
      </w:r>
      <w:r w:rsidRPr="00BA2306">
        <w:rPr>
          <w:rFonts w:ascii="Arial" w:eastAsia="Calibri" w:hAnsi="Arial" w:cs="Arial"/>
          <w:kern w:val="0"/>
          <w:lang w:val="sr-Latn-CS"/>
          <w14:ligatures w14:val="none"/>
        </w:rPr>
        <w:lastRenderedPageBreak/>
        <w:t>prevozu romske i egipćanske djece u opštinama Kotor, Budva i Ulcinj. Ovaj korak osigurao je kontinuiran i siguran prevoz za romsku djecu, što je ključno za njihovo redovno pohađanje nastave.</w:t>
      </w:r>
    </w:p>
    <w:p w:rsidR="00BA2306" w:rsidRPr="00BA2306" w:rsidRDefault="00BA2306" w:rsidP="00BA2306">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Uvedena je upotreba asistivne tehnologije u cilju razvoja komunikacije, jezika i govora, namijenjena djeci iz vulnerabilnih grupa. Ove tehnologije omogućavaju djeci sa posebnim potrebama da se bolje uključe u obrazovni proces i razviju ključne jezičke vještine.</w:t>
      </w:r>
    </w:p>
    <w:p w:rsidR="00BA2306" w:rsidRPr="00BA2306" w:rsidRDefault="00BA2306" w:rsidP="00BA2306">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Zavod za školstvo intenzivno radi na opismenjavanju učenika romske i egipćanske populacije. Učenici usvajaju osnovne vještine pisanja i čitanja, učeći da pišu kraće rečenice i koriste pismo, što predstavlja značajan korak ka njihovoj integraciji u obrazovni sistem.</w:t>
      </w:r>
    </w:p>
    <w:p w:rsidR="00BA2306" w:rsidRPr="00BA2306" w:rsidRDefault="00BA2306" w:rsidP="00BA2306">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Nastavnici su upoznati sa naprednim pedagoškim strategijama za rad sa djecom i mladima iz RE populacije. Ove strategije obuhvataju različite metode vaspitno-obrazovnog rada koje su prilagođene specifičnim potrebama ove djece. Jačanje kompetencija nastavnika uključuje obuku za upotrebu ovih modela u svakodnevnom radu, čime se poboljšava kvalitet obrazovanja i podrška učenicima.</w:t>
      </w:r>
    </w:p>
    <w:p w:rsidR="00BA2306" w:rsidRPr="00BA2306" w:rsidRDefault="00BA2306" w:rsidP="00BA2306">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Zavod za školstvo redovno prati kvalitet rada sa učenicima romske i egipatske populacije, osiguravajući da se primjenjuju najbolji pedagoški pristupi i da se ostvaruje napredak u njihovom obrazovanju.</w:t>
      </w:r>
    </w:p>
    <w:p w:rsidR="00BA2306" w:rsidRPr="00BA2306" w:rsidRDefault="00BA2306" w:rsidP="00BA2306">
      <w:pPr>
        <w:numPr>
          <w:ilvl w:val="0"/>
          <w:numId w:val="8"/>
        </w:numPr>
        <w:spacing w:after="0" w:line="276" w:lineRule="auto"/>
        <w:contextualSpacing/>
        <w:jc w:val="both"/>
        <w:rPr>
          <w:rFonts w:ascii="Arial" w:hAnsi="Arial" w:cs="Arial"/>
          <w:kern w:val="0"/>
          <w:shd w:val="clear" w:color="auto" w:fill="FFFFFF"/>
          <w:lang w:val="sr-Latn-RS"/>
          <w14:ligatures w14:val="none"/>
        </w:rPr>
      </w:pPr>
      <w:r w:rsidRPr="00BA2306">
        <w:rPr>
          <w:rFonts w:ascii="Arial" w:eastAsia="Calibri" w:hAnsi="Arial" w:cs="Arial"/>
          <w:kern w:val="0"/>
          <w:lang w:val="sr-Latn-CS"/>
          <w14:ligatures w14:val="none"/>
        </w:rPr>
        <w:t>Takođe, kontinuirano se informišu roditelji o mogućnostima i prednostima upisa njihove djece u osnovno obrazovanje, kroz različite informativne kampanje i direktne kontakte, kako bi se povećala svijest o važnosti obrazovanja i ojačala njihova motivacija da uključe djecu u školski sistem.</w:t>
      </w:r>
    </w:p>
    <w:p w:rsidR="00BA2306" w:rsidRPr="00BA2306" w:rsidRDefault="00BA2306" w:rsidP="00BA2306">
      <w:pPr>
        <w:numPr>
          <w:ilvl w:val="0"/>
          <w:numId w:val="8"/>
        </w:numPr>
        <w:spacing w:after="0" w:line="276" w:lineRule="auto"/>
        <w:contextualSpacing/>
        <w:jc w:val="both"/>
        <w:rPr>
          <w:rFonts w:ascii="Arial" w:hAnsi="Arial" w:cs="Arial"/>
          <w:kern w:val="0"/>
          <w:shd w:val="clear" w:color="auto" w:fill="FFFFFF"/>
          <w:lang w:val="sr-Latn-RS"/>
          <w14:ligatures w14:val="none"/>
        </w:rPr>
      </w:pPr>
      <w:r w:rsidRPr="00BA2306">
        <w:rPr>
          <w:rFonts w:ascii="Arial" w:hAnsi="Arial" w:cs="Arial"/>
          <w:kern w:val="0"/>
          <w:shd w:val="clear" w:color="auto" w:fill="FFFFFF"/>
          <w:lang w:val="sr-Latn-RS"/>
          <w14:ligatures w14:val="none"/>
        </w:rPr>
        <w:t xml:space="preserve">Obezbijeđen je besplatan prevoz za 600 učenika/ca osnovnih škola RE populacije u Podgorici, Nikšiću, Beranama i na Cetinju. </w:t>
      </w:r>
    </w:p>
    <w:p w:rsidR="00BA2306" w:rsidRPr="00BA2306" w:rsidRDefault="00BA2306" w:rsidP="00BA2306">
      <w:pPr>
        <w:numPr>
          <w:ilvl w:val="0"/>
          <w:numId w:val="8"/>
        </w:numPr>
        <w:spacing w:after="0" w:line="276" w:lineRule="auto"/>
        <w:contextualSpacing/>
        <w:jc w:val="both"/>
        <w:rPr>
          <w:rFonts w:ascii="Arial" w:eastAsia="Times New Roman" w:hAnsi="Arial" w:cs="Arial"/>
          <w:kern w:val="0"/>
          <w:lang w:val="sr-Latn-RS"/>
          <w14:ligatures w14:val="none"/>
        </w:rPr>
      </w:pPr>
      <w:r w:rsidRPr="00BA2306">
        <w:rPr>
          <w:rFonts w:ascii="Arial" w:eastAsia="Times New Roman" w:hAnsi="Arial" w:cs="Arial"/>
          <w:kern w:val="0"/>
          <w:lang w:val="sr-Latn-RS"/>
          <w14:ligatures w14:val="none"/>
        </w:rPr>
        <w:t xml:space="preserve">Nastavilo se sa angažovanjem saradnika/ca (medijatori) u socijalnoj inkluziji RE u obrazovanju, shodno normativu. Ova praksa se pokazala kao izuzetno korisna za obuhvat djece RE populacije sistemom obrazovanja, kao i za smanjenje drop-outa. </w:t>
      </w:r>
    </w:p>
    <w:p w:rsidR="00BA2306" w:rsidRPr="00BA2306" w:rsidRDefault="00BA2306" w:rsidP="00BA2306">
      <w:pPr>
        <w:numPr>
          <w:ilvl w:val="0"/>
          <w:numId w:val="8"/>
        </w:numPr>
        <w:spacing w:after="0" w:line="276" w:lineRule="auto"/>
        <w:contextualSpacing/>
        <w:jc w:val="both"/>
        <w:rPr>
          <w:rFonts w:ascii="Arial" w:hAnsi="Arial" w:cs="Arial"/>
          <w:color w:val="000000"/>
          <w:kern w:val="0"/>
          <w:shd w:val="clear" w:color="auto" w:fill="FFFFFF"/>
          <w:lang w:val="sr-Latn-RS"/>
          <w14:ligatures w14:val="none"/>
        </w:rPr>
      </w:pPr>
      <w:r w:rsidRPr="00BA2306">
        <w:rPr>
          <w:rFonts w:ascii="Arial" w:hAnsi="Arial" w:cs="Arial"/>
          <w:color w:val="000000"/>
          <w:kern w:val="0"/>
          <w:shd w:val="clear" w:color="auto" w:fill="FFFFFF"/>
          <w:lang w:val="sr-Latn-RS"/>
          <w14:ligatures w14:val="none"/>
        </w:rPr>
        <w:t>Angažovano 26 saradnika (medijatora) u osnovnim školama: u Podgorici, Nikišiću, Baru, Beranama, Ulcinju, Herceg Novom i Tivtu.</w:t>
      </w:r>
    </w:p>
    <w:p w:rsidR="00BA2306" w:rsidRPr="00BA2306" w:rsidRDefault="00BA2306" w:rsidP="00BA2306">
      <w:pPr>
        <w:numPr>
          <w:ilvl w:val="0"/>
          <w:numId w:val="8"/>
        </w:numPr>
        <w:spacing w:beforeAutospacing="1" w:after="0" w:afterAutospacing="1" w:line="276" w:lineRule="auto"/>
        <w:contextualSpacing/>
        <w:rPr>
          <w:rFonts w:ascii="Arial" w:eastAsia="Times New Roman" w:hAnsi="Arial" w:cs="Arial"/>
          <w:color w:val="000000"/>
          <w:kern w:val="0"/>
          <w:shd w:val="clear" w:color="auto" w:fill="FFFFFF"/>
          <w:lang w:val="sr-Latn-RS" w:eastAsia="en-GB"/>
          <w14:ligatures w14:val="none"/>
        </w:rPr>
      </w:pPr>
      <w:r w:rsidRPr="00BA2306">
        <w:rPr>
          <w:rFonts w:ascii="Arial" w:eastAsia="Times New Roman" w:hAnsi="Arial" w:cs="Arial"/>
          <w:color w:val="000000"/>
          <w:kern w:val="0"/>
          <w:shd w:val="clear" w:color="auto" w:fill="FFFFFF"/>
          <w:lang w:val="sr-Latn-RS" w:eastAsia="en-GB"/>
          <w14:ligatures w14:val="none"/>
        </w:rPr>
        <w:t>Dom u okviru svojih smještajnih kapaciteta namjenski opredjeljuje do 5% kapaciteta za smještaj studenata sa invaliditetom, studenata RE populacije i korisnicima materijalnog obezbjeđenja.</w:t>
      </w:r>
    </w:p>
    <w:p w:rsidR="00BA2306" w:rsidRPr="00BA2306" w:rsidRDefault="00BA2306" w:rsidP="00616C56">
      <w:pPr>
        <w:spacing w:line="276" w:lineRule="auto"/>
        <w:ind w:left="720"/>
        <w:contextualSpacing/>
        <w:jc w:val="both"/>
        <w:rPr>
          <w:rFonts w:ascii="Arial" w:eastAsia="Calibri" w:hAnsi="Arial" w:cs="Arial"/>
          <w:kern w:val="0"/>
          <w:lang w:val="sr-Latn-CS"/>
          <w14:ligatures w14:val="none"/>
        </w:rPr>
      </w:pPr>
    </w:p>
    <w:p w:rsidR="00BA2306" w:rsidRPr="00BA2306" w:rsidRDefault="00BA2306" w:rsidP="00BA2306">
      <w:pPr>
        <w:numPr>
          <w:ilvl w:val="0"/>
          <w:numId w:val="8"/>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U dijelu obrazovanja, u školskoj 2024/2025. godini zabilježeni su sljedeći rezultati:</w:t>
      </w:r>
    </w:p>
    <w:p w:rsidR="00BA2306" w:rsidRPr="00BA2306" w:rsidRDefault="00BA2306" w:rsidP="00BA2306">
      <w:pPr>
        <w:spacing w:line="276" w:lineRule="auto"/>
        <w:ind w:left="720"/>
        <w:contextualSpacing/>
        <w:jc w:val="both"/>
        <w:rPr>
          <w:rFonts w:ascii="Arial" w:eastAsia="Calibri" w:hAnsi="Arial" w:cs="Arial"/>
          <w:kern w:val="0"/>
          <w:sz w:val="8"/>
          <w:szCs w:val="8"/>
          <w:lang w:val="sr-Latn-CS"/>
          <w14:ligatures w14:val="none"/>
        </w:rPr>
      </w:pPr>
    </w:p>
    <w:p w:rsidR="00BA2306" w:rsidRPr="00BA2306" w:rsidRDefault="00BA2306" w:rsidP="00BA2306">
      <w:pPr>
        <w:numPr>
          <w:ilvl w:val="0"/>
          <w:numId w:val="32"/>
        </w:numPr>
        <w:spacing w:line="256" w:lineRule="auto"/>
        <w:contextualSpacing/>
        <w:jc w:val="both"/>
        <w:rPr>
          <w:rFonts w:ascii="Arial" w:eastAsia="Calibri" w:hAnsi="Arial" w:cs="Arial"/>
          <w:kern w:val="0"/>
          <w:lang w:val="sr-Latn-CS"/>
          <w14:ligatures w14:val="none"/>
        </w:rPr>
      </w:pPr>
      <w:bookmarkStart w:id="10" w:name="_Hlk188610998"/>
      <w:r w:rsidRPr="00BA2306">
        <w:rPr>
          <w:rFonts w:ascii="Arial" w:eastAsia="Calibri" w:hAnsi="Arial" w:cs="Arial"/>
          <w:kern w:val="0"/>
          <w:lang w:val="sr-Latn-CS"/>
          <w14:ligatures w14:val="none"/>
        </w:rPr>
        <w:t xml:space="preserve">U školskoj 2024/2025. godini ukupan broj upisane djece u osnovnim školama je 1 721, od čega je 50,1% dječaka i 49,9% djevojčica. </w:t>
      </w:r>
      <w:bookmarkEnd w:id="10"/>
      <w:r w:rsidRPr="00BA2306">
        <w:rPr>
          <w:rFonts w:ascii="Arial" w:eastAsia="Calibri" w:hAnsi="Arial" w:cs="Arial"/>
          <w:kern w:val="0"/>
          <w:lang w:val="sr-Latn-CS"/>
          <w14:ligatures w14:val="none"/>
        </w:rPr>
        <w:t>Najviše upisane djece imaju sljedeće opštine: Podgorica (774 ili 45,0% djece), Nikšić (239 ili 13,9%) i Berane (188 ili 10,9% djece). Upoređujući sa podacima sa prethodnom školskom godinom (2023/2024) broj djece romske populacije je manji za 4,1 procentna poena.</w:t>
      </w:r>
    </w:p>
    <w:p w:rsidR="00BA2306" w:rsidRPr="00BA2306" w:rsidRDefault="00BA2306" w:rsidP="00BA2306">
      <w:pPr>
        <w:numPr>
          <w:ilvl w:val="0"/>
          <w:numId w:val="32"/>
        </w:numPr>
        <w:spacing w:line="25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Ukupan broj učenika koji su uspješno završili razred u školskoj 2023/2024. godini je 1 427 ili 83,3% učenika, dok je broj učenika/ca koji nijesu završili razred 240 ili 14% učenika/ca. Broj učenika/ca koji su Neocijenjeni ili im nije evidentirano da su napustili školu, jer ove godine nisu u CG školama je 47 ili 2,8%.</w:t>
      </w:r>
    </w:p>
    <w:p w:rsidR="00BA2306" w:rsidRPr="00BA2306" w:rsidRDefault="00BA2306" w:rsidP="00BA2306">
      <w:pPr>
        <w:numPr>
          <w:ilvl w:val="0"/>
          <w:numId w:val="32"/>
        </w:numPr>
        <w:spacing w:line="25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Ukupan broj učenika u srednjim školama, školske 2024/2025 je 172, od čega je 57,0% dječaka i 43,0% djevojčica. Opštine sa najviše upisane djece su: Podgorica, Nikšić, Ulcinj i Berane. Upoređujući sa podacima iz prethodne školske godine, ukupan broj učenika je manji za 10,9 procentnih poena.</w:t>
      </w:r>
    </w:p>
    <w:p w:rsidR="00BA2306" w:rsidRPr="00BA2306" w:rsidRDefault="00BA2306" w:rsidP="00BA2306">
      <w:pPr>
        <w:numPr>
          <w:ilvl w:val="0"/>
          <w:numId w:val="32"/>
        </w:numPr>
        <w:spacing w:line="25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lastRenderedPageBreak/>
        <w:t>Od ukupnog broja učenika uspješno su završili razred u srednjoj školi njih 143 ili 96,0%, dok 6 učenika ili 4% nije završilo razred u srednjoj školi.</w:t>
      </w:r>
    </w:p>
    <w:p w:rsidR="007335C0" w:rsidRPr="00AA54CF" w:rsidRDefault="00BA2306" w:rsidP="004D2A15">
      <w:pPr>
        <w:numPr>
          <w:ilvl w:val="0"/>
          <w:numId w:val="32"/>
        </w:numPr>
        <w:spacing w:line="256" w:lineRule="auto"/>
        <w:contextualSpacing/>
        <w:jc w:val="both"/>
        <w:rPr>
          <w:rFonts w:ascii="Arial" w:eastAsia="Calibri" w:hAnsi="Arial" w:cs="Arial"/>
          <w:kern w:val="0"/>
          <w:lang w:val="sr-Latn-CS"/>
          <w14:ligatures w14:val="none"/>
        </w:rPr>
      </w:pPr>
      <w:bookmarkStart w:id="11" w:name="_Hlk188611189"/>
      <w:r w:rsidRPr="00BA2306">
        <w:rPr>
          <w:rFonts w:ascii="Arial" w:eastAsia="Calibri" w:hAnsi="Arial" w:cs="Arial"/>
          <w:kern w:val="0"/>
          <w:lang w:val="sr-Latn-CS"/>
          <w14:ligatures w14:val="none"/>
        </w:rPr>
        <w:t xml:space="preserve">Ukupan broj upisane djece u predškolsko obrazovanje 2024/2025. godine je </w:t>
      </w:r>
      <w:r w:rsidR="003351DA">
        <w:rPr>
          <w:rFonts w:ascii="Arial" w:eastAsia="Calibri" w:hAnsi="Arial" w:cs="Arial"/>
          <w:kern w:val="0"/>
          <w:lang w:val="sr-Latn-CS"/>
          <w14:ligatures w14:val="none"/>
        </w:rPr>
        <w:t>312</w:t>
      </w:r>
      <w:r w:rsidRPr="00BA2306">
        <w:rPr>
          <w:rFonts w:ascii="Arial" w:eastAsia="Calibri" w:hAnsi="Arial" w:cs="Arial"/>
          <w:kern w:val="0"/>
          <w:lang w:val="sr-Latn-CS"/>
          <w14:ligatures w14:val="none"/>
        </w:rPr>
        <w:t>, od čega je 5</w:t>
      </w:r>
      <w:r w:rsidR="003351DA">
        <w:rPr>
          <w:rFonts w:ascii="Arial" w:eastAsia="Calibri" w:hAnsi="Arial" w:cs="Arial"/>
          <w:kern w:val="0"/>
          <w:lang w:val="sr-Latn-CS"/>
          <w14:ligatures w14:val="none"/>
        </w:rPr>
        <w:t>2,4</w:t>
      </w:r>
      <w:r w:rsidRPr="00BA2306">
        <w:rPr>
          <w:rFonts w:ascii="Arial" w:eastAsia="Calibri" w:hAnsi="Arial" w:cs="Arial"/>
          <w:kern w:val="0"/>
          <w:lang w:val="sr-Latn-CS"/>
          <w14:ligatures w14:val="none"/>
        </w:rPr>
        <w:t>% dječaka i 4</w:t>
      </w:r>
      <w:r w:rsidR="003351DA">
        <w:rPr>
          <w:rFonts w:ascii="Arial" w:eastAsia="Calibri" w:hAnsi="Arial" w:cs="Arial"/>
          <w:kern w:val="0"/>
          <w:lang w:val="sr-Latn-CS"/>
          <w14:ligatures w14:val="none"/>
        </w:rPr>
        <w:t>7</w:t>
      </w:r>
      <w:r w:rsidRPr="00BA2306">
        <w:rPr>
          <w:rFonts w:ascii="Arial" w:eastAsia="Calibri" w:hAnsi="Arial" w:cs="Arial"/>
          <w:kern w:val="0"/>
          <w:lang w:val="sr-Latn-CS"/>
          <w14:ligatures w14:val="none"/>
        </w:rPr>
        <w:t>,</w:t>
      </w:r>
      <w:r w:rsidR="003351DA">
        <w:rPr>
          <w:rFonts w:ascii="Arial" w:eastAsia="Calibri" w:hAnsi="Arial" w:cs="Arial"/>
          <w:kern w:val="0"/>
          <w:lang w:val="sr-Latn-CS"/>
          <w14:ligatures w14:val="none"/>
        </w:rPr>
        <w:t>7</w:t>
      </w:r>
      <w:r w:rsidRPr="00BA2306">
        <w:rPr>
          <w:rFonts w:ascii="Arial" w:eastAsia="Calibri" w:hAnsi="Arial" w:cs="Arial"/>
          <w:kern w:val="0"/>
          <w:lang w:val="sr-Latn-CS"/>
          <w14:ligatures w14:val="none"/>
        </w:rPr>
        <w:t xml:space="preserve">6% djevojčica. </w:t>
      </w:r>
      <w:bookmarkEnd w:id="11"/>
      <w:r w:rsidRPr="00BA2306">
        <w:rPr>
          <w:rFonts w:ascii="Arial" w:eastAsia="Calibri" w:hAnsi="Arial" w:cs="Arial"/>
          <w:kern w:val="0"/>
          <w:lang w:val="sr-Latn-CS"/>
          <w14:ligatures w14:val="none"/>
        </w:rPr>
        <w:t>Prema opštinama najviše je upisanih u Podgorici (110 ili 37,9%), zatim Berane (</w:t>
      </w:r>
      <w:r w:rsidR="003351DA">
        <w:rPr>
          <w:rFonts w:ascii="Arial" w:eastAsia="Calibri" w:hAnsi="Arial" w:cs="Arial"/>
          <w:kern w:val="0"/>
          <w:lang w:val="sr-Latn-CS"/>
          <w14:ligatures w14:val="none"/>
        </w:rPr>
        <w:t>71</w:t>
      </w:r>
      <w:r w:rsidRPr="00BA2306">
        <w:rPr>
          <w:rFonts w:ascii="Arial" w:eastAsia="Calibri" w:hAnsi="Arial" w:cs="Arial"/>
          <w:kern w:val="0"/>
          <w:lang w:val="sr-Latn-CS"/>
          <w14:ligatures w14:val="none"/>
        </w:rPr>
        <w:t xml:space="preserve"> ili </w:t>
      </w:r>
      <w:r w:rsidR="003351DA">
        <w:rPr>
          <w:rFonts w:ascii="Arial" w:eastAsia="Calibri" w:hAnsi="Arial" w:cs="Arial"/>
          <w:kern w:val="0"/>
          <w:lang w:val="sr-Latn-CS"/>
          <w14:ligatures w14:val="none"/>
        </w:rPr>
        <w:t>22,76</w:t>
      </w:r>
      <w:r w:rsidRPr="00BA2306">
        <w:rPr>
          <w:rFonts w:ascii="Arial" w:eastAsia="Calibri" w:hAnsi="Arial" w:cs="Arial"/>
          <w:kern w:val="0"/>
          <w:lang w:val="sr-Latn-CS"/>
          <w14:ligatures w14:val="none"/>
        </w:rPr>
        <w:t>%) i Nikšić (43 ili 14,8%). Najveći broj upisane djece u predškolsko obrazovanje je u starijoj vaspitnoj grupi (129), zatim u srednjoj vaspitnoj grupi (71 dijete)</w:t>
      </w:r>
      <w:bookmarkStart w:id="12" w:name="_Toc183426189"/>
      <w:r w:rsidR="00B86BED">
        <w:rPr>
          <w:rFonts w:ascii="Arial" w:eastAsia="Calibri" w:hAnsi="Arial" w:cs="Arial"/>
          <w:kern w:val="0"/>
          <w:lang w:val="sr-Latn-CS"/>
          <w14:ligatures w14:val="none"/>
        </w:rPr>
        <w:t>.</w:t>
      </w:r>
    </w:p>
    <w:p w:rsidR="007335C0" w:rsidRDefault="007335C0" w:rsidP="004D2A15">
      <w:pPr>
        <w:spacing w:line="256" w:lineRule="auto"/>
        <w:contextualSpacing/>
        <w:jc w:val="both"/>
        <w:rPr>
          <w:rFonts w:ascii="Arial Nova" w:eastAsiaTheme="majorEastAsia" w:hAnsi="Arial Nova" w:cstheme="majorBidi"/>
          <w:b/>
          <w:kern w:val="0"/>
          <w:sz w:val="24"/>
          <w:szCs w:val="26"/>
          <w:lang w:val="sr-Latn-ME"/>
          <w14:ligatures w14:val="none"/>
        </w:rPr>
      </w:pPr>
    </w:p>
    <w:p w:rsidR="007335C0" w:rsidRDefault="007335C0" w:rsidP="004D2A15">
      <w:pPr>
        <w:spacing w:line="256" w:lineRule="auto"/>
        <w:contextualSpacing/>
        <w:jc w:val="both"/>
        <w:rPr>
          <w:rFonts w:ascii="Arial Nova" w:eastAsiaTheme="majorEastAsia" w:hAnsi="Arial Nova" w:cstheme="majorBidi"/>
          <w:b/>
          <w:kern w:val="0"/>
          <w:sz w:val="24"/>
          <w:szCs w:val="26"/>
          <w:lang w:val="sr-Latn-ME"/>
          <w14:ligatures w14:val="none"/>
        </w:rPr>
      </w:pPr>
    </w:p>
    <w:p w:rsidR="00BA2306" w:rsidRPr="004D2A15" w:rsidRDefault="00BA2306" w:rsidP="004D2A15">
      <w:pPr>
        <w:spacing w:line="256" w:lineRule="auto"/>
        <w:contextualSpacing/>
        <w:jc w:val="both"/>
        <w:rPr>
          <w:rFonts w:ascii="Arial" w:eastAsia="Calibri" w:hAnsi="Arial" w:cs="Arial"/>
          <w:kern w:val="0"/>
          <w:lang w:val="sr-Latn-CS"/>
          <w14:ligatures w14:val="none"/>
        </w:rPr>
      </w:pPr>
      <w:r w:rsidRPr="00BA2306">
        <w:rPr>
          <w:rFonts w:ascii="Arial Nova" w:eastAsiaTheme="majorEastAsia" w:hAnsi="Arial Nova" w:cstheme="majorBidi"/>
          <w:b/>
          <w:kern w:val="0"/>
          <w:sz w:val="24"/>
          <w:szCs w:val="26"/>
          <w:lang w:val="sr-Latn-ME"/>
          <w14:ligatures w14:val="none"/>
        </w:rPr>
        <w:t>Broj upisane djece u osnovnu školu, prema opštini i polu, 2024/2025</w:t>
      </w:r>
      <w:bookmarkEnd w:id="12"/>
    </w:p>
    <w:tbl>
      <w:tblPr>
        <w:tblW w:w="5000" w:type="pct"/>
        <w:tblLook w:val="04A0" w:firstRow="1" w:lastRow="0" w:firstColumn="1" w:lastColumn="0" w:noHBand="0" w:noVBand="1"/>
      </w:tblPr>
      <w:tblGrid>
        <w:gridCol w:w="2182"/>
        <w:gridCol w:w="1895"/>
        <w:gridCol w:w="1894"/>
        <w:gridCol w:w="2223"/>
        <w:gridCol w:w="1891"/>
        <w:gridCol w:w="1891"/>
        <w:gridCol w:w="1972"/>
      </w:tblGrid>
      <w:tr w:rsidR="00BA2306" w:rsidRPr="00BA2306" w:rsidTr="00BA2306">
        <w:trPr>
          <w:trHeight w:val="300"/>
        </w:trPr>
        <w:tc>
          <w:tcPr>
            <w:tcW w:w="782" w:type="pct"/>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 </w:t>
            </w:r>
          </w:p>
        </w:tc>
        <w:tc>
          <w:tcPr>
            <w:tcW w:w="679" w:type="pct"/>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Dječaci</w:t>
            </w:r>
            <w:proofErr w:type="spellEnd"/>
          </w:p>
        </w:tc>
        <w:tc>
          <w:tcPr>
            <w:tcW w:w="679" w:type="pct"/>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u %</w:t>
            </w:r>
          </w:p>
        </w:tc>
        <w:tc>
          <w:tcPr>
            <w:tcW w:w="797" w:type="pct"/>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Djevojčice</w:t>
            </w:r>
            <w:proofErr w:type="spellEnd"/>
          </w:p>
        </w:tc>
        <w:tc>
          <w:tcPr>
            <w:tcW w:w="678" w:type="pct"/>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u %</w:t>
            </w:r>
          </w:p>
        </w:tc>
        <w:tc>
          <w:tcPr>
            <w:tcW w:w="678" w:type="pct"/>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Ukupno</w:t>
            </w:r>
            <w:proofErr w:type="spellEnd"/>
          </w:p>
        </w:tc>
        <w:tc>
          <w:tcPr>
            <w:tcW w:w="707" w:type="pct"/>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u %</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Bar</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41</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46.6</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47</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53.4</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88</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5.1</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Berane</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88</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46.8</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100</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53.2</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188</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10.9</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Bijelo</w:t>
            </w:r>
            <w:proofErr w:type="spellEnd"/>
            <w:r w:rsidRPr="00BA2306">
              <w:rPr>
                <w:rFonts w:ascii="Arial Nova" w:eastAsia="Times New Roman" w:hAnsi="Arial Nova" w:cs="Calibri"/>
                <w:color w:val="000000"/>
                <w:kern w:val="0"/>
                <w14:ligatures w14:val="none"/>
              </w:rPr>
              <w:t xml:space="preserve"> Polje</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18</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62.1</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11</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37.9</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29</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1.7</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Budva</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10</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37.0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17</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63.0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27</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1.6</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Cetinje</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12</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8</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20</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1.2</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Gusinje</w:t>
            </w:r>
            <w:proofErr w:type="spellEnd"/>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100.0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0.1</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Herceg</w:t>
            </w:r>
            <w:proofErr w:type="spellEnd"/>
            <w:r w:rsidRPr="00BA2306">
              <w:rPr>
                <w:rFonts w:ascii="Arial Nova" w:eastAsia="Times New Roman" w:hAnsi="Arial Nova" w:cs="Calibri"/>
                <w:color w:val="000000"/>
                <w:kern w:val="0"/>
                <w14:ligatures w14:val="none"/>
              </w:rPr>
              <w:t xml:space="preserve"> Novi</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34</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58.6</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24</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41.4</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58</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3.4</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Kolašin</w:t>
            </w:r>
            <w:proofErr w:type="spellEnd"/>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100.0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0.1</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Kotor</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38</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57.6</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28</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42.4</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66</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3.8</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Mojkovac</w:t>
            </w:r>
            <w:proofErr w:type="spellEnd"/>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0.1</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Nikšić</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118</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49.4</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121</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50.6</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239</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13.9</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Petnjica</w:t>
            </w:r>
            <w:proofErr w:type="spellEnd"/>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100.0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0.1</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Pljevlja</w:t>
            </w:r>
            <w:proofErr w:type="spellEnd"/>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8</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66.7</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33.3</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12</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0.7</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Podgorica</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395</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51.0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379</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49.0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774</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45.0</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Rožaje</w:t>
            </w:r>
            <w:proofErr w:type="spellEnd"/>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0.3</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Tivat</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45</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46.4</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52</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53.6</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97</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5.6</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Tuzi</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19</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19</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38</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2.2</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Ulcinj</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30</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43.5</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39</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56.5</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69</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4.0</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Zeta</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2</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3</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60.0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0.3</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color w:val="000000"/>
                <w:kern w:val="0"/>
                <w14:ligatures w14:val="none"/>
              </w:rPr>
            </w:pPr>
            <w:proofErr w:type="spellStart"/>
            <w:r w:rsidRPr="00BA2306">
              <w:rPr>
                <w:rFonts w:ascii="Arial Nova" w:eastAsia="Times New Roman" w:hAnsi="Arial Nova" w:cs="Calibri"/>
                <w:color w:val="000000"/>
                <w:kern w:val="0"/>
                <w14:ligatures w14:val="none"/>
              </w:rPr>
              <w:t>Ukupno</w:t>
            </w:r>
            <w:proofErr w:type="spellEnd"/>
          </w:p>
        </w:tc>
        <w:tc>
          <w:tcPr>
            <w:tcW w:w="679" w:type="pct"/>
            <w:tcBorders>
              <w:top w:val="single" w:sz="4" w:space="0" w:color="auto"/>
              <w:left w:val="nil"/>
              <w:bottom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863</w:t>
            </w:r>
          </w:p>
        </w:tc>
        <w:tc>
          <w:tcPr>
            <w:tcW w:w="679" w:type="pct"/>
            <w:tcBorders>
              <w:top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50.1</w:t>
            </w:r>
          </w:p>
        </w:tc>
        <w:tc>
          <w:tcPr>
            <w:tcW w:w="797" w:type="pct"/>
            <w:tcBorders>
              <w:top w:val="single" w:sz="4" w:space="0" w:color="auto"/>
              <w:left w:val="nil"/>
              <w:bottom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858</w:t>
            </w:r>
          </w:p>
        </w:tc>
        <w:tc>
          <w:tcPr>
            <w:tcW w:w="678" w:type="pct"/>
            <w:tcBorders>
              <w:top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49.9</w:t>
            </w:r>
          </w:p>
        </w:tc>
        <w:tc>
          <w:tcPr>
            <w:tcW w:w="678" w:type="pct"/>
            <w:tcBorders>
              <w:top w:val="single" w:sz="4" w:space="0" w:color="auto"/>
              <w:left w:val="nil"/>
              <w:bottom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1 721</w:t>
            </w:r>
          </w:p>
        </w:tc>
        <w:tc>
          <w:tcPr>
            <w:tcW w:w="707" w:type="pct"/>
            <w:tcBorders>
              <w:top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14:ligatures w14:val="none"/>
              </w:rPr>
            </w:pPr>
            <w:r w:rsidRPr="00BA2306">
              <w:rPr>
                <w:rFonts w:ascii="Arial Nova" w:eastAsia="Times New Roman" w:hAnsi="Arial Nova" w:cs="Calibri"/>
                <w:color w:val="000000"/>
                <w:kern w:val="0"/>
                <w14:ligatures w14:val="none"/>
              </w:rPr>
              <w:t>100.0</w:t>
            </w:r>
          </w:p>
        </w:tc>
      </w:tr>
    </w:tbl>
    <w:p w:rsidR="00BA2306" w:rsidRPr="00BA2306" w:rsidRDefault="00BA2306" w:rsidP="00BA2306">
      <w:pPr>
        <w:spacing w:after="360" w:line="256" w:lineRule="auto"/>
        <w:contextualSpacing/>
        <w:jc w:val="both"/>
        <w:rPr>
          <w:rFonts w:ascii="Arial" w:eastAsia="Calibri" w:hAnsi="Arial" w:cs="Arial"/>
          <w:kern w:val="0"/>
          <w:lang w:val="sr-Latn-CS"/>
          <w14:ligatures w14:val="none"/>
        </w:rPr>
      </w:pPr>
    </w:p>
    <w:p w:rsidR="00B86BED" w:rsidRDefault="00B86BED" w:rsidP="00BA2306">
      <w:pPr>
        <w:keepNext/>
        <w:keepLines/>
        <w:spacing w:before="160" w:after="120"/>
        <w:outlineLvl w:val="1"/>
        <w:rPr>
          <w:rFonts w:ascii="Arial Nova" w:eastAsiaTheme="majorEastAsia" w:hAnsi="Arial Nova" w:cstheme="majorBidi"/>
          <w:b/>
          <w:kern w:val="0"/>
          <w:sz w:val="24"/>
          <w:szCs w:val="26"/>
          <w:lang w:val="sr-Latn-ME"/>
          <w14:ligatures w14:val="none"/>
        </w:rPr>
      </w:pPr>
      <w:bookmarkStart w:id="13" w:name="_Toc183426196"/>
    </w:p>
    <w:p w:rsidR="00BA2306" w:rsidRPr="00BA2306" w:rsidRDefault="00BA2306" w:rsidP="00BA2306">
      <w:pPr>
        <w:keepNext/>
        <w:keepLines/>
        <w:spacing w:before="160" w:after="120"/>
        <w:outlineLvl w:val="1"/>
        <w:rPr>
          <w:rFonts w:ascii="Arial Nova" w:eastAsiaTheme="majorEastAsia" w:hAnsi="Arial Nova" w:cstheme="majorBidi"/>
          <w:b/>
          <w:kern w:val="0"/>
          <w:sz w:val="24"/>
          <w:szCs w:val="26"/>
          <w:lang w:val="sr-Latn-ME"/>
          <w14:ligatures w14:val="none"/>
        </w:rPr>
      </w:pPr>
      <w:r w:rsidRPr="00BA2306">
        <w:rPr>
          <w:rFonts w:ascii="Arial Nova" w:eastAsiaTheme="majorEastAsia" w:hAnsi="Arial Nova" w:cstheme="majorBidi"/>
          <w:b/>
          <w:kern w:val="0"/>
          <w:sz w:val="24"/>
          <w:szCs w:val="26"/>
          <w:lang w:val="sr-Latn-ME"/>
          <w14:ligatures w14:val="none"/>
        </w:rPr>
        <w:t>Broj upisane djece u srednje obrazovanje, po opštinama i polu, 2024/2025</w:t>
      </w:r>
      <w:bookmarkEnd w:id="13"/>
    </w:p>
    <w:tbl>
      <w:tblPr>
        <w:tblStyle w:val="TableGrid"/>
        <w:tblW w:w="5000" w:type="pct"/>
        <w:tblLook w:val="04A0" w:firstRow="1" w:lastRow="0" w:firstColumn="1" w:lastColumn="0" w:noHBand="0" w:noVBand="1"/>
      </w:tblPr>
      <w:tblGrid>
        <w:gridCol w:w="2314"/>
        <w:gridCol w:w="1839"/>
        <w:gridCol w:w="1839"/>
        <w:gridCol w:w="2336"/>
        <w:gridCol w:w="1839"/>
        <w:gridCol w:w="1864"/>
        <w:gridCol w:w="1917"/>
      </w:tblGrid>
      <w:tr w:rsidR="00BA2306" w:rsidRPr="00BA2306" w:rsidTr="00BA2306">
        <w:trPr>
          <w:trHeight w:val="300"/>
        </w:trPr>
        <w:tc>
          <w:tcPr>
            <w:tcW w:w="829" w:type="pct"/>
            <w:shd w:val="clear" w:color="auto" w:fill="F7CAAC" w:themeFill="accent2" w:themeFillTint="66"/>
            <w:noWrap/>
            <w:hideMark/>
          </w:tcPr>
          <w:p w:rsidR="00BA2306" w:rsidRPr="00BA2306" w:rsidRDefault="00BA2306" w:rsidP="00BA2306">
            <w:pPr>
              <w:spacing w:line="256" w:lineRule="auto"/>
              <w:rPr>
                <w:rFonts w:ascii="Arial Nova" w:hAnsi="Arial Nova"/>
              </w:rPr>
            </w:pPr>
            <w:r w:rsidRPr="00BA2306">
              <w:rPr>
                <w:rFonts w:ascii="Arial Nova" w:hAnsi="Arial Nova"/>
              </w:rPr>
              <w:t> </w:t>
            </w:r>
          </w:p>
        </w:tc>
        <w:tc>
          <w:tcPr>
            <w:tcW w:w="659" w:type="pct"/>
            <w:shd w:val="clear" w:color="auto" w:fill="F7CAAC" w:themeFill="accent2" w:themeFillTint="66"/>
            <w:noWrap/>
            <w:hideMark/>
          </w:tcPr>
          <w:p w:rsidR="00BA2306" w:rsidRPr="00BA2306" w:rsidRDefault="00BA2306" w:rsidP="00BA2306">
            <w:pPr>
              <w:spacing w:line="256" w:lineRule="auto"/>
              <w:rPr>
                <w:rFonts w:ascii="Arial Nova" w:hAnsi="Arial Nova"/>
                <w:b/>
              </w:rPr>
            </w:pPr>
            <w:proofErr w:type="spellStart"/>
            <w:r w:rsidRPr="00BA2306">
              <w:rPr>
                <w:rFonts w:ascii="Arial Nova" w:hAnsi="Arial Nova"/>
                <w:b/>
              </w:rPr>
              <w:t>Dječaci</w:t>
            </w:r>
            <w:proofErr w:type="spellEnd"/>
          </w:p>
        </w:tc>
        <w:tc>
          <w:tcPr>
            <w:tcW w:w="659" w:type="pct"/>
            <w:shd w:val="clear" w:color="auto" w:fill="F7CAAC" w:themeFill="accent2" w:themeFillTint="66"/>
            <w:noWrap/>
            <w:hideMark/>
          </w:tcPr>
          <w:p w:rsidR="00BA2306" w:rsidRPr="00BA2306" w:rsidRDefault="00BA2306" w:rsidP="00BA2306">
            <w:pPr>
              <w:spacing w:line="256" w:lineRule="auto"/>
              <w:rPr>
                <w:rFonts w:ascii="Arial Nova" w:hAnsi="Arial Nova"/>
                <w:b/>
              </w:rPr>
            </w:pPr>
            <w:r w:rsidRPr="00BA2306">
              <w:rPr>
                <w:rFonts w:ascii="Arial Nova" w:hAnsi="Arial Nova"/>
                <w:b/>
              </w:rPr>
              <w:t>u %</w:t>
            </w:r>
          </w:p>
        </w:tc>
        <w:tc>
          <w:tcPr>
            <w:tcW w:w="837" w:type="pct"/>
            <w:shd w:val="clear" w:color="auto" w:fill="F7CAAC" w:themeFill="accent2" w:themeFillTint="66"/>
            <w:noWrap/>
            <w:hideMark/>
          </w:tcPr>
          <w:p w:rsidR="00BA2306" w:rsidRPr="00BA2306" w:rsidRDefault="00BA2306" w:rsidP="00BA2306">
            <w:pPr>
              <w:spacing w:line="256" w:lineRule="auto"/>
              <w:rPr>
                <w:rFonts w:ascii="Arial Nova" w:hAnsi="Arial Nova"/>
                <w:b/>
              </w:rPr>
            </w:pPr>
            <w:proofErr w:type="spellStart"/>
            <w:r w:rsidRPr="00BA2306">
              <w:rPr>
                <w:rFonts w:ascii="Arial Nova" w:hAnsi="Arial Nova"/>
                <w:b/>
              </w:rPr>
              <w:t>Djevojčice</w:t>
            </w:r>
            <w:proofErr w:type="spellEnd"/>
          </w:p>
        </w:tc>
        <w:tc>
          <w:tcPr>
            <w:tcW w:w="659" w:type="pct"/>
            <w:shd w:val="clear" w:color="auto" w:fill="F7CAAC" w:themeFill="accent2" w:themeFillTint="66"/>
            <w:noWrap/>
            <w:hideMark/>
          </w:tcPr>
          <w:p w:rsidR="00BA2306" w:rsidRPr="00BA2306" w:rsidRDefault="00BA2306" w:rsidP="00BA2306">
            <w:pPr>
              <w:spacing w:line="256" w:lineRule="auto"/>
              <w:rPr>
                <w:rFonts w:ascii="Arial Nova" w:hAnsi="Arial Nova"/>
                <w:b/>
              </w:rPr>
            </w:pPr>
            <w:r w:rsidRPr="00BA2306">
              <w:rPr>
                <w:rFonts w:ascii="Arial Nova" w:hAnsi="Arial Nova"/>
                <w:b/>
              </w:rPr>
              <w:t>u %</w:t>
            </w:r>
          </w:p>
        </w:tc>
        <w:tc>
          <w:tcPr>
            <w:tcW w:w="668" w:type="pct"/>
            <w:shd w:val="clear" w:color="auto" w:fill="F7CAAC" w:themeFill="accent2" w:themeFillTint="66"/>
            <w:noWrap/>
            <w:hideMark/>
          </w:tcPr>
          <w:p w:rsidR="00BA2306" w:rsidRPr="00BA2306" w:rsidRDefault="00BA2306" w:rsidP="00BA2306">
            <w:pPr>
              <w:spacing w:line="256" w:lineRule="auto"/>
              <w:rPr>
                <w:rFonts w:ascii="Arial Nova" w:hAnsi="Arial Nova"/>
                <w:b/>
              </w:rPr>
            </w:pPr>
            <w:proofErr w:type="spellStart"/>
            <w:r w:rsidRPr="00BA2306">
              <w:rPr>
                <w:rFonts w:ascii="Arial Nova" w:hAnsi="Arial Nova"/>
                <w:b/>
              </w:rPr>
              <w:t>Ukupno</w:t>
            </w:r>
            <w:proofErr w:type="spellEnd"/>
          </w:p>
        </w:tc>
        <w:tc>
          <w:tcPr>
            <w:tcW w:w="687" w:type="pct"/>
            <w:shd w:val="clear" w:color="auto" w:fill="F7CAAC" w:themeFill="accent2" w:themeFillTint="66"/>
            <w:noWrap/>
            <w:hideMark/>
          </w:tcPr>
          <w:p w:rsidR="00BA2306" w:rsidRPr="00BA2306" w:rsidRDefault="00BA2306" w:rsidP="00BA2306">
            <w:pPr>
              <w:spacing w:line="256" w:lineRule="auto"/>
              <w:rPr>
                <w:rFonts w:ascii="Arial Nova" w:hAnsi="Arial Nova"/>
                <w:b/>
              </w:rPr>
            </w:pPr>
            <w:r w:rsidRPr="00BA2306">
              <w:rPr>
                <w:rFonts w:ascii="Arial Nova" w:hAnsi="Arial Nova"/>
                <w:b/>
              </w:rPr>
              <w:t>u %</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Bar</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57.1</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42.9</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7</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4.1</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Berane</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7</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53.8</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6</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46.2</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13</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7.6</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proofErr w:type="spellStart"/>
            <w:r w:rsidRPr="00BA2306">
              <w:rPr>
                <w:rFonts w:ascii="Arial Nova" w:hAnsi="Arial Nova"/>
              </w:rPr>
              <w:t>Bijelo</w:t>
            </w:r>
            <w:proofErr w:type="spellEnd"/>
            <w:r w:rsidRPr="00BA2306">
              <w:rPr>
                <w:rFonts w:ascii="Arial Nova" w:hAnsi="Arial Nova"/>
              </w:rPr>
              <w:t xml:space="preserve"> Polje</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1.2</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Budva</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2.3</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Cetinje</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1.2</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proofErr w:type="spellStart"/>
            <w:r w:rsidRPr="00BA2306">
              <w:rPr>
                <w:rFonts w:ascii="Arial Nova" w:hAnsi="Arial Nova"/>
              </w:rPr>
              <w:t>Herceg</w:t>
            </w:r>
            <w:proofErr w:type="spellEnd"/>
            <w:r w:rsidRPr="00BA2306">
              <w:rPr>
                <w:rFonts w:ascii="Arial Nova" w:hAnsi="Arial Nova"/>
              </w:rPr>
              <w:t xml:space="preserve"> Novi</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35.7</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9</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64.3</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14</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8.1</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proofErr w:type="spellStart"/>
            <w:r w:rsidRPr="00BA2306">
              <w:rPr>
                <w:rFonts w:ascii="Arial Nova" w:hAnsi="Arial Nova"/>
              </w:rPr>
              <w:t>Kolašin</w:t>
            </w:r>
            <w:proofErr w:type="spellEnd"/>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0.6</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Kotor</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2.3</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Nikšić</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57.1</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15</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42.9</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35</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20.3</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proofErr w:type="spellStart"/>
            <w:r w:rsidRPr="00BA2306">
              <w:rPr>
                <w:rFonts w:ascii="Arial Nova" w:hAnsi="Arial Nova"/>
              </w:rPr>
              <w:t>Petnjica</w:t>
            </w:r>
            <w:proofErr w:type="spellEnd"/>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0.6</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proofErr w:type="spellStart"/>
            <w:r w:rsidRPr="00BA2306">
              <w:rPr>
                <w:rFonts w:ascii="Arial Nova" w:hAnsi="Arial Nova"/>
              </w:rPr>
              <w:t>Plužine</w:t>
            </w:r>
            <w:proofErr w:type="spellEnd"/>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0.6</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Podgorica</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38</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64.4</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21</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35.6</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59</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34.3</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proofErr w:type="spellStart"/>
            <w:r w:rsidRPr="00BA2306">
              <w:rPr>
                <w:rFonts w:ascii="Arial Nova" w:hAnsi="Arial Nova"/>
              </w:rPr>
              <w:t>Rožaje</w:t>
            </w:r>
            <w:proofErr w:type="spellEnd"/>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0.6</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Tivat</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3</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1.7</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Tuzi</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100.0</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0.0</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0.6</w:t>
            </w:r>
          </w:p>
        </w:tc>
      </w:tr>
      <w:tr w:rsidR="00BA2306" w:rsidRPr="00BA2306" w:rsidTr="00BA2306">
        <w:trPr>
          <w:trHeight w:val="300"/>
        </w:trPr>
        <w:tc>
          <w:tcPr>
            <w:tcW w:w="829" w:type="pct"/>
            <w:noWrap/>
            <w:hideMark/>
          </w:tcPr>
          <w:p w:rsidR="00BA2306" w:rsidRPr="00BA2306" w:rsidRDefault="00BA2306" w:rsidP="00BA2306">
            <w:pPr>
              <w:spacing w:line="256" w:lineRule="auto"/>
              <w:rPr>
                <w:rFonts w:ascii="Arial Nova" w:hAnsi="Arial Nova"/>
              </w:rPr>
            </w:pPr>
            <w:r w:rsidRPr="00BA2306">
              <w:rPr>
                <w:rFonts w:ascii="Arial Nova" w:hAnsi="Arial Nova"/>
              </w:rPr>
              <w:t>Ulcinj</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11</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45.8</w:t>
            </w:r>
          </w:p>
        </w:tc>
        <w:tc>
          <w:tcPr>
            <w:tcW w:w="83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13</w:t>
            </w:r>
          </w:p>
        </w:tc>
        <w:tc>
          <w:tcPr>
            <w:tcW w:w="659"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54.2</w:t>
            </w:r>
          </w:p>
        </w:tc>
        <w:tc>
          <w:tcPr>
            <w:tcW w:w="668"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24</w:t>
            </w:r>
          </w:p>
        </w:tc>
        <w:tc>
          <w:tcPr>
            <w:tcW w:w="687" w:type="pct"/>
            <w:noWrap/>
            <w:hideMark/>
          </w:tcPr>
          <w:p w:rsidR="00BA2306" w:rsidRPr="00BA2306" w:rsidRDefault="00BA2306" w:rsidP="00BA2306">
            <w:pPr>
              <w:spacing w:line="256" w:lineRule="auto"/>
              <w:jc w:val="right"/>
              <w:rPr>
                <w:rFonts w:ascii="Arial Nova" w:hAnsi="Arial Nova"/>
              </w:rPr>
            </w:pPr>
            <w:r w:rsidRPr="00BA2306">
              <w:rPr>
                <w:rFonts w:ascii="Arial Nova" w:hAnsi="Arial Nova"/>
              </w:rPr>
              <w:t>14.0</w:t>
            </w:r>
          </w:p>
        </w:tc>
      </w:tr>
      <w:tr w:rsidR="00BA2306" w:rsidRPr="00BA2306" w:rsidTr="00BA2306">
        <w:trPr>
          <w:trHeight w:val="300"/>
        </w:trPr>
        <w:tc>
          <w:tcPr>
            <w:tcW w:w="829" w:type="pct"/>
            <w:shd w:val="clear" w:color="auto" w:fill="F7CAAC" w:themeFill="accent2" w:themeFillTint="66"/>
            <w:noWrap/>
            <w:hideMark/>
          </w:tcPr>
          <w:p w:rsidR="00BA2306" w:rsidRPr="00BA2306" w:rsidRDefault="00BA2306" w:rsidP="00BA2306">
            <w:pPr>
              <w:spacing w:line="256" w:lineRule="auto"/>
              <w:rPr>
                <w:rFonts w:ascii="Arial Nova" w:hAnsi="Arial Nova"/>
                <w:b/>
              </w:rPr>
            </w:pPr>
            <w:proofErr w:type="spellStart"/>
            <w:r w:rsidRPr="00BA2306">
              <w:rPr>
                <w:rFonts w:ascii="Arial Nova" w:hAnsi="Arial Nova"/>
                <w:b/>
              </w:rPr>
              <w:t>Ukupno</w:t>
            </w:r>
            <w:proofErr w:type="spellEnd"/>
          </w:p>
        </w:tc>
        <w:tc>
          <w:tcPr>
            <w:tcW w:w="659" w:type="pct"/>
            <w:shd w:val="clear" w:color="auto" w:fill="F7CAAC" w:themeFill="accent2" w:themeFillTint="66"/>
            <w:noWrap/>
            <w:hideMark/>
          </w:tcPr>
          <w:p w:rsidR="00BA2306" w:rsidRPr="00BA2306" w:rsidRDefault="00BA2306" w:rsidP="00BA2306">
            <w:pPr>
              <w:spacing w:line="256" w:lineRule="auto"/>
              <w:jc w:val="right"/>
              <w:rPr>
                <w:rFonts w:ascii="Arial Nova" w:hAnsi="Arial Nova"/>
                <w:b/>
              </w:rPr>
            </w:pPr>
            <w:r w:rsidRPr="00BA2306">
              <w:rPr>
                <w:rFonts w:ascii="Arial Nova" w:hAnsi="Arial Nova"/>
                <w:b/>
              </w:rPr>
              <w:t>98</w:t>
            </w:r>
          </w:p>
        </w:tc>
        <w:tc>
          <w:tcPr>
            <w:tcW w:w="659" w:type="pct"/>
            <w:shd w:val="clear" w:color="auto" w:fill="F7CAAC" w:themeFill="accent2" w:themeFillTint="66"/>
            <w:noWrap/>
            <w:hideMark/>
          </w:tcPr>
          <w:p w:rsidR="00BA2306" w:rsidRPr="00BA2306" w:rsidRDefault="00BA2306" w:rsidP="00BA2306">
            <w:pPr>
              <w:spacing w:line="256" w:lineRule="auto"/>
              <w:jc w:val="right"/>
              <w:rPr>
                <w:rFonts w:ascii="Arial Nova" w:hAnsi="Arial Nova"/>
                <w:b/>
              </w:rPr>
            </w:pPr>
            <w:r w:rsidRPr="00BA2306">
              <w:rPr>
                <w:rFonts w:ascii="Arial Nova" w:hAnsi="Arial Nova"/>
                <w:b/>
              </w:rPr>
              <w:t>57.0</w:t>
            </w:r>
          </w:p>
        </w:tc>
        <w:tc>
          <w:tcPr>
            <w:tcW w:w="837" w:type="pct"/>
            <w:shd w:val="clear" w:color="auto" w:fill="F7CAAC" w:themeFill="accent2" w:themeFillTint="66"/>
            <w:noWrap/>
            <w:hideMark/>
          </w:tcPr>
          <w:p w:rsidR="00BA2306" w:rsidRPr="00BA2306" w:rsidRDefault="00BA2306" w:rsidP="00BA2306">
            <w:pPr>
              <w:spacing w:line="256" w:lineRule="auto"/>
              <w:jc w:val="right"/>
              <w:rPr>
                <w:rFonts w:ascii="Arial Nova" w:hAnsi="Arial Nova"/>
                <w:b/>
              </w:rPr>
            </w:pPr>
            <w:r w:rsidRPr="00BA2306">
              <w:rPr>
                <w:rFonts w:ascii="Arial Nova" w:hAnsi="Arial Nova"/>
                <w:b/>
              </w:rPr>
              <w:t>74</w:t>
            </w:r>
          </w:p>
        </w:tc>
        <w:tc>
          <w:tcPr>
            <w:tcW w:w="659" w:type="pct"/>
            <w:shd w:val="clear" w:color="auto" w:fill="F7CAAC" w:themeFill="accent2" w:themeFillTint="66"/>
            <w:noWrap/>
            <w:hideMark/>
          </w:tcPr>
          <w:p w:rsidR="00BA2306" w:rsidRPr="00BA2306" w:rsidRDefault="00BA2306" w:rsidP="00BA2306">
            <w:pPr>
              <w:spacing w:line="256" w:lineRule="auto"/>
              <w:jc w:val="right"/>
              <w:rPr>
                <w:rFonts w:ascii="Arial Nova" w:hAnsi="Arial Nova"/>
                <w:b/>
              </w:rPr>
            </w:pPr>
            <w:r w:rsidRPr="00BA2306">
              <w:rPr>
                <w:rFonts w:ascii="Arial Nova" w:hAnsi="Arial Nova"/>
                <w:b/>
              </w:rPr>
              <w:t>43.0</w:t>
            </w:r>
          </w:p>
        </w:tc>
        <w:tc>
          <w:tcPr>
            <w:tcW w:w="668" w:type="pct"/>
            <w:shd w:val="clear" w:color="auto" w:fill="F7CAAC" w:themeFill="accent2" w:themeFillTint="66"/>
            <w:noWrap/>
            <w:hideMark/>
          </w:tcPr>
          <w:p w:rsidR="00BA2306" w:rsidRPr="00BA2306" w:rsidRDefault="00BA2306" w:rsidP="00BA2306">
            <w:pPr>
              <w:spacing w:line="256" w:lineRule="auto"/>
              <w:jc w:val="right"/>
              <w:rPr>
                <w:rFonts w:ascii="Arial Nova" w:hAnsi="Arial Nova"/>
                <w:b/>
              </w:rPr>
            </w:pPr>
            <w:r w:rsidRPr="00BA2306">
              <w:rPr>
                <w:rFonts w:ascii="Arial Nova" w:hAnsi="Arial Nova"/>
                <w:b/>
              </w:rPr>
              <w:t>172</w:t>
            </w:r>
          </w:p>
        </w:tc>
        <w:tc>
          <w:tcPr>
            <w:tcW w:w="687" w:type="pct"/>
            <w:shd w:val="clear" w:color="auto" w:fill="F7CAAC" w:themeFill="accent2" w:themeFillTint="66"/>
            <w:noWrap/>
            <w:hideMark/>
          </w:tcPr>
          <w:p w:rsidR="00BA2306" w:rsidRPr="00BA2306" w:rsidRDefault="00BA2306" w:rsidP="00BA2306">
            <w:pPr>
              <w:spacing w:line="256" w:lineRule="auto"/>
              <w:jc w:val="right"/>
              <w:rPr>
                <w:rFonts w:ascii="Arial Nova" w:hAnsi="Arial Nova"/>
                <w:b/>
              </w:rPr>
            </w:pPr>
            <w:r w:rsidRPr="00BA2306">
              <w:rPr>
                <w:rFonts w:ascii="Arial Nova" w:hAnsi="Arial Nova"/>
                <w:b/>
              </w:rPr>
              <w:t>100.0</w:t>
            </w:r>
          </w:p>
        </w:tc>
      </w:tr>
    </w:tbl>
    <w:p w:rsidR="00BA2306" w:rsidRPr="00BA2306" w:rsidRDefault="00BA2306" w:rsidP="00BA2306">
      <w:pPr>
        <w:spacing w:after="360" w:line="256" w:lineRule="auto"/>
        <w:ind w:left="1440"/>
        <w:contextualSpacing/>
        <w:jc w:val="both"/>
        <w:rPr>
          <w:rFonts w:ascii="Arial" w:eastAsia="Calibri" w:hAnsi="Arial" w:cs="Arial"/>
          <w:kern w:val="0"/>
          <w:lang w:val="sr-Latn-CS"/>
          <w14:ligatures w14:val="none"/>
        </w:rPr>
      </w:pPr>
    </w:p>
    <w:p w:rsidR="00BA2306" w:rsidRPr="00BA2306" w:rsidRDefault="00BA2306" w:rsidP="00BA2306">
      <w:pPr>
        <w:spacing w:after="360" w:line="256" w:lineRule="auto"/>
        <w:contextualSpacing/>
        <w:jc w:val="both"/>
        <w:rPr>
          <w:rFonts w:ascii="Arial" w:eastAsia="Calibri" w:hAnsi="Arial" w:cs="Arial"/>
          <w:kern w:val="0"/>
          <w:lang w:val="sr-Latn-CS"/>
          <w14:ligatures w14:val="none"/>
        </w:rPr>
      </w:pPr>
    </w:p>
    <w:p w:rsidR="00BA2306" w:rsidRPr="00BA2306" w:rsidRDefault="00BA2306" w:rsidP="00BA2306">
      <w:pPr>
        <w:keepNext/>
        <w:keepLines/>
        <w:spacing w:before="160" w:after="120"/>
        <w:outlineLvl w:val="1"/>
        <w:rPr>
          <w:rFonts w:ascii="Arial Nova" w:eastAsiaTheme="majorEastAsia" w:hAnsi="Arial Nova" w:cstheme="majorBidi"/>
          <w:b/>
          <w:kern w:val="0"/>
          <w:sz w:val="24"/>
          <w:szCs w:val="26"/>
          <w:lang w:val="sr-Latn-ME"/>
          <w14:ligatures w14:val="none"/>
        </w:rPr>
      </w:pPr>
      <w:bookmarkStart w:id="14" w:name="_Toc183426201"/>
      <w:r w:rsidRPr="00BA2306">
        <w:rPr>
          <w:rFonts w:ascii="Arial Nova" w:eastAsiaTheme="majorEastAsia" w:hAnsi="Arial Nova" w:cstheme="majorBidi"/>
          <w:b/>
          <w:kern w:val="0"/>
          <w:sz w:val="24"/>
          <w:szCs w:val="26"/>
          <w:lang w:val="sr-Latn-ME"/>
          <w14:ligatures w14:val="none"/>
        </w:rPr>
        <w:t>Broj upisane djece u predškolskim ustanovama, prema opštinama i polu</w:t>
      </w:r>
      <w:bookmarkEnd w:id="14"/>
    </w:p>
    <w:tbl>
      <w:tblPr>
        <w:tblW w:w="5000" w:type="pct"/>
        <w:tblLook w:val="04A0" w:firstRow="1" w:lastRow="0" w:firstColumn="1" w:lastColumn="0" w:noHBand="0" w:noVBand="1"/>
      </w:tblPr>
      <w:tblGrid>
        <w:gridCol w:w="2182"/>
        <w:gridCol w:w="1895"/>
        <w:gridCol w:w="1894"/>
        <w:gridCol w:w="2223"/>
        <w:gridCol w:w="1891"/>
        <w:gridCol w:w="1891"/>
        <w:gridCol w:w="1972"/>
      </w:tblGrid>
      <w:tr w:rsidR="00BA2306" w:rsidRPr="00BA2306" w:rsidTr="00BA2306">
        <w:trPr>
          <w:trHeight w:val="300"/>
        </w:trPr>
        <w:tc>
          <w:tcPr>
            <w:tcW w:w="782" w:type="pct"/>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rsidR="00BA2306" w:rsidRPr="00BA2306" w:rsidRDefault="00BA2306" w:rsidP="00BA2306">
            <w:pPr>
              <w:spacing w:after="0" w:line="240" w:lineRule="auto"/>
              <w:jc w:val="center"/>
              <w:rPr>
                <w:rFonts w:ascii="Arial Nova" w:eastAsia="Times New Roman" w:hAnsi="Arial Nova" w:cs="Calibri"/>
                <w:color w:val="000000"/>
                <w:kern w:val="0"/>
                <w:lang w:val="sr-Latn-ME"/>
                <w14:ligatures w14:val="none"/>
              </w:rPr>
            </w:pPr>
          </w:p>
        </w:tc>
        <w:tc>
          <w:tcPr>
            <w:tcW w:w="679" w:type="pct"/>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BA2306" w:rsidRPr="00BA2306" w:rsidRDefault="00BA2306" w:rsidP="00BA2306">
            <w:pPr>
              <w:spacing w:after="0" w:line="240" w:lineRule="auto"/>
              <w:jc w:val="center"/>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Dječaci</w:t>
            </w:r>
          </w:p>
        </w:tc>
        <w:tc>
          <w:tcPr>
            <w:tcW w:w="679" w:type="pct"/>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BA2306" w:rsidRPr="00BA2306" w:rsidRDefault="00BA2306" w:rsidP="00BA2306">
            <w:pPr>
              <w:spacing w:after="0" w:line="240" w:lineRule="auto"/>
              <w:jc w:val="center"/>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u %</w:t>
            </w:r>
          </w:p>
        </w:tc>
        <w:tc>
          <w:tcPr>
            <w:tcW w:w="797" w:type="pct"/>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BA2306" w:rsidRPr="00BA2306" w:rsidRDefault="00BA2306" w:rsidP="00BA2306">
            <w:pPr>
              <w:spacing w:after="0" w:line="240" w:lineRule="auto"/>
              <w:jc w:val="center"/>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Djevojčice</w:t>
            </w:r>
          </w:p>
        </w:tc>
        <w:tc>
          <w:tcPr>
            <w:tcW w:w="678" w:type="pct"/>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BA2306" w:rsidRPr="00BA2306" w:rsidRDefault="00BA2306" w:rsidP="00BA2306">
            <w:pPr>
              <w:spacing w:after="0" w:line="240" w:lineRule="auto"/>
              <w:jc w:val="center"/>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u %</w:t>
            </w:r>
          </w:p>
        </w:tc>
        <w:tc>
          <w:tcPr>
            <w:tcW w:w="678" w:type="pct"/>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BA2306" w:rsidRPr="00BA2306" w:rsidRDefault="00BA2306" w:rsidP="00BA2306">
            <w:pPr>
              <w:spacing w:after="0" w:line="240" w:lineRule="auto"/>
              <w:jc w:val="center"/>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Ukupno</w:t>
            </w:r>
          </w:p>
        </w:tc>
        <w:tc>
          <w:tcPr>
            <w:tcW w:w="707" w:type="pct"/>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BA2306" w:rsidRPr="00BA2306" w:rsidRDefault="00BA2306" w:rsidP="00BA2306">
            <w:pPr>
              <w:spacing w:after="0" w:line="240" w:lineRule="auto"/>
              <w:jc w:val="center"/>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u %</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Bar</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3</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3</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6</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2.1</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Berane</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29</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55.8</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23</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44.2</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3351DA" w:rsidP="00BA2306">
            <w:pPr>
              <w:spacing w:after="0" w:line="240" w:lineRule="auto"/>
              <w:jc w:val="right"/>
              <w:rPr>
                <w:rFonts w:ascii="Arial Nova" w:eastAsia="Times New Roman" w:hAnsi="Arial Nova" w:cs="Calibri"/>
                <w:color w:val="000000"/>
                <w:kern w:val="0"/>
                <w:lang w:val="sr-Latn-ME"/>
                <w14:ligatures w14:val="none"/>
              </w:rPr>
            </w:pPr>
            <w:r>
              <w:rPr>
                <w:rFonts w:ascii="Arial Nova" w:eastAsia="Times New Roman" w:hAnsi="Arial Nova" w:cs="Calibri"/>
                <w:color w:val="000000"/>
                <w:kern w:val="0"/>
                <w:lang w:val="sr-Latn-ME"/>
                <w14:ligatures w14:val="none"/>
              </w:rPr>
              <w:t>71</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3351DA" w:rsidP="00BA2306">
            <w:pPr>
              <w:spacing w:after="0" w:line="240" w:lineRule="auto"/>
              <w:jc w:val="right"/>
              <w:rPr>
                <w:rFonts w:ascii="Arial Nova" w:eastAsia="Times New Roman" w:hAnsi="Arial Nova" w:cs="Calibri"/>
                <w:color w:val="000000"/>
                <w:kern w:val="0"/>
                <w:lang w:val="sr-Latn-ME"/>
                <w14:ligatures w14:val="none"/>
              </w:rPr>
            </w:pPr>
            <w:r>
              <w:rPr>
                <w:rFonts w:ascii="Arial Nova" w:eastAsia="Times New Roman" w:hAnsi="Arial Nova" w:cs="Calibri"/>
                <w:color w:val="000000"/>
                <w:kern w:val="0"/>
                <w:lang w:val="sr-Latn-ME"/>
                <w14:ligatures w14:val="none"/>
              </w:rPr>
              <w:t>22.76</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Bijelo Polje</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0</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100.0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0.7</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lastRenderedPageBreak/>
              <w:t>Cetinje</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0.7</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Herceg Novi</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11</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61.1</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7</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38.9</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18</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6.2</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Kotor</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9</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75.0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3</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25.0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12</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4.1</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Nikšić</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18</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41.9</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25</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58.1</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43</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14.8</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Podgorica</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63</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57.3</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47</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42.7</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110</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37.9</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Tivat</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10</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43.5</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13</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56.5</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23</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7.9</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Ulcinj</w:t>
            </w:r>
          </w:p>
        </w:tc>
        <w:tc>
          <w:tcPr>
            <w:tcW w:w="679"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11</w:t>
            </w:r>
          </w:p>
        </w:tc>
        <w:tc>
          <w:tcPr>
            <w:tcW w:w="679"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50.0</w:t>
            </w:r>
          </w:p>
        </w:tc>
        <w:tc>
          <w:tcPr>
            <w:tcW w:w="797"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11</w:t>
            </w:r>
          </w:p>
        </w:tc>
        <w:tc>
          <w:tcPr>
            <w:tcW w:w="678"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50.0</w:t>
            </w:r>
          </w:p>
        </w:tc>
        <w:tc>
          <w:tcPr>
            <w:tcW w:w="678" w:type="pct"/>
            <w:tcBorders>
              <w:top w:val="single" w:sz="4" w:space="0" w:color="auto"/>
              <w:left w:val="nil"/>
              <w:bottom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22</w:t>
            </w:r>
          </w:p>
        </w:tc>
        <w:tc>
          <w:tcPr>
            <w:tcW w:w="707" w:type="pct"/>
            <w:tcBorders>
              <w:top w:val="single" w:sz="4" w:space="0" w:color="auto"/>
              <w:bottom w:val="single" w:sz="4" w:space="0" w:color="auto"/>
              <w:right w:val="single" w:sz="4" w:space="0" w:color="auto"/>
            </w:tcBorders>
            <w:shd w:val="clear" w:color="auto" w:fill="auto"/>
            <w:noWrap/>
            <w:vAlign w:val="bottom"/>
            <w:hideMark/>
          </w:tcPr>
          <w:p w:rsidR="00BA2306" w:rsidRPr="00BA2306" w:rsidRDefault="00BA2306" w:rsidP="00BA2306">
            <w:pPr>
              <w:spacing w:after="0" w:line="240" w:lineRule="auto"/>
              <w:jc w:val="right"/>
              <w:rPr>
                <w:rFonts w:ascii="Arial Nova" w:eastAsia="Times New Roman" w:hAnsi="Arial Nova" w:cs="Calibri"/>
                <w:color w:val="000000"/>
                <w:kern w:val="0"/>
                <w:lang w:val="sr-Latn-ME"/>
                <w14:ligatures w14:val="none"/>
              </w:rPr>
            </w:pPr>
            <w:r w:rsidRPr="00BA2306">
              <w:rPr>
                <w:rFonts w:ascii="Arial Nova" w:eastAsia="Times New Roman" w:hAnsi="Arial Nova" w:cs="Calibri"/>
                <w:color w:val="000000"/>
                <w:kern w:val="0"/>
                <w:lang w:val="sr-Latn-ME"/>
                <w14:ligatures w14:val="none"/>
              </w:rPr>
              <w:t>7.6</w:t>
            </w:r>
          </w:p>
        </w:tc>
      </w:tr>
      <w:tr w:rsidR="00BA2306" w:rsidRPr="00BA2306" w:rsidTr="00BA2306">
        <w:trPr>
          <w:trHeight w:val="300"/>
        </w:trPr>
        <w:tc>
          <w:tcPr>
            <w:tcW w:w="782" w:type="pct"/>
            <w:tcBorders>
              <w:top w:val="nil"/>
              <w:left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Ukupno</w:t>
            </w:r>
          </w:p>
        </w:tc>
        <w:tc>
          <w:tcPr>
            <w:tcW w:w="679" w:type="pct"/>
            <w:tcBorders>
              <w:top w:val="single" w:sz="4" w:space="0" w:color="auto"/>
              <w:left w:val="nil"/>
              <w:bottom w:val="single" w:sz="4" w:space="0" w:color="auto"/>
            </w:tcBorders>
            <w:shd w:val="clear" w:color="auto" w:fill="F7CAAC" w:themeFill="accent2" w:themeFillTint="66"/>
            <w:noWrap/>
            <w:vAlign w:val="bottom"/>
            <w:hideMark/>
          </w:tcPr>
          <w:p w:rsidR="00BA2306" w:rsidRPr="00BA2306" w:rsidRDefault="003351DA" w:rsidP="00BA2306">
            <w:pPr>
              <w:spacing w:after="0" w:line="240" w:lineRule="auto"/>
              <w:jc w:val="right"/>
              <w:rPr>
                <w:rFonts w:ascii="Arial Nova" w:eastAsia="Times New Roman" w:hAnsi="Arial Nova" w:cs="Calibri"/>
                <w:b/>
                <w:color w:val="000000"/>
                <w:kern w:val="0"/>
                <w:lang w:val="sr-Latn-ME"/>
                <w14:ligatures w14:val="none"/>
              </w:rPr>
            </w:pPr>
            <w:r>
              <w:rPr>
                <w:rFonts w:ascii="Arial Nova" w:eastAsia="Times New Roman" w:hAnsi="Arial Nova" w:cs="Calibri"/>
                <w:b/>
                <w:color w:val="000000"/>
                <w:kern w:val="0"/>
                <w:lang w:val="sr-Latn-ME"/>
                <w14:ligatures w14:val="none"/>
              </w:rPr>
              <w:t>163</w:t>
            </w:r>
          </w:p>
        </w:tc>
        <w:tc>
          <w:tcPr>
            <w:tcW w:w="679" w:type="pct"/>
            <w:tcBorders>
              <w:top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5</w:t>
            </w:r>
            <w:r w:rsidR="003351DA">
              <w:rPr>
                <w:rFonts w:ascii="Arial Nova" w:eastAsia="Times New Roman" w:hAnsi="Arial Nova" w:cs="Calibri"/>
                <w:b/>
                <w:color w:val="000000"/>
                <w:kern w:val="0"/>
                <w:lang w:val="sr-Latn-ME"/>
                <w14:ligatures w14:val="none"/>
              </w:rPr>
              <w:t>2.24</w:t>
            </w:r>
          </w:p>
        </w:tc>
        <w:tc>
          <w:tcPr>
            <w:tcW w:w="797" w:type="pct"/>
            <w:tcBorders>
              <w:top w:val="single" w:sz="4" w:space="0" w:color="auto"/>
              <w:left w:val="nil"/>
              <w:bottom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1</w:t>
            </w:r>
            <w:r w:rsidR="003351DA">
              <w:rPr>
                <w:rFonts w:ascii="Arial Nova" w:eastAsia="Times New Roman" w:hAnsi="Arial Nova" w:cs="Calibri"/>
                <w:b/>
                <w:color w:val="000000"/>
                <w:kern w:val="0"/>
                <w:lang w:val="sr-Latn-ME"/>
                <w14:ligatures w14:val="none"/>
              </w:rPr>
              <w:t>49</w:t>
            </w:r>
          </w:p>
        </w:tc>
        <w:tc>
          <w:tcPr>
            <w:tcW w:w="678" w:type="pct"/>
            <w:tcBorders>
              <w:top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4</w:t>
            </w:r>
            <w:r w:rsidR="003351DA">
              <w:rPr>
                <w:rFonts w:ascii="Arial Nova" w:eastAsia="Times New Roman" w:hAnsi="Arial Nova" w:cs="Calibri"/>
                <w:b/>
                <w:color w:val="000000"/>
                <w:kern w:val="0"/>
                <w:lang w:val="sr-Latn-ME"/>
                <w14:ligatures w14:val="none"/>
              </w:rPr>
              <w:t>7.76</w:t>
            </w:r>
          </w:p>
        </w:tc>
        <w:tc>
          <w:tcPr>
            <w:tcW w:w="678" w:type="pct"/>
            <w:tcBorders>
              <w:top w:val="single" w:sz="4" w:space="0" w:color="auto"/>
              <w:left w:val="nil"/>
              <w:bottom w:val="single" w:sz="4" w:space="0" w:color="auto"/>
            </w:tcBorders>
            <w:shd w:val="clear" w:color="auto" w:fill="F7CAAC" w:themeFill="accent2" w:themeFillTint="66"/>
            <w:noWrap/>
            <w:vAlign w:val="bottom"/>
            <w:hideMark/>
          </w:tcPr>
          <w:p w:rsidR="00BA2306" w:rsidRPr="00BA2306" w:rsidRDefault="003351DA" w:rsidP="00BA2306">
            <w:pPr>
              <w:spacing w:after="0" w:line="240" w:lineRule="auto"/>
              <w:jc w:val="right"/>
              <w:rPr>
                <w:rFonts w:ascii="Arial Nova" w:eastAsia="Times New Roman" w:hAnsi="Arial Nova" w:cs="Calibri"/>
                <w:b/>
                <w:color w:val="000000"/>
                <w:kern w:val="0"/>
                <w:lang w:val="sr-Latn-ME"/>
                <w14:ligatures w14:val="none"/>
              </w:rPr>
            </w:pPr>
            <w:r>
              <w:rPr>
                <w:rFonts w:ascii="Arial Nova" w:eastAsia="Times New Roman" w:hAnsi="Arial Nova" w:cs="Calibri"/>
                <w:b/>
                <w:color w:val="000000"/>
                <w:kern w:val="0"/>
                <w:lang w:val="sr-Latn-ME"/>
                <w14:ligatures w14:val="none"/>
              </w:rPr>
              <w:t>312</w:t>
            </w:r>
          </w:p>
        </w:tc>
        <w:tc>
          <w:tcPr>
            <w:tcW w:w="707" w:type="pct"/>
            <w:tcBorders>
              <w:top w:val="single" w:sz="4" w:space="0" w:color="auto"/>
              <w:bottom w:val="single" w:sz="4" w:space="0" w:color="auto"/>
              <w:right w:val="single" w:sz="4" w:space="0" w:color="auto"/>
            </w:tcBorders>
            <w:shd w:val="clear" w:color="auto" w:fill="F7CAAC" w:themeFill="accent2" w:themeFillTint="66"/>
            <w:noWrap/>
            <w:vAlign w:val="bottom"/>
            <w:hideMark/>
          </w:tcPr>
          <w:p w:rsidR="00BA2306" w:rsidRPr="00BA2306" w:rsidRDefault="00BA2306" w:rsidP="00BA2306">
            <w:pPr>
              <w:spacing w:after="0" w:line="240" w:lineRule="auto"/>
              <w:jc w:val="right"/>
              <w:rPr>
                <w:rFonts w:ascii="Arial Nova" w:eastAsia="Times New Roman" w:hAnsi="Arial Nova" w:cs="Calibri"/>
                <w:b/>
                <w:color w:val="000000"/>
                <w:kern w:val="0"/>
                <w:lang w:val="sr-Latn-ME"/>
                <w14:ligatures w14:val="none"/>
              </w:rPr>
            </w:pPr>
            <w:r w:rsidRPr="00BA2306">
              <w:rPr>
                <w:rFonts w:ascii="Arial Nova" w:eastAsia="Times New Roman" w:hAnsi="Arial Nova" w:cs="Calibri"/>
                <w:b/>
                <w:color w:val="000000"/>
                <w:kern w:val="0"/>
                <w:lang w:val="sr-Latn-ME"/>
                <w14:ligatures w14:val="none"/>
              </w:rPr>
              <w:t>100.0</w:t>
            </w:r>
          </w:p>
        </w:tc>
      </w:tr>
    </w:tbl>
    <w:p w:rsidR="004D2A15" w:rsidRDefault="00BA2306" w:rsidP="00BA2306">
      <w:pPr>
        <w:tabs>
          <w:tab w:val="left" w:pos="1008"/>
        </w:tabs>
        <w:spacing w:line="240" w:lineRule="auto"/>
        <w:rPr>
          <w:rFonts w:ascii="Arial Black" w:hAnsi="Arial Black" w:cs="Arial"/>
          <w:b/>
          <w:color w:val="0070C0"/>
          <w:kern w:val="0"/>
          <w:sz w:val="24"/>
          <w:szCs w:val="24"/>
          <w:lang w:val="sr-Latn-RS"/>
          <w14:ligatures w14:val="none"/>
        </w:rPr>
      </w:pPr>
      <w:r w:rsidRPr="00BA2306">
        <w:rPr>
          <w:rFonts w:ascii="Arial Black" w:hAnsi="Arial Black" w:cs="Arial"/>
          <w:b/>
          <w:color w:val="0070C0"/>
          <w:kern w:val="0"/>
          <w:sz w:val="24"/>
          <w:szCs w:val="24"/>
          <w:lang w:val="sr-Latn-RS"/>
          <w14:ligatures w14:val="none"/>
        </w:rPr>
        <w:t xml:space="preserve">     </w:t>
      </w:r>
    </w:p>
    <w:p w:rsidR="004D2A15" w:rsidRDefault="004D2A15" w:rsidP="00BA2306">
      <w:pPr>
        <w:tabs>
          <w:tab w:val="left" w:pos="1008"/>
        </w:tabs>
        <w:spacing w:line="240" w:lineRule="auto"/>
        <w:rPr>
          <w:rFonts w:ascii="Arial Black" w:hAnsi="Arial Black" w:cs="Arial"/>
          <w:b/>
          <w:color w:val="0070C0"/>
          <w:kern w:val="0"/>
          <w:sz w:val="24"/>
          <w:szCs w:val="24"/>
          <w:lang w:val="sr-Latn-RS"/>
          <w14:ligatures w14:val="none"/>
        </w:rPr>
      </w:pPr>
    </w:p>
    <w:p w:rsidR="004D2A15" w:rsidRDefault="004D2A15" w:rsidP="00BA2306">
      <w:pPr>
        <w:tabs>
          <w:tab w:val="left" w:pos="1008"/>
        </w:tabs>
        <w:spacing w:line="240" w:lineRule="auto"/>
        <w:rPr>
          <w:rFonts w:ascii="Arial Black" w:hAnsi="Arial Black" w:cs="Arial"/>
          <w:b/>
          <w:color w:val="0070C0"/>
          <w:kern w:val="0"/>
          <w:sz w:val="24"/>
          <w:szCs w:val="24"/>
          <w:lang w:val="sr-Latn-RS"/>
          <w14:ligatures w14:val="none"/>
        </w:rPr>
      </w:pPr>
    </w:p>
    <w:p w:rsidR="00BA2306" w:rsidRPr="00BA2306" w:rsidRDefault="00BA2306" w:rsidP="00BA2306">
      <w:pPr>
        <w:tabs>
          <w:tab w:val="left" w:pos="1008"/>
        </w:tabs>
        <w:spacing w:line="240" w:lineRule="auto"/>
        <w:rPr>
          <w:rFonts w:ascii="Arial Black" w:hAnsi="Arial Black" w:cs="Arial"/>
          <w:b/>
          <w:color w:val="0070C0"/>
          <w:kern w:val="0"/>
          <w:sz w:val="24"/>
          <w:szCs w:val="24"/>
          <w:lang w:val="sr-Latn-RS"/>
          <w14:ligatures w14:val="none"/>
        </w:rPr>
      </w:pPr>
      <w:r w:rsidRPr="00BA2306">
        <w:rPr>
          <w:rFonts w:ascii="Arial Black" w:hAnsi="Arial Black" w:cs="Arial"/>
          <w:b/>
          <w:color w:val="0070C0"/>
          <w:kern w:val="0"/>
          <w:sz w:val="24"/>
          <w:szCs w:val="24"/>
          <w:lang w:val="sr-Latn-RS"/>
          <w14:ligatures w14:val="none"/>
        </w:rPr>
        <w:t xml:space="preserve">              </w:t>
      </w:r>
    </w:p>
    <w:p w:rsidR="00BA2306" w:rsidRPr="00BA2306" w:rsidRDefault="00BA2306" w:rsidP="00BA2306">
      <w:pPr>
        <w:tabs>
          <w:tab w:val="left" w:pos="1008"/>
        </w:tabs>
        <w:spacing w:line="240" w:lineRule="auto"/>
        <w:rPr>
          <w:rFonts w:ascii="Arial Black" w:hAnsi="Arial Black" w:cs="Arial"/>
          <w:kern w:val="0"/>
          <w:sz w:val="28"/>
          <w:szCs w:val="28"/>
          <w:lang w:val="sr-Latn-RS"/>
          <w14:ligatures w14:val="none"/>
        </w:rPr>
      </w:pPr>
      <w:bookmarkStart w:id="15" w:name="_Hlk170979874"/>
      <w:r w:rsidRPr="00BA2306">
        <w:rPr>
          <w:rFonts w:ascii="Arial Black" w:hAnsi="Arial Black" w:cs="Arial"/>
          <w:kern w:val="0"/>
          <w:sz w:val="28"/>
          <w:szCs w:val="28"/>
          <w:lang w:val="sr-Latn-RS"/>
          <w14:ligatures w14:val="none"/>
        </w:rPr>
        <w:t>Preporuke koordinacionog tijela:</w:t>
      </w:r>
    </w:p>
    <w:bookmarkEnd w:id="15"/>
    <w:p w:rsidR="00BA2306" w:rsidRPr="00BA2306" w:rsidRDefault="00BA2306" w:rsidP="00BA2306">
      <w:p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 xml:space="preserve">Obrazovanje Roma i Egipćana (RE populacije) u Crnoj Gori suočava se sa brojnim izazovima, uključujući siromaštvo, diskriminaciju, jezičke barijere i lica sa invaliditetom zbog intersekcijske diskriminacije. </w:t>
      </w:r>
    </w:p>
    <w:p w:rsidR="00BA2306" w:rsidRPr="00BA2306" w:rsidRDefault="00BA2306" w:rsidP="00BA2306">
      <w:p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Integracija u obrazovni sistem</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Predškolsko obrazovanje</w:t>
      </w:r>
      <w:r w:rsidRPr="00BA2306">
        <w:rPr>
          <w:rFonts w:ascii="Arial Nova" w:eastAsia="Times New Roman" w:hAnsi="Arial Nova" w:cs="Times New Roman"/>
          <w:kern w:val="0"/>
          <w:sz w:val="24"/>
          <w:szCs w:val="24"/>
          <w:lang w:val="sr-Latn-RS" w:eastAsia="en-GB"/>
          <w14:ligatures w14:val="none"/>
        </w:rPr>
        <w:t>: Povećati broj predškolskih programa specifično namijenjenih RE djeci kako bi se omogućio raniji početak obrazovanja.</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Osnovno i srednje obrazovanje</w:t>
      </w:r>
      <w:r w:rsidRPr="00BA2306">
        <w:rPr>
          <w:rFonts w:ascii="Arial Nova" w:eastAsia="Times New Roman" w:hAnsi="Arial Nova" w:cs="Times New Roman"/>
          <w:kern w:val="0"/>
          <w:sz w:val="24"/>
          <w:szCs w:val="24"/>
          <w:lang w:val="sr-Latn-RS" w:eastAsia="en-GB"/>
          <w14:ligatures w14:val="none"/>
        </w:rPr>
        <w:t>: Osigurati redovno pohađanje i završavanje osnovne i srednje škole kroz programe stipendiranja i podrške.</w:t>
      </w:r>
    </w:p>
    <w:p w:rsidR="00BA2306" w:rsidRPr="00BA2306" w:rsidRDefault="00BA2306" w:rsidP="00BA2306">
      <w:p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 xml:space="preserve">           Finansijska podrška</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lastRenderedPageBreak/>
        <w:t>Stipendije</w:t>
      </w:r>
      <w:r w:rsidRPr="00BA2306">
        <w:rPr>
          <w:rFonts w:ascii="Arial Nova" w:eastAsia="Times New Roman" w:hAnsi="Arial Nova" w:cs="Times New Roman"/>
          <w:kern w:val="0"/>
          <w:sz w:val="24"/>
          <w:szCs w:val="24"/>
          <w:lang w:val="sr-Latn-RS" w:eastAsia="en-GB"/>
          <w14:ligatures w14:val="none"/>
        </w:rPr>
        <w:t>: Pružiti stipendije i finansijsku pomoć za RE učenike na svim nivoima obrazovanja kako bi se smanjio ekonomski pritisak na porodice.</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Kulturna i jezička podrška</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Uključivanje kulture</w:t>
      </w:r>
      <w:r w:rsidRPr="00BA2306">
        <w:rPr>
          <w:rFonts w:ascii="Arial Nova" w:eastAsia="Times New Roman" w:hAnsi="Arial Nova" w:cs="Times New Roman"/>
          <w:kern w:val="0"/>
          <w:sz w:val="24"/>
          <w:szCs w:val="24"/>
          <w:lang w:val="sr-Latn-RS" w:eastAsia="en-GB"/>
          <w14:ligatures w14:val="none"/>
        </w:rPr>
        <w:t>: Integrisati elemente romske kulture u školski program kako bi se povećala kulturna svjesnost i smanjila diskriminacija.</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Roditeljska i zajednička podrška</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Obrazovanje roditelja</w:t>
      </w:r>
      <w:r w:rsidRPr="00BA2306">
        <w:rPr>
          <w:rFonts w:ascii="Arial Nova" w:eastAsia="Times New Roman" w:hAnsi="Arial Nova" w:cs="Times New Roman"/>
          <w:kern w:val="0"/>
          <w:sz w:val="24"/>
          <w:szCs w:val="24"/>
          <w:lang w:val="sr-Latn-RS" w:eastAsia="en-GB"/>
          <w14:ligatures w14:val="none"/>
        </w:rPr>
        <w:t>: Organizovati radionice i seminare za roditelje RE djece kako bi se podigla svijest o važnosti obrazovanja.</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Uključivanje zajednice</w:t>
      </w:r>
      <w:r w:rsidRPr="00BA2306">
        <w:rPr>
          <w:rFonts w:ascii="Arial Nova" w:eastAsia="Times New Roman" w:hAnsi="Arial Nova" w:cs="Times New Roman"/>
          <w:kern w:val="0"/>
          <w:sz w:val="24"/>
          <w:szCs w:val="24"/>
          <w:lang w:val="sr-Latn-RS" w:eastAsia="en-GB"/>
          <w14:ligatures w14:val="none"/>
        </w:rPr>
        <w:t>: Aktivno uključiti zajednicu u obrazovne procese kroz formiranje savetodavnih tjela i saradnju sa nevladinim organizacijama.</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Stručna podrška i dodatna pomoć</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Mentorski programi</w:t>
      </w:r>
      <w:r w:rsidRPr="00BA2306">
        <w:rPr>
          <w:rFonts w:ascii="Arial Nova" w:eastAsia="Times New Roman" w:hAnsi="Arial Nova" w:cs="Times New Roman"/>
          <w:kern w:val="0"/>
          <w:sz w:val="24"/>
          <w:szCs w:val="24"/>
          <w:lang w:val="sr-Latn-RS" w:eastAsia="en-GB"/>
          <w14:ligatures w14:val="none"/>
        </w:rPr>
        <w:t>: Razviti mentorske programe gde bi stariji studenti ili profesionalci pomagali RE učenicima u akademskom i profesionalnom razvoju.</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Dodatna nastava</w:t>
      </w:r>
      <w:r w:rsidRPr="00BA2306">
        <w:rPr>
          <w:rFonts w:ascii="Arial Nova" w:eastAsia="Times New Roman" w:hAnsi="Arial Nova" w:cs="Times New Roman"/>
          <w:kern w:val="0"/>
          <w:sz w:val="24"/>
          <w:szCs w:val="24"/>
          <w:lang w:val="sr-Latn-RS" w:eastAsia="en-GB"/>
          <w14:ligatures w14:val="none"/>
        </w:rPr>
        <w:t>: Organizovati dodatne časove i podršku za učenike koji imaju poteškoće u savladavanju gradiva.</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Borba protiv diskriminacije</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Edukacija nastavnika</w:t>
      </w:r>
      <w:r w:rsidRPr="00BA2306">
        <w:rPr>
          <w:rFonts w:ascii="Arial Nova" w:eastAsia="Times New Roman" w:hAnsi="Arial Nova" w:cs="Times New Roman"/>
          <w:kern w:val="0"/>
          <w:sz w:val="24"/>
          <w:szCs w:val="24"/>
          <w:lang w:val="sr-Latn-RS" w:eastAsia="en-GB"/>
          <w14:ligatures w14:val="none"/>
        </w:rPr>
        <w:t>: Obučiti nastavnike o kulturnoj osjetljivosti i inkluzivnim praksama kako bi se smanjila diskriminacija u školama.</w:t>
      </w:r>
    </w:p>
    <w:p w:rsid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Zakonska zaštita</w:t>
      </w:r>
      <w:r w:rsidRPr="00BA2306">
        <w:rPr>
          <w:rFonts w:ascii="Arial Nova" w:eastAsia="Times New Roman" w:hAnsi="Arial Nova" w:cs="Times New Roman"/>
          <w:kern w:val="0"/>
          <w:sz w:val="24"/>
          <w:szCs w:val="24"/>
          <w:lang w:val="sr-Latn-RS" w:eastAsia="en-GB"/>
          <w14:ligatures w14:val="none"/>
        </w:rPr>
        <w:t>: Strogo sprovoditi zakone protiv diskriminacije u obrazovnim institucijama.</w:t>
      </w:r>
    </w:p>
    <w:p w:rsidR="00055DF3" w:rsidRPr="00055DF3" w:rsidRDefault="00055DF3" w:rsidP="00055DF3">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Pr>
          <w:rFonts w:ascii="Arial Nova" w:eastAsia="Times New Roman" w:hAnsi="Arial Nova" w:cs="Times New Roman"/>
          <w:kern w:val="0"/>
          <w:sz w:val="24"/>
          <w:szCs w:val="24"/>
          <w:lang w:val="sr-Latn-RS" w:eastAsia="en-GB"/>
          <w14:ligatures w14:val="none"/>
        </w:rPr>
        <w:t>d</w:t>
      </w:r>
      <w:r w:rsidRPr="00055DF3">
        <w:rPr>
          <w:rFonts w:ascii="Arial Nova" w:eastAsia="Times New Roman" w:hAnsi="Arial Nova" w:cs="Times New Roman"/>
          <w:kern w:val="0"/>
          <w:sz w:val="24"/>
          <w:szCs w:val="24"/>
          <w:lang w:val="sr-Latn-RS" w:eastAsia="en-GB"/>
          <w14:ligatures w14:val="none"/>
        </w:rPr>
        <w:t>a se stvore zakonodavne i druge pretpostavke za angažovanje medijatora u socijalnoj inkluziji Roma i Egipćana u oblasti obrazovanja na osnovu ugovora koji garantuju stalnost zaposlenja;</w:t>
      </w:r>
    </w:p>
    <w:p w:rsidR="00055DF3" w:rsidRPr="00055DF3" w:rsidRDefault="00055DF3" w:rsidP="00055DF3">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055DF3">
        <w:rPr>
          <w:rFonts w:ascii="Arial Nova" w:eastAsia="Times New Roman" w:hAnsi="Arial Nova" w:cs="Times New Roman"/>
          <w:kern w:val="0"/>
          <w:sz w:val="24"/>
          <w:szCs w:val="24"/>
          <w:lang w:val="sr-Latn-RS" w:eastAsia="en-GB"/>
          <w14:ligatures w14:val="none"/>
        </w:rPr>
        <w:t>da se na nivou svih lokalnih zajednica obezbijedi besplatan prevoz za djecu iz romske i egipćanske</w:t>
      </w:r>
      <w:r>
        <w:rPr>
          <w:rFonts w:ascii="Arial Nova" w:eastAsia="Times New Roman" w:hAnsi="Arial Nova" w:cs="Times New Roman"/>
          <w:kern w:val="0"/>
          <w:sz w:val="24"/>
          <w:szCs w:val="24"/>
          <w:lang w:val="sr-Latn-RS" w:eastAsia="en-GB"/>
          <w14:ligatures w14:val="none"/>
        </w:rPr>
        <w:t xml:space="preserve"> </w:t>
      </w:r>
      <w:r w:rsidRPr="00055DF3">
        <w:rPr>
          <w:rFonts w:ascii="Arial Nova" w:eastAsia="Times New Roman" w:hAnsi="Arial Nova" w:cs="Times New Roman"/>
          <w:kern w:val="0"/>
          <w:sz w:val="24"/>
          <w:szCs w:val="24"/>
          <w:lang w:val="sr-Latn-RS" w:eastAsia="en-GB"/>
          <w14:ligatures w14:val="none"/>
        </w:rPr>
        <w:t>populacije do škole i povratak u mjesto stanovanja;</w:t>
      </w:r>
    </w:p>
    <w:p w:rsidR="00055DF3" w:rsidRPr="00BA2306" w:rsidRDefault="00055DF3" w:rsidP="00055DF3">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055DF3">
        <w:rPr>
          <w:rFonts w:ascii="Arial Nova" w:eastAsia="Times New Roman" w:hAnsi="Arial Nova" w:cs="Times New Roman"/>
          <w:kern w:val="0"/>
          <w:sz w:val="24"/>
          <w:szCs w:val="24"/>
          <w:lang w:val="sr-Latn-RS" w:eastAsia="en-GB"/>
          <w14:ligatures w14:val="none"/>
        </w:rPr>
        <w:lastRenderedPageBreak/>
        <w:t>da se dalje osnažuje upis djece iz romske i egipćanske zajednice u mješovite predškolske ustanove radi olakšanja daljeg obrazovanja i savladavanja barijera.</w:t>
      </w:r>
    </w:p>
    <w:p w:rsidR="00BA2306" w:rsidRPr="00BA2306" w:rsidRDefault="00BA2306" w:rsidP="00BA2306">
      <w:pPr>
        <w:spacing w:before="100" w:beforeAutospacing="1" w:after="100" w:afterAutospacing="1" w:line="240" w:lineRule="auto"/>
        <w:ind w:left="720"/>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Monitoring i evaluacija</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Praćenje napretka</w:t>
      </w:r>
      <w:r w:rsidRPr="00BA2306">
        <w:rPr>
          <w:rFonts w:ascii="Arial Nova" w:eastAsia="Times New Roman" w:hAnsi="Arial Nova" w:cs="Times New Roman"/>
          <w:kern w:val="0"/>
          <w:sz w:val="24"/>
          <w:szCs w:val="24"/>
          <w:lang w:val="sr-Latn-RS" w:eastAsia="en-GB"/>
          <w14:ligatures w14:val="none"/>
        </w:rPr>
        <w:t>: Uspostaviti sistem za praćenje napretka RE učenika i evaluaciju programa podrške kako bi se osiguralo njihovo efikasno sprovođenje.</w:t>
      </w:r>
    </w:p>
    <w:p w:rsidR="00BA2306" w:rsidRPr="00BA2306" w:rsidRDefault="00BA2306" w:rsidP="00BA2306">
      <w:pPr>
        <w:numPr>
          <w:ilvl w:val="1"/>
          <w:numId w:val="18"/>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Izveštavanje</w:t>
      </w:r>
      <w:r w:rsidRPr="00BA2306">
        <w:rPr>
          <w:rFonts w:ascii="Arial Nova" w:eastAsia="Times New Roman" w:hAnsi="Arial Nova" w:cs="Times New Roman"/>
          <w:kern w:val="0"/>
          <w:sz w:val="24"/>
          <w:szCs w:val="24"/>
          <w:lang w:val="sr-Latn-RS" w:eastAsia="en-GB"/>
          <w14:ligatures w14:val="none"/>
        </w:rPr>
        <w:t>: Redovno izveštavati o postignućima i izazovima u obrazovanju RE populacije kako bi se podizala svest i mobilisala dodatna podrška.</w:t>
      </w:r>
    </w:p>
    <w:bookmarkEnd w:id="8"/>
    <w:p w:rsidR="00BA2306" w:rsidRPr="00BA2306" w:rsidRDefault="00BA2306" w:rsidP="00BA2306">
      <w:pPr>
        <w:spacing w:after="0" w:line="240" w:lineRule="auto"/>
        <w:jc w:val="both"/>
        <w:rPr>
          <w:rFonts w:ascii="Arial Nova" w:eastAsia="Times New Roman" w:hAnsi="Arial Nova" w:cs="Times New Roman"/>
          <w:kern w:val="0"/>
          <w:sz w:val="24"/>
          <w:szCs w:val="24"/>
          <w:lang w:val="sr-Latn-RS" w:eastAsia="en-GB"/>
          <w14:ligatures w14:val="none"/>
        </w:rPr>
      </w:pPr>
    </w:p>
    <w:p w:rsidR="00BA2306" w:rsidRPr="00BA2306" w:rsidRDefault="00BA2306" w:rsidP="00BA2306">
      <w:pPr>
        <w:tabs>
          <w:tab w:val="left" w:pos="1008"/>
        </w:tabs>
        <w:spacing w:line="240" w:lineRule="auto"/>
        <w:jc w:val="both"/>
        <w:rPr>
          <w:rFonts w:ascii="Arial Black" w:hAnsi="Arial Black" w:cs="Arial"/>
          <w:b/>
          <w:i/>
          <w:color w:val="0070C0"/>
          <w:kern w:val="0"/>
          <w:sz w:val="36"/>
          <w:szCs w:val="36"/>
          <w:lang w:val="sr-Latn-RS"/>
          <w14:ligatures w14:val="none"/>
        </w:rPr>
      </w:pPr>
      <w:r w:rsidRPr="00BA2306">
        <w:rPr>
          <w:rFonts w:ascii="Arial Black" w:hAnsi="Arial Black" w:cs="Arial"/>
          <w:b/>
          <w:i/>
          <w:color w:val="0070C0"/>
          <w:kern w:val="0"/>
          <w:sz w:val="36"/>
          <w:szCs w:val="36"/>
          <w:lang w:val="sr-Latn-RS"/>
          <w14:ligatures w14:val="none"/>
        </w:rPr>
        <w:t>Zdravlje</w:t>
      </w:r>
    </w:p>
    <w:p w:rsidR="00BA2306" w:rsidRPr="00BA2306" w:rsidRDefault="00BA2306" w:rsidP="00BA2306">
      <w:pPr>
        <w:numPr>
          <w:ilvl w:val="0"/>
          <w:numId w:val="34"/>
        </w:numPr>
        <w:spacing w:line="25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Prema svim relevantnim istraživanjima, više od 95% pripadnika romske i egipćanske populacije ima regulisano zdravstveno osiguranje, što predstavlja značajan korak ka unapređenju njihovog pristupa zdravstvenoj zaštiti. Ovo postignuće je rezultat zajedničkih napora nadležnih institucija i organizacija koje rade na poboljšanju uslova života ove populacije.</w:t>
      </w:r>
    </w:p>
    <w:p w:rsidR="00BA2306" w:rsidRPr="00BA2306" w:rsidRDefault="00BA2306" w:rsidP="00BA2306">
      <w:pPr>
        <w:numPr>
          <w:ilvl w:val="0"/>
          <w:numId w:val="34"/>
        </w:numPr>
        <w:spacing w:line="25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Unaprijeđena je dostupnost i kvalitet podataka o uslugama vodosnabdijevanja, sanitacije i higijene u romskim naseljima. Sprovedena je detaljna analiza kvaliteta vode za piće, a na ključnim lokacijama postavljene su pumpe za vodu, što je znatno poboljšalo higijenske uslove i pristup čistoj vodi. Ove mjere doprinose smanjenju rizika od bolesti povezanih sa neadekvatnim sanitarnim uslovima i poboljšanju opšteg zdravlja zajednice.</w:t>
      </w:r>
    </w:p>
    <w:p w:rsidR="00BA2306" w:rsidRPr="00BA2306" w:rsidRDefault="00BA2306" w:rsidP="00BA2306">
      <w:pPr>
        <w:numPr>
          <w:ilvl w:val="0"/>
          <w:numId w:val="34"/>
        </w:numPr>
        <w:spacing w:line="25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Prosječno trajanje životnog vijeka pripadnika romske i egipćanske zajednice povećano je sa 55,9 godina u 2021. na 61,1 godinu u 2023. Ovaj napredak ukazuje na poboljšanje životnih uslova, uključujući bolji pristup zdravstvenoj zaštiti, obrazovanju i osnovnim uslugama.</w:t>
      </w:r>
    </w:p>
    <w:p w:rsidR="00BA2306" w:rsidRPr="00BA2306" w:rsidRDefault="00BA2306" w:rsidP="00BA2306">
      <w:pPr>
        <w:numPr>
          <w:ilvl w:val="0"/>
          <w:numId w:val="34"/>
        </w:numPr>
        <w:spacing w:line="25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Međutim, u oblasti zdravstvene zaštite RE populacije nisu sprovedena sveobuhvatna novija istraživanja. Najnoviji dostupni podaci su iz istraživanja UNDP-a iz 2017. godine, prema kojem je 95% RE populacije imalo pristup zdravstvenoj zaštiti. Važno je napomenuti da je zdravstvena zaštita usko povezana sa regulisanjem ličnih dokumenata. Prema različitim izvorima, još uvijek postoji značajan broj pripadnika RE populacije koji nisu riješili pitanje ličnih dokumenata, što može predstavljati prepreku za potpuno ostvarivanje njihovih prava na zdravstvenu zaštitu.</w:t>
      </w:r>
    </w:p>
    <w:p w:rsidR="00BA2306" w:rsidRPr="00BA2306" w:rsidRDefault="00BA2306" w:rsidP="00BA2306">
      <w:pPr>
        <w:spacing w:line="256" w:lineRule="auto"/>
        <w:contextualSpacing/>
        <w:jc w:val="both"/>
        <w:rPr>
          <w:rFonts w:ascii="Arial" w:eastAsia="Calibri" w:hAnsi="Arial" w:cs="Arial"/>
          <w:kern w:val="0"/>
          <w:lang w:val="sr-Latn-CS"/>
          <w14:ligatures w14:val="none"/>
        </w:rPr>
      </w:pPr>
    </w:p>
    <w:p w:rsidR="00BA2306" w:rsidRPr="00BA2306" w:rsidRDefault="00BA2306" w:rsidP="00BA2306">
      <w:pPr>
        <w:spacing w:line="256" w:lineRule="auto"/>
        <w:contextualSpacing/>
        <w:jc w:val="both"/>
        <w:rPr>
          <w:rFonts w:ascii="Arial" w:eastAsia="Calibri" w:hAnsi="Arial" w:cs="Arial"/>
          <w:kern w:val="0"/>
          <w:szCs w:val="24"/>
          <w:lang w:val="sr-Latn-RS"/>
          <w14:ligatures w14:val="none"/>
        </w:rPr>
      </w:pPr>
      <w:r w:rsidRPr="00BA2306">
        <w:rPr>
          <w:rFonts w:ascii="Arial" w:eastAsia="Calibri" w:hAnsi="Arial" w:cs="Arial"/>
          <w:kern w:val="0"/>
          <w:lang w:val="sr-Latn-CS"/>
          <w14:ligatures w14:val="none"/>
        </w:rPr>
        <w:t>Stoga se preporučuje sprovođenje novijih i sveobuhvatnijih istraživanja o zdravstvenom stanju i potrebama RE populacije, kako bi se bolje razumjeli trenutni izazovi i definisale efikasne strategije za dalje unapređenje njihove zdravstvene zaštite. Takođe, potrebno je intenzivirati napore u rješavanju pitanja ličnih dokumenata, što će omogućiti bolju integraciju ove populacije u zdravstveni sistem i ostvarivanje njihovih prava.</w:t>
      </w:r>
    </w:p>
    <w:p w:rsidR="00BA2306" w:rsidRPr="00BA2306" w:rsidRDefault="00BA2306" w:rsidP="00BA2306">
      <w:pPr>
        <w:spacing w:line="256" w:lineRule="auto"/>
        <w:contextualSpacing/>
        <w:jc w:val="both"/>
        <w:rPr>
          <w:rFonts w:ascii="Arial" w:eastAsia="Calibri" w:hAnsi="Arial" w:cs="Arial"/>
          <w:kern w:val="0"/>
          <w:szCs w:val="24"/>
          <w:lang w:val="sr-Latn-RS"/>
          <w14:ligatures w14:val="none"/>
        </w:rPr>
      </w:pPr>
    </w:p>
    <w:p w:rsidR="00BA2306" w:rsidRPr="00BA2306" w:rsidRDefault="00BA2306" w:rsidP="00BA2306">
      <w:pPr>
        <w:tabs>
          <w:tab w:val="left" w:pos="1008"/>
        </w:tabs>
        <w:spacing w:line="240" w:lineRule="auto"/>
        <w:rPr>
          <w:rFonts w:ascii="Arial Black" w:hAnsi="Arial Black" w:cs="Arial"/>
          <w:kern w:val="0"/>
          <w:sz w:val="28"/>
          <w:szCs w:val="28"/>
          <w:lang w:val="sr-Latn-RS"/>
          <w14:ligatures w14:val="none"/>
        </w:rPr>
      </w:pPr>
      <w:bookmarkStart w:id="16" w:name="_Hlk170980481"/>
      <w:r w:rsidRPr="00BA2306">
        <w:rPr>
          <w:rFonts w:ascii="Arial Black" w:hAnsi="Arial Black" w:cs="Arial"/>
          <w:kern w:val="0"/>
          <w:sz w:val="28"/>
          <w:szCs w:val="28"/>
          <w:lang w:val="sr-Latn-RS"/>
          <w14:ligatures w14:val="none"/>
        </w:rPr>
        <w:lastRenderedPageBreak/>
        <w:t>Preporuke koordinacionog tijela:</w:t>
      </w:r>
    </w:p>
    <w:bookmarkEnd w:id="16"/>
    <w:p w:rsidR="00BA2306" w:rsidRPr="00BA2306" w:rsidRDefault="00BA2306" w:rsidP="00BA2306">
      <w:pPr>
        <w:spacing w:line="256" w:lineRule="auto"/>
        <w:contextualSpacing/>
        <w:jc w:val="both"/>
        <w:rPr>
          <w:rFonts w:ascii="Arial" w:eastAsia="Calibri" w:hAnsi="Arial" w:cs="Arial"/>
          <w:kern w:val="0"/>
          <w:szCs w:val="24"/>
          <w:lang w:val="sr-Latn-RS"/>
          <w14:ligatures w14:val="none"/>
        </w:rPr>
      </w:pPr>
    </w:p>
    <w:p w:rsidR="00BA2306" w:rsidRPr="00BA2306" w:rsidRDefault="00BA2306" w:rsidP="00BA2306">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 xml:space="preserve">Preporuke za zdravstvenu zaštitu Roma i Egipćana u Crnoj Gori treba da se baziraju na pristupu koji je inkluzivan, sveobuhvatan i kulturno senzibilan. </w:t>
      </w:r>
    </w:p>
    <w:p w:rsidR="00BA2306" w:rsidRPr="00BA2306" w:rsidRDefault="00BA2306" w:rsidP="00BA2306">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Sprovesti nova i detaljna istraživanja o zdravstvenom stanju i potrebama RE populacije. Ovo će omogućiti bolje razumijevanje trenutnih izazova i pomoći u kreiranju ciljano usmjerenih politika i programa. Posljednji podaci iz 2017. godine nisu dovoljni za procjenu trenutnog stanja, a nova istraživanja mogu osigurati ažurne informacije za donošenje odluka.</w:t>
      </w:r>
    </w:p>
    <w:p w:rsidR="00BA2306" w:rsidRPr="00BA2306" w:rsidRDefault="00BA2306" w:rsidP="00BA2306">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Intenzivirati kampanje i programe za pomoć RE populaciji u pribavljanju ličnih dokumenata. Nedostatak ličnih dokumenata je prepreka za pristup mnogim pravima, uključujući zdravstvenu zaštitu. Ovaj korak bi omogućio bolju integraciju RE populacije u zdravstveni i socijalni sistem.</w:t>
      </w:r>
    </w:p>
    <w:p w:rsidR="00BA2306" w:rsidRPr="00BA2306" w:rsidRDefault="00BA2306" w:rsidP="00BA2306">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Nastaviti sa unapređenjem infrastrukture u romskim naseljima, posebno u pogledu vodosnabdijevanja i sanitarnih usluga, uz redovno praćenje kvaliteta vode. Ove mjere su ključne za smanjenje rizika od bolesti i poboljšanje opšteg zdravlja zajednice.</w:t>
      </w:r>
    </w:p>
    <w:p w:rsidR="00BA2306" w:rsidRPr="00BA2306" w:rsidRDefault="00BA2306" w:rsidP="00BA2306">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Organizovati edukativne kampanje o prevenciji bolesti, značaju vakcinacije i zdravim životnim navikama. Povećanje svijesti o zdravstvenim temama može pomoći u prevenciji bolesti i unapređenju opšteg zdravlja RE populacije.</w:t>
      </w:r>
    </w:p>
    <w:p w:rsidR="00BA2306" w:rsidRPr="00BA2306" w:rsidRDefault="00BA2306" w:rsidP="00BA2306">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Uvesti mobilne zdravstvene timove koji će pružati osnovne zdravstvene usluge direktno u romskim naseljima. Ovi timovi mogu pružiti neophodnu zdravstvenu njegu, posebno u udaljenim naseljima gdje je pristup zdravstvenim ustanovama otežan.</w:t>
      </w:r>
    </w:p>
    <w:p w:rsidR="00BA2306" w:rsidRDefault="00BA2306" w:rsidP="00BA2306">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Uspostaviti mehanizme za redovno praćenje i evaluaciju svih programa usmjerenih ka RE populaciji. Ovo će omogućiti identifikaciju uspješnih pristupa i prilagođavanje programa tamo gdje je potrebno, kako bi se osigurala njihova održivost i efikasnost.</w:t>
      </w:r>
    </w:p>
    <w:p w:rsidR="00055DF3" w:rsidRPr="00055DF3" w:rsidRDefault="00055DF3" w:rsidP="00055DF3">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055DF3">
        <w:rPr>
          <w:rFonts w:ascii="Arial Nova" w:eastAsia="Times New Roman" w:hAnsi="Arial Nova" w:cs="Times New Roman"/>
          <w:kern w:val="0"/>
          <w:sz w:val="24"/>
          <w:szCs w:val="24"/>
          <w:lang w:val="sr-Latn-RS" w:eastAsia="en-GB"/>
          <w14:ligatures w14:val="none"/>
        </w:rPr>
        <w:t xml:space="preserve">Da se preduzmu dodatne mjere i aktivnosti sa ciljem da Romima i Egipćanima koji nemaju riješen status u Crnoj Gori i neposjeduju lična dokumenta obezbijede pristup zdravstvenoj zaštiti na svim nivoima; </w:t>
      </w:r>
    </w:p>
    <w:p w:rsidR="00055DF3" w:rsidRPr="00055DF3" w:rsidRDefault="00055DF3" w:rsidP="00055DF3">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055DF3">
        <w:rPr>
          <w:rFonts w:ascii="Arial Nova" w:eastAsia="Times New Roman" w:hAnsi="Arial Nova" w:cs="Times New Roman"/>
          <w:kern w:val="0"/>
          <w:sz w:val="24"/>
          <w:szCs w:val="24"/>
          <w:lang w:val="sr-Latn-RS" w:eastAsia="en-GB"/>
          <w14:ligatures w14:val="none"/>
        </w:rPr>
        <w:t>Da</w:t>
      </w:r>
      <w:r>
        <w:rPr>
          <w:rFonts w:ascii="Arial Nova" w:eastAsia="Times New Roman" w:hAnsi="Arial Nova" w:cs="Times New Roman"/>
          <w:kern w:val="0"/>
          <w:sz w:val="24"/>
          <w:szCs w:val="24"/>
          <w:lang w:val="sr-Latn-RS" w:eastAsia="en-GB"/>
          <w14:ligatures w14:val="none"/>
        </w:rPr>
        <w:t xml:space="preserve"> </w:t>
      </w:r>
      <w:r w:rsidRPr="00055DF3">
        <w:rPr>
          <w:rFonts w:ascii="Arial Nova" w:eastAsia="Times New Roman" w:hAnsi="Arial Nova" w:cs="Times New Roman"/>
          <w:kern w:val="0"/>
          <w:sz w:val="24"/>
          <w:szCs w:val="24"/>
          <w:lang w:val="sr-Latn-RS" w:eastAsia="en-GB"/>
          <w14:ligatures w14:val="none"/>
        </w:rPr>
        <w:t xml:space="preserve">se  preduzmu mjere i aktivnosti kako bi obezbijedili da se Romima i Egipćanima ne ometa pristup zdravstvenoj zaštiti i liječenju finansijskim ili administrativnim preprekama; </w:t>
      </w:r>
    </w:p>
    <w:p w:rsidR="00055DF3" w:rsidRPr="00BA2306" w:rsidRDefault="00055DF3" w:rsidP="00055DF3">
      <w:pPr>
        <w:numPr>
          <w:ilvl w:val="0"/>
          <w:numId w:val="38"/>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055DF3">
        <w:rPr>
          <w:rFonts w:ascii="Arial Nova" w:eastAsia="Times New Roman" w:hAnsi="Arial Nova" w:cs="Times New Roman"/>
          <w:kern w:val="0"/>
          <w:sz w:val="24"/>
          <w:szCs w:val="24"/>
          <w:lang w:val="sr-Latn-RS" w:eastAsia="en-GB"/>
          <w14:ligatures w14:val="none"/>
        </w:rPr>
        <w:t>Da se razmotri mogućnost izdavanja privremenih zdravstvenih legitimacija dok se ne steknu uslovi za rješavanje pravnog statusa i zdravstveno osiguranje</w:t>
      </w:r>
    </w:p>
    <w:bookmarkEnd w:id="9"/>
    <w:p w:rsidR="00BA2306" w:rsidRPr="00BA2306" w:rsidRDefault="00BA2306" w:rsidP="00BA2306">
      <w:pPr>
        <w:spacing w:line="256" w:lineRule="auto"/>
        <w:contextualSpacing/>
        <w:jc w:val="both"/>
        <w:rPr>
          <w:rFonts w:ascii="Arial" w:eastAsia="Calibri" w:hAnsi="Arial" w:cs="Arial"/>
          <w:kern w:val="0"/>
          <w:szCs w:val="24"/>
          <w:lang w:val="sr-Latn-RS"/>
          <w14:ligatures w14:val="none"/>
        </w:rPr>
      </w:pPr>
    </w:p>
    <w:p w:rsidR="00BA2306" w:rsidRPr="00BA2306" w:rsidRDefault="00BA2306" w:rsidP="00BA2306">
      <w:pPr>
        <w:spacing w:line="256" w:lineRule="auto"/>
        <w:contextualSpacing/>
        <w:jc w:val="both"/>
        <w:rPr>
          <w:rFonts w:ascii="Arial" w:eastAsia="Calibri" w:hAnsi="Arial" w:cs="Arial"/>
          <w:kern w:val="0"/>
          <w:szCs w:val="24"/>
          <w:lang w:val="sr-Latn-RS"/>
          <w14:ligatures w14:val="none"/>
        </w:rPr>
      </w:pPr>
    </w:p>
    <w:p w:rsidR="00BA2306" w:rsidRPr="00BA2306" w:rsidRDefault="00BA2306" w:rsidP="00BA2306">
      <w:pPr>
        <w:tabs>
          <w:tab w:val="left" w:pos="1008"/>
        </w:tabs>
        <w:spacing w:line="240" w:lineRule="auto"/>
        <w:jc w:val="both"/>
        <w:rPr>
          <w:rFonts w:ascii="Arial Black" w:hAnsi="Arial Black" w:cs="Arial"/>
          <w:b/>
          <w:color w:val="0070C0"/>
          <w:kern w:val="0"/>
          <w:sz w:val="36"/>
          <w:szCs w:val="36"/>
          <w:lang w:val="sr-Latn-RS"/>
          <w14:ligatures w14:val="none"/>
        </w:rPr>
      </w:pPr>
      <w:r w:rsidRPr="00BA2306">
        <w:rPr>
          <w:rFonts w:ascii="Arial Black" w:hAnsi="Arial Black" w:cs="Arial"/>
          <w:b/>
          <w:color w:val="0070C0"/>
          <w:kern w:val="0"/>
          <w:sz w:val="36"/>
          <w:szCs w:val="36"/>
          <w:lang w:val="sr-Latn-RS"/>
          <w14:ligatures w14:val="none"/>
        </w:rPr>
        <w:t>Lična dokumentacija</w:t>
      </w:r>
    </w:p>
    <w:p w:rsidR="00BA2306" w:rsidRPr="00BA2306" w:rsidRDefault="00BA2306" w:rsidP="00BA2306">
      <w:pPr>
        <w:spacing w:line="276" w:lineRule="auto"/>
        <w:ind w:left="720"/>
        <w:contextualSpacing/>
        <w:jc w:val="both"/>
        <w:rPr>
          <w:rFonts w:ascii="Arial" w:eastAsia="Calibri" w:hAnsi="Arial" w:cs="Arial"/>
          <w:kern w:val="0"/>
          <w:highlight w:val="yellow"/>
          <w:lang w:val="sr-Latn-CS"/>
          <w14:ligatures w14:val="none"/>
        </w:rPr>
      </w:pPr>
    </w:p>
    <w:p w:rsidR="00BA2306" w:rsidRPr="00BA2306" w:rsidRDefault="00BA2306" w:rsidP="00BA2306">
      <w:pPr>
        <w:numPr>
          <w:ilvl w:val="0"/>
          <w:numId w:val="13"/>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lastRenderedPageBreak/>
        <w:t>Rješavanje pravnog statusa RE i Egipćanske populacije, koja borave na teritoriji Crne Gore, odnosi se u najvećem broju na status Raseljena i Interno raseljena lica sa Kosova, koja su  se zbog ratnih dešavanja u matičnoj državi Srbija – Republika Kosova, se našla na teritoriji države Crne Gore.</w:t>
      </w:r>
    </w:p>
    <w:p w:rsidR="00BA2306" w:rsidRPr="00BA2306" w:rsidRDefault="00BA2306" w:rsidP="00BA2306">
      <w:pPr>
        <w:numPr>
          <w:ilvl w:val="0"/>
          <w:numId w:val="13"/>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Za sprovođenje Strategije socijalne  inkluzije Roma i Egipćana za 2021—2025, licima  tog statusa je omogućeno priznavanje prava na privremeni boravak – izdavanja  Lićne  karte za strance do tri godine, Dozvole za stalni boravak i na kraju obezbjeđivanje putnog lista za lica bez državljanstva- zaštita od apatridije.</w:t>
      </w:r>
    </w:p>
    <w:p w:rsidR="00BA2306" w:rsidRPr="00BA2306" w:rsidRDefault="00BA2306" w:rsidP="00BA2306">
      <w:pPr>
        <w:numPr>
          <w:ilvl w:val="0"/>
          <w:numId w:val="13"/>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Kako bi Ministarstvo unutrašnjih poslova po nacionalnom zakonodavstvu Crne Gore   izdalo lična dokumenta ovoj populaciji, neophodno je:</w:t>
      </w:r>
    </w:p>
    <w:p w:rsidR="00BA2306" w:rsidRPr="00BA2306" w:rsidRDefault="00BA2306" w:rsidP="00BA2306">
      <w:pPr>
        <w:numPr>
          <w:ilvl w:val="0"/>
          <w:numId w:val="40"/>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da su lica elektronski evidentirana u sistem Ministarstva unutrašnjih poslova;</w:t>
      </w:r>
    </w:p>
    <w:p w:rsidR="00BA2306" w:rsidRPr="00BA2306" w:rsidRDefault="00BA2306" w:rsidP="00BA2306">
      <w:pPr>
        <w:numPr>
          <w:ilvl w:val="0"/>
          <w:numId w:val="40"/>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potrebno obezbijediti  izvornu ličnu dokumentaciju matične države;</w:t>
      </w:r>
    </w:p>
    <w:p w:rsidR="00BA2306" w:rsidRPr="00BA2306" w:rsidRDefault="00BA2306" w:rsidP="00BA2306">
      <w:pPr>
        <w:numPr>
          <w:ilvl w:val="0"/>
          <w:numId w:val="40"/>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pasoš, izvod iz matične knjige rođenih, naknadni upis u knjige rođenih države porijekla, nakon čega bi stekli pravo na izdavanje  Dokumenta Crne Gore, koji im omogućava, ostvarivanje ostalih prava iz domena nacionalnog zakonodavstva Crne Gore;</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Stranac koji ima dozvolu za stalni boravak ima pravo na:</w:t>
      </w:r>
    </w:p>
    <w:p w:rsidR="00BA2306" w:rsidRPr="00BA2306" w:rsidRDefault="00BA2306" w:rsidP="00BA2306">
      <w:pPr>
        <w:numPr>
          <w:ilvl w:val="0"/>
          <w:numId w:val="42"/>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1) rad, posredovanje pri zapošljavanu i prava za vrijeme nezaposlenosti;</w:t>
      </w:r>
    </w:p>
    <w:p w:rsidR="00BA2306" w:rsidRPr="00BA2306" w:rsidRDefault="00BA2306" w:rsidP="00BA2306">
      <w:pPr>
        <w:numPr>
          <w:ilvl w:val="0"/>
          <w:numId w:val="42"/>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2) obrazovanje i stručno usavršavanje; 3) priznavanje diploma i sertifikata;4) socijalnu pomoć, zdravstveno i penzisko osiguranje;5)poreske olakšice, u skladu sa zakonom;6) pristup tržištu roba i usluga;7) slobodu udruživanja, povezivanja i članstva  u organizacijama koje zastupaju interese radnika ili poslodavaca.</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 xml:space="preserve">Kroz donošenje izmene i </w:t>
      </w:r>
      <w:r w:rsidRPr="00BA2306">
        <w:rPr>
          <w:rFonts w:ascii="Arial" w:eastAsia="Calibri" w:hAnsi="Arial" w:cs="Arial"/>
          <w:b/>
          <w:kern w:val="0"/>
          <w:lang w:val="sr-Latn-CS"/>
          <w14:ligatures w14:val="none"/>
        </w:rPr>
        <w:t>dopune Zakona o strancima</w:t>
      </w:r>
      <w:r w:rsidRPr="00BA2306">
        <w:rPr>
          <w:rFonts w:ascii="Arial" w:eastAsia="Calibri" w:hAnsi="Arial" w:cs="Arial"/>
          <w:kern w:val="0"/>
          <w:lang w:val="sr-Latn-CS"/>
          <w14:ligatures w14:val="none"/>
        </w:rPr>
        <w:t xml:space="preserve"> u smislu podnošenja zahtjeva i produžavanje rokova, izmenom i dopunom </w:t>
      </w:r>
      <w:r w:rsidRPr="00BA2306">
        <w:rPr>
          <w:rFonts w:ascii="Arial" w:eastAsia="Calibri" w:hAnsi="Arial" w:cs="Arial"/>
          <w:b/>
          <w:kern w:val="0"/>
          <w:lang w:val="sr-Latn-CS"/>
          <w14:ligatures w14:val="none"/>
        </w:rPr>
        <w:t>omogućeno je da sva  lica,  kojim je izdata dozvola za privremeni boravak do tri godine, se izda dozvola za stalni boravak</w:t>
      </w:r>
      <w:r w:rsidRPr="00BA2306">
        <w:rPr>
          <w:rFonts w:ascii="Arial" w:eastAsia="Calibri" w:hAnsi="Arial" w:cs="Arial"/>
          <w:kern w:val="0"/>
          <w:lang w:val="sr-Latn-CS"/>
          <w14:ligatures w14:val="none"/>
        </w:rPr>
        <w:t xml:space="preserve"> , ako u roku važenja te dozvole pribave putnu ispravu , države porijekla i podnese zahtjev Ministarstvu unutrašnjih poslova, na koji način je velikom broju izdat lični dokument Crne Gore.- Dozvola za stalni boravak. Omogućeno je, da sva lica ove populacije,  elektronski evidentirana u Registrima MUP-a , i ako su sa nedostajućom dokumentacijom države porijekla, uđu u proceduru za rješavanjem pravnog statusa.</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Postignut je dogovor u junu mjesecu  2024.godine  sa Republikom Kosova o otvaranju konzularnog Odjeljenja u DKP Republike Kosovo u Crnoj Gori, preko kojeg tijela će  ova lica moći , na lakši način pribavili potrebnu dokumentaciju države porijekla koja predstavlja osnov za izdavanje ličnog dokumenta države Crne Gore.</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 xml:space="preserve">Na ovu populaciju, primjenjivan je Ustavni princip </w:t>
      </w:r>
      <w:r w:rsidRPr="00BA2306">
        <w:rPr>
          <w:rFonts w:ascii="Arial" w:eastAsia="Calibri" w:hAnsi="Arial" w:cs="Arial"/>
          <w:b/>
          <w:kern w:val="0"/>
          <w:lang w:val="sr-Latn-CS"/>
          <w14:ligatures w14:val="none"/>
        </w:rPr>
        <w:t>“afirmitivne akcije“</w:t>
      </w:r>
      <w:r w:rsidRPr="00BA2306">
        <w:rPr>
          <w:rFonts w:ascii="Arial" w:eastAsia="Calibri" w:hAnsi="Arial" w:cs="Arial"/>
          <w:kern w:val="0"/>
          <w:lang w:val="sr-Latn-CS"/>
          <w14:ligatures w14:val="none"/>
        </w:rPr>
        <w:t xml:space="preserve"> tj. Pružanje jednakih šansi  onima koji u startnoj poziciji nijesu u jednakom položaju kao većina u postupku ostvarivanja statusnih prava u Crnoj Gori.</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 xml:space="preserve">Kako bi sva djeca ove populacije  bila upisana u Registar rođenih države porijekla i kako bi se   lakše došlo do saznanja da dijete nije upisano o registar rođenih države porijekla te kako bi opštinski  Centri za socijalni rad omogućili upis djeteta u registar rođenih, i  mogli da preuzmu ulogu nedostajućeg roditelja Ministarstvo unutrašnjih poslova, Ministarstvom rada i socijalnog staranja, Ministarstvom zdravlja </w:t>
      </w:r>
      <w:r w:rsidRPr="00BA2306">
        <w:rPr>
          <w:rFonts w:ascii="Arial" w:eastAsia="Calibri" w:hAnsi="Arial" w:cs="Arial"/>
          <w:kern w:val="0"/>
          <w:lang w:val="sr-Latn-CS"/>
          <w14:ligatures w14:val="none"/>
        </w:rPr>
        <w:lastRenderedPageBreak/>
        <w:t>i Ministarstvom prosvjete je u izradi operativnog uputstva za komunikaciju državnih organa u ovakvim slučajevima, i obavještenjem opštinskih  centara  koji bi dalje preduzimali terenske provjere tim porodicama, a sve rukovodeći se u najboljem interesu djeteta, i rješavanja pravnog statusa u Crnoj Gori te populacije.</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Kroz aplikaciju podnijetih zahtjeva od 112 lica,  dobilo je lični dokument 68 lica, to jest riješilo svoj pravni status u Crnoj Gori i dobila lični dokument.</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Tokom 2024.godine  brojčano pribavljeno 13 dokumenata države porijekla za ova lica.</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Info posjeta licima je bilo 43, organizovano info sesije  za više od 100 pripadnika RE popoulacije u Beranama , Nikšiću, Baru i Budvi.</w:t>
      </w:r>
    </w:p>
    <w:p w:rsidR="00BA2306" w:rsidRPr="00BA2306" w:rsidRDefault="00BA2306" w:rsidP="00BA2306">
      <w:pPr>
        <w:numPr>
          <w:ilvl w:val="0"/>
          <w:numId w:val="41"/>
        </w:numPr>
        <w:spacing w:line="276" w:lineRule="auto"/>
        <w:contextualSpacing/>
        <w:jc w:val="both"/>
        <w:rPr>
          <w:rFonts w:ascii="Arial" w:eastAsia="Calibri" w:hAnsi="Arial" w:cs="Arial"/>
          <w:kern w:val="0"/>
          <w:lang w:val="sr-Latn-CS"/>
          <w14:ligatures w14:val="none"/>
        </w:rPr>
      </w:pPr>
      <w:r w:rsidRPr="00BA2306">
        <w:rPr>
          <w:rFonts w:ascii="Arial" w:eastAsia="Calibri" w:hAnsi="Arial" w:cs="Arial"/>
          <w:kern w:val="0"/>
          <w:lang w:val="sr-Latn-CS"/>
          <w14:ligatures w14:val="none"/>
        </w:rPr>
        <w:t>mediski nastupa u 7 slučajeva, naknadni upis rođenja djeteta za 9 lica, što je uticalo da se značajno smanji broj ove populacije,  aplikanata kod MUP-a  sa neriješenim statusom.</w:t>
      </w:r>
    </w:p>
    <w:p w:rsidR="00BA2306" w:rsidRDefault="00BA2306" w:rsidP="00BA2306">
      <w:pPr>
        <w:numPr>
          <w:ilvl w:val="0"/>
          <w:numId w:val="41"/>
        </w:numPr>
        <w:spacing w:line="276" w:lineRule="auto"/>
        <w:contextualSpacing/>
        <w:jc w:val="both"/>
        <w:rPr>
          <w:rFonts w:ascii="Arial" w:eastAsia="Calibri" w:hAnsi="Arial" w:cs="Arial"/>
          <w:b/>
          <w:kern w:val="0"/>
          <w:lang w:val="sr-Latn-CS"/>
          <w14:ligatures w14:val="none"/>
        </w:rPr>
      </w:pPr>
      <w:r w:rsidRPr="00BA2306">
        <w:rPr>
          <w:rFonts w:ascii="Arial" w:eastAsia="Calibri" w:hAnsi="Arial" w:cs="Arial"/>
          <w:kern w:val="0"/>
          <w:lang w:val="sr-Latn-CS"/>
          <w14:ligatures w14:val="none"/>
        </w:rPr>
        <w:t xml:space="preserve">Zaključno sa 2024. podnijetih zahtjeva za privremeni boravak i stalni boravak ove populacije je </w:t>
      </w:r>
      <w:r w:rsidRPr="00BA2306">
        <w:rPr>
          <w:rFonts w:ascii="Arial" w:eastAsia="Calibri" w:hAnsi="Arial" w:cs="Arial"/>
          <w:b/>
          <w:kern w:val="0"/>
          <w:lang w:val="sr-Latn-CS"/>
          <w14:ligatures w14:val="none"/>
        </w:rPr>
        <w:t>ostalo neriješena 42 zahtjeva, zbog nedostajuće dokumentacije matične države.</w:t>
      </w:r>
    </w:p>
    <w:p w:rsidR="007335C0" w:rsidRPr="00BA2306" w:rsidRDefault="007335C0" w:rsidP="007335C0">
      <w:pPr>
        <w:spacing w:line="276" w:lineRule="auto"/>
        <w:ind w:left="720"/>
        <w:contextualSpacing/>
        <w:jc w:val="both"/>
        <w:rPr>
          <w:rFonts w:ascii="Arial" w:eastAsia="Calibri" w:hAnsi="Arial" w:cs="Arial"/>
          <w:b/>
          <w:kern w:val="0"/>
          <w:lang w:val="sr-Latn-CS"/>
          <w14:ligatures w14:val="none"/>
        </w:rPr>
      </w:pPr>
    </w:p>
    <w:p w:rsidR="00BA2306" w:rsidRPr="00BA2306" w:rsidRDefault="00BA2306" w:rsidP="00BA2306">
      <w:pPr>
        <w:spacing w:line="276" w:lineRule="auto"/>
        <w:ind w:left="720"/>
        <w:jc w:val="both"/>
        <w:rPr>
          <w:rFonts w:ascii="Arial" w:eastAsia="Calibri" w:hAnsi="Arial" w:cs="Arial"/>
          <w:kern w:val="0"/>
          <w:szCs w:val="24"/>
          <w:lang w:val="sr-Latn-RS"/>
          <w14:ligatures w14:val="none"/>
        </w:rPr>
      </w:pPr>
    </w:p>
    <w:p w:rsidR="00BA2306" w:rsidRPr="00BA2306" w:rsidRDefault="00BA2306" w:rsidP="00BA2306">
      <w:pPr>
        <w:tabs>
          <w:tab w:val="left" w:pos="1008"/>
        </w:tabs>
        <w:spacing w:line="240" w:lineRule="auto"/>
        <w:ind w:left="360"/>
        <w:rPr>
          <w:rFonts w:ascii="Arial Black" w:hAnsi="Arial Black" w:cs="Arial"/>
          <w:kern w:val="0"/>
          <w:sz w:val="28"/>
          <w:szCs w:val="28"/>
          <w:lang w:val="sr-Latn-RS"/>
          <w14:ligatures w14:val="none"/>
        </w:rPr>
      </w:pPr>
      <w:r w:rsidRPr="00BA2306">
        <w:rPr>
          <w:rFonts w:ascii="Arial Black" w:hAnsi="Arial Black" w:cs="Arial"/>
          <w:kern w:val="0"/>
          <w:sz w:val="28"/>
          <w:szCs w:val="28"/>
          <w:lang w:val="sr-Latn-RS"/>
          <w14:ligatures w14:val="none"/>
        </w:rPr>
        <w:t>Preporuke koordinacionog tijela:</w:t>
      </w:r>
    </w:p>
    <w:p w:rsidR="00BA2306" w:rsidRPr="00BA2306" w:rsidRDefault="00BA2306" w:rsidP="00BA2306">
      <w:pPr>
        <w:numPr>
          <w:ilvl w:val="0"/>
          <w:numId w:val="43"/>
        </w:numPr>
        <w:tabs>
          <w:tab w:val="left" w:pos="1008"/>
        </w:tabs>
        <w:spacing w:line="240" w:lineRule="auto"/>
        <w:contextualSpacing/>
        <w:jc w:val="both"/>
        <w:rPr>
          <w:rFonts w:ascii="Arial Black" w:hAnsi="Arial Black" w:cs="Arial"/>
          <w:kern w:val="0"/>
          <w:sz w:val="28"/>
          <w:szCs w:val="28"/>
          <w:lang w:val="sr-Latn-RS"/>
          <w14:ligatures w14:val="none"/>
        </w:rPr>
      </w:pPr>
      <w:r w:rsidRPr="00BA2306">
        <w:rPr>
          <w:rFonts w:ascii="Arial Nova" w:hAnsi="Arial Nova"/>
          <w:kern w:val="0"/>
          <w:sz w:val="24"/>
          <w:szCs w:val="24"/>
          <w:lang w:val="sr-Latn-ME"/>
          <w14:ligatures w14:val="none"/>
        </w:rPr>
        <w:t>Potrebno je i dalje  ,preduzimanjem aktivnosti Ministarstva unutrašnjih poslova na konačnom rješavanju svih zahtjeva podnijetih za privremeni boravak do tri godine i stalni boravak ove populacije , a čiji su zahtjevi i dalje u radu u postupku rješavanja kod Ministarstva unutrašnjih poslova</w:t>
      </w:r>
      <w:r w:rsidRPr="00BA2306">
        <w:rPr>
          <w:kern w:val="0"/>
          <w:lang w:val="sr-Latn-ME"/>
          <w14:ligatures w14:val="none"/>
        </w:rPr>
        <w:t>.</w:t>
      </w:r>
    </w:p>
    <w:p w:rsidR="00BA2306" w:rsidRPr="00BA2306" w:rsidRDefault="00BA2306" w:rsidP="00BA2306">
      <w:pPr>
        <w:numPr>
          <w:ilvl w:val="0"/>
          <w:numId w:val="43"/>
        </w:numPr>
        <w:tabs>
          <w:tab w:val="left" w:pos="1008"/>
        </w:tabs>
        <w:spacing w:line="240" w:lineRule="auto"/>
        <w:contextualSpacing/>
        <w:jc w:val="both"/>
        <w:rPr>
          <w:rFonts w:ascii="Arial Nova" w:hAnsi="Arial Nova" w:cs="Arial"/>
          <w:kern w:val="0"/>
          <w:sz w:val="24"/>
          <w:szCs w:val="24"/>
          <w:lang w:val="sr-Latn-RS"/>
          <w14:ligatures w14:val="none"/>
        </w:rPr>
      </w:pPr>
      <w:r w:rsidRPr="00BA2306">
        <w:rPr>
          <w:rFonts w:ascii="Arial Nova" w:hAnsi="Arial Nova" w:cs="Arial"/>
          <w:kern w:val="0"/>
          <w:sz w:val="24"/>
          <w:szCs w:val="24"/>
          <w:lang w:val="sr-Latn-RS"/>
          <w14:ligatures w14:val="none"/>
        </w:rPr>
        <w:t>treba nastaviti saradnju sa  nadležnim organima država okruženja i kontinuirano vršiti indentifikovanje i pružanje pomoći podrške ranjivim licima kojima nedostaje lični dokument, pokretati administrativne i sudske postupke za registraciju u Crnoj Gori ili u zemljama porijekla.</w:t>
      </w:r>
    </w:p>
    <w:p w:rsidR="00BA2306" w:rsidRDefault="00BA2306" w:rsidP="00BA2306">
      <w:pPr>
        <w:numPr>
          <w:ilvl w:val="0"/>
          <w:numId w:val="43"/>
        </w:numPr>
        <w:tabs>
          <w:tab w:val="left" w:pos="1008"/>
        </w:tabs>
        <w:spacing w:line="240" w:lineRule="auto"/>
        <w:contextualSpacing/>
        <w:jc w:val="both"/>
        <w:rPr>
          <w:rFonts w:ascii="Arial Nova" w:hAnsi="Arial Nova" w:cs="Arial"/>
          <w:kern w:val="0"/>
          <w:sz w:val="24"/>
          <w:szCs w:val="24"/>
          <w:lang w:val="sr-Latn-RS"/>
          <w14:ligatures w14:val="none"/>
        </w:rPr>
      </w:pPr>
      <w:r w:rsidRPr="00BA2306">
        <w:rPr>
          <w:rFonts w:ascii="Arial Nova" w:hAnsi="Arial Nova" w:cs="Arial"/>
          <w:kern w:val="0"/>
          <w:sz w:val="24"/>
          <w:szCs w:val="24"/>
          <w:lang w:val="sr-Latn-RS"/>
          <w14:ligatures w14:val="none"/>
        </w:rPr>
        <w:t>treba pružati pomoć za dobrovoljni i stalni povratak, sa posebnim naglaskom na Kosovo - matične države.</w:t>
      </w:r>
    </w:p>
    <w:p w:rsidR="003351DA" w:rsidRPr="00BA2306" w:rsidRDefault="003351DA" w:rsidP="003351DA">
      <w:pPr>
        <w:tabs>
          <w:tab w:val="left" w:pos="1008"/>
        </w:tabs>
        <w:spacing w:line="240" w:lineRule="auto"/>
        <w:ind w:left="1080"/>
        <w:contextualSpacing/>
        <w:jc w:val="both"/>
        <w:rPr>
          <w:rFonts w:ascii="Arial Nova" w:hAnsi="Arial Nova" w:cs="Arial"/>
          <w:kern w:val="0"/>
          <w:sz w:val="24"/>
          <w:szCs w:val="24"/>
          <w:lang w:val="sr-Latn-RS"/>
          <w14:ligatures w14:val="none"/>
        </w:rPr>
      </w:pPr>
    </w:p>
    <w:p w:rsidR="00BA2306" w:rsidRPr="00BA2306" w:rsidRDefault="00BA2306" w:rsidP="00BA2306">
      <w:pPr>
        <w:spacing w:line="276" w:lineRule="auto"/>
        <w:jc w:val="both"/>
        <w:rPr>
          <w:rFonts w:ascii="Arial Black" w:hAnsi="Arial Black" w:cs="Arial"/>
          <w:b/>
          <w:color w:val="0070C0"/>
          <w:kern w:val="0"/>
          <w:sz w:val="36"/>
          <w:szCs w:val="36"/>
          <w:lang w:val="sr-Latn-RS"/>
          <w14:ligatures w14:val="none"/>
        </w:rPr>
      </w:pPr>
      <w:r w:rsidRPr="00BA2306">
        <w:rPr>
          <w:rFonts w:ascii="Arial Black" w:hAnsi="Arial Black" w:cs="Arial"/>
          <w:b/>
          <w:color w:val="0070C0"/>
          <w:kern w:val="0"/>
          <w:sz w:val="36"/>
          <w:szCs w:val="36"/>
          <w:lang w:val="sr-Latn-RS"/>
          <w14:ligatures w14:val="none"/>
        </w:rPr>
        <w:t>NE - diskriminacija</w:t>
      </w: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Rezultati Popisa iz 2023. godine, objavljeni po nacionalnoj i etničkoj pripadnosti, omogućili su precizno utvrđivanje broja pripadnika romske i egipćanske (RE) populacije. Koordinaciono tijelo iniciralo je publikovanje disegregiranih rezultata kako bi se stekla jasnija slika o demografskoj strukturi RE zajednice, što je ključno za planiranje budućih aktivnosti i politika.</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lastRenderedPageBreak/>
        <w:t>Ministarstvo unutrašnjih poslova sprovelo je obuke za policijske službenike o smjernicama za vođenje razgovora sa osobama za koje postoji sumnja da su žrtve trgovine ljudima. U obuci je korišten set pitanja za predstavnike institucija, s posebnim osvrtom na prinudno prosjačenje i ugovorene brakove. Ova aktivnost unaprijedila je sposobnost učesnika da efikasno prepoznaju i pomognu potencijalnim žrtvama kroz primjenu usvojenih mehanizama.</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Evidentirane su sve romske i egipatske porodice koje žive u uslovima siromaštva na teritoriji opštine Pljevlja. Uz finansijsku podršku međunarodne organizacije "Help", obezbijeđeni su pijaća voda, ogrijev i osnovne životne potrepštine, čime je direktno unaprijeđen kvalitet života ovih porodica.</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Obuke za stručne radnike u sistemu socijalne i dječije zaštite na temu zaštite djevojčica od prisilnih maloljetničkih brakova kontinuirano se sprovode. U periodu od 2019. do 2023. godine obuku je prošlo više od 300 stručnih radnika, s planom da se do kraja 2024. godine obuka pruži još 20 učesnika. Ove aktivnosti imaju za cilj jačanje kapaciteta stručnih radnika u prepoznavanju i reagovanju na slučajeve prisilnih brakova.</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Opštinska organizacija Crvenog krsta Tivat kontinuirano je tokom 2024. godine pružala pomoć u vidu paketa garderobe, bebi paketa, hrane i higijenskih proizvoda za 15 porodica iz RE populacije koje nisu evidentirane u zvaničnim registrima. Ova pomoć je značajno doprinosila poboljšanju životnih uslova ovih porodica.</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U opštinama Bar, Berane, Bijelo Polje, Nikšić, Ulcinj i Tivat izrađeni su lokalni akcioni planovi za socijalnu inkluziju RE zajednice. Skupština opštine Tivat usvojila je Lokalni akcioni plan u januaru 2024. godine, koji uključuje konkretne mjere za poboljšanje položaja RE populacije.</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Aktivno funkcionisanje lokalnih akcionih grupa, koje okupljaju predstavnike RE zajednice, omogućava identifikaciju i rješavanje izazova s kojima se zajednica suočava. Ove grupe organizuju obuke, radionice i info sesije s ciljem jačanja kapaciteta zajednice i osnaživanja njenih članova.</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Fasilitatori angažovani za povezivanje članova romske zajednice sa lokalnim institucijama igraju ključnu ulogu u rješavanju identifikovanih izazova. Njihova uloga je da budu most između zajednice i institucija, kako bi se osigurala efikasna komunikacija i rješavanje problema.</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Izdavanje, promocija i distribucija Romskog pojmovnika ima za cilj podizanje svijesti o značaju očuvanja identiteta i kulture Roma. Publikacija informiše i edukuje širu javnost o identitetskim pitanjima RE populacije, smanjuje etničku distancu, prevazilazi stereotipe i afirmiše multikulturalne vrijednosti.</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lastRenderedPageBreak/>
        <w:t>Organizovan je drugi Romski parlament u Skupštini Crne Gore, fokusirajući se na ključne oblasti kao što su obrazovanje, zdravstvena zaštita, zapošljavanje, pravni i socijalni status, te zaštita porodice. Istaknuta je potreba za razbijanjem svih formi diskriminacije prema RE populaciji.</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Organizovane su dvodnevne obuke za Koordinaciono tijelo zaduženo za praćenje i sprovođenje Poznanjske deklaracije. Fokus je bio na pronalaženju najboljih modela za dugoročno zapošljavanje pripadnika RE populacije koji već duži period rade kao saradnici u zapošljavanju.</w:t>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37"/>
        </w:numPr>
        <w:spacing w:after="0" w:line="240" w:lineRule="auto"/>
        <w:contextualSpacing/>
        <w:jc w:val="both"/>
        <w:rPr>
          <w:rFonts w:ascii="Arial" w:hAnsi="Arial" w:cs="Arial"/>
          <w:bCs/>
          <w:szCs w:val="24"/>
          <w:lang w:val="sr"/>
        </w:rPr>
      </w:pPr>
      <w:r w:rsidRPr="00BA2306">
        <w:rPr>
          <w:rFonts w:ascii="Arial" w:hAnsi="Arial" w:cs="Arial"/>
          <w:bCs/>
          <w:szCs w:val="24"/>
          <w:lang w:val="sr"/>
        </w:rPr>
        <w:t>Sprovođene su aktivnosti usmjerene na jačanje kapaciteta predstavnika RE zajednice da aktivnije učestvuju u procesima donošenja odluka na lokalnom nivou. Cilj je bio da se osnaže predstavnici zajednice za aktivno učešće u svim temama koje su značajne za njihov razvoj i inkluziju.</w:t>
      </w:r>
      <w:r w:rsidRPr="00BA2306">
        <w:rPr>
          <w:rFonts w:ascii="Arial" w:hAnsi="Arial" w:cs="Arial"/>
          <w:bCs/>
          <w:szCs w:val="24"/>
          <w:lang w:val="sr"/>
        </w:rPr>
        <w:tab/>
      </w:r>
    </w:p>
    <w:p w:rsidR="00BA2306" w:rsidRPr="00BA2306" w:rsidRDefault="00BA2306" w:rsidP="00BA2306">
      <w:pPr>
        <w:spacing w:after="0" w:line="240" w:lineRule="auto"/>
        <w:ind w:left="720"/>
        <w:contextualSpacing/>
        <w:jc w:val="both"/>
        <w:rPr>
          <w:rFonts w:ascii="Arial" w:hAnsi="Arial" w:cs="Arial"/>
          <w:bCs/>
          <w:szCs w:val="24"/>
          <w:lang w:val="sr"/>
        </w:rPr>
      </w:pPr>
    </w:p>
    <w:p w:rsidR="00BA2306" w:rsidRPr="00BA2306" w:rsidRDefault="00BA2306" w:rsidP="00BA2306">
      <w:pPr>
        <w:numPr>
          <w:ilvl w:val="0"/>
          <w:numId w:val="29"/>
        </w:numPr>
        <w:spacing w:after="0" w:line="240" w:lineRule="auto"/>
        <w:contextualSpacing/>
        <w:jc w:val="both"/>
        <w:rPr>
          <w:rFonts w:ascii="Arial" w:hAnsi="Arial" w:cs="Arial"/>
          <w:bCs/>
          <w:szCs w:val="24"/>
          <w:lang w:val="sr"/>
        </w:rPr>
      </w:pPr>
      <w:r w:rsidRPr="00BA2306">
        <w:rPr>
          <w:rFonts w:ascii="Arial" w:hAnsi="Arial" w:cs="Arial"/>
          <w:bCs/>
          <w:szCs w:val="24"/>
          <w:lang w:val="sr"/>
        </w:rPr>
        <w:t>Stepen diskriminacije Roma i Egipćana je i dalje visok i iznosi 21,3%, iako je manji za 0,9% u odnosu na 2020. godinu kada je iznosio 22,2%.</w:t>
      </w:r>
      <w:r w:rsidRPr="00BA2306">
        <w:rPr>
          <w:rFonts w:ascii="Arial" w:hAnsi="Arial" w:cs="Arial"/>
          <w:bCs/>
          <w:szCs w:val="24"/>
          <w:vertAlign w:val="superscript"/>
          <w:lang w:val="en-GB"/>
        </w:rPr>
        <w:footnoteReference w:id="1"/>
      </w:r>
      <w:r w:rsidRPr="00BA2306">
        <w:rPr>
          <w:rFonts w:ascii="Arial" w:hAnsi="Arial" w:cs="Arial"/>
          <w:bCs/>
          <w:szCs w:val="24"/>
          <w:lang w:val="en-GB"/>
        </w:rPr>
        <w:t xml:space="preserve"> </w:t>
      </w:r>
      <w:r w:rsidRPr="00BA2306">
        <w:rPr>
          <w:rFonts w:ascii="Arial" w:hAnsi="Arial" w:cs="Arial"/>
          <w:bCs/>
          <w:szCs w:val="24"/>
          <w:lang w:val="sr"/>
        </w:rPr>
        <w:t xml:space="preserve">  S druge strane, na osnovu vrijednosti pokazatelja učinka, može se uočiti smanjenje etničke distance prema RE populaciji, koja na kraju 2023. godine iznosi 0,356, u odnosu na 0,55 u 2021. godini.</w:t>
      </w:r>
      <w:r w:rsidRPr="00BA2306">
        <w:rPr>
          <w:rFonts w:ascii="Arial" w:hAnsi="Arial" w:cs="Arial"/>
          <w:szCs w:val="24"/>
          <w:vertAlign w:val="superscript"/>
          <w:lang w:val="en-GB"/>
        </w:rPr>
        <w:t xml:space="preserve"> </w:t>
      </w:r>
      <w:r w:rsidRPr="00BA2306">
        <w:rPr>
          <w:rFonts w:ascii="Arial" w:hAnsi="Arial" w:cs="Arial"/>
          <w:bCs/>
          <w:szCs w:val="24"/>
          <w:vertAlign w:val="superscript"/>
          <w:lang w:val="en-GB"/>
        </w:rPr>
        <w:footnoteReference w:id="2"/>
      </w:r>
      <w:r w:rsidRPr="00BA2306">
        <w:rPr>
          <w:rFonts w:ascii="Arial" w:hAnsi="Arial" w:cs="Arial"/>
          <w:bCs/>
          <w:szCs w:val="24"/>
          <w:lang w:val="sr"/>
        </w:rPr>
        <w:t xml:space="preserve"> </w:t>
      </w:r>
    </w:p>
    <w:p w:rsidR="00BA2306" w:rsidRPr="00BA2306" w:rsidRDefault="00BA2306" w:rsidP="00BA2306">
      <w:pPr>
        <w:spacing w:after="0" w:line="240" w:lineRule="auto"/>
        <w:jc w:val="both"/>
        <w:rPr>
          <w:rFonts w:ascii="Arial" w:hAnsi="Arial" w:cs="Arial"/>
          <w:bCs/>
          <w:szCs w:val="24"/>
          <w:lang w:val="sr"/>
        </w:rPr>
      </w:pPr>
    </w:p>
    <w:p w:rsidR="00BA2306" w:rsidRPr="00BA2306" w:rsidRDefault="00BA2306" w:rsidP="00BA2306">
      <w:pPr>
        <w:spacing w:line="276" w:lineRule="auto"/>
        <w:ind w:left="360"/>
        <w:jc w:val="both"/>
        <w:rPr>
          <w:rFonts w:ascii="Arial" w:eastAsia="Calibri" w:hAnsi="Arial" w:cs="Arial"/>
          <w:kern w:val="0"/>
          <w:szCs w:val="24"/>
          <w:lang w:val="sr-Latn-RS"/>
          <w14:ligatures w14:val="none"/>
        </w:rPr>
      </w:pPr>
      <w:r w:rsidRPr="00BA2306">
        <w:rPr>
          <w:rFonts w:ascii="Arial" w:eastAsia="Calibri" w:hAnsi="Arial" w:cs="Arial"/>
          <w:noProof/>
          <w:kern w:val="0"/>
          <w:szCs w:val="24"/>
          <w:lang w:val="en-GB" w:eastAsia="en-GB"/>
          <w14:ligatures w14:val="none"/>
        </w:rPr>
        <w:drawing>
          <wp:inline distT="0" distB="0" distL="0" distR="0" wp14:anchorId="18E00F09" wp14:editId="66AD85E3">
            <wp:extent cx="8651240" cy="2047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1240" cy="2047875"/>
                    </a:xfrm>
                    <a:prstGeom prst="rect">
                      <a:avLst/>
                    </a:prstGeom>
                    <a:noFill/>
                  </pic:spPr>
                </pic:pic>
              </a:graphicData>
            </a:graphic>
          </wp:inline>
        </w:drawing>
      </w:r>
    </w:p>
    <w:p w:rsidR="00BA2306" w:rsidRPr="00BA2306" w:rsidRDefault="00BA2306" w:rsidP="00BA2306">
      <w:pPr>
        <w:spacing w:after="0" w:line="240" w:lineRule="auto"/>
        <w:rPr>
          <w:kern w:val="0"/>
          <w:sz w:val="20"/>
          <w:szCs w:val="20"/>
          <w:lang w:val="sr-Latn-RS"/>
          <w14:ligatures w14:val="none"/>
        </w:rPr>
      </w:pPr>
      <w:r w:rsidRPr="00BA2306">
        <w:rPr>
          <w:kern w:val="0"/>
          <w:sz w:val="20"/>
          <w:szCs w:val="20"/>
          <w:lang w:val="sr-Latn-RS"/>
          <w14:ligatures w14:val="none"/>
        </w:rPr>
        <w:t xml:space="preserve">                            Obrisci stepen diskriminacije u Crnoj Gori 2022. godine. CEDEM 2022. Finansirano od strane Evropske unije i Savjeta Evrope.</w:t>
      </w:r>
    </w:p>
    <w:p w:rsidR="00BA2306" w:rsidRPr="006B1FFA" w:rsidRDefault="00BA2306" w:rsidP="006B1FFA">
      <w:pPr>
        <w:tabs>
          <w:tab w:val="left" w:pos="1008"/>
        </w:tabs>
        <w:spacing w:line="240" w:lineRule="auto"/>
        <w:rPr>
          <w:kern w:val="0"/>
          <w:sz w:val="20"/>
          <w:szCs w:val="20"/>
          <w:lang w:val="sr-Latn-RS"/>
          <w14:ligatures w14:val="none"/>
        </w:rPr>
      </w:pPr>
      <w:r w:rsidRPr="00BA2306">
        <w:rPr>
          <w:rFonts w:ascii="Arial Black" w:hAnsi="Arial Black" w:cs="Arial"/>
          <w:kern w:val="0"/>
          <w:sz w:val="28"/>
          <w:szCs w:val="28"/>
          <w:lang w:val="sr-Latn-RS"/>
          <w14:ligatures w14:val="none"/>
        </w:rPr>
        <w:lastRenderedPageBreak/>
        <w:t>Preporuke koordinacionog tijela:</w:t>
      </w:r>
    </w:p>
    <w:p w:rsidR="00BA2306" w:rsidRPr="00BA2306" w:rsidRDefault="00BA2306" w:rsidP="00BA2306">
      <w:pPr>
        <w:spacing w:before="100" w:beforeAutospacing="1" w:after="100" w:afterAutospacing="1" w:line="240" w:lineRule="auto"/>
        <w:jc w:val="both"/>
        <w:outlineLvl w:val="2"/>
        <w:rPr>
          <w:rFonts w:ascii="Arial Nova" w:eastAsia="Times New Roman" w:hAnsi="Arial Nova" w:cs="Times New Roman"/>
          <w:b/>
          <w:bCs/>
          <w:kern w:val="0"/>
          <w:sz w:val="27"/>
          <w:szCs w:val="27"/>
          <w:lang w:val="sr-Latn-RS" w:eastAsia="en-GB"/>
          <w14:ligatures w14:val="none"/>
        </w:rPr>
      </w:pPr>
      <w:r w:rsidRPr="00BA2306">
        <w:rPr>
          <w:rFonts w:ascii="Arial Nova" w:eastAsia="Times New Roman" w:hAnsi="Arial Nova" w:cs="Times New Roman"/>
          <w:b/>
          <w:bCs/>
          <w:kern w:val="0"/>
          <w:sz w:val="27"/>
          <w:szCs w:val="27"/>
          <w:lang w:val="sr-Latn-RS" w:eastAsia="en-GB"/>
          <w14:ligatures w14:val="none"/>
        </w:rPr>
        <w:t>Ne-diskriminacija</w:t>
      </w:r>
    </w:p>
    <w:p w:rsidR="00BA2306" w:rsidRPr="00BA2306" w:rsidRDefault="00BA2306" w:rsidP="00BA2306">
      <w:pPr>
        <w:numPr>
          <w:ilvl w:val="0"/>
          <w:numId w:val="24"/>
        </w:num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Cs/>
          <w:kern w:val="0"/>
          <w:sz w:val="24"/>
          <w:szCs w:val="24"/>
          <w:lang w:val="sr-Latn-RS" w:eastAsia="en-GB"/>
          <w14:ligatures w14:val="none"/>
        </w:rPr>
        <w:t>Utvrditi Predlog zakona o zaštiti jednakosti i zabrani diskriminacije;</w:t>
      </w:r>
    </w:p>
    <w:p w:rsidR="00BA2306" w:rsidRPr="00BA2306" w:rsidRDefault="00BA2306" w:rsidP="00BA2306">
      <w:pPr>
        <w:spacing w:before="100" w:beforeAutospacing="1" w:after="100" w:afterAutospacing="1" w:line="240" w:lineRule="auto"/>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b/>
          <w:bCs/>
          <w:kern w:val="0"/>
          <w:sz w:val="24"/>
          <w:szCs w:val="24"/>
          <w:lang w:val="sr-Latn-RS" w:eastAsia="en-GB"/>
          <w14:ligatures w14:val="none"/>
        </w:rPr>
        <w:t>Obrazovanje</w:t>
      </w:r>
      <w:r w:rsidRPr="00BA2306">
        <w:rPr>
          <w:rFonts w:ascii="Arial Nova" w:eastAsia="Times New Roman" w:hAnsi="Arial Nova" w:cs="Times New Roman"/>
          <w:kern w:val="0"/>
          <w:sz w:val="24"/>
          <w:szCs w:val="24"/>
          <w:lang w:val="sr-Latn-RS" w:eastAsia="en-GB"/>
          <w14:ligatures w14:val="none"/>
        </w:rPr>
        <w:t>:</w:t>
      </w:r>
    </w:p>
    <w:p w:rsidR="00BA2306" w:rsidRPr="00BA2306" w:rsidRDefault="00BA2306" w:rsidP="00BA2306">
      <w:pPr>
        <w:numPr>
          <w:ilvl w:val="0"/>
          <w:numId w:val="25"/>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Organizovati kampanje za podizanje svijesti Roma/Romkinja i Egipćana/Egipćanki o značaju obrazovanja.</w:t>
      </w:r>
    </w:p>
    <w:p w:rsidR="00BA2306" w:rsidRPr="00BA2306" w:rsidRDefault="00BA2306" w:rsidP="00BA2306">
      <w:pPr>
        <w:numPr>
          <w:ilvl w:val="0"/>
          <w:numId w:val="25"/>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Organizovati antidiskriminacione treninge za javne službenike, učitelje, nastavnike, ljekare, medije  i policajce kako bi se smanjile predrasude prema Romima/Romkinjama i Egipćanima/Egipćankama.</w:t>
      </w:r>
    </w:p>
    <w:p w:rsidR="00BA2306" w:rsidRPr="00BA2306" w:rsidRDefault="00BA2306" w:rsidP="00BA2306">
      <w:pPr>
        <w:spacing w:before="100" w:beforeAutospacing="1" w:after="100" w:afterAutospacing="1" w:line="240" w:lineRule="auto"/>
        <w:jc w:val="both"/>
        <w:rPr>
          <w:rFonts w:ascii="Arial Nova" w:eastAsia="Times New Roman" w:hAnsi="Arial Nova" w:cs="Times New Roman"/>
          <w:b/>
          <w:kern w:val="0"/>
          <w:sz w:val="24"/>
          <w:szCs w:val="24"/>
          <w:lang w:val="sr-Latn-RS" w:eastAsia="en-GB"/>
          <w14:ligatures w14:val="none"/>
        </w:rPr>
      </w:pPr>
      <w:r w:rsidRPr="00BA2306">
        <w:rPr>
          <w:rFonts w:ascii="Arial Nova" w:eastAsia="Times New Roman" w:hAnsi="Arial Nova" w:cs="Times New Roman"/>
          <w:b/>
          <w:kern w:val="0"/>
          <w:sz w:val="24"/>
          <w:szCs w:val="24"/>
          <w:lang w:val="sr-Latn-RS" w:eastAsia="en-GB"/>
          <w14:ligatures w14:val="none"/>
        </w:rPr>
        <w:t>Participacija u društvu:</w:t>
      </w:r>
    </w:p>
    <w:p w:rsidR="00BA2306" w:rsidRPr="00BA2306" w:rsidRDefault="00BA2306" w:rsidP="00BA2306">
      <w:pPr>
        <w:numPr>
          <w:ilvl w:val="0"/>
          <w:numId w:val="26"/>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Organizovati edukativne radionice u cilju osnaživanja Roma/Romkinja i Egipćana/Egipćanki u cilju povećanja njihovog učešća u političkom životu.</w:t>
      </w:r>
    </w:p>
    <w:p w:rsidR="00BA2306" w:rsidRPr="00BA2306" w:rsidRDefault="00BA2306" w:rsidP="00BA2306">
      <w:pPr>
        <w:spacing w:before="100" w:beforeAutospacing="1" w:after="100" w:afterAutospacing="1" w:line="240" w:lineRule="auto"/>
        <w:jc w:val="both"/>
        <w:rPr>
          <w:rFonts w:ascii="Arial Nova" w:eastAsia="Times New Roman" w:hAnsi="Arial Nova" w:cs="Times New Roman"/>
          <w:b/>
          <w:kern w:val="0"/>
          <w:sz w:val="24"/>
          <w:szCs w:val="24"/>
          <w:lang w:val="sr-Latn-RS" w:eastAsia="en-GB"/>
          <w14:ligatures w14:val="none"/>
        </w:rPr>
      </w:pPr>
      <w:r w:rsidRPr="00BA2306">
        <w:rPr>
          <w:rFonts w:ascii="Arial Nova" w:eastAsia="Times New Roman" w:hAnsi="Arial Nova" w:cs="Times New Roman"/>
          <w:b/>
          <w:kern w:val="0"/>
          <w:sz w:val="24"/>
          <w:szCs w:val="24"/>
          <w:lang w:val="sr-Latn-RS" w:eastAsia="en-GB"/>
          <w14:ligatures w14:val="none"/>
        </w:rPr>
        <w:t>Mediji i kultura:</w:t>
      </w:r>
    </w:p>
    <w:p w:rsidR="00BA2306" w:rsidRPr="00BA2306" w:rsidRDefault="00BA2306" w:rsidP="00BA2306">
      <w:pPr>
        <w:numPr>
          <w:ilvl w:val="0"/>
          <w:numId w:val="26"/>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Promovisati pozitivne primjere Roma/Romkinja i Egipćana/Egipćanki u medijima kako bi se smanjile predrasude i stereotipi.</w:t>
      </w:r>
    </w:p>
    <w:p w:rsidR="00BA2306" w:rsidRDefault="00BA2306" w:rsidP="00BA2306">
      <w:pPr>
        <w:numPr>
          <w:ilvl w:val="0"/>
          <w:numId w:val="26"/>
        </w:num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r w:rsidRPr="00BA2306">
        <w:rPr>
          <w:rFonts w:ascii="Arial Nova" w:eastAsia="Times New Roman" w:hAnsi="Arial Nova" w:cs="Times New Roman"/>
          <w:kern w:val="0"/>
          <w:sz w:val="24"/>
          <w:szCs w:val="24"/>
          <w:lang w:val="sr-Latn-RS" w:eastAsia="en-GB"/>
          <w14:ligatures w14:val="none"/>
        </w:rPr>
        <w:t xml:space="preserve">Organizovati događaje u cilju promovisanja kulture Roma i Egipćana. </w:t>
      </w:r>
    </w:p>
    <w:p w:rsidR="00D43F57" w:rsidRDefault="00D43F57"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D43F57" w:rsidRDefault="00D43F57"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86BED" w:rsidRPr="00BA2306" w:rsidRDefault="00B86BED" w:rsidP="00D43F57">
      <w:pPr>
        <w:spacing w:before="100" w:beforeAutospacing="1" w:after="100" w:afterAutospacing="1" w:line="240" w:lineRule="auto"/>
        <w:contextualSpacing/>
        <w:jc w:val="both"/>
        <w:rPr>
          <w:rFonts w:ascii="Arial Nova" w:eastAsia="Times New Roman" w:hAnsi="Arial Nova" w:cs="Times New Roman"/>
          <w:kern w:val="0"/>
          <w:sz w:val="24"/>
          <w:szCs w:val="24"/>
          <w:lang w:val="sr-Latn-RS" w:eastAsia="en-GB"/>
          <w14:ligatures w14:val="none"/>
        </w:rPr>
      </w:pPr>
    </w:p>
    <w:p w:rsidR="00BA2306" w:rsidRPr="00BA2306" w:rsidRDefault="00BA2306" w:rsidP="00BA2306">
      <w:pPr>
        <w:tabs>
          <w:tab w:val="left" w:pos="1008"/>
        </w:tabs>
        <w:spacing w:line="240" w:lineRule="auto"/>
        <w:jc w:val="both"/>
        <w:rPr>
          <w:rFonts w:ascii="Arial Black" w:hAnsi="Arial Black" w:cs="Arial"/>
          <w:color w:val="5B9BD5" w:themeColor="accent5"/>
          <w:kern w:val="0"/>
          <w:sz w:val="36"/>
          <w:szCs w:val="36"/>
          <w:lang w:val="sr-Latn-RS"/>
          <w14:ligatures w14:val="none"/>
        </w:rPr>
      </w:pPr>
      <w:r w:rsidRPr="00BA2306">
        <w:rPr>
          <w:rFonts w:ascii="Arial Black" w:hAnsi="Arial Black" w:cs="Arial"/>
          <w:color w:val="5B9BD5" w:themeColor="accent5"/>
          <w:kern w:val="0"/>
          <w:sz w:val="36"/>
          <w:szCs w:val="36"/>
          <w:lang w:val="sr-Latn-RS"/>
          <w14:ligatures w14:val="none"/>
        </w:rPr>
        <w:lastRenderedPageBreak/>
        <w:t>Podrška nevladinim organizacijama</w:t>
      </w:r>
    </w:p>
    <w:p w:rsidR="00BA2306" w:rsidRPr="00BA2306" w:rsidRDefault="00BA2306" w:rsidP="00BA2306">
      <w:pPr>
        <w:tabs>
          <w:tab w:val="left" w:pos="1008"/>
        </w:tabs>
        <w:spacing w:line="240" w:lineRule="auto"/>
        <w:jc w:val="both"/>
        <w:rPr>
          <w:rFonts w:ascii="Arial" w:eastAsia="Calibri" w:hAnsi="Arial" w:cs="Arial"/>
          <w:b/>
          <w:color w:val="ED7D31" w:themeColor="accent2"/>
          <w:kern w:val="0"/>
          <w:szCs w:val="24"/>
          <w:lang w:val="sr-Latn-RS"/>
          <w14:ligatures w14:val="none"/>
        </w:rPr>
      </w:pPr>
    </w:p>
    <w:p w:rsidR="00BA2306" w:rsidRPr="00BA2306" w:rsidRDefault="00BA2306" w:rsidP="00BA2306">
      <w:pPr>
        <w:tabs>
          <w:tab w:val="left" w:pos="1008"/>
        </w:tabs>
        <w:spacing w:line="240" w:lineRule="auto"/>
        <w:jc w:val="both"/>
        <w:rPr>
          <w:rFonts w:ascii="Arial" w:eastAsia="Calibri" w:hAnsi="Arial" w:cs="Arial"/>
          <w:b/>
          <w:color w:val="ED7D31" w:themeColor="accent2"/>
          <w:kern w:val="0"/>
          <w:szCs w:val="24"/>
          <w:u w:val="single"/>
          <w:lang w:val="sr-Latn-RS"/>
          <w14:ligatures w14:val="none"/>
        </w:rPr>
      </w:pPr>
      <w:r w:rsidRPr="00BA2306">
        <w:rPr>
          <w:rFonts w:ascii="Arial" w:eastAsia="Calibri" w:hAnsi="Arial" w:cs="Arial"/>
          <w:b/>
          <w:color w:val="ED7D31" w:themeColor="accent2"/>
          <w:kern w:val="0"/>
          <w:szCs w:val="24"/>
          <w:u w:val="single"/>
          <w:lang w:val="sr-Latn-RS"/>
          <w14:ligatures w14:val="none"/>
        </w:rPr>
        <w:t>Fonda za zaštitu i ostvarivanje manjinskih prava</w:t>
      </w:r>
    </w:p>
    <w:p w:rsidR="00BA2306" w:rsidRPr="00BA2306" w:rsidRDefault="00BA2306" w:rsidP="00BA2306">
      <w:pPr>
        <w:tabs>
          <w:tab w:val="left" w:pos="1008"/>
        </w:tabs>
        <w:spacing w:line="240" w:lineRule="auto"/>
        <w:jc w:val="both"/>
        <w:rPr>
          <w:rFonts w:ascii="Arial Black" w:hAnsi="Arial Black" w:cs="Arial"/>
          <w:color w:val="ED7D31" w:themeColor="accent2"/>
          <w:kern w:val="0"/>
          <w:sz w:val="36"/>
          <w:szCs w:val="36"/>
          <w:lang w:val="sr-Latn-RS"/>
          <w14:ligatures w14:val="none"/>
        </w:rPr>
      </w:pPr>
    </w:p>
    <w:tbl>
      <w:tblPr>
        <w:tblStyle w:val="GridTable5Dark-Accent1"/>
        <w:tblW w:w="0" w:type="auto"/>
        <w:tblInd w:w="1555" w:type="dxa"/>
        <w:tblLook w:val="04A0" w:firstRow="1" w:lastRow="0" w:firstColumn="1" w:lastColumn="0" w:noHBand="0" w:noVBand="1"/>
      </w:tblPr>
      <w:tblGrid>
        <w:gridCol w:w="1770"/>
        <w:gridCol w:w="1850"/>
        <w:gridCol w:w="1911"/>
        <w:gridCol w:w="1829"/>
        <w:gridCol w:w="1863"/>
      </w:tblGrid>
      <w:tr w:rsidR="00BA2306" w:rsidRPr="00BA2306" w:rsidTr="006B1FFA">
        <w:trPr>
          <w:cnfStyle w:val="100000000000" w:firstRow="1" w:lastRow="0" w:firstColumn="0" w:lastColumn="0" w:oddVBand="0" w:evenVBand="0" w:oddHBand="0"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bookmarkStart w:id="17" w:name="_Hlk158634857"/>
            <w:r w:rsidRPr="00BA2306">
              <w:rPr>
                <w:rFonts w:ascii="Arial" w:eastAsia="Calibri" w:hAnsi="Arial" w:cs="Arial"/>
                <w:sz w:val="20"/>
                <w:szCs w:val="20"/>
                <w:lang w:val="sr-Latn-RS"/>
              </w:rPr>
              <w:t>Godina</w:t>
            </w:r>
          </w:p>
        </w:tc>
        <w:tc>
          <w:tcPr>
            <w:tcW w:w="1850" w:type="dxa"/>
          </w:tcPr>
          <w:p w:rsidR="00BA2306" w:rsidRPr="00BA2306" w:rsidRDefault="00BA2306" w:rsidP="00BA2306">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Ukupan broj  prijavljenih projekata</w:t>
            </w:r>
          </w:p>
        </w:tc>
        <w:tc>
          <w:tcPr>
            <w:tcW w:w="1911" w:type="dxa"/>
          </w:tcPr>
          <w:p w:rsidR="00BA2306" w:rsidRPr="00BA2306" w:rsidRDefault="00BA2306" w:rsidP="00BA2306">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Ukupan iznos</w:t>
            </w:r>
          </w:p>
        </w:tc>
        <w:tc>
          <w:tcPr>
            <w:tcW w:w="1829" w:type="dxa"/>
          </w:tcPr>
          <w:p w:rsidR="00BA2306" w:rsidRPr="00BA2306" w:rsidRDefault="00BA2306" w:rsidP="00BA2306">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Ukupan broj podržanih projekata</w:t>
            </w:r>
          </w:p>
        </w:tc>
        <w:tc>
          <w:tcPr>
            <w:tcW w:w="1863" w:type="dxa"/>
          </w:tcPr>
          <w:p w:rsidR="00BA2306" w:rsidRPr="00BA2306" w:rsidRDefault="00BA2306" w:rsidP="00BA2306">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Ukapan iznos za Rome i Egipćane</w:t>
            </w:r>
          </w:p>
        </w:tc>
      </w:tr>
      <w:tr w:rsidR="00BA2306" w:rsidRPr="00BA2306" w:rsidTr="006B1FF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r w:rsidRPr="00BA2306">
              <w:rPr>
                <w:rFonts w:ascii="Arial" w:eastAsia="Calibri" w:hAnsi="Arial" w:cs="Arial"/>
                <w:sz w:val="20"/>
                <w:szCs w:val="20"/>
                <w:lang w:val="sr-Latn-RS"/>
              </w:rPr>
              <w:t>2018.</w:t>
            </w:r>
          </w:p>
        </w:tc>
        <w:tc>
          <w:tcPr>
            <w:tcW w:w="1850"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97  projekata</w:t>
            </w:r>
          </w:p>
        </w:tc>
        <w:tc>
          <w:tcPr>
            <w:tcW w:w="1911"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755.293,00€</w:t>
            </w:r>
          </w:p>
        </w:tc>
        <w:tc>
          <w:tcPr>
            <w:tcW w:w="1829"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6 projekata</w:t>
            </w:r>
          </w:p>
        </w:tc>
        <w:tc>
          <w:tcPr>
            <w:tcW w:w="1863" w:type="dxa"/>
          </w:tcPr>
          <w:p w:rsidR="00BA2306" w:rsidRPr="00BA2306" w:rsidRDefault="00BA2306" w:rsidP="00BA2306">
            <w:pPr>
              <w:spacing w:line="256" w:lineRule="auto"/>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56.758,00€ (8%),</w:t>
            </w:r>
          </w:p>
        </w:tc>
      </w:tr>
      <w:tr w:rsidR="00BA2306" w:rsidRPr="00BA2306" w:rsidTr="006B1FFA">
        <w:trPr>
          <w:trHeight w:val="600"/>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r w:rsidRPr="00BA2306">
              <w:rPr>
                <w:rFonts w:ascii="Arial" w:eastAsia="Calibri" w:hAnsi="Arial" w:cs="Arial"/>
                <w:sz w:val="20"/>
                <w:szCs w:val="20"/>
                <w:lang w:val="sr-Latn-RS"/>
              </w:rPr>
              <w:t>2019.</w:t>
            </w:r>
          </w:p>
        </w:tc>
        <w:tc>
          <w:tcPr>
            <w:tcW w:w="1850"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189 projekata</w:t>
            </w:r>
          </w:p>
        </w:tc>
        <w:tc>
          <w:tcPr>
            <w:tcW w:w="1911"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984.847,81€</w:t>
            </w:r>
          </w:p>
        </w:tc>
        <w:tc>
          <w:tcPr>
            <w:tcW w:w="1829"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15 projekata</w:t>
            </w:r>
          </w:p>
        </w:tc>
        <w:tc>
          <w:tcPr>
            <w:tcW w:w="1863" w:type="dxa"/>
          </w:tcPr>
          <w:p w:rsidR="00BA2306" w:rsidRPr="00BA2306" w:rsidRDefault="00BA2306" w:rsidP="00BA2306">
            <w:pPr>
              <w:spacing w:line="256" w:lineRule="auto"/>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112.343,06€ (11,4%)</w:t>
            </w:r>
          </w:p>
        </w:tc>
      </w:tr>
      <w:tr w:rsidR="00BA2306" w:rsidRPr="00BA2306" w:rsidTr="006B1FF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r w:rsidRPr="00BA2306">
              <w:rPr>
                <w:rFonts w:ascii="Arial" w:eastAsia="Calibri" w:hAnsi="Arial" w:cs="Arial"/>
                <w:sz w:val="20"/>
                <w:szCs w:val="20"/>
                <w:lang w:val="sr-Latn-RS"/>
              </w:rPr>
              <w:t>2020.</w:t>
            </w:r>
          </w:p>
        </w:tc>
        <w:tc>
          <w:tcPr>
            <w:tcW w:w="1850"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196 projekata</w:t>
            </w:r>
          </w:p>
        </w:tc>
        <w:tc>
          <w:tcPr>
            <w:tcW w:w="1911"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1.128.315,60€.</w:t>
            </w:r>
          </w:p>
        </w:tc>
        <w:tc>
          <w:tcPr>
            <w:tcW w:w="1829"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17 projekata</w:t>
            </w:r>
          </w:p>
        </w:tc>
        <w:tc>
          <w:tcPr>
            <w:tcW w:w="1863" w:type="dxa"/>
          </w:tcPr>
          <w:p w:rsidR="00BA2306" w:rsidRPr="00BA2306" w:rsidRDefault="00BA2306" w:rsidP="00BA2306">
            <w:pPr>
              <w:spacing w:line="256" w:lineRule="auto"/>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110.700,00€ (10%).</w:t>
            </w:r>
          </w:p>
        </w:tc>
      </w:tr>
      <w:tr w:rsidR="00BA2306" w:rsidRPr="00BA2306" w:rsidTr="006B1FFA">
        <w:trPr>
          <w:trHeight w:val="600"/>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r w:rsidRPr="00BA2306">
              <w:rPr>
                <w:rFonts w:ascii="Arial" w:eastAsia="Calibri" w:hAnsi="Arial" w:cs="Arial"/>
                <w:sz w:val="20"/>
                <w:szCs w:val="20"/>
                <w:lang w:val="sr-Latn-RS"/>
              </w:rPr>
              <w:t>2021.</w:t>
            </w:r>
          </w:p>
        </w:tc>
        <w:tc>
          <w:tcPr>
            <w:tcW w:w="1850"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185 projekata</w:t>
            </w:r>
          </w:p>
        </w:tc>
        <w:tc>
          <w:tcPr>
            <w:tcW w:w="1911"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1.066,000,00€.</w:t>
            </w:r>
          </w:p>
        </w:tc>
        <w:tc>
          <w:tcPr>
            <w:tcW w:w="1829"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13 projekata</w:t>
            </w:r>
          </w:p>
        </w:tc>
        <w:tc>
          <w:tcPr>
            <w:tcW w:w="1863" w:type="dxa"/>
          </w:tcPr>
          <w:p w:rsidR="00BA2306" w:rsidRPr="00BA2306" w:rsidRDefault="00BA2306" w:rsidP="00BA2306">
            <w:pPr>
              <w:spacing w:line="256" w:lineRule="auto"/>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 xml:space="preserve">93.200,00€ (9%).  </w:t>
            </w:r>
          </w:p>
        </w:tc>
      </w:tr>
      <w:tr w:rsidR="00BA2306" w:rsidRPr="00BA2306" w:rsidTr="006B1FF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r w:rsidRPr="00BA2306">
              <w:rPr>
                <w:rFonts w:ascii="Arial" w:eastAsia="Calibri" w:hAnsi="Arial" w:cs="Arial"/>
                <w:sz w:val="20"/>
                <w:szCs w:val="20"/>
                <w:lang w:val="sr-Latn-RS"/>
              </w:rPr>
              <w:t>2022.</w:t>
            </w:r>
          </w:p>
        </w:tc>
        <w:tc>
          <w:tcPr>
            <w:tcW w:w="1850"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195 projekata</w:t>
            </w:r>
          </w:p>
        </w:tc>
        <w:tc>
          <w:tcPr>
            <w:tcW w:w="1911"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1.049,723,00 €.</w:t>
            </w:r>
          </w:p>
        </w:tc>
        <w:tc>
          <w:tcPr>
            <w:tcW w:w="1829"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10 projekata</w:t>
            </w:r>
          </w:p>
        </w:tc>
        <w:tc>
          <w:tcPr>
            <w:tcW w:w="1863" w:type="dxa"/>
          </w:tcPr>
          <w:p w:rsidR="00BA2306" w:rsidRPr="00BA2306" w:rsidRDefault="00BA2306" w:rsidP="00BA2306">
            <w:pPr>
              <w:spacing w:line="256" w:lineRule="auto"/>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 xml:space="preserve">48.973,00€ (5%).  </w:t>
            </w:r>
          </w:p>
        </w:tc>
      </w:tr>
      <w:tr w:rsidR="00BA2306" w:rsidRPr="00BA2306" w:rsidTr="006B1FFA">
        <w:trPr>
          <w:trHeight w:val="600"/>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bookmarkStart w:id="18" w:name="_Hlk158634816"/>
            <w:r w:rsidRPr="00BA2306">
              <w:rPr>
                <w:rFonts w:ascii="Arial" w:eastAsia="Calibri" w:hAnsi="Arial" w:cs="Arial"/>
                <w:sz w:val="20"/>
                <w:szCs w:val="20"/>
                <w:lang w:val="sr-Latn-RS"/>
              </w:rPr>
              <w:t>2023.</w:t>
            </w:r>
          </w:p>
        </w:tc>
        <w:tc>
          <w:tcPr>
            <w:tcW w:w="1850"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209 projekata</w:t>
            </w:r>
          </w:p>
        </w:tc>
        <w:tc>
          <w:tcPr>
            <w:tcW w:w="1911" w:type="dxa"/>
          </w:tcPr>
          <w:p w:rsidR="00BA2306" w:rsidRPr="00BA2306" w:rsidRDefault="00BA2306" w:rsidP="00BA230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1.409.880,00 €</w:t>
            </w:r>
          </w:p>
        </w:tc>
        <w:tc>
          <w:tcPr>
            <w:tcW w:w="1829" w:type="dxa"/>
          </w:tcPr>
          <w:p w:rsidR="00BA2306" w:rsidRPr="00BA2306" w:rsidRDefault="00BA2306" w:rsidP="00BA2306">
            <w:pPr>
              <w:tabs>
                <w:tab w:val="left" w:pos="1035"/>
              </w:tabs>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17 projekata</w:t>
            </w:r>
          </w:p>
        </w:tc>
        <w:tc>
          <w:tcPr>
            <w:tcW w:w="1863" w:type="dxa"/>
          </w:tcPr>
          <w:p w:rsidR="00BA2306" w:rsidRPr="00BA2306" w:rsidRDefault="00BA2306" w:rsidP="00BA2306">
            <w:pPr>
              <w:spacing w:line="256" w:lineRule="auto"/>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108.975,00 € (8%).</w:t>
            </w:r>
          </w:p>
        </w:tc>
      </w:tr>
      <w:tr w:rsidR="00BA2306" w:rsidRPr="00BA2306" w:rsidTr="006B1FF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70" w:type="dxa"/>
          </w:tcPr>
          <w:p w:rsidR="00BA2306" w:rsidRPr="00BA2306" w:rsidRDefault="00BA2306" w:rsidP="00BA2306">
            <w:pPr>
              <w:spacing w:line="256" w:lineRule="auto"/>
              <w:jc w:val="center"/>
              <w:rPr>
                <w:rFonts w:ascii="Arial" w:eastAsia="Calibri" w:hAnsi="Arial" w:cs="Arial"/>
                <w:sz w:val="20"/>
                <w:szCs w:val="20"/>
                <w:lang w:val="sr-Latn-RS"/>
              </w:rPr>
            </w:pPr>
            <w:r w:rsidRPr="00BA2306">
              <w:rPr>
                <w:rFonts w:ascii="Arial" w:eastAsia="Calibri" w:hAnsi="Arial" w:cs="Arial"/>
                <w:sz w:val="20"/>
                <w:szCs w:val="20"/>
                <w:lang w:val="sr-Latn-RS"/>
              </w:rPr>
              <w:t>2024.</w:t>
            </w:r>
          </w:p>
        </w:tc>
        <w:tc>
          <w:tcPr>
            <w:tcW w:w="1850"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221 projekata</w:t>
            </w:r>
          </w:p>
        </w:tc>
        <w:tc>
          <w:tcPr>
            <w:tcW w:w="1911" w:type="dxa"/>
          </w:tcPr>
          <w:p w:rsidR="00BA2306" w:rsidRPr="00BA2306" w:rsidRDefault="00BA2306" w:rsidP="00BA2306">
            <w:pPr>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1.591.125,00 €.</w:t>
            </w:r>
          </w:p>
        </w:tc>
        <w:tc>
          <w:tcPr>
            <w:tcW w:w="1829" w:type="dxa"/>
          </w:tcPr>
          <w:p w:rsidR="00BA2306" w:rsidRPr="00BA2306" w:rsidRDefault="00BA2306" w:rsidP="00BA2306">
            <w:pPr>
              <w:tabs>
                <w:tab w:val="left" w:pos="1035"/>
              </w:tabs>
              <w:spacing w:line="25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21 projekata</w:t>
            </w:r>
          </w:p>
        </w:tc>
        <w:tc>
          <w:tcPr>
            <w:tcW w:w="1863" w:type="dxa"/>
          </w:tcPr>
          <w:p w:rsidR="00BA2306" w:rsidRPr="00BA2306" w:rsidRDefault="00BA2306" w:rsidP="00BA2306">
            <w:pPr>
              <w:spacing w:line="256" w:lineRule="auto"/>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sr-Latn-RS"/>
              </w:rPr>
            </w:pPr>
            <w:r w:rsidRPr="00BA2306">
              <w:rPr>
                <w:rFonts w:ascii="Arial" w:eastAsia="Calibri" w:hAnsi="Arial" w:cs="Arial"/>
                <w:sz w:val="20"/>
                <w:szCs w:val="20"/>
                <w:lang w:val="sr-Latn-RS"/>
              </w:rPr>
              <w:t>136.350,00 € (9%).</w:t>
            </w:r>
          </w:p>
        </w:tc>
      </w:tr>
    </w:tbl>
    <w:p w:rsidR="00BA2306" w:rsidRPr="00BA2306" w:rsidRDefault="00BA2306" w:rsidP="00BA2306">
      <w:pPr>
        <w:tabs>
          <w:tab w:val="left" w:pos="1008"/>
        </w:tabs>
        <w:spacing w:line="240" w:lineRule="auto"/>
        <w:jc w:val="both"/>
        <w:rPr>
          <w:rFonts w:ascii="Arial Nova" w:hAnsi="Arial Nova" w:cs="Arial"/>
          <w:kern w:val="0"/>
          <w:sz w:val="24"/>
          <w:szCs w:val="24"/>
          <w:u w:val="single"/>
          <w:lang w:val="sr-Latn-RS"/>
          <w14:ligatures w14:val="none"/>
        </w:rPr>
      </w:pPr>
      <w:bookmarkStart w:id="19" w:name="_Hlk188522075"/>
      <w:bookmarkEnd w:id="17"/>
      <w:bookmarkEnd w:id="18"/>
    </w:p>
    <w:p w:rsidR="00BA2306" w:rsidRPr="00BA2306" w:rsidRDefault="00BA2306" w:rsidP="00BA2306">
      <w:pPr>
        <w:tabs>
          <w:tab w:val="left" w:pos="1008"/>
        </w:tabs>
        <w:spacing w:line="240" w:lineRule="auto"/>
        <w:jc w:val="both"/>
        <w:rPr>
          <w:rFonts w:ascii="Arial Nova" w:hAnsi="Arial Nova" w:cs="Arial"/>
          <w:kern w:val="0"/>
          <w:sz w:val="24"/>
          <w:szCs w:val="24"/>
          <w:u w:val="single"/>
          <w:lang w:val="sr-Latn-RS"/>
          <w14:ligatures w14:val="none"/>
        </w:rPr>
      </w:pPr>
      <w:r w:rsidRPr="00BA2306">
        <w:rPr>
          <w:rFonts w:ascii="Arial" w:eastAsia="Calibri" w:hAnsi="Arial" w:cs="Arial"/>
          <w:b/>
          <w:kern w:val="0"/>
          <w:szCs w:val="24"/>
          <w:lang w:val="sr-Latn-RS"/>
          <w14:ligatures w14:val="none"/>
        </w:rPr>
        <w:t>Ukupan iznos finansijskih sredstava za projekte</w:t>
      </w:r>
      <w:r w:rsidR="00D43F57">
        <w:rPr>
          <w:rFonts w:ascii="Arial" w:eastAsia="Calibri" w:hAnsi="Arial" w:cs="Arial"/>
          <w:b/>
          <w:kern w:val="0"/>
          <w:szCs w:val="24"/>
          <w:lang w:val="sr-Latn-RS"/>
          <w14:ligatures w14:val="none"/>
        </w:rPr>
        <w:t xml:space="preserve"> nevladinih organizacija za</w:t>
      </w:r>
      <w:r w:rsidRPr="00BA2306">
        <w:rPr>
          <w:rFonts w:ascii="Arial" w:eastAsia="Calibri" w:hAnsi="Arial" w:cs="Arial"/>
          <w:b/>
          <w:kern w:val="0"/>
          <w:szCs w:val="24"/>
          <w:lang w:val="sr-Latn-RS"/>
          <w14:ligatures w14:val="none"/>
        </w:rPr>
        <w:t xml:space="preserve"> unapređenja položaja RE u Crnoj Gori podržane od </w:t>
      </w:r>
      <w:bookmarkStart w:id="20" w:name="_Hlk188522726"/>
      <w:r w:rsidRPr="00BA2306">
        <w:rPr>
          <w:rFonts w:ascii="Arial" w:eastAsia="Calibri" w:hAnsi="Arial" w:cs="Arial"/>
          <w:b/>
          <w:kern w:val="0"/>
          <w:szCs w:val="24"/>
          <w:lang w:val="sr-Latn-RS"/>
          <w14:ligatures w14:val="none"/>
        </w:rPr>
        <w:t>Fonda za zaštitu i ostvarivanje manjinskih prava</w:t>
      </w:r>
      <w:bookmarkEnd w:id="20"/>
      <w:r w:rsidRPr="00BA2306">
        <w:rPr>
          <w:rFonts w:ascii="Arial" w:eastAsia="Calibri" w:hAnsi="Arial" w:cs="Arial"/>
          <w:b/>
          <w:kern w:val="0"/>
          <w:szCs w:val="24"/>
          <w:lang w:val="sr-Latn-RS"/>
          <w14:ligatures w14:val="none"/>
        </w:rPr>
        <w:t xml:space="preserve"> u periodu 2018 – 2024. iznosio je 667.297.09 eura.</w:t>
      </w:r>
    </w:p>
    <w:bookmarkEnd w:id="19"/>
    <w:p w:rsidR="00B86BED" w:rsidRPr="00BA2306" w:rsidRDefault="00B86BED" w:rsidP="00BA2306">
      <w:pPr>
        <w:tabs>
          <w:tab w:val="left" w:pos="1008"/>
        </w:tabs>
        <w:spacing w:line="240" w:lineRule="auto"/>
        <w:jc w:val="both"/>
        <w:rPr>
          <w:rFonts w:ascii="Arial Nova" w:hAnsi="Arial Nova" w:cs="Arial"/>
          <w:kern w:val="0"/>
          <w:sz w:val="24"/>
          <w:szCs w:val="24"/>
          <w:u w:val="single"/>
          <w:lang w:val="sr-Latn-RS"/>
          <w14:ligatures w14:val="none"/>
        </w:rPr>
      </w:pPr>
    </w:p>
    <w:p w:rsidR="00BA2306" w:rsidRPr="00BA2306" w:rsidRDefault="00BA2306" w:rsidP="00BA2306">
      <w:pPr>
        <w:tabs>
          <w:tab w:val="left" w:pos="1008"/>
        </w:tabs>
        <w:spacing w:line="240" w:lineRule="auto"/>
        <w:jc w:val="both"/>
        <w:rPr>
          <w:rFonts w:ascii="Arial Nova" w:hAnsi="Arial Nova" w:cs="Arial"/>
          <w:color w:val="ED7D31" w:themeColor="accent2"/>
          <w:kern w:val="0"/>
          <w:sz w:val="24"/>
          <w:szCs w:val="24"/>
          <w:u w:val="single"/>
          <w14:ligatures w14:val="none"/>
        </w:rPr>
      </w:pPr>
      <w:r w:rsidRPr="00BA2306">
        <w:rPr>
          <w:rFonts w:ascii="Arial Nova" w:hAnsi="Arial Nova" w:cs="Arial"/>
          <w:color w:val="ED7D31" w:themeColor="accent2"/>
          <w:kern w:val="0"/>
          <w:sz w:val="24"/>
          <w:szCs w:val="24"/>
          <w:u w:val="single"/>
          <w:lang w:val="sr-Latn-RS"/>
          <w14:ligatures w14:val="none"/>
        </w:rPr>
        <w:lastRenderedPageBreak/>
        <w:t>Ministarstvo ljudskih i manjinskih prava</w:t>
      </w:r>
    </w:p>
    <w:p w:rsidR="00BA2306" w:rsidRPr="00BA2306" w:rsidRDefault="00BA2306" w:rsidP="005E0BF1">
      <w:pPr>
        <w:shd w:val="clear" w:color="auto" w:fill="BF8F00" w:themeFill="accent4" w:themeFillShade="BF"/>
        <w:tabs>
          <w:tab w:val="left" w:pos="1008"/>
        </w:tabs>
        <w:spacing w:line="240" w:lineRule="auto"/>
        <w:jc w:val="both"/>
        <w:rPr>
          <w:rFonts w:ascii="Arial Nova" w:hAnsi="Arial Nova" w:cs="Arial"/>
          <w:kern w:val="0"/>
          <w:sz w:val="24"/>
          <w:szCs w:val="24"/>
          <w:u w:val="single"/>
          <w:lang w:val="sr-Latn-RS"/>
          <w14:ligatures w14:val="none"/>
        </w:rPr>
      </w:pPr>
      <w:r w:rsidRPr="00BA2306">
        <w:rPr>
          <w:rFonts w:ascii="Arial Nova" w:hAnsi="Arial Nova" w:cs="Arial"/>
          <w:noProof/>
          <w:kern w:val="0"/>
          <w:sz w:val="24"/>
          <w:szCs w:val="24"/>
          <w:u w:val="single"/>
          <w:lang w:val="sr-Latn-RS"/>
          <w14:ligatures w14:val="none"/>
        </w:rPr>
        <w:t xml:space="preserve">                              </w:t>
      </w:r>
      <w:r w:rsidRPr="00BA2306">
        <w:rPr>
          <w:rFonts w:ascii="Arial Nova" w:hAnsi="Arial Nova" w:cs="Arial"/>
          <w:noProof/>
          <w:kern w:val="0"/>
          <w:sz w:val="24"/>
          <w:szCs w:val="24"/>
          <w:u w:val="single"/>
          <w:lang w:val="sr-Latn-RS"/>
          <w14:ligatures w14:val="none"/>
        </w:rPr>
        <w:drawing>
          <wp:inline distT="0" distB="0" distL="0" distR="0" wp14:anchorId="29F64975" wp14:editId="1D8EC1DD">
            <wp:extent cx="8201025" cy="4791075"/>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BA2306">
        <w:rPr>
          <w:rFonts w:ascii="Arial Nova" w:hAnsi="Arial Nova" w:cs="Arial"/>
          <w:noProof/>
          <w:kern w:val="0"/>
          <w:sz w:val="24"/>
          <w:szCs w:val="24"/>
          <w:u w:val="single"/>
          <w:lang w:val="sr-Latn-RS"/>
          <w14:ligatures w14:val="none"/>
        </w:rPr>
        <w:t xml:space="preserve">                  </w:t>
      </w:r>
    </w:p>
    <w:p w:rsidR="00BA2306" w:rsidRPr="00BA2306" w:rsidRDefault="00BA2306" w:rsidP="00BA2306">
      <w:pPr>
        <w:tabs>
          <w:tab w:val="left" w:pos="1008"/>
        </w:tabs>
        <w:spacing w:line="240" w:lineRule="auto"/>
        <w:jc w:val="both"/>
        <w:rPr>
          <w:rFonts w:ascii="Arial Nova" w:hAnsi="Arial Nova" w:cs="Arial"/>
          <w:kern w:val="0"/>
          <w:sz w:val="24"/>
          <w:szCs w:val="24"/>
          <w:u w:val="single"/>
          <w:lang w:val="sr-Latn-RS"/>
          <w14:ligatures w14:val="none"/>
        </w:rPr>
      </w:pPr>
      <w:r w:rsidRPr="00BA2306">
        <w:rPr>
          <w:rFonts w:ascii="Arial" w:eastAsia="Calibri" w:hAnsi="Arial" w:cs="Arial"/>
          <w:b/>
          <w:kern w:val="0"/>
          <w:szCs w:val="24"/>
          <w:lang w:val="sr-Latn-RS"/>
          <w14:ligatures w14:val="none"/>
        </w:rPr>
        <w:t xml:space="preserve">Ukupan iznos finansijskih sredstava za projekte </w:t>
      </w:r>
      <w:r w:rsidR="00D43F57">
        <w:rPr>
          <w:rFonts w:ascii="Arial" w:eastAsia="Calibri" w:hAnsi="Arial" w:cs="Arial"/>
          <w:b/>
          <w:kern w:val="0"/>
          <w:szCs w:val="24"/>
          <w:lang w:val="sr-Latn-RS"/>
          <w14:ligatures w14:val="none"/>
        </w:rPr>
        <w:t>nevladinih organizacija za „U</w:t>
      </w:r>
      <w:r w:rsidRPr="00BA2306">
        <w:rPr>
          <w:rFonts w:ascii="Arial" w:eastAsia="Calibri" w:hAnsi="Arial" w:cs="Arial"/>
          <w:b/>
          <w:kern w:val="0"/>
          <w:szCs w:val="24"/>
          <w:lang w:val="sr-Latn-RS"/>
          <w14:ligatures w14:val="none"/>
        </w:rPr>
        <w:t>napređenja položaja romske i egipćanske zajednice u Crnoj Gori</w:t>
      </w:r>
      <w:r w:rsidR="00D43F57">
        <w:rPr>
          <w:rFonts w:ascii="Arial" w:eastAsia="Calibri" w:hAnsi="Arial" w:cs="Arial"/>
          <w:b/>
          <w:kern w:val="0"/>
          <w:szCs w:val="24"/>
          <w:lang w:val="sr-Latn-RS"/>
          <w14:ligatures w14:val="none"/>
        </w:rPr>
        <w:t>“</w:t>
      </w:r>
      <w:r w:rsidRPr="00BA2306">
        <w:rPr>
          <w:rFonts w:ascii="Arial" w:eastAsia="Calibri" w:hAnsi="Arial" w:cs="Arial"/>
          <w:b/>
          <w:kern w:val="0"/>
          <w:szCs w:val="24"/>
          <w:lang w:val="sr-Latn-RS"/>
          <w14:ligatures w14:val="none"/>
        </w:rPr>
        <w:t xml:space="preserve"> podržane od Ministarstva ljudskih i manjinskih prava u periodu 2018 – 2024. iznosio je 2.082.000</w:t>
      </w:r>
      <w:r w:rsidR="00D43F57">
        <w:rPr>
          <w:rFonts w:ascii="Arial" w:eastAsia="Calibri" w:hAnsi="Arial" w:cs="Arial"/>
          <w:b/>
          <w:kern w:val="0"/>
          <w:szCs w:val="24"/>
          <w:lang w:val="sr-Latn-RS"/>
          <w14:ligatures w14:val="none"/>
        </w:rPr>
        <w:t>.00</w:t>
      </w:r>
      <w:r w:rsidRPr="00BA2306">
        <w:rPr>
          <w:rFonts w:ascii="Arial" w:eastAsia="Calibri" w:hAnsi="Arial" w:cs="Arial"/>
          <w:b/>
          <w:kern w:val="0"/>
          <w:szCs w:val="24"/>
          <w:lang w:val="sr-Latn-RS"/>
          <w14:ligatures w14:val="none"/>
        </w:rPr>
        <w:t xml:space="preserve"> eura.</w:t>
      </w:r>
    </w:p>
    <w:p w:rsidR="00BA2306" w:rsidRPr="00BA2306" w:rsidRDefault="00BA2306" w:rsidP="00BA2306">
      <w:pPr>
        <w:spacing w:line="256" w:lineRule="auto"/>
        <w:rPr>
          <w:rFonts w:ascii="Arial Nova" w:hAnsi="Arial Nova" w:cs="Arial"/>
          <w:kern w:val="0"/>
          <w:sz w:val="24"/>
          <w:szCs w:val="24"/>
          <w:lang w:val="sr-Latn-RS"/>
          <w14:ligatures w14:val="none"/>
        </w:rPr>
      </w:pPr>
      <w:r w:rsidRPr="00BA2306">
        <w:rPr>
          <w:rFonts w:ascii="Arial Nova" w:hAnsi="Arial Nova" w:cs="Arial"/>
          <w:kern w:val="0"/>
          <w:sz w:val="24"/>
          <w:szCs w:val="24"/>
          <w:lang w:val="sr-Latn-RS"/>
          <w14:ligatures w14:val="none"/>
        </w:rPr>
        <w:lastRenderedPageBreak/>
        <w:t xml:space="preserve">                    </w:t>
      </w:r>
      <w:r w:rsidRPr="00BA2306">
        <w:rPr>
          <w:noProof/>
          <w:kern w:val="0"/>
          <w:sz w:val="20"/>
          <w:szCs w:val="20"/>
          <w:lang w:val="en-GB" w:eastAsia="en-GB"/>
          <w14:ligatures w14:val="none"/>
        </w:rPr>
        <w:drawing>
          <wp:inline distT="0" distB="0" distL="0" distR="0" wp14:anchorId="303CA2F5" wp14:editId="21446EE4">
            <wp:extent cx="5944235" cy="6286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6286500"/>
                    </a:xfrm>
                    <a:prstGeom prst="rect">
                      <a:avLst/>
                    </a:prstGeom>
                    <a:noFill/>
                  </pic:spPr>
                </pic:pic>
              </a:graphicData>
            </a:graphic>
          </wp:inline>
        </w:drawing>
      </w:r>
    </w:p>
    <w:p w:rsidR="00BA2306" w:rsidRPr="00BA2306" w:rsidRDefault="00BA2306" w:rsidP="00BA2306">
      <w:pPr>
        <w:spacing w:after="0" w:line="240" w:lineRule="auto"/>
        <w:jc w:val="center"/>
        <w:rPr>
          <w:kern w:val="0"/>
          <w:sz w:val="20"/>
          <w:szCs w:val="20"/>
          <w:lang w:val="sr-Latn-RS"/>
          <w14:ligatures w14:val="none"/>
        </w:rPr>
      </w:pPr>
    </w:p>
    <w:p w:rsidR="00BA2306" w:rsidRPr="00BA2306" w:rsidRDefault="00BA2306" w:rsidP="00BA2306">
      <w:pPr>
        <w:spacing w:after="0" w:line="240" w:lineRule="auto"/>
        <w:rPr>
          <w:rFonts w:ascii="Arial" w:eastAsia="Times New Roman" w:hAnsi="Arial" w:cs="Arial"/>
          <w:b/>
          <w:kern w:val="0"/>
          <w:sz w:val="24"/>
          <w:szCs w:val="24"/>
          <w:lang w:val="sr-Latn-ME"/>
          <w14:ligatures w14:val="none"/>
        </w:rPr>
      </w:pPr>
      <w:r w:rsidRPr="00BA2306">
        <w:rPr>
          <w:rFonts w:ascii="Arial" w:eastAsia="Times New Roman" w:hAnsi="Arial" w:cs="Arial"/>
          <w:b/>
          <w:kern w:val="0"/>
          <w:sz w:val="24"/>
          <w:szCs w:val="24"/>
          <w:lang w:val="sr-Latn-ME"/>
          <w14:ligatures w14:val="none"/>
        </w:rPr>
        <w:t>PREDLOG ZAKLJUČAKA:</w:t>
      </w:r>
    </w:p>
    <w:p w:rsidR="00BA2306" w:rsidRPr="00BA2306" w:rsidRDefault="00BA2306" w:rsidP="00BA2306">
      <w:pPr>
        <w:spacing w:after="0" w:line="240" w:lineRule="auto"/>
        <w:rPr>
          <w:rFonts w:ascii="Arial" w:eastAsia="Times New Roman" w:hAnsi="Arial" w:cs="Arial"/>
          <w:b/>
          <w:kern w:val="0"/>
          <w:sz w:val="24"/>
          <w:szCs w:val="24"/>
          <w:lang w:val="sr-Latn-ME"/>
          <w14:ligatures w14:val="none"/>
        </w:rPr>
      </w:pPr>
    </w:p>
    <w:p w:rsidR="00BA2306" w:rsidRPr="00BA2306" w:rsidRDefault="00BA2306" w:rsidP="00BA2306">
      <w:pPr>
        <w:jc w:val="both"/>
        <w:rPr>
          <w:rFonts w:ascii="Arial" w:eastAsia="MS Mincho" w:hAnsi="Arial" w:cs="Arial"/>
          <w:kern w:val="0"/>
          <w:sz w:val="24"/>
          <w:szCs w:val="24"/>
          <w:lang w:val="pl-PL"/>
          <w14:ligatures w14:val="none"/>
        </w:rPr>
      </w:pPr>
      <w:r w:rsidRPr="00BA2306">
        <w:rPr>
          <w:rFonts w:ascii="Arial" w:eastAsia="MS Mincho" w:hAnsi="Arial" w:cs="Arial"/>
          <w:kern w:val="0"/>
          <w:sz w:val="24"/>
          <w:szCs w:val="24"/>
          <w:lang w:val="pl-PL"/>
          <w14:ligatures w14:val="none"/>
        </w:rPr>
        <w:t>1. Vlada Crne Gore, na sjednici od _______________ 202</w:t>
      </w:r>
      <w:r w:rsidR="00B86BED">
        <w:rPr>
          <w:rFonts w:ascii="Arial" w:eastAsia="MS Mincho" w:hAnsi="Arial" w:cs="Arial"/>
          <w:kern w:val="0"/>
          <w:sz w:val="24"/>
          <w:szCs w:val="24"/>
          <w:lang w:val="pl-PL"/>
          <w14:ligatures w14:val="none"/>
        </w:rPr>
        <w:t>5</w:t>
      </w:r>
      <w:r w:rsidRPr="00BA2306">
        <w:rPr>
          <w:rFonts w:ascii="Arial" w:eastAsia="MS Mincho" w:hAnsi="Arial" w:cs="Arial"/>
          <w:kern w:val="0"/>
          <w:sz w:val="24"/>
          <w:szCs w:val="24"/>
          <w:lang w:val="pl-PL"/>
          <w14:ligatures w14:val="none"/>
        </w:rPr>
        <w:t xml:space="preserve">. godine, razmotrila je i usvojila </w:t>
      </w:r>
      <w:r w:rsidR="00D43F57">
        <w:rPr>
          <w:rFonts w:ascii="Arial" w:eastAsia="MS Mincho" w:hAnsi="Arial" w:cs="Arial"/>
          <w:kern w:val="0"/>
          <w:sz w:val="24"/>
          <w:szCs w:val="24"/>
          <w:lang w:val="pl-PL"/>
          <w14:ligatures w14:val="none"/>
        </w:rPr>
        <w:t>šestomjesećni</w:t>
      </w:r>
      <w:r w:rsidRPr="00BA2306">
        <w:rPr>
          <w:rFonts w:ascii="Arial" w:eastAsia="MS Mincho" w:hAnsi="Arial" w:cs="Arial"/>
          <w:kern w:val="0"/>
          <w:sz w:val="24"/>
          <w:szCs w:val="24"/>
          <w:lang w:val="pl-PL"/>
          <w14:ligatures w14:val="none"/>
        </w:rPr>
        <w:t xml:space="preserve"> Izvještaj o radu Koordinacionog tijela za praćenje sprovođenja „Deklaracije partnera zapadnog Balkana o integraciji Roma /kinja u sklopu procesa proširenja Evropske unije“ za  </w:t>
      </w:r>
      <w:r w:rsidR="00D43F57">
        <w:rPr>
          <w:rFonts w:ascii="Arial" w:eastAsia="MS Mincho" w:hAnsi="Arial" w:cs="Arial"/>
          <w:kern w:val="0"/>
          <w:sz w:val="24"/>
          <w:szCs w:val="24"/>
          <w:lang w:val="pl-PL"/>
          <w14:ligatures w14:val="none"/>
        </w:rPr>
        <w:t>period jul – decembar za</w:t>
      </w:r>
      <w:r w:rsidRPr="00BA2306">
        <w:rPr>
          <w:rFonts w:ascii="Arial" w:eastAsia="MS Mincho" w:hAnsi="Arial" w:cs="Arial"/>
          <w:kern w:val="0"/>
          <w:sz w:val="24"/>
          <w:szCs w:val="24"/>
          <w:lang w:val="pl-PL"/>
          <w14:ligatures w14:val="none"/>
        </w:rPr>
        <w:t xml:space="preserve"> 2024. </w:t>
      </w:r>
      <w:r w:rsidR="00D43F57">
        <w:rPr>
          <w:rFonts w:ascii="Arial" w:eastAsia="MS Mincho" w:hAnsi="Arial" w:cs="Arial"/>
          <w:kern w:val="0"/>
          <w:sz w:val="24"/>
          <w:szCs w:val="24"/>
          <w:lang w:val="pl-PL"/>
          <w14:ligatures w14:val="none"/>
        </w:rPr>
        <w:t>g</w:t>
      </w:r>
      <w:r w:rsidRPr="00BA2306">
        <w:rPr>
          <w:rFonts w:ascii="Arial" w:eastAsia="MS Mincho" w:hAnsi="Arial" w:cs="Arial"/>
          <w:kern w:val="0"/>
          <w:sz w:val="24"/>
          <w:szCs w:val="24"/>
          <w:lang w:val="pl-PL"/>
          <w14:ligatures w14:val="none"/>
        </w:rPr>
        <w:t>odinu</w:t>
      </w:r>
      <w:r w:rsidR="00D43F57">
        <w:rPr>
          <w:rFonts w:ascii="Arial" w:eastAsia="MS Mincho" w:hAnsi="Arial" w:cs="Arial"/>
          <w:kern w:val="0"/>
          <w:sz w:val="24"/>
          <w:szCs w:val="24"/>
          <w:lang w:val="pl-PL"/>
          <w14:ligatures w14:val="none"/>
        </w:rPr>
        <w:t xml:space="preserve">. </w:t>
      </w:r>
      <w:r w:rsidRPr="00BA2306">
        <w:rPr>
          <w:rFonts w:ascii="Arial" w:eastAsia="MS Mincho" w:hAnsi="Arial" w:cs="Arial"/>
          <w:kern w:val="0"/>
          <w:sz w:val="24"/>
          <w:szCs w:val="24"/>
          <w:lang w:val="pl-PL"/>
          <w14:ligatures w14:val="none"/>
        </w:rPr>
        <w:t xml:space="preserve"> </w:t>
      </w:r>
    </w:p>
    <w:p w:rsidR="00BA2306" w:rsidRPr="00BA2306" w:rsidRDefault="00BA2306" w:rsidP="00BA2306">
      <w:pPr>
        <w:spacing w:line="276" w:lineRule="auto"/>
        <w:ind w:left="360"/>
        <w:jc w:val="both"/>
        <w:rPr>
          <w:rFonts w:ascii="Arial" w:eastAsia="Calibri" w:hAnsi="Arial" w:cs="Arial"/>
          <w:kern w:val="0"/>
          <w:szCs w:val="24"/>
          <w:lang w:val="sr-Latn-RS"/>
          <w14:ligatures w14:val="none"/>
        </w:rPr>
      </w:pPr>
    </w:p>
    <w:p w:rsidR="00BA2306" w:rsidRPr="00BA2306" w:rsidRDefault="00BA2306" w:rsidP="00BA2306">
      <w:pPr>
        <w:spacing w:line="276" w:lineRule="auto"/>
        <w:ind w:left="360"/>
        <w:jc w:val="both"/>
        <w:rPr>
          <w:rFonts w:ascii="Arial" w:eastAsia="Calibri" w:hAnsi="Arial" w:cs="Arial"/>
          <w:kern w:val="0"/>
          <w:szCs w:val="24"/>
          <w:lang w:val="sr-Latn-RS"/>
          <w14:ligatures w14:val="none"/>
        </w:rPr>
      </w:pPr>
    </w:p>
    <w:p w:rsidR="00BA2306" w:rsidRPr="00BA2306" w:rsidRDefault="00BA2306" w:rsidP="00BA2306">
      <w:pPr>
        <w:tabs>
          <w:tab w:val="left" w:pos="1008"/>
        </w:tabs>
        <w:spacing w:line="240" w:lineRule="auto"/>
        <w:jc w:val="both"/>
        <w:rPr>
          <w:rFonts w:ascii="Arial Black" w:hAnsi="Arial Black" w:cs="Arial"/>
          <w:b/>
          <w:color w:val="0070C0"/>
          <w:kern w:val="0"/>
          <w:sz w:val="24"/>
          <w:szCs w:val="24"/>
          <w:lang w:val="sr-Latn-RS"/>
          <w14:ligatures w14:val="none"/>
        </w:rPr>
      </w:pPr>
    </w:p>
    <w:p w:rsidR="00BA2306" w:rsidRPr="00BA2306" w:rsidRDefault="00BA2306" w:rsidP="00BA2306">
      <w:pPr>
        <w:tabs>
          <w:tab w:val="left" w:pos="1008"/>
        </w:tabs>
        <w:spacing w:line="240" w:lineRule="auto"/>
        <w:jc w:val="both"/>
        <w:rPr>
          <w:rFonts w:ascii="Arial Black" w:hAnsi="Arial Black" w:cs="Arial"/>
          <w:b/>
          <w:color w:val="0070C0"/>
          <w:kern w:val="0"/>
          <w:sz w:val="24"/>
          <w:szCs w:val="24"/>
          <w:lang w:val="sr-Latn-RS"/>
          <w14:ligatures w14:val="none"/>
        </w:rPr>
      </w:pPr>
    </w:p>
    <w:p w:rsidR="00BA2306" w:rsidRPr="00BA2306" w:rsidRDefault="00BA2306" w:rsidP="00BA2306">
      <w:pPr>
        <w:tabs>
          <w:tab w:val="left" w:pos="1008"/>
        </w:tabs>
        <w:spacing w:line="240" w:lineRule="auto"/>
        <w:contextualSpacing/>
        <w:jc w:val="both"/>
        <w:rPr>
          <w:rFonts w:ascii="Arial Black" w:hAnsi="Arial Black" w:cs="Arial"/>
          <w:b/>
          <w:color w:val="0070C0"/>
          <w:kern w:val="0"/>
          <w:lang w:val="sr-Latn-RS"/>
          <w14:ligatures w14:val="none"/>
        </w:rPr>
      </w:pPr>
    </w:p>
    <w:p w:rsidR="00BA2306" w:rsidRPr="00BA2306" w:rsidRDefault="00BA2306" w:rsidP="00BA2306">
      <w:pPr>
        <w:spacing w:line="256" w:lineRule="auto"/>
        <w:jc w:val="both"/>
        <w:rPr>
          <w:rFonts w:ascii="Times New Roman" w:hAnsi="Times New Roman" w:cs="Times New Roman"/>
          <w:kern w:val="0"/>
          <w:lang w:val="sr-Latn-RS"/>
          <w14:ligatures w14:val="none"/>
        </w:rPr>
      </w:pPr>
    </w:p>
    <w:p w:rsidR="00BA2306" w:rsidRPr="00BA2306" w:rsidRDefault="00BA2306" w:rsidP="00BA2306">
      <w:pPr>
        <w:spacing w:line="256" w:lineRule="auto"/>
        <w:rPr>
          <w:kern w:val="0"/>
          <w14:ligatures w14:val="none"/>
        </w:rPr>
      </w:pPr>
    </w:p>
    <w:p w:rsidR="00BA2306" w:rsidRPr="00BA2306" w:rsidRDefault="00BA2306" w:rsidP="00BA2306">
      <w:pPr>
        <w:spacing w:line="256" w:lineRule="auto"/>
        <w:rPr>
          <w:kern w:val="0"/>
          <w14:ligatures w14:val="none"/>
        </w:rPr>
      </w:pPr>
    </w:p>
    <w:p w:rsidR="005D0A81" w:rsidRPr="00855453" w:rsidRDefault="005D0A81" w:rsidP="00BA2306">
      <w:pPr>
        <w:spacing w:after="0"/>
        <w:rPr>
          <w:lang w:val="en-GB"/>
        </w:rPr>
      </w:pPr>
    </w:p>
    <w:sectPr w:rsidR="005D0A81" w:rsidRPr="00855453" w:rsidSect="00BA230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495" w:rsidRDefault="00373495" w:rsidP="00F97DA3">
      <w:pPr>
        <w:spacing w:after="0" w:line="240" w:lineRule="auto"/>
      </w:pPr>
      <w:r>
        <w:separator/>
      </w:r>
    </w:p>
  </w:endnote>
  <w:endnote w:type="continuationSeparator" w:id="0">
    <w:p w:rsidR="00373495" w:rsidRDefault="00373495" w:rsidP="00F97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w:altName w:val="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495" w:rsidRDefault="00373495" w:rsidP="00F97DA3">
      <w:pPr>
        <w:spacing w:after="0" w:line="240" w:lineRule="auto"/>
      </w:pPr>
      <w:r>
        <w:separator/>
      </w:r>
    </w:p>
  </w:footnote>
  <w:footnote w:type="continuationSeparator" w:id="0">
    <w:p w:rsidR="00373495" w:rsidRDefault="00373495" w:rsidP="00F97DA3">
      <w:pPr>
        <w:spacing w:after="0" w:line="240" w:lineRule="auto"/>
      </w:pPr>
      <w:r>
        <w:continuationSeparator/>
      </w:r>
    </w:p>
  </w:footnote>
  <w:footnote w:id="1">
    <w:p w:rsidR="00134BBE" w:rsidRPr="008D382E" w:rsidRDefault="00134BBE" w:rsidP="00BA2306">
      <w:pPr>
        <w:pStyle w:val="FootnoteText"/>
        <w:rPr>
          <w:lang w:val="sr-Latn-RS"/>
        </w:rPr>
      </w:pPr>
      <w:r w:rsidRPr="008D382E">
        <w:rPr>
          <w:rStyle w:val="FootnoteReference"/>
          <w:lang w:val="sr-Latn-RS"/>
        </w:rPr>
        <w:footnoteRef/>
      </w:r>
      <w:r w:rsidRPr="008D382E">
        <w:rPr>
          <w:lang w:val="sr-Latn-RS"/>
        </w:rPr>
        <w:t xml:space="preserve"> Poslednje istraživanje je sprovedeno 2022. godine. Nije bilo novih istraživanja, tako da su pokazatelji za ovu oblast ostali isti..</w:t>
      </w:r>
    </w:p>
  </w:footnote>
  <w:footnote w:id="2">
    <w:p w:rsidR="00134BBE" w:rsidRPr="008D382E" w:rsidRDefault="00134BBE" w:rsidP="00BA2306">
      <w:pPr>
        <w:pStyle w:val="FootnoteText"/>
        <w:rPr>
          <w:lang w:val="sr-Latn-RS"/>
        </w:rPr>
      </w:pPr>
      <w:r w:rsidRPr="008D382E">
        <w:rPr>
          <w:rStyle w:val="FootnoteReference"/>
          <w:lang w:val="sr-Latn-RS"/>
        </w:rPr>
        <w:footnoteRef/>
      </w:r>
      <w:r w:rsidRPr="008D382E">
        <w:rPr>
          <w:lang w:val="sr-Latn-RS"/>
        </w:rPr>
        <w:t xml:space="preserve"> Istraživanje CEDEM-a, Etnička distanca u Crnoj Gori, decembar 2023, dostupno na: </w:t>
      </w:r>
      <w:hyperlink r:id="rId1" w:history="1">
        <w:r w:rsidRPr="008D382E">
          <w:rPr>
            <w:rStyle w:val="Hyperlink"/>
            <w:lang w:val="sr-Latn-RS"/>
          </w:rPr>
          <w:t>https://www.cedem.me/wp-content/uploads/2024/02/Etnicka-distanca-u-Crnoj-Gori-Decembar-2023 .-2.pdf</w:t>
        </w:r>
      </w:hyperlink>
      <w:r w:rsidRPr="008D382E">
        <w:rPr>
          <w:lang w:val="sr-Latn-R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F3D0"/>
      </v:shape>
    </w:pict>
  </w:numPicBullet>
  <w:abstractNum w:abstractNumId="0" w15:restartNumberingAfterBreak="0">
    <w:nsid w:val="006C650E"/>
    <w:multiLevelType w:val="hybridMultilevel"/>
    <w:tmpl w:val="22009B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5154D1"/>
    <w:multiLevelType w:val="hybridMultilevel"/>
    <w:tmpl w:val="602C0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F68A9"/>
    <w:multiLevelType w:val="hybridMultilevel"/>
    <w:tmpl w:val="CD747258"/>
    <w:lvl w:ilvl="0" w:tplc="08090003">
      <w:start w:val="1"/>
      <w:numFmt w:val="bullet"/>
      <w:lvlText w:val="o"/>
      <w:lvlJc w:val="left"/>
      <w:pPr>
        <w:ind w:left="1505" w:hanging="360"/>
      </w:pPr>
      <w:rPr>
        <w:rFonts w:ascii="Courier New" w:hAnsi="Courier New" w:cs="Courier New"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3" w15:restartNumberingAfterBreak="0">
    <w:nsid w:val="0D540904"/>
    <w:multiLevelType w:val="hybridMultilevel"/>
    <w:tmpl w:val="F8A8D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531F0E"/>
    <w:multiLevelType w:val="hybridMultilevel"/>
    <w:tmpl w:val="2F124B02"/>
    <w:lvl w:ilvl="0" w:tplc="08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43D24"/>
    <w:multiLevelType w:val="multilevel"/>
    <w:tmpl w:val="AB86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95FDE"/>
    <w:multiLevelType w:val="multilevel"/>
    <w:tmpl w:val="3CA4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E15C9"/>
    <w:multiLevelType w:val="multilevel"/>
    <w:tmpl w:val="F66E79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E6D9B"/>
    <w:multiLevelType w:val="hybridMultilevel"/>
    <w:tmpl w:val="3DEE396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D0539"/>
    <w:multiLevelType w:val="hybridMultilevel"/>
    <w:tmpl w:val="069E599E"/>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6460AC"/>
    <w:multiLevelType w:val="hybridMultilevel"/>
    <w:tmpl w:val="F14EC912"/>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975AA9"/>
    <w:multiLevelType w:val="hybridMultilevel"/>
    <w:tmpl w:val="B270E8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9477A"/>
    <w:multiLevelType w:val="hybridMultilevel"/>
    <w:tmpl w:val="DC765AE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F9C5DF9"/>
    <w:multiLevelType w:val="multilevel"/>
    <w:tmpl w:val="D89E9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78441C"/>
    <w:multiLevelType w:val="hybridMultilevel"/>
    <w:tmpl w:val="89AC2C98"/>
    <w:lvl w:ilvl="0" w:tplc="EB6C577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5C36C13"/>
    <w:multiLevelType w:val="hybridMultilevel"/>
    <w:tmpl w:val="9B0EE8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16755E"/>
    <w:multiLevelType w:val="hybridMultilevel"/>
    <w:tmpl w:val="AFA85836"/>
    <w:lvl w:ilvl="0" w:tplc="08090007">
      <w:start w:val="1"/>
      <w:numFmt w:val="bullet"/>
      <w:lvlText w:val=""/>
      <w:lvlPicBulletId w:val="0"/>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115E7"/>
    <w:multiLevelType w:val="hybridMultilevel"/>
    <w:tmpl w:val="E6ACD59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330075"/>
    <w:multiLevelType w:val="multilevel"/>
    <w:tmpl w:val="82F2073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C442F3"/>
    <w:multiLevelType w:val="hybridMultilevel"/>
    <w:tmpl w:val="2F2C07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0B4C3F"/>
    <w:multiLevelType w:val="hybridMultilevel"/>
    <w:tmpl w:val="A132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ED3685"/>
    <w:multiLevelType w:val="hybridMultilevel"/>
    <w:tmpl w:val="3A44B6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404C13"/>
    <w:multiLevelType w:val="hybridMultilevel"/>
    <w:tmpl w:val="E43C6A72"/>
    <w:lvl w:ilvl="0" w:tplc="EB6C577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AE4A60"/>
    <w:multiLevelType w:val="hybridMultilevel"/>
    <w:tmpl w:val="FB92DDFA"/>
    <w:lvl w:ilvl="0" w:tplc="08090007">
      <w:start w:val="1"/>
      <w:numFmt w:val="bullet"/>
      <w:lvlText w:val=""/>
      <w:lvlPicBulletId w:val="0"/>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4D105A2"/>
    <w:multiLevelType w:val="hybridMultilevel"/>
    <w:tmpl w:val="69A41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0426B"/>
    <w:multiLevelType w:val="hybridMultilevel"/>
    <w:tmpl w:val="A21E0B1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D1EA3"/>
    <w:multiLevelType w:val="hybridMultilevel"/>
    <w:tmpl w:val="18D28DDC"/>
    <w:lvl w:ilvl="0" w:tplc="EB6C577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7C6457"/>
    <w:multiLevelType w:val="hybridMultilevel"/>
    <w:tmpl w:val="62A4A556"/>
    <w:lvl w:ilvl="0" w:tplc="878EBE8A">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F427AEB"/>
    <w:multiLevelType w:val="hybridMultilevel"/>
    <w:tmpl w:val="A24A6502"/>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AD5A62"/>
    <w:multiLevelType w:val="multilevel"/>
    <w:tmpl w:val="570CF7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B47EEA"/>
    <w:multiLevelType w:val="hybridMultilevel"/>
    <w:tmpl w:val="C5C83700"/>
    <w:lvl w:ilvl="0" w:tplc="235838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5F55C2"/>
    <w:multiLevelType w:val="multilevel"/>
    <w:tmpl w:val="656A1D4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CA23D1"/>
    <w:multiLevelType w:val="hybridMultilevel"/>
    <w:tmpl w:val="0A1AE67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1452BF"/>
    <w:multiLevelType w:val="hybridMultilevel"/>
    <w:tmpl w:val="FF3C66BE"/>
    <w:lvl w:ilvl="0" w:tplc="1AB4E9C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416B6F"/>
    <w:multiLevelType w:val="hybridMultilevel"/>
    <w:tmpl w:val="1480C944"/>
    <w:lvl w:ilvl="0" w:tplc="08090007">
      <w:start w:val="1"/>
      <w:numFmt w:val="bullet"/>
      <w:lvlText w:val=""/>
      <w:lvlPicBulletId w:val="0"/>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15:restartNumberingAfterBreak="0">
    <w:nsid w:val="55747A24"/>
    <w:multiLevelType w:val="hybridMultilevel"/>
    <w:tmpl w:val="1C66FA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8C54A3E"/>
    <w:multiLevelType w:val="hybridMultilevel"/>
    <w:tmpl w:val="E59E744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D9737B1"/>
    <w:multiLevelType w:val="hybridMultilevel"/>
    <w:tmpl w:val="77D0E1F0"/>
    <w:lvl w:ilvl="0" w:tplc="EB6C577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17F1E10"/>
    <w:multiLevelType w:val="hybridMultilevel"/>
    <w:tmpl w:val="2760E6E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2971918"/>
    <w:multiLevelType w:val="multilevel"/>
    <w:tmpl w:val="E9CCF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F65028"/>
    <w:multiLevelType w:val="hybridMultilevel"/>
    <w:tmpl w:val="A1164C1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D96400"/>
    <w:multiLevelType w:val="hybridMultilevel"/>
    <w:tmpl w:val="560C8B4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C0F404B"/>
    <w:multiLevelType w:val="hybridMultilevel"/>
    <w:tmpl w:val="8B20B2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F473F0"/>
    <w:multiLevelType w:val="hybridMultilevel"/>
    <w:tmpl w:val="3EB0510A"/>
    <w:lvl w:ilvl="0" w:tplc="EB6C577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33"/>
  </w:num>
  <w:num w:numId="3">
    <w:abstractNumId w:val="8"/>
  </w:num>
  <w:num w:numId="4">
    <w:abstractNumId w:val="17"/>
  </w:num>
  <w:num w:numId="5">
    <w:abstractNumId w:val="12"/>
  </w:num>
  <w:num w:numId="6">
    <w:abstractNumId w:val="27"/>
  </w:num>
  <w:num w:numId="7">
    <w:abstractNumId w:val="41"/>
  </w:num>
  <w:num w:numId="8">
    <w:abstractNumId w:val="9"/>
  </w:num>
  <w:num w:numId="9">
    <w:abstractNumId w:val="37"/>
  </w:num>
  <w:num w:numId="10">
    <w:abstractNumId w:val="36"/>
  </w:num>
  <w:num w:numId="11">
    <w:abstractNumId w:val="10"/>
  </w:num>
  <w:num w:numId="12">
    <w:abstractNumId w:val="14"/>
  </w:num>
  <w:num w:numId="13">
    <w:abstractNumId w:val="16"/>
  </w:num>
  <w:num w:numId="14">
    <w:abstractNumId w:val="3"/>
  </w:num>
  <w:num w:numId="15">
    <w:abstractNumId w:val="34"/>
  </w:num>
  <w:num w:numId="16">
    <w:abstractNumId w:val="13"/>
  </w:num>
  <w:num w:numId="17">
    <w:abstractNumId w:val="39"/>
  </w:num>
  <w:num w:numId="18">
    <w:abstractNumId w:val="7"/>
  </w:num>
  <w:num w:numId="19">
    <w:abstractNumId w:val="29"/>
  </w:num>
  <w:num w:numId="20">
    <w:abstractNumId w:val="5"/>
  </w:num>
  <w:num w:numId="21">
    <w:abstractNumId w:val="6"/>
  </w:num>
  <w:num w:numId="22">
    <w:abstractNumId w:val="20"/>
  </w:num>
  <w:num w:numId="23">
    <w:abstractNumId w:val="31"/>
  </w:num>
  <w:num w:numId="24">
    <w:abstractNumId w:val="18"/>
  </w:num>
  <w:num w:numId="25">
    <w:abstractNumId w:val="42"/>
  </w:num>
  <w:num w:numId="26">
    <w:abstractNumId w:val="15"/>
  </w:num>
  <w:num w:numId="27">
    <w:abstractNumId w:val="43"/>
  </w:num>
  <w:num w:numId="28">
    <w:abstractNumId w:val="26"/>
  </w:num>
  <w:num w:numId="29">
    <w:abstractNumId w:val="22"/>
  </w:num>
  <w:num w:numId="30">
    <w:abstractNumId w:val="32"/>
  </w:num>
  <w:num w:numId="31">
    <w:abstractNumId w:val="25"/>
  </w:num>
  <w:num w:numId="32">
    <w:abstractNumId w:val="1"/>
  </w:num>
  <w:num w:numId="33">
    <w:abstractNumId w:val="24"/>
  </w:num>
  <w:num w:numId="34">
    <w:abstractNumId w:val="40"/>
  </w:num>
  <w:num w:numId="35">
    <w:abstractNumId w:val="4"/>
  </w:num>
  <w:num w:numId="36">
    <w:abstractNumId w:val="35"/>
  </w:num>
  <w:num w:numId="37">
    <w:abstractNumId w:val="23"/>
  </w:num>
  <w:num w:numId="38">
    <w:abstractNumId w:val="11"/>
  </w:num>
  <w:num w:numId="39">
    <w:abstractNumId w:val="28"/>
  </w:num>
  <w:num w:numId="40">
    <w:abstractNumId w:val="2"/>
  </w:num>
  <w:num w:numId="41">
    <w:abstractNumId w:val="21"/>
  </w:num>
  <w:num w:numId="42">
    <w:abstractNumId w:val="0"/>
  </w:num>
  <w:num w:numId="43">
    <w:abstractNumId w:val="38"/>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03"/>
    <w:rsid w:val="00055DF3"/>
    <w:rsid w:val="000D18B4"/>
    <w:rsid w:val="001123BF"/>
    <w:rsid w:val="00134BBE"/>
    <w:rsid w:val="00163716"/>
    <w:rsid w:val="00261F27"/>
    <w:rsid w:val="0029466D"/>
    <w:rsid w:val="002E169F"/>
    <w:rsid w:val="002E37F1"/>
    <w:rsid w:val="002F015F"/>
    <w:rsid w:val="002F7084"/>
    <w:rsid w:val="003002D0"/>
    <w:rsid w:val="00312F70"/>
    <w:rsid w:val="003351DA"/>
    <w:rsid w:val="00373495"/>
    <w:rsid w:val="003C2767"/>
    <w:rsid w:val="003E071D"/>
    <w:rsid w:val="00422A02"/>
    <w:rsid w:val="00455A73"/>
    <w:rsid w:val="004D2A15"/>
    <w:rsid w:val="004D6D14"/>
    <w:rsid w:val="005C2AC6"/>
    <w:rsid w:val="005D0A81"/>
    <w:rsid w:val="005E0BF1"/>
    <w:rsid w:val="005F5B82"/>
    <w:rsid w:val="00616C56"/>
    <w:rsid w:val="006260D5"/>
    <w:rsid w:val="006629F2"/>
    <w:rsid w:val="006B1FFA"/>
    <w:rsid w:val="007172AE"/>
    <w:rsid w:val="00721A27"/>
    <w:rsid w:val="007335C0"/>
    <w:rsid w:val="00734144"/>
    <w:rsid w:val="0074398D"/>
    <w:rsid w:val="007613FB"/>
    <w:rsid w:val="00774275"/>
    <w:rsid w:val="007A7450"/>
    <w:rsid w:val="007C1B27"/>
    <w:rsid w:val="0081467E"/>
    <w:rsid w:val="0082375A"/>
    <w:rsid w:val="00834065"/>
    <w:rsid w:val="00855453"/>
    <w:rsid w:val="008660E0"/>
    <w:rsid w:val="008B0CA0"/>
    <w:rsid w:val="008F2F2D"/>
    <w:rsid w:val="009127E1"/>
    <w:rsid w:val="009463FB"/>
    <w:rsid w:val="009D7B66"/>
    <w:rsid w:val="00A409ED"/>
    <w:rsid w:val="00A7730A"/>
    <w:rsid w:val="00AA54CF"/>
    <w:rsid w:val="00B038E9"/>
    <w:rsid w:val="00B414C9"/>
    <w:rsid w:val="00B86BED"/>
    <w:rsid w:val="00BA2306"/>
    <w:rsid w:val="00BA5572"/>
    <w:rsid w:val="00BD4883"/>
    <w:rsid w:val="00BF4166"/>
    <w:rsid w:val="00C0104F"/>
    <w:rsid w:val="00C57967"/>
    <w:rsid w:val="00C85C32"/>
    <w:rsid w:val="00CB1E9E"/>
    <w:rsid w:val="00CD4B01"/>
    <w:rsid w:val="00CE7CD0"/>
    <w:rsid w:val="00D313CB"/>
    <w:rsid w:val="00D43F57"/>
    <w:rsid w:val="00D754D0"/>
    <w:rsid w:val="00D93CB0"/>
    <w:rsid w:val="00DA6F0E"/>
    <w:rsid w:val="00DB36B8"/>
    <w:rsid w:val="00DF7377"/>
    <w:rsid w:val="00E13455"/>
    <w:rsid w:val="00E66F9A"/>
    <w:rsid w:val="00E73D03"/>
    <w:rsid w:val="00E9550E"/>
    <w:rsid w:val="00F01EAF"/>
    <w:rsid w:val="00F20E25"/>
    <w:rsid w:val="00F36039"/>
    <w:rsid w:val="00F37C3D"/>
    <w:rsid w:val="00F41948"/>
    <w:rsid w:val="00F51DAC"/>
    <w:rsid w:val="00F97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529E"/>
  <w15:chartTrackingRefBased/>
  <w15:docId w15:val="{38407773-ACFE-4623-B03A-6316E713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4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23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A2306"/>
    <w:pPr>
      <w:keepNext/>
      <w:keepLines/>
      <w:spacing w:before="40" w:after="0" w:line="256" w:lineRule="auto"/>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BVI fnr,16 Point,Superscript 6 Point,Footnote text,Ref. de nota al pie1"/>
    <w:basedOn w:val="DefaultParagraphFont"/>
    <w:uiPriority w:val="99"/>
    <w:unhideWhenUsed/>
    <w:rsid w:val="00C57967"/>
  </w:style>
  <w:style w:type="paragraph" w:styleId="Revision">
    <w:name w:val="Revision"/>
    <w:hidden/>
    <w:uiPriority w:val="99"/>
    <w:semiHidden/>
    <w:rsid w:val="008660E0"/>
    <w:pPr>
      <w:spacing w:after="0" w:line="240" w:lineRule="auto"/>
    </w:p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OBC Bullet"/>
    <w:basedOn w:val="Normal"/>
    <w:link w:val="ListParagraphChar"/>
    <w:uiPriority w:val="1"/>
    <w:qFormat/>
    <w:rsid w:val="00D93CB0"/>
    <w:pPr>
      <w:ind w:left="720"/>
      <w:contextualSpacing/>
    </w:pPr>
  </w:style>
  <w:style w:type="character" w:styleId="Hyperlink">
    <w:name w:val="Hyperlink"/>
    <w:basedOn w:val="DefaultParagraphFont"/>
    <w:uiPriority w:val="99"/>
    <w:unhideWhenUsed/>
    <w:rsid w:val="007A7450"/>
    <w:rPr>
      <w:color w:val="0563C1" w:themeColor="hyperlink"/>
      <w:u w:val="single"/>
    </w:rPr>
  </w:style>
  <w:style w:type="character" w:styleId="UnresolvedMention">
    <w:name w:val="Unresolved Mention"/>
    <w:basedOn w:val="DefaultParagraphFont"/>
    <w:uiPriority w:val="99"/>
    <w:semiHidden/>
    <w:unhideWhenUsed/>
    <w:rsid w:val="007A7450"/>
    <w:rPr>
      <w:color w:val="605E5C"/>
      <w:shd w:val="clear" w:color="auto" w:fill="E1DFDD"/>
    </w:rPr>
  </w:style>
  <w:style w:type="character" w:customStyle="1" w:styleId="Heading1Char">
    <w:name w:val="Heading 1 Char"/>
    <w:basedOn w:val="DefaultParagraphFont"/>
    <w:link w:val="Heading1"/>
    <w:uiPriority w:val="9"/>
    <w:rsid w:val="00855453"/>
    <w:rPr>
      <w:rFonts w:asciiTheme="majorHAnsi" w:eastAsiaTheme="majorEastAsia" w:hAnsiTheme="majorHAnsi" w:cstheme="majorBidi"/>
      <w:color w:val="2F5496" w:themeColor="accent1" w:themeShade="BF"/>
      <w:sz w:val="32"/>
      <w:szCs w:val="32"/>
    </w:rPr>
  </w:style>
  <w:style w:type="paragraph" w:styleId="NoSpacing">
    <w:name w:val="No Spacing"/>
    <w:aliases w:val="zapisnik"/>
    <w:link w:val="NoSpacingChar"/>
    <w:uiPriority w:val="1"/>
    <w:qFormat/>
    <w:rsid w:val="005C2AC6"/>
    <w:pPr>
      <w:spacing w:after="0" w:line="240" w:lineRule="auto"/>
    </w:pPr>
    <w:rPr>
      <w:kern w:val="0"/>
      <w:lang w:val="sr-Latn-RS"/>
      <w14:ligatures w14:val="none"/>
    </w:rPr>
  </w:style>
  <w:style w:type="paragraph" w:styleId="Header">
    <w:name w:val="header"/>
    <w:basedOn w:val="Normal"/>
    <w:link w:val="HeaderChar"/>
    <w:uiPriority w:val="99"/>
    <w:unhideWhenUsed/>
    <w:rsid w:val="00F97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DA3"/>
  </w:style>
  <w:style w:type="paragraph" w:styleId="Footer">
    <w:name w:val="footer"/>
    <w:basedOn w:val="Normal"/>
    <w:link w:val="FooterChar"/>
    <w:uiPriority w:val="99"/>
    <w:unhideWhenUsed/>
    <w:rsid w:val="00F97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DA3"/>
  </w:style>
  <w:style w:type="character" w:customStyle="1" w:styleId="Heading2Char">
    <w:name w:val="Heading 2 Char"/>
    <w:basedOn w:val="DefaultParagraphFont"/>
    <w:link w:val="Heading2"/>
    <w:uiPriority w:val="9"/>
    <w:rsid w:val="00BA23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A2306"/>
    <w:rPr>
      <w:rFonts w:asciiTheme="majorHAnsi" w:eastAsiaTheme="majorEastAsia" w:hAnsiTheme="majorHAnsi" w:cstheme="majorBidi"/>
      <w:color w:val="1F3763" w:themeColor="accent1" w:themeShade="7F"/>
      <w:kern w:val="0"/>
      <w:sz w:val="24"/>
      <w:szCs w:val="24"/>
      <w14:ligatures w14:val="none"/>
    </w:rPr>
  </w:style>
  <w:style w:type="numbering" w:customStyle="1" w:styleId="NoList1">
    <w:name w:val="No List1"/>
    <w:next w:val="NoList"/>
    <w:uiPriority w:val="99"/>
    <w:semiHidden/>
    <w:unhideWhenUsed/>
    <w:rsid w:val="00BA2306"/>
  </w:style>
  <w:style w:type="character" w:customStyle="1" w:styleId="NoSpacingChar">
    <w:name w:val="No Spacing Char"/>
    <w:aliases w:val="zapisnik Char"/>
    <w:link w:val="NoSpacing"/>
    <w:uiPriority w:val="1"/>
    <w:locked/>
    <w:rsid w:val="00BA2306"/>
    <w:rPr>
      <w:kern w:val="0"/>
      <w:lang w:val="sr-Latn-RS"/>
      <w14:ligatures w14:val="none"/>
    </w:rPr>
  </w:style>
  <w:style w:type="paragraph" w:styleId="FootnoteText">
    <w:name w:val="footnote text"/>
    <w:basedOn w:val="Normal"/>
    <w:link w:val="FootnoteTextChar"/>
    <w:uiPriority w:val="99"/>
    <w:unhideWhenUsed/>
    <w:rsid w:val="00BA2306"/>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BA2306"/>
    <w:rPr>
      <w:kern w:val="0"/>
      <w:sz w:val="20"/>
      <w:szCs w:val="20"/>
      <w14:ligatures w14:val="non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1"/>
    <w:qFormat/>
    <w:locked/>
    <w:rsid w:val="00BA2306"/>
  </w:style>
  <w:style w:type="table" w:styleId="TableGrid">
    <w:name w:val="Table Grid"/>
    <w:basedOn w:val="TableNormal"/>
    <w:uiPriority w:val="39"/>
    <w:rsid w:val="00BA23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A2306"/>
    <w:pPr>
      <w:spacing w:after="0" w:line="240" w:lineRule="auto"/>
    </w:pPr>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BA2306"/>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6">
    <w:name w:val="Grid Table 4 Accent 6"/>
    <w:basedOn w:val="TableNormal"/>
    <w:uiPriority w:val="49"/>
    <w:rsid w:val="00BA2306"/>
    <w:pPr>
      <w:spacing w:after="0" w:line="240" w:lineRule="auto"/>
    </w:pPr>
    <w:rPr>
      <w:kern w:val="0"/>
      <w:lang w:val="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7439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9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527040">
      <w:bodyDiv w:val="1"/>
      <w:marLeft w:val="0"/>
      <w:marRight w:val="0"/>
      <w:marTop w:val="0"/>
      <w:marBottom w:val="0"/>
      <w:divBdr>
        <w:top w:val="none" w:sz="0" w:space="0" w:color="auto"/>
        <w:left w:val="none" w:sz="0" w:space="0" w:color="auto"/>
        <w:bottom w:val="none" w:sz="0" w:space="0" w:color="auto"/>
        <w:right w:val="none" w:sz="0" w:space="0" w:color="auto"/>
      </w:divBdr>
    </w:div>
    <w:div w:id="625936862">
      <w:bodyDiv w:val="1"/>
      <w:marLeft w:val="0"/>
      <w:marRight w:val="0"/>
      <w:marTop w:val="0"/>
      <w:marBottom w:val="0"/>
      <w:divBdr>
        <w:top w:val="none" w:sz="0" w:space="0" w:color="auto"/>
        <w:left w:val="none" w:sz="0" w:space="0" w:color="auto"/>
        <w:bottom w:val="none" w:sz="0" w:space="0" w:color="auto"/>
        <w:right w:val="none" w:sz="0" w:space="0" w:color="auto"/>
      </w:divBdr>
    </w:div>
    <w:div w:id="80435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diagramDrawing" Target="diagrams/drawing1.xml"/></Relationships>
</file>

<file path=word/_rels/footnotes.xml.rels><?xml version="1.0" encoding="UTF-8" standalone="yes"?>
<Relationships xmlns="http://schemas.openxmlformats.org/package/2006/relationships"><Relationship Id="rId1" Type="http://schemas.openxmlformats.org/officeDocument/2006/relationships/hyperlink" Target="https://www.cedem.me/wp-content/uploads/2024/02/Etnicka-distanca-u-Crnoj-Gori-Decembar-2023%20.-2.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B97B9F-0A4D-43EA-83E5-F4FA981071A9}" type="doc">
      <dgm:prSet loTypeId="urn:microsoft.com/office/officeart/2005/8/layout/default" loCatId="list" qsTypeId="urn:microsoft.com/office/officeart/2005/8/quickstyle/3d6" qsCatId="3D" csTypeId="urn:microsoft.com/office/officeart/2005/8/colors/accent1_2" csCatId="accent1" phldr="1"/>
      <dgm:spPr/>
      <dgm:t>
        <a:bodyPr/>
        <a:lstStyle/>
        <a:p>
          <a:endParaRPr lang="en-GB"/>
        </a:p>
      </dgm:t>
    </dgm:pt>
    <dgm:pt modelId="{62A0D3DE-A1AB-4EC1-A914-DDEAB9562AA3}">
      <dgm:prSet phldrT="[Text]" custT="1"/>
      <dgm:spPr>
        <a:xfrm>
          <a:off x="0" y="285570"/>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None/>
          </a:pPr>
          <a:r>
            <a:rPr lang="en-GB" sz="1200">
              <a:solidFill>
                <a:sysClr val="window" lastClr="FFFFFF"/>
              </a:solidFill>
              <a:latin typeface="Calibri" panose="020F0502020204030204"/>
              <a:ea typeface="+mn-ea"/>
              <a:cs typeface="+mn-cs"/>
            </a:rPr>
            <a:t>2018.</a:t>
          </a:r>
        </a:p>
      </dgm:t>
    </dgm:pt>
    <dgm:pt modelId="{3EF170C9-28CD-4AFB-A3C3-BCC0FB6FB8F8}" type="parTrans" cxnId="{50065E82-7DE4-4B53-BA83-E0CB84906233}">
      <dgm:prSet/>
      <dgm:spPr/>
      <dgm:t>
        <a:bodyPr/>
        <a:lstStyle/>
        <a:p>
          <a:endParaRPr lang="en-GB"/>
        </a:p>
      </dgm:t>
    </dgm:pt>
    <dgm:pt modelId="{5DA547D1-A385-488A-8BCF-4F3B32BDB034}" type="sibTrans" cxnId="{50065E82-7DE4-4B53-BA83-E0CB84906233}">
      <dgm:prSet/>
      <dgm:spPr/>
      <dgm:t>
        <a:bodyPr/>
        <a:lstStyle/>
        <a:p>
          <a:endParaRPr lang="en-GB"/>
        </a:p>
      </dgm:t>
    </dgm:pt>
    <dgm:pt modelId="{55D8CE89-9D33-4E49-BAD9-A82FAE3A4FDB}">
      <dgm:prSet custT="1"/>
      <dgm:spPr>
        <a:xfrm>
          <a:off x="1404282" y="304621"/>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None/>
          </a:pPr>
          <a:r>
            <a:rPr lang="en-GB" sz="1200">
              <a:solidFill>
                <a:sysClr val="window" lastClr="FFFFFF"/>
              </a:solidFill>
              <a:latin typeface="Calibri" panose="020F0502020204030204"/>
              <a:ea typeface="+mn-ea"/>
              <a:cs typeface="+mn-cs"/>
            </a:rPr>
            <a:t>2019.</a:t>
          </a:r>
        </a:p>
      </dgm:t>
    </dgm:pt>
    <dgm:pt modelId="{5A8A36C3-B94F-4C3A-96BF-72CB31A41EEA}" type="parTrans" cxnId="{B48E8C69-DF27-49AC-AFF4-FCAD9F1E8392}">
      <dgm:prSet/>
      <dgm:spPr/>
      <dgm:t>
        <a:bodyPr/>
        <a:lstStyle/>
        <a:p>
          <a:endParaRPr lang="en-GB"/>
        </a:p>
      </dgm:t>
    </dgm:pt>
    <dgm:pt modelId="{5D8F1E75-48E9-44C5-AA35-170A2AF05AA2}" type="sibTrans" cxnId="{B48E8C69-DF27-49AC-AFF4-FCAD9F1E8392}">
      <dgm:prSet/>
      <dgm:spPr/>
      <dgm:t>
        <a:bodyPr/>
        <a:lstStyle/>
        <a:p>
          <a:endParaRPr lang="en-GB"/>
        </a:p>
      </dgm:t>
    </dgm:pt>
    <dgm:pt modelId="{5CA262E3-0978-47B7-A977-8EAF39923418}">
      <dgm:prSet custT="1"/>
      <dgm:spPr>
        <a:xfrm>
          <a:off x="2806957" y="304621"/>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None/>
          </a:pPr>
          <a:r>
            <a:rPr lang="en-GB" sz="1200">
              <a:solidFill>
                <a:sysClr val="window" lastClr="FFFFFF"/>
              </a:solidFill>
              <a:latin typeface="Calibri" panose="020F0502020204030204"/>
              <a:ea typeface="+mn-ea"/>
              <a:cs typeface="+mn-cs"/>
            </a:rPr>
            <a:t>2020.</a:t>
          </a:r>
        </a:p>
      </dgm:t>
    </dgm:pt>
    <dgm:pt modelId="{0CA93E47-6C12-4E55-9075-35D94B92A3C6}" type="parTrans" cxnId="{A816DE20-31F8-47E4-A08E-A95D1BFEB8D4}">
      <dgm:prSet/>
      <dgm:spPr/>
      <dgm:t>
        <a:bodyPr/>
        <a:lstStyle/>
        <a:p>
          <a:endParaRPr lang="en-GB"/>
        </a:p>
      </dgm:t>
    </dgm:pt>
    <dgm:pt modelId="{E8EA0104-DB25-4452-9C38-7394CCA95583}" type="sibTrans" cxnId="{A816DE20-31F8-47E4-A08E-A95D1BFEB8D4}">
      <dgm:prSet/>
      <dgm:spPr/>
      <dgm:t>
        <a:bodyPr/>
        <a:lstStyle/>
        <a:p>
          <a:endParaRPr lang="en-GB"/>
        </a:p>
      </dgm:t>
    </dgm:pt>
    <dgm:pt modelId="{716974C2-C98A-4BEB-8745-9E5AD6DBB63B}">
      <dgm:prSet custT="1"/>
      <dgm:spPr>
        <a:xfrm>
          <a:off x="4209633" y="304621"/>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None/>
          </a:pPr>
          <a:r>
            <a:rPr lang="en-GB" sz="1200">
              <a:solidFill>
                <a:sysClr val="window" lastClr="FFFFFF"/>
              </a:solidFill>
              <a:latin typeface="Calibri" panose="020F0502020204030204"/>
              <a:ea typeface="+mn-ea"/>
              <a:cs typeface="+mn-cs"/>
            </a:rPr>
            <a:t>2021</a:t>
          </a:r>
        </a:p>
      </dgm:t>
    </dgm:pt>
    <dgm:pt modelId="{0DFCD7DE-4D57-419B-8221-75F10D2B90B4}" type="parTrans" cxnId="{BEBBA89B-4244-4135-A25A-4AFAC8544272}">
      <dgm:prSet/>
      <dgm:spPr/>
      <dgm:t>
        <a:bodyPr/>
        <a:lstStyle/>
        <a:p>
          <a:endParaRPr lang="en-GB"/>
        </a:p>
      </dgm:t>
    </dgm:pt>
    <dgm:pt modelId="{C7D41AA4-41E3-45B0-A5C2-306D64948821}" type="sibTrans" cxnId="{BEBBA89B-4244-4135-A25A-4AFAC8544272}">
      <dgm:prSet/>
      <dgm:spPr/>
      <dgm:t>
        <a:bodyPr/>
        <a:lstStyle/>
        <a:p>
          <a:endParaRPr lang="en-GB"/>
        </a:p>
      </dgm:t>
    </dgm:pt>
    <dgm:pt modelId="{EEB3CCC7-179E-4D51-85B4-3AD743DDC3F4}">
      <dgm:prSet custT="1"/>
      <dgm:spPr>
        <a:xfrm>
          <a:off x="531499" y="1359157"/>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None/>
          </a:pPr>
          <a:r>
            <a:rPr lang="sr-Latn-RS" sz="1200" u="sng">
              <a:solidFill>
                <a:sysClr val="window" lastClr="FFFFFF"/>
              </a:solidFill>
              <a:latin typeface="Calibri" panose="020F0502020204030204"/>
              <a:ea typeface="+mn-ea"/>
              <a:cs typeface="+mn-cs"/>
            </a:rPr>
            <a:t>2022.</a:t>
          </a:r>
        </a:p>
        <a:p>
          <a:pPr>
            <a:buNone/>
          </a:pPr>
          <a:r>
            <a:rPr lang="sr-Latn-RS" sz="1200" u="sng">
              <a:solidFill>
                <a:sysClr val="window" lastClr="FFFFFF"/>
              </a:solidFill>
              <a:latin typeface="Calibri" panose="020F0502020204030204"/>
              <a:ea typeface="+mn-ea"/>
              <a:cs typeface="+mn-cs"/>
            </a:rPr>
            <a:t>Podržano</a:t>
          </a:r>
        </a:p>
        <a:p>
          <a:pPr>
            <a:buNone/>
          </a:pPr>
          <a:r>
            <a:rPr lang="sr-Latn-RS" sz="1200" u="sng">
              <a:solidFill>
                <a:sysClr val="window" lastClr="FFFFFF"/>
              </a:solidFill>
              <a:latin typeface="Calibri" panose="020F0502020204030204"/>
              <a:ea typeface="+mn-ea"/>
              <a:cs typeface="+mn-cs"/>
            </a:rPr>
            <a:t>25 projekata</a:t>
          </a:r>
        </a:p>
        <a:p>
          <a:pPr>
            <a:buNone/>
          </a:pPr>
          <a:r>
            <a:rPr lang="sr-Latn-RS" sz="1200" u="sng">
              <a:solidFill>
                <a:sysClr val="window" lastClr="FFFFFF"/>
              </a:solidFill>
              <a:latin typeface="Calibri" panose="020F0502020204030204"/>
              <a:ea typeface="+mn-ea"/>
              <a:cs typeface="+mn-cs"/>
            </a:rPr>
            <a:t>380.</a:t>
          </a:r>
          <a:r>
            <a:rPr lang="sr-Latn-RS" sz="1200">
              <a:solidFill>
                <a:sysClr val="window" lastClr="FFFFFF"/>
              </a:solidFill>
              <a:latin typeface="Calibri" panose="020F0502020204030204"/>
              <a:ea typeface="+mn-ea"/>
              <a:cs typeface="+mn-cs"/>
            </a:rPr>
            <a:t>000 e.</a:t>
          </a:r>
          <a:endParaRPr lang="en-GB" sz="1200">
            <a:solidFill>
              <a:sysClr val="window" lastClr="FFFFFF"/>
            </a:solidFill>
            <a:latin typeface="Calibri" panose="020F0502020204030204"/>
            <a:ea typeface="+mn-ea"/>
            <a:cs typeface="+mn-cs"/>
          </a:endParaRPr>
        </a:p>
      </dgm:t>
    </dgm:pt>
    <dgm:pt modelId="{FBEADC2C-C088-4734-B0EE-109F2AEA4006}" type="parTrans" cxnId="{3A241B6F-2A6C-4E33-BCBE-884D2DE98BE6}">
      <dgm:prSet/>
      <dgm:spPr/>
      <dgm:t>
        <a:bodyPr/>
        <a:lstStyle/>
        <a:p>
          <a:endParaRPr lang="en-GB"/>
        </a:p>
      </dgm:t>
    </dgm:pt>
    <dgm:pt modelId="{A8594EAE-64DF-4F65-BFAF-54535E17BF75}" type="sibTrans" cxnId="{3A241B6F-2A6C-4E33-BCBE-884D2DE98BE6}">
      <dgm:prSet/>
      <dgm:spPr/>
      <dgm:t>
        <a:bodyPr/>
        <a:lstStyle/>
        <a:p>
          <a:endParaRPr lang="en-GB"/>
        </a:p>
      </dgm:t>
    </dgm:pt>
    <dgm:pt modelId="{B3E264C2-1E48-4AE3-8891-3FAA4F4FF745}">
      <dgm:prSet custT="1"/>
      <dgm:spPr>
        <a:xfrm>
          <a:off x="0" y="285570"/>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Char char="•"/>
          </a:pPr>
          <a:r>
            <a:rPr lang="en-GB" sz="1200">
              <a:solidFill>
                <a:sysClr val="window" lastClr="FFFFFF"/>
              </a:solidFill>
              <a:latin typeface="Calibri" panose="020F0502020204030204"/>
              <a:ea typeface="+mn-ea"/>
              <a:cs typeface="+mn-cs"/>
            </a:rPr>
            <a:t>Podržano 10 projekata</a:t>
          </a:r>
        </a:p>
      </dgm:t>
    </dgm:pt>
    <dgm:pt modelId="{50023134-BEA5-463B-A214-837FEEBE1375}" type="parTrans" cxnId="{B250BA66-31E0-4B6D-8E49-BF3B9909DA20}">
      <dgm:prSet/>
      <dgm:spPr/>
      <dgm:t>
        <a:bodyPr/>
        <a:lstStyle/>
        <a:p>
          <a:endParaRPr lang="en-GB"/>
        </a:p>
      </dgm:t>
    </dgm:pt>
    <dgm:pt modelId="{E0590A90-B5C2-4A28-B2E1-B51DE2CB8A79}" type="sibTrans" cxnId="{B250BA66-31E0-4B6D-8E49-BF3B9909DA20}">
      <dgm:prSet/>
      <dgm:spPr/>
      <dgm:t>
        <a:bodyPr/>
        <a:lstStyle/>
        <a:p>
          <a:endParaRPr lang="en-GB"/>
        </a:p>
      </dgm:t>
    </dgm:pt>
    <dgm:pt modelId="{26B20CC1-EF80-435F-9222-CA8E4803B916}">
      <dgm:prSet custT="1"/>
      <dgm:spPr>
        <a:xfrm>
          <a:off x="0" y="285570"/>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Char char="•"/>
          </a:pPr>
          <a:r>
            <a:rPr lang="en-GB" sz="1200">
              <a:solidFill>
                <a:sysClr val="window" lastClr="FFFFFF"/>
              </a:solidFill>
              <a:latin typeface="Calibri" panose="020F0502020204030204"/>
              <a:ea typeface="+mn-ea"/>
              <a:cs typeface="+mn-cs"/>
            </a:rPr>
            <a:t>131.000 e</a:t>
          </a:r>
          <a:r>
            <a:rPr lang="sr-Latn-RS" sz="1200">
              <a:solidFill>
                <a:sysClr val="window" lastClr="FFFFFF"/>
              </a:solidFill>
              <a:latin typeface="Calibri" panose="020F0502020204030204"/>
              <a:ea typeface="+mn-ea"/>
              <a:cs typeface="+mn-cs"/>
            </a:rPr>
            <a:t> </a:t>
          </a:r>
          <a:endParaRPr lang="en-GB" sz="1200">
            <a:solidFill>
              <a:sysClr val="window" lastClr="FFFFFF"/>
            </a:solidFill>
            <a:latin typeface="Calibri" panose="020F0502020204030204"/>
            <a:ea typeface="+mn-ea"/>
            <a:cs typeface="+mn-cs"/>
          </a:endParaRPr>
        </a:p>
      </dgm:t>
    </dgm:pt>
    <dgm:pt modelId="{494A295E-4E2C-4737-AB98-9BBD5DDA2908}" type="parTrans" cxnId="{D1A93B0D-BB3F-4F5C-8316-A5D48FDA151E}">
      <dgm:prSet/>
      <dgm:spPr/>
      <dgm:t>
        <a:bodyPr/>
        <a:lstStyle/>
        <a:p>
          <a:endParaRPr lang="en-GB"/>
        </a:p>
      </dgm:t>
    </dgm:pt>
    <dgm:pt modelId="{3683F9B4-3AC8-4DB1-B100-70AC33EBC76F}" type="sibTrans" cxnId="{D1A93B0D-BB3F-4F5C-8316-A5D48FDA151E}">
      <dgm:prSet/>
      <dgm:spPr/>
      <dgm:t>
        <a:bodyPr/>
        <a:lstStyle/>
        <a:p>
          <a:endParaRPr lang="en-GB"/>
        </a:p>
      </dgm:t>
    </dgm:pt>
    <dgm:pt modelId="{441CDC5D-B367-4A86-B9D1-6EF2CAF0320D}">
      <dgm:prSet custT="1"/>
      <dgm:spPr>
        <a:xfrm>
          <a:off x="1404282" y="304621"/>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Char char="•"/>
          </a:pPr>
          <a:r>
            <a:rPr lang="en-GB" sz="1200">
              <a:solidFill>
                <a:sysClr val="window" lastClr="FFFFFF"/>
              </a:solidFill>
              <a:latin typeface="Calibri" panose="020F0502020204030204"/>
              <a:ea typeface="+mn-ea"/>
              <a:cs typeface="+mn-cs"/>
            </a:rPr>
            <a:t>Podržano 16 projekata</a:t>
          </a:r>
        </a:p>
      </dgm:t>
    </dgm:pt>
    <dgm:pt modelId="{CE9E4063-2274-4AA5-8D13-FA2405579D7D}" type="parTrans" cxnId="{BBFEABE2-C0B2-4A45-835E-E06BE04798E8}">
      <dgm:prSet/>
      <dgm:spPr/>
      <dgm:t>
        <a:bodyPr/>
        <a:lstStyle/>
        <a:p>
          <a:endParaRPr lang="en-GB"/>
        </a:p>
      </dgm:t>
    </dgm:pt>
    <dgm:pt modelId="{9DCC4654-320E-4CE5-89C4-9384ADBC9CEC}" type="sibTrans" cxnId="{BBFEABE2-C0B2-4A45-835E-E06BE04798E8}">
      <dgm:prSet/>
      <dgm:spPr/>
      <dgm:t>
        <a:bodyPr/>
        <a:lstStyle/>
        <a:p>
          <a:endParaRPr lang="en-GB"/>
        </a:p>
      </dgm:t>
    </dgm:pt>
    <dgm:pt modelId="{37614F92-E06E-40DB-A9A5-DC1997071551}">
      <dgm:prSet custT="1"/>
      <dgm:spPr>
        <a:xfrm>
          <a:off x="2806957" y="304621"/>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Char char="•"/>
          </a:pPr>
          <a:r>
            <a:rPr lang="en-GB" sz="1200">
              <a:solidFill>
                <a:sysClr val="window" lastClr="FFFFFF"/>
              </a:solidFill>
              <a:latin typeface="Calibri" panose="020F0502020204030204"/>
              <a:ea typeface="+mn-ea"/>
              <a:cs typeface="+mn-cs"/>
            </a:rPr>
            <a:t>Podrzano 14 projekata 136.000 e</a:t>
          </a:r>
        </a:p>
      </dgm:t>
    </dgm:pt>
    <dgm:pt modelId="{115BAD47-315E-418B-9B87-99589A854037}" type="parTrans" cxnId="{99A5522E-9F82-4D34-BEA8-753682997CB2}">
      <dgm:prSet/>
      <dgm:spPr/>
      <dgm:t>
        <a:bodyPr/>
        <a:lstStyle/>
        <a:p>
          <a:endParaRPr lang="en-GB"/>
        </a:p>
      </dgm:t>
    </dgm:pt>
    <dgm:pt modelId="{1BD2FF7F-37BE-43E4-9873-BA87B1634A1A}" type="sibTrans" cxnId="{99A5522E-9F82-4D34-BEA8-753682997CB2}">
      <dgm:prSet/>
      <dgm:spPr/>
      <dgm:t>
        <a:bodyPr/>
        <a:lstStyle/>
        <a:p>
          <a:endParaRPr lang="en-GB"/>
        </a:p>
      </dgm:t>
    </dgm:pt>
    <dgm:pt modelId="{28DFCD86-D222-4087-82FE-F3F482A930EC}">
      <dgm:prSet custT="1"/>
      <dgm:spPr>
        <a:xfrm>
          <a:off x="2010365" y="1397259"/>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None/>
          </a:pPr>
          <a:r>
            <a:rPr lang="sr-Latn-RS" sz="1200">
              <a:solidFill>
                <a:sysClr val="window" lastClr="FFFFFF"/>
              </a:solidFill>
              <a:latin typeface="Calibri" panose="020F0502020204030204"/>
              <a:ea typeface="+mn-ea"/>
              <a:cs typeface="+mn-cs"/>
            </a:rPr>
            <a:t>2023</a:t>
          </a:r>
        </a:p>
        <a:p>
          <a:pPr>
            <a:buNone/>
          </a:pPr>
          <a:r>
            <a:rPr lang="sr-Latn-RS" sz="1200">
              <a:solidFill>
                <a:sysClr val="window" lastClr="FFFFFF"/>
              </a:solidFill>
              <a:latin typeface="Calibri" panose="020F0502020204030204"/>
              <a:ea typeface="+mn-ea"/>
              <a:cs typeface="+mn-cs"/>
            </a:rPr>
            <a:t>Podržano </a:t>
          </a:r>
        </a:p>
        <a:p>
          <a:pPr>
            <a:buNone/>
          </a:pPr>
          <a:r>
            <a:rPr lang="sr-Latn-RS" sz="1200">
              <a:solidFill>
                <a:sysClr val="window" lastClr="FFFFFF"/>
              </a:solidFill>
              <a:latin typeface="Calibri" panose="020F0502020204030204"/>
              <a:ea typeface="+mn-ea"/>
              <a:cs typeface="+mn-cs"/>
            </a:rPr>
            <a:t>27 projekata 400.000 e.</a:t>
          </a:r>
          <a:endParaRPr lang="en-GB" sz="1200">
            <a:solidFill>
              <a:sysClr val="window" lastClr="FFFFFF"/>
            </a:solidFill>
            <a:latin typeface="Calibri" panose="020F0502020204030204"/>
            <a:ea typeface="+mn-ea"/>
            <a:cs typeface="+mn-cs"/>
          </a:endParaRPr>
        </a:p>
      </dgm:t>
    </dgm:pt>
    <dgm:pt modelId="{6477E310-2C8B-4917-B0F2-05F187C9902E}" type="parTrans" cxnId="{AC5B991D-62E4-451E-BC87-7CABA5033727}">
      <dgm:prSet/>
      <dgm:spPr/>
      <dgm:t>
        <a:bodyPr/>
        <a:lstStyle/>
        <a:p>
          <a:endParaRPr lang="en-GB"/>
        </a:p>
      </dgm:t>
    </dgm:pt>
    <dgm:pt modelId="{45F5561E-AA82-4873-A7BA-998D758234D1}" type="sibTrans" cxnId="{AC5B991D-62E4-451E-BC87-7CABA5033727}">
      <dgm:prSet/>
      <dgm:spPr/>
      <dgm:t>
        <a:bodyPr/>
        <a:lstStyle/>
        <a:p>
          <a:endParaRPr lang="en-GB"/>
        </a:p>
      </dgm:t>
    </dgm:pt>
    <dgm:pt modelId="{5974FFB6-7795-480C-8DED-3F2BEED28AC0}">
      <dgm:prSet custT="1"/>
      <dgm:spPr>
        <a:xfrm>
          <a:off x="4209633" y="304621"/>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Char char="•"/>
          </a:pPr>
          <a:r>
            <a:rPr lang="en-GB" sz="1200">
              <a:solidFill>
                <a:sysClr val="window" lastClr="FFFFFF"/>
              </a:solidFill>
              <a:latin typeface="Calibri" panose="020F0502020204030204"/>
              <a:ea typeface="+mn-ea"/>
              <a:cs typeface="+mn-cs"/>
            </a:rPr>
            <a:t>Podržan 21 projekat 320.000 e.</a:t>
          </a:r>
        </a:p>
      </dgm:t>
    </dgm:pt>
    <dgm:pt modelId="{5A37731A-B272-43C0-A78D-34F6C3B2B474}" type="parTrans" cxnId="{F3CFD2EC-A713-4129-A204-A0AAA5F4017E}">
      <dgm:prSet/>
      <dgm:spPr/>
      <dgm:t>
        <a:bodyPr/>
        <a:lstStyle/>
        <a:p>
          <a:endParaRPr lang="en-GB"/>
        </a:p>
      </dgm:t>
    </dgm:pt>
    <dgm:pt modelId="{EA3D7B72-F574-4524-B995-8D6132FA479A}" type="sibTrans" cxnId="{F3CFD2EC-A713-4129-A204-A0AAA5F4017E}">
      <dgm:prSet/>
      <dgm:spPr/>
      <dgm:t>
        <a:bodyPr/>
        <a:lstStyle/>
        <a:p>
          <a:endParaRPr lang="en-GB"/>
        </a:p>
      </dgm:t>
    </dgm:pt>
    <dgm:pt modelId="{43FE679B-8BDE-4DB2-922B-494884EC26F5}">
      <dgm:prSet custT="1"/>
      <dgm:spPr>
        <a:xfrm>
          <a:off x="3574973" y="1359157"/>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None/>
          </a:pPr>
          <a:r>
            <a:rPr lang="sr-Latn-RS" sz="1200">
              <a:solidFill>
                <a:sysClr val="window" lastClr="FFFFFF"/>
              </a:solidFill>
              <a:latin typeface="Calibri" panose="020F0502020204030204"/>
              <a:ea typeface="+mn-ea"/>
              <a:cs typeface="+mn-cs"/>
            </a:rPr>
            <a:t>2024</a:t>
          </a:r>
        </a:p>
        <a:p>
          <a:pPr>
            <a:buNone/>
          </a:pPr>
          <a:r>
            <a:rPr lang="en-GB" sz="1200">
              <a:solidFill>
                <a:sysClr val="window" lastClr="FFFFFF"/>
              </a:solidFill>
              <a:latin typeface="Calibri" panose="020F0502020204030204"/>
              <a:ea typeface="+mn-ea"/>
              <a:cs typeface="+mn-cs"/>
            </a:rPr>
            <a:t>Podržano </a:t>
          </a:r>
          <a:r>
            <a:rPr lang="sr-Latn-RS" sz="1200">
              <a:solidFill>
                <a:sysClr val="window" lastClr="FFFFFF"/>
              </a:solidFill>
              <a:latin typeface="Calibri" panose="020F0502020204030204"/>
              <a:ea typeface="+mn-ea"/>
              <a:cs typeface="+mn-cs"/>
            </a:rPr>
            <a:t>33 projekata 500.000 </a:t>
          </a:r>
          <a:r>
            <a:rPr lang="en-GB" sz="1200">
              <a:solidFill>
                <a:sysClr val="window" lastClr="FFFFFF"/>
              </a:solidFill>
              <a:latin typeface="Calibri" panose="020F0502020204030204"/>
              <a:ea typeface="+mn-ea"/>
              <a:cs typeface="+mn-cs"/>
            </a:rPr>
            <a:t>e</a:t>
          </a:r>
        </a:p>
      </dgm:t>
    </dgm:pt>
    <dgm:pt modelId="{83F4AD21-BC53-4E43-A2FB-DC86FA08B993}" type="parTrans" cxnId="{77870E7E-C4AC-46BC-9D76-C9C7E120F261}">
      <dgm:prSet/>
      <dgm:spPr/>
      <dgm:t>
        <a:bodyPr/>
        <a:lstStyle/>
        <a:p>
          <a:endParaRPr lang="en-GB"/>
        </a:p>
      </dgm:t>
    </dgm:pt>
    <dgm:pt modelId="{10A17529-2027-4469-B8E8-0A862B55FC07}" type="sibTrans" cxnId="{77870E7E-C4AC-46BC-9D76-C9C7E120F261}">
      <dgm:prSet/>
      <dgm:spPr/>
      <dgm:t>
        <a:bodyPr/>
        <a:lstStyle/>
        <a:p>
          <a:endParaRPr lang="en-GB"/>
        </a:p>
      </dgm:t>
    </dgm:pt>
    <dgm:pt modelId="{9B31CCEC-C34E-4E96-B1FD-999FF7E28F27}">
      <dgm:prSet custT="1"/>
      <dgm:spPr>
        <a:xfrm>
          <a:off x="1404282" y="304621"/>
          <a:ext cx="1275159" cy="765095"/>
        </a:xfrm>
        <a:prstGeom prst="rect">
          <a:avLst/>
        </a:prstGeom>
        <a:solidFill>
          <a:srgbClr val="4472C4">
            <a:hueOff val="0"/>
            <a:satOff val="0"/>
            <a:lumOff val="0"/>
            <a:alphaOff val="0"/>
          </a:srgbClr>
        </a:solidFill>
        <a:ln>
          <a:noFill/>
        </a:ln>
        <a:effectLst/>
        <a:sp3d prstMaterial="plastic">
          <a:bevelT w="50800" h="50800"/>
          <a:bevelB w="50800" h="50800"/>
        </a:sp3d>
      </dgm:spPr>
      <dgm:t>
        <a:bodyPr/>
        <a:lstStyle/>
        <a:p>
          <a:pPr>
            <a:buChar char="•"/>
          </a:pPr>
          <a:r>
            <a:rPr lang="sr-Latn-RS" sz="1200">
              <a:solidFill>
                <a:sysClr val="window" lastClr="FFFFFF"/>
              </a:solidFill>
              <a:latin typeface="Calibri" panose="020F0502020204030204"/>
              <a:ea typeface="+mn-ea"/>
              <a:cs typeface="+mn-cs"/>
            </a:rPr>
            <a:t>215.000 e.   </a:t>
          </a:r>
          <a:endParaRPr lang="en-GB" sz="1200">
            <a:solidFill>
              <a:sysClr val="window" lastClr="FFFFFF"/>
            </a:solidFill>
            <a:latin typeface="Calibri" panose="020F0502020204030204"/>
            <a:ea typeface="+mn-ea"/>
            <a:cs typeface="+mn-cs"/>
          </a:endParaRPr>
        </a:p>
      </dgm:t>
    </dgm:pt>
    <dgm:pt modelId="{FCAC7B0B-EB56-4278-BF11-E864C9D9C303}" type="parTrans" cxnId="{B3EC007A-F926-4615-8541-5C0843E066A0}">
      <dgm:prSet/>
      <dgm:spPr/>
      <dgm:t>
        <a:bodyPr/>
        <a:lstStyle/>
        <a:p>
          <a:endParaRPr lang="en-GB"/>
        </a:p>
      </dgm:t>
    </dgm:pt>
    <dgm:pt modelId="{98BF40D6-BF19-4A25-B2B9-94C883015775}" type="sibTrans" cxnId="{B3EC007A-F926-4615-8541-5C0843E066A0}">
      <dgm:prSet/>
      <dgm:spPr/>
      <dgm:t>
        <a:bodyPr/>
        <a:lstStyle/>
        <a:p>
          <a:endParaRPr lang="en-GB"/>
        </a:p>
      </dgm:t>
    </dgm:pt>
    <dgm:pt modelId="{D685E0D2-1313-4751-B38C-FD101D99295E}" type="pres">
      <dgm:prSet presAssocID="{94B97B9F-0A4D-43EA-83E5-F4FA981071A9}" presName="diagram" presStyleCnt="0">
        <dgm:presLayoutVars>
          <dgm:dir/>
          <dgm:resizeHandles val="exact"/>
        </dgm:presLayoutVars>
      </dgm:prSet>
      <dgm:spPr/>
    </dgm:pt>
    <dgm:pt modelId="{F24BFE07-9265-4118-8CAD-CA670ADF1292}" type="pres">
      <dgm:prSet presAssocID="{62A0D3DE-A1AB-4EC1-A914-DDEAB9562AA3}" presName="node" presStyleLbl="node1" presStyleIdx="0" presStyleCnt="7" custLinFactNeighborX="-16062" custLinFactNeighborY="-38540">
        <dgm:presLayoutVars>
          <dgm:bulletEnabled val="1"/>
        </dgm:presLayoutVars>
      </dgm:prSet>
      <dgm:spPr/>
    </dgm:pt>
    <dgm:pt modelId="{CB2D1173-1FBA-4288-ACC2-B7C179E5290C}" type="pres">
      <dgm:prSet presAssocID="{5DA547D1-A385-488A-8BCF-4F3B32BDB034}" presName="sibTrans" presStyleCnt="0"/>
      <dgm:spPr/>
    </dgm:pt>
    <dgm:pt modelId="{BFC568F6-F3CC-4FBC-BF94-5E9D7A5B33EA}" type="pres">
      <dgm:prSet presAssocID="{55D8CE89-9D33-4E49-BAD9-A82FAE3A4FDB}" presName="node" presStyleLbl="node1" presStyleIdx="1" presStyleCnt="7" custLinFactNeighborX="-8733" custLinFactNeighborY="-3377">
        <dgm:presLayoutVars>
          <dgm:bulletEnabled val="1"/>
        </dgm:presLayoutVars>
      </dgm:prSet>
      <dgm:spPr/>
    </dgm:pt>
    <dgm:pt modelId="{01A115E3-0C3E-49BF-8D3C-91C830470B99}" type="pres">
      <dgm:prSet presAssocID="{5D8F1E75-48E9-44C5-AA35-170A2AF05AA2}" presName="sibTrans" presStyleCnt="0"/>
      <dgm:spPr/>
    </dgm:pt>
    <dgm:pt modelId="{F7015099-F95A-4C2D-BEAD-9E7D00BF059F}" type="pres">
      <dgm:prSet presAssocID="{5CA262E3-0978-47B7-A977-8EAF39923418}" presName="node" presStyleLbl="node1" presStyleIdx="2" presStyleCnt="7">
        <dgm:presLayoutVars>
          <dgm:bulletEnabled val="1"/>
        </dgm:presLayoutVars>
      </dgm:prSet>
      <dgm:spPr/>
    </dgm:pt>
    <dgm:pt modelId="{64AFA529-2C8C-431A-BAA4-9CE7C65CF972}" type="pres">
      <dgm:prSet presAssocID="{E8EA0104-DB25-4452-9C38-7394CCA95583}" presName="sibTrans" presStyleCnt="0"/>
      <dgm:spPr/>
    </dgm:pt>
    <dgm:pt modelId="{E8671825-86BF-4842-B92D-FEED8274724D}" type="pres">
      <dgm:prSet presAssocID="{716974C2-C98A-4BEB-8745-9E5AD6DBB63B}" presName="node" presStyleLbl="node1" presStyleIdx="3" presStyleCnt="7" custLinFactNeighborX="-13595" custLinFactNeighborY="18781">
        <dgm:presLayoutVars>
          <dgm:bulletEnabled val="1"/>
        </dgm:presLayoutVars>
      </dgm:prSet>
      <dgm:spPr/>
    </dgm:pt>
    <dgm:pt modelId="{06718844-7DAD-4ADC-8E97-F91D60F92895}" type="pres">
      <dgm:prSet presAssocID="{C7D41AA4-41E3-45B0-A5C2-306D64948821}" presName="sibTrans" presStyleCnt="0"/>
      <dgm:spPr/>
    </dgm:pt>
    <dgm:pt modelId="{1B5B5A47-AE01-4EED-BC90-DE1FC2BB7F49}" type="pres">
      <dgm:prSet presAssocID="{EEB3CCC7-179E-4D51-85B4-3AD743DDC3F4}" presName="node" presStyleLbl="node1" presStyleIdx="4" presStyleCnt="7" custLinFactNeighborX="-13892" custLinFactNeighborY="6255">
        <dgm:presLayoutVars>
          <dgm:bulletEnabled val="1"/>
        </dgm:presLayoutVars>
      </dgm:prSet>
      <dgm:spPr/>
    </dgm:pt>
    <dgm:pt modelId="{69400C0C-B08A-4FDA-A327-A8459FE9BDD1}" type="pres">
      <dgm:prSet presAssocID="{A8594EAE-64DF-4F65-BFAF-54535E17BF75}" presName="sibTrans" presStyleCnt="0"/>
      <dgm:spPr/>
    </dgm:pt>
    <dgm:pt modelId="{3C28E9DD-598C-4893-A22E-5D28091D95EC}" type="pres">
      <dgm:prSet presAssocID="{28DFCD86-D222-4087-82FE-F3F482A930EC}" presName="node" presStyleLbl="node1" presStyleIdx="5" presStyleCnt="7" custLinFactNeighborX="4818" custLinFactNeighborY="37237">
        <dgm:presLayoutVars>
          <dgm:bulletEnabled val="1"/>
        </dgm:presLayoutVars>
      </dgm:prSet>
      <dgm:spPr/>
    </dgm:pt>
    <dgm:pt modelId="{8F959099-1091-4EDA-AB95-F13C9BF1374E}" type="pres">
      <dgm:prSet presAssocID="{45F5561E-AA82-4873-A7BA-998D758234D1}" presName="sibTrans" presStyleCnt="0"/>
      <dgm:spPr/>
    </dgm:pt>
    <dgm:pt modelId="{375AF16D-209B-42F6-8A2B-B8EAD5ED98A8}" type="pres">
      <dgm:prSet presAssocID="{43FE679B-8BDE-4DB2-922B-494884EC26F5}" presName="node" presStyleLbl="node1" presStyleIdx="6" presStyleCnt="7" custLinFactNeighborX="-10058" custLinFactNeighborY="16636">
        <dgm:presLayoutVars>
          <dgm:bulletEnabled val="1"/>
        </dgm:presLayoutVars>
      </dgm:prSet>
      <dgm:spPr/>
    </dgm:pt>
  </dgm:ptLst>
  <dgm:cxnLst>
    <dgm:cxn modelId="{C1A47905-DFBB-42C6-AA1B-2C4A68A26754}" type="presOf" srcId="{55D8CE89-9D33-4E49-BAD9-A82FAE3A4FDB}" destId="{BFC568F6-F3CC-4FBC-BF94-5E9D7A5B33EA}" srcOrd="0" destOrd="0" presId="urn:microsoft.com/office/officeart/2005/8/layout/default"/>
    <dgm:cxn modelId="{D1A93B0D-BB3F-4F5C-8316-A5D48FDA151E}" srcId="{62A0D3DE-A1AB-4EC1-A914-DDEAB9562AA3}" destId="{26B20CC1-EF80-435F-9222-CA8E4803B916}" srcOrd="1" destOrd="0" parTransId="{494A295E-4E2C-4737-AB98-9BBD5DDA2908}" sibTransId="{3683F9B4-3AC8-4DB1-B100-70AC33EBC76F}"/>
    <dgm:cxn modelId="{2DE89010-60B7-431E-A5FD-0382729A4873}" type="presOf" srcId="{5CA262E3-0978-47B7-A977-8EAF39923418}" destId="{F7015099-F95A-4C2D-BEAD-9E7D00BF059F}" srcOrd="0" destOrd="0" presId="urn:microsoft.com/office/officeart/2005/8/layout/default"/>
    <dgm:cxn modelId="{2BB39716-A932-4E7B-AFE6-AC2B5BC89403}" type="presOf" srcId="{5974FFB6-7795-480C-8DED-3F2BEED28AC0}" destId="{E8671825-86BF-4842-B92D-FEED8274724D}" srcOrd="0" destOrd="1" presId="urn:microsoft.com/office/officeart/2005/8/layout/default"/>
    <dgm:cxn modelId="{AC5B991D-62E4-451E-BC87-7CABA5033727}" srcId="{94B97B9F-0A4D-43EA-83E5-F4FA981071A9}" destId="{28DFCD86-D222-4087-82FE-F3F482A930EC}" srcOrd="5" destOrd="0" parTransId="{6477E310-2C8B-4917-B0F2-05F187C9902E}" sibTransId="{45F5561E-AA82-4873-A7BA-998D758234D1}"/>
    <dgm:cxn modelId="{A816DE20-31F8-47E4-A08E-A95D1BFEB8D4}" srcId="{94B97B9F-0A4D-43EA-83E5-F4FA981071A9}" destId="{5CA262E3-0978-47B7-A977-8EAF39923418}" srcOrd="2" destOrd="0" parTransId="{0CA93E47-6C12-4E55-9075-35D94B92A3C6}" sibTransId="{E8EA0104-DB25-4452-9C38-7394CCA95583}"/>
    <dgm:cxn modelId="{99A5522E-9F82-4D34-BEA8-753682997CB2}" srcId="{5CA262E3-0978-47B7-A977-8EAF39923418}" destId="{37614F92-E06E-40DB-A9A5-DC1997071551}" srcOrd="0" destOrd="0" parTransId="{115BAD47-315E-418B-9B87-99589A854037}" sibTransId="{1BD2FF7F-37BE-43E4-9873-BA87B1634A1A}"/>
    <dgm:cxn modelId="{79327D63-D1B2-4A9F-A23A-3F8FCD893D02}" type="presOf" srcId="{716974C2-C98A-4BEB-8745-9E5AD6DBB63B}" destId="{E8671825-86BF-4842-B92D-FEED8274724D}" srcOrd="0" destOrd="0" presId="urn:microsoft.com/office/officeart/2005/8/layout/default"/>
    <dgm:cxn modelId="{B250BA66-31E0-4B6D-8E49-BF3B9909DA20}" srcId="{62A0D3DE-A1AB-4EC1-A914-DDEAB9562AA3}" destId="{B3E264C2-1E48-4AE3-8891-3FAA4F4FF745}" srcOrd="0" destOrd="0" parTransId="{50023134-BEA5-463B-A214-837FEEBE1375}" sibTransId="{E0590A90-B5C2-4A28-B2E1-B51DE2CB8A79}"/>
    <dgm:cxn modelId="{A50C9A68-011C-4E10-8CC1-1FD8A84D1CCE}" type="presOf" srcId="{28DFCD86-D222-4087-82FE-F3F482A930EC}" destId="{3C28E9DD-598C-4893-A22E-5D28091D95EC}" srcOrd="0" destOrd="0" presId="urn:microsoft.com/office/officeart/2005/8/layout/default"/>
    <dgm:cxn modelId="{B48E8C69-DF27-49AC-AFF4-FCAD9F1E8392}" srcId="{94B97B9F-0A4D-43EA-83E5-F4FA981071A9}" destId="{55D8CE89-9D33-4E49-BAD9-A82FAE3A4FDB}" srcOrd="1" destOrd="0" parTransId="{5A8A36C3-B94F-4C3A-96BF-72CB31A41EEA}" sibTransId="{5D8F1E75-48E9-44C5-AA35-170A2AF05AA2}"/>
    <dgm:cxn modelId="{3A241B6F-2A6C-4E33-BCBE-884D2DE98BE6}" srcId="{94B97B9F-0A4D-43EA-83E5-F4FA981071A9}" destId="{EEB3CCC7-179E-4D51-85B4-3AD743DDC3F4}" srcOrd="4" destOrd="0" parTransId="{FBEADC2C-C088-4734-B0EE-109F2AEA4006}" sibTransId="{A8594EAE-64DF-4F65-BFAF-54535E17BF75}"/>
    <dgm:cxn modelId="{E8B06A52-1F74-49B6-A317-DAD230ADB98F}" type="presOf" srcId="{B3E264C2-1E48-4AE3-8891-3FAA4F4FF745}" destId="{F24BFE07-9265-4118-8CAD-CA670ADF1292}" srcOrd="0" destOrd="1" presId="urn:microsoft.com/office/officeart/2005/8/layout/default"/>
    <dgm:cxn modelId="{0A0F3479-7CD8-4A7F-8070-7D14D84EF5AD}" type="presOf" srcId="{43FE679B-8BDE-4DB2-922B-494884EC26F5}" destId="{375AF16D-209B-42F6-8A2B-B8EAD5ED98A8}" srcOrd="0" destOrd="0" presId="urn:microsoft.com/office/officeart/2005/8/layout/default"/>
    <dgm:cxn modelId="{B3EC007A-F926-4615-8541-5C0843E066A0}" srcId="{55D8CE89-9D33-4E49-BAD9-A82FAE3A4FDB}" destId="{9B31CCEC-C34E-4E96-B1FD-999FF7E28F27}" srcOrd="1" destOrd="0" parTransId="{FCAC7B0B-EB56-4278-BF11-E864C9D9C303}" sibTransId="{98BF40D6-BF19-4A25-B2B9-94C883015775}"/>
    <dgm:cxn modelId="{77870E7E-C4AC-46BC-9D76-C9C7E120F261}" srcId="{94B97B9F-0A4D-43EA-83E5-F4FA981071A9}" destId="{43FE679B-8BDE-4DB2-922B-494884EC26F5}" srcOrd="6" destOrd="0" parTransId="{83F4AD21-BC53-4E43-A2FB-DC86FA08B993}" sibTransId="{10A17529-2027-4469-B8E8-0A862B55FC07}"/>
    <dgm:cxn modelId="{50065E82-7DE4-4B53-BA83-E0CB84906233}" srcId="{94B97B9F-0A4D-43EA-83E5-F4FA981071A9}" destId="{62A0D3DE-A1AB-4EC1-A914-DDEAB9562AA3}" srcOrd="0" destOrd="0" parTransId="{3EF170C9-28CD-4AFB-A3C3-BCC0FB6FB8F8}" sibTransId="{5DA547D1-A385-488A-8BCF-4F3B32BDB034}"/>
    <dgm:cxn modelId="{FD47E086-7761-4E9A-9F4D-7E1F557EE559}" type="presOf" srcId="{62A0D3DE-A1AB-4EC1-A914-DDEAB9562AA3}" destId="{F24BFE07-9265-4118-8CAD-CA670ADF1292}" srcOrd="0" destOrd="0" presId="urn:microsoft.com/office/officeart/2005/8/layout/default"/>
    <dgm:cxn modelId="{3FCDF288-00EF-427B-951D-F19D32D8CEE5}" type="presOf" srcId="{9B31CCEC-C34E-4E96-B1FD-999FF7E28F27}" destId="{BFC568F6-F3CC-4FBC-BF94-5E9D7A5B33EA}" srcOrd="0" destOrd="2" presId="urn:microsoft.com/office/officeart/2005/8/layout/default"/>
    <dgm:cxn modelId="{023A7E90-687A-4F0A-A5AE-A4899ADCE57F}" type="presOf" srcId="{26B20CC1-EF80-435F-9222-CA8E4803B916}" destId="{F24BFE07-9265-4118-8CAD-CA670ADF1292}" srcOrd="0" destOrd="2" presId="urn:microsoft.com/office/officeart/2005/8/layout/default"/>
    <dgm:cxn modelId="{BEBBA89B-4244-4135-A25A-4AFAC8544272}" srcId="{94B97B9F-0A4D-43EA-83E5-F4FA981071A9}" destId="{716974C2-C98A-4BEB-8745-9E5AD6DBB63B}" srcOrd="3" destOrd="0" parTransId="{0DFCD7DE-4D57-419B-8221-75F10D2B90B4}" sibTransId="{C7D41AA4-41E3-45B0-A5C2-306D64948821}"/>
    <dgm:cxn modelId="{C7ECBBA7-1281-4125-8651-42D108CAB428}" type="presOf" srcId="{EEB3CCC7-179E-4D51-85B4-3AD743DDC3F4}" destId="{1B5B5A47-AE01-4EED-BC90-DE1FC2BB7F49}" srcOrd="0" destOrd="0" presId="urn:microsoft.com/office/officeart/2005/8/layout/default"/>
    <dgm:cxn modelId="{2B5514AC-C8AC-458A-A2E9-D250D1606A41}" type="presOf" srcId="{441CDC5D-B367-4A86-B9D1-6EF2CAF0320D}" destId="{BFC568F6-F3CC-4FBC-BF94-5E9D7A5B33EA}" srcOrd="0" destOrd="1" presId="urn:microsoft.com/office/officeart/2005/8/layout/default"/>
    <dgm:cxn modelId="{8CBC26C2-A743-433E-ABA4-718125628AD6}" type="presOf" srcId="{94B97B9F-0A4D-43EA-83E5-F4FA981071A9}" destId="{D685E0D2-1313-4751-B38C-FD101D99295E}" srcOrd="0" destOrd="0" presId="urn:microsoft.com/office/officeart/2005/8/layout/default"/>
    <dgm:cxn modelId="{BBFEABE2-C0B2-4A45-835E-E06BE04798E8}" srcId="{55D8CE89-9D33-4E49-BAD9-A82FAE3A4FDB}" destId="{441CDC5D-B367-4A86-B9D1-6EF2CAF0320D}" srcOrd="0" destOrd="0" parTransId="{CE9E4063-2274-4AA5-8D13-FA2405579D7D}" sibTransId="{9DCC4654-320E-4CE5-89C4-9384ADBC9CEC}"/>
    <dgm:cxn modelId="{F3CFD2EC-A713-4129-A204-A0AAA5F4017E}" srcId="{716974C2-C98A-4BEB-8745-9E5AD6DBB63B}" destId="{5974FFB6-7795-480C-8DED-3F2BEED28AC0}" srcOrd="0" destOrd="0" parTransId="{5A37731A-B272-43C0-A78D-34F6C3B2B474}" sibTransId="{EA3D7B72-F574-4524-B995-8D6132FA479A}"/>
    <dgm:cxn modelId="{7E6219FF-5D6F-4138-8FD0-9EDEF1AAA123}" type="presOf" srcId="{37614F92-E06E-40DB-A9A5-DC1997071551}" destId="{F7015099-F95A-4C2D-BEAD-9E7D00BF059F}" srcOrd="0" destOrd="1" presId="urn:microsoft.com/office/officeart/2005/8/layout/default"/>
    <dgm:cxn modelId="{16C9C2CD-D90B-4483-A5D1-2553B9BCBF2A}" type="presParOf" srcId="{D685E0D2-1313-4751-B38C-FD101D99295E}" destId="{F24BFE07-9265-4118-8CAD-CA670ADF1292}" srcOrd="0" destOrd="0" presId="urn:microsoft.com/office/officeart/2005/8/layout/default"/>
    <dgm:cxn modelId="{0B6D568C-8C99-4CDD-9A14-5AA441FB28DC}" type="presParOf" srcId="{D685E0D2-1313-4751-B38C-FD101D99295E}" destId="{CB2D1173-1FBA-4288-ACC2-B7C179E5290C}" srcOrd="1" destOrd="0" presId="urn:microsoft.com/office/officeart/2005/8/layout/default"/>
    <dgm:cxn modelId="{A8138424-EAAA-4402-ACEE-E1B30ABA9436}" type="presParOf" srcId="{D685E0D2-1313-4751-B38C-FD101D99295E}" destId="{BFC568F6-F3CC-4FBC-BF94-5E9D7A5B33EA}" srcOrd="2" destOrd="0" presId="urn:microsoft.com/office/officeart/2005/8/layout/default"/>
    <dgm:cxn modelId="{AB0E2D69-C153-4ED3-9458-A56F9D51907E}" type="presParOf" srcId="{D685E0D2-1313-4751-B38C-FD101D99295E}" destId="{01A115E3-0C3E-49BF-8D3C-91C830470B99}" srcOrd="3" destOrd="0" presId="urn:microsoft.com/office/officeart/2005/8/layout/default"/>
    <dgm:cxn modelId="{D8FEAFCB-2498-4234-BC7F-5F342FE064FF}" type="presParOf" srcId="{D685E0D2-1313-4751-B38C-FD101D99295E}" destId="{F7015099-F95A-4C2D-BEAD-9E7D00BF059F}" srcOrd="4" destOrd="0" presId="urn:microsoft.com/office/officeart/2005/8/layout/default"/>
    <dgm:cxn modelId="{2AA0A22F-FFD3-4C34-AFD7-2D0547A5FA3C}" type="presParOf" srcId="{D685E0D2-1313-4751-B38C-FD101D99295E}" destId="{64AFA529-2C8C-431A-BAA4-9CE7C65CF972}" srcOrd="5" destOrd="0" presId="urn:microsoft.com/office/officeart/2005/8/layout/default"/>
    <dgm:cxn modelId="{E2C9D1B2-CAD7-47B7-8805-BE8741520856}" type="presParOf" srcId="{D685E0D2-1313-4751-B38C-FD101D99295E}" destId="{E8671825-86BF-4842-B92D-FEED8274724D}" srcOrd="6" destOrd="0" presId="urn:microsoft.com/office/officeart/2005/8/layout/default"/>
    <dgm:cxn modelId="{566022CF-F3A2-4F10-94C5-84B892EF9D47}" type="presParOf" srcId="{D685E0D2-1313-4751-B38C-FD101D99295E}" destId="{06718844-7DAD-4ADC-8E97-F91D60F92895}" srcOrd="7" destOrd="0" presId="urn:microsoft.com/office/officeart/2005/8/layout/default"/>
    <dgm:cxn modelId="{20A45E36-405E-421F-883F-00C781DAAA0E}" type="presParOf" srcId="{D685E0D2-1313-4751-B38C-FD101D99295E}" destId="{1B5B5A47-AE01-4EED-BC90-DE1FC2BB7F49}" srcOrd="8" destOrd="0" presId="urn:microsoft.com/office/officeart/2005/8/layout/default"/>
    <dgm:cxn modelId="{92316340-B052-4F45-A4B6-FA82AF84CB02}" type="presParOf" srcId="{D685E0D2-1313-4751-B38C-FD101D99295E}" destId="{69400C0C-B08A-4FDA-A327-A8459FE9BDD1}" srcOrd="9" destOrd="0" presId="urn:microsoft.com/office/officeart/2005/8/layout/default"/>
    <dgm:cxn modelId="{B4F1E0CD-5CD3-4CEB-B15C-5E06D5A2DABF}" type="presParOf" srcId="{D685E0D2-1313-4751-B38C-FD101D99295E}" destId="{3C28E9DD-598C-4893-A22E-5D28091D95EC}" srcOrd="10" destOrd="0" presId="urn:microsoft.com/office/officeart/2005/8/layout/default"/>
    <dgm:cxn modelId="{3F4E6A49-2B87-4F94-BA63-FD2D5D2D4B09}" type="presParOf" srcId="{D685E0D2-1313-4751-B38C-FD101D99295E}" destId="{8F959099-1091-4EDA-AB95-F13C9BF1374E}" srcOrd="11" destOrd="0" presId="urn:microsoft.com/office/officeart/2005/8/layout/default"/>
    <dgm:cxn modelId="{ADE82728-CE6E-40C9-9D59-970D7C09A903}" type="presParOf" srcId="{D685E0D2-1313-4751-B38C-FD101D99295E}" destId="{375AF16D-209B-42F6-8A2B-B8EAD5ED98A8}" srcOrd="12"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4BFE07-9265-4118-8CAD-CA670ADF1292}">
      <dsp:nvSpPr>
        <dsp:cNvPr id="0" name=""/>
        <dsp:cNvSpPr/>
      </dsp:nvSpPr>
      <dsp:spPr>
        <a:xfrm>
          <a:off x="0" y="0"/>
          <a:ext cx="2394635" cy="1436781"/>
        </a:xfrm>
        <a:prstGeom prst="rect">
          <a:avLst/>
        </a:prstGeom>
        <a:solidFill>
          <a:srgbClr val="4472C4">
            <a:hueOff val="0"/>
            <a:satOff val="0"/>
            <a:lumOff val="0"/>
            <a:alphaOff val="0"/>
          </a:srgb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kern="1200">
              <a:solidFill>
                <a:sysClr val="window" lastClr="FFFFFF"/>
              </a:solidFill>
              <a:latin typeface="Calibri" panose="020F0502020204030204"/>
              <a:ea typeface="+mn-ea"/>
              <a:cs typeface="+mn-cs"/>
            </a:rPr>
            <a:t>2018.</a:t>
          </a:r>
        </a:p>
        <a:p>
          <a:pPr marL="114300" lvl="1" indent="-114300" algn="l" defTabSz="533400">
            <a:lnSpc>
              <a:spcPct val="90000"/>
            </a:lnSpc>
            <a:spcBef>
              <a:spcPct val="0"/>
            </a:spcBef>
            <a:spcAft>
              <a:spcPct val="15000"/>
            </a:spcAft>
            <a:buChar char="•"/>
          </a:pPr>
          <a:r>
            <a:rPr lang="en-GB" sz="1200" kern="1200">
              <a:solidFill>
                <a:sysClr val="window" lastClr="FFFFFF"/>
              </a:solidFill>
              <a:latin typeface="Calibri" panose="020F0502020204030204"/>
              <a:ea typeface="+mn-ea"/>
              <a:cs typeface="+mn-cs"/>
            </a:rPr>
            <a:t>Podržano 10 projekata</a:t>
          </a:r>
        </a:p>
        <a:p>
          <a:pPr marL="114300" lvl="1" indent="-114300" algn="l" defTabSz="533400">
            <a:lnSpc>
              <a:spcPct val="90000"/>
            </a:lnSpc>
            <a:spcBef>
              <a:spcPct val="0"/>
            </a:spcBef>
            <a:spcAft>
              <a:spcPct val="15000"/>
            </a:spcAft>
            <a:buChar char="•"/>
          </a:pPr>
          <a:r>
            <a:rPr lang="en-GB" sz="1200" kern="1200">
              <a:solidFill>
                <a:sysClr val="window" lastClr="FFFFFF"/>
              </a:solidFill>
              <a:latin typeface="Calibri" panose="020F0502020204030204"/>
              <a:ea typeface="+mn-ea"/>
              <a:cs typeface="+mn-cs"/>
            </a:rPr>
            <a:t>131.000 e</a:t>
          </a:r>
          <a:r>
            <a:rPr lang="sr-Latn-RS" sz="1200" kern="1200">
              <a:solidFill>
                <a:sysClr val="window" lastClr="FFFFFF"/>
              </a:solidFill>
              <a:latin typeface="Calibri" panose="020F0502020204030204"/>
              <a:ea typeface="+mn-ea"/>
              <a:cs typeface="+mn-cs"/>
            </a:rPr>
            <a:t> </a:t>
          </a:r>
          <a:endParaRPr lang="en-GB" sz="1200" kern="1200">
            <a:solidFill>
              <a:sysClr val="window" lastClr="FFFFFF"/>
            </a:solidFill>
            <a:latin typeface="Calibri" panose="020F0502020204030204"/>
            <a:ea typeface="+mn-ea"/>
            <a:cs typeface="+mn-cs"/>
          </a:endParaRPr>
        </a:p>
      </dsp:txBody>
      <dsp:txXfrm>
        <a:off x="0" y="0"/>
        <a:ext cx="2394635" cy="1436781"/>
      </dsp:txXfrm>
    </dsp:sp>
    <dsp:sp modelId="{BFC568F6-F3CC-4FBC-BF94-5E9D7A5B33EA}">
      <dsp:nvSpPr>
        <dsp:cNvPr id="0" name=""/>
        <dsp:cNvSpPr/>
      </dsp:nvSpPr>
      <dsp:spPr>
        <a:xfrm>
          <a:off x="2694071" y="0"/>
          <a:ext cx="2394635" cy="1436781"/>
        </a:xfrm>
        <a:prstGeom prst="rect">
          <a:avLst/>
        </a:prstGeom>
        <a:solidFill>
          <a:srgbClr val="4472C4">
            <a:hueOff val="0"/>
            <a:satOff val="0"/>
            <a:lumOff val="0"/>
            <a:alphaOff val="0"/>
          </a:srgb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kern="1200">
              <a:solidFill>
                <a:sysClr val="window" lastClr="FFFFFF"/>
              </a:solidFill>
              <a:latin typeface="Calibri" panose="020F0502020204030204"/>
              <a:ea typeface="+mn-ea"/>
              <a:cs typeface="+mn-cs"/>
            </a:rPr>
            <a:t>2019.</a:t>
          </a:r>
        </a:p>
        <a:p>
          <a:pPr marL="114300" lvl="1" indent="-114300" algn="l" defTabSz="533400">
            <a:lnSpc>
              <a:spcPct val="90000"/>
            </a:lnSpc>
            <a:spcBef>
              <a:spcPct val="0"/>
            </a:spcBef>
            <a:spcAft>
              <a:spcPct val="15000"/>
            </a:spcAft>
            <a:buChar char="•"/>
          </a:pPr>
          <a:r>
            <a:rPr lang="en-GB" sz="1200" kern="1200">
              <a:solidFill>
                <a:sysClr val="window" lastClr="FFFFFF"/>
              </a:solidFill>
              <a:latin typeface="Calibri" panose="020F0502020204030204"/>
              <a:ea typeface="+mn-ea"/>
              <a:cs typeface="+mn-cs"/>
            </a:rPr>
            <a:t>Podržano 16 projekata</a:t>
          </a:r>
        </a:p>
        <a:p>
          <a:pPr marL="114300" lvl="1" indent="-114300" algn="l" defTabSz="533400">
            <a:lnSpc>
              <a:spcPct val="90000"/>
            </a:lnSpc>
            <a:spcBef>
              <a:spcPct val="0"/>
            </a:spcBef>
            <a:spcAft>
              <a:spcPct val="15000"/>
            </a:spcAft>
            <a:buChar char="•"/>
          </a:pPr>
          <a:r>
            <a:rPr lang="sr-Latn-RS" sz="1200" kern="1200">
              <a:solidFill>
                <a:sysClr val="window" lastClr="FFFFFF"/>
              </a:solidFill>
              <a:latin typeface="Calibri" panose="020F0502020204030204"/>
              <a:ea typeface="+mn-ea"/>
              <a:cs typeface="+mn-cs"/>
            </a:rPr>
            <a:t>215.000 e.   </a:t>
          </a:r>
          <a:endParaRPr lang="en-GB" sz="1200" kern="1200">
            <a:solidFill>
              <a:sysClr val="window" lastClr="FFFFFF"/>
            </a:solidFill>
            <a:latin typeface="Calibri" panose="020F0502020204030204"/>
            <a:ea typeface="+mn-ea"/>
            <a:cs typeface="+mn-cs"/>
          </a:endParaRPr>
        </a:p>
      </dsp:txBody>
      <dsp:txXfrm>
        <a:off x="2694071" y="0"/>
        <a:ext cx="2394635" cy="1436781"/>
      </dsp:txXfrm>
    </dsp:sp>
    <dsp:sp modelId="{F7015099-F95A-4C2D-BEAD-9E7D00BF059F}">
      <dsp:nvSpPr>
        <dsp:cNvPr id="0" name=""/>
        <dsp:cNvSpPr/>
      </dsp:nvSpPr>
      <dsp:spPr>
        <a:xfrm>
          <a:off x="5537293" y="902"/>
          <a:ext cx="2394635" cy="1436781"/>
        </a:xfrm>
        <a:prstGeom prst="rect">
          <a:avLst/>
        </a:prstGeom>
        <a:solidFill>
          <a:srgbClr val="4472C4">
            <a:hueOff val="0"/>
            <a:satOff val="0"/>
            <a:lumOff val="0"/>
            <a:alphaOff val="0"/>
          </a:srgb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kern="1200">
              <a:solidFill>
                <a:sysClr val="window" lastClr="FFFFFF"/>
              </a:solidFill>
              <a:latin typeface="Calibri" panose="020F0502020204030204"/>
              <a:ea typeface="+mn-ea"/>
              <a:cs typeface="+mn-cs"/>
            </a:rPr>
            <a:t>2020.</a:t>
          </a:r>
        </a:p>
        <a:p>
          <a:pPr marL="114300" lvl="1" indent="-114300" algn="l" defTabSz="533400">
            <a:lnSpc>
              <a:spcPct val="90000"/>
            </a:lnSpc>
            <a:spcBef>
              <a:spcPct val="0"/>
            </a:spcBef>
            <a:spcAft>
              <a:spcPct val="15000"/>
            </a:spcAft>
            <a:buChar char="•"/>
          </a:pPr>
          <a:r>
            <a:rPr lang="en-GB" sz="1200" kern="1200">
              <a:solidFill>
                <a:sysClr val="window" lastClr="FFFFFF"/>
              </a:solidFill>
              <a:latin typeface="Calibri" panose="020F0502020204030204"/>
              <a:ea typeface="+mn-ea"/>
              <a:cs typeface="+mn-cs"/>
            </a:rPr>
            <a:t>Podrzano 14 projekata 136.000 e</a:t>
          </a:r>
        </a:p>
      </dsp:txBody>
      <dsp:txXfrm>
        <a:off x="5537293" y="902"/>
        <a:ext cx="2394635" cy="1436781"/>
      </dsp:txXfrm>
    </dsp:sp>
    <dsp:sp modelId="{E8671825-86BF-4842-B92D-FEED8274724D}">
      <dsp:nvSpPr>
        <dsp:cNvPr id="0" name=""/>
        <dsp:cNvSpPr/>
      </dsp:nvSpPr>
      <dsp:spPr>
        <a:xfrm>
          <a:off x="0" y="1946988"/>
          <a:ext cx="2394635" cy="1436781"/>
        </a:xfrm>
        <a:prstGeom prst="rect">
          <a:avLst/>
        </a:prstGeom>
        <a:solidFill>
          <a:srgbClr val="4472C4">
            <a:hueOff val="0"/>
            <a:satOff val="0"/>
            <a:lumOff val="0"/>
            <a:alphaOff val="0"/>
          </a:srgb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kern="1200">
              <a:solidFill>
                <a:sysClr val="window" lastClr="FFFFFF"/>
              </a:solidFill>
              <a:latin typeface="Calibri" panose="020F0502020204030204"/>
              <a:ea typeface="+mn-ea"/>
              <a:cs typeface="+mn-cs"/>
            </a:rPr>
            <a:t>2021</a:t>
          </a:r>
        </a:p>
        <a:p>
          <a:pPr marL="114300" lvl="1" indent="-114300" algn="l" defTabSz="533400">
            <a:lnSpc>
              <a:spcPct val="90000"/>
            </a:lnSpc>
            <a:spcBef>
              <a:spcPct val="0"/>
            </a:spcBef>
            <a:spcAft>
              <a:spcPct val="15000"/>
            </a:spcAft>
            <a:buChar char="•"/>
          </a:pPr>
          <a:r>
            <a:rPr lang="en-GB" sz="1200" kern="1200">
              <a:solidFill>
                <a:sysClr val="window" lastClr="FFFFFF"/>
              </a:solidFill>
              <a:latin typeface="Calibri" panose="020F0502020204030204"/>
              <a:ea typeface="+mn-ea"/>
              <a:cs typeface="+mn-cs"/>
            </a:rPr>
            <a:t>Podržan 21 projekat 320.000 e.</a:t>
          </a:r>
        </a:p>
      </dsp:txBody>
      <dsp:txXfrm>
        <a:off x="0" y="1946988"/>
        <a:ext cx="2394635" cy="1436781"/>
      </dsp:txXfrm>
    </dsp:sp>
    <dsp:sp modelId="{1B5B5A47-AE01-4EED-BC90-DE1FC2BB7F49}">
      <dsp:nvSpPr>
        <dsp:cNvPr id="0" name=""/>
        <dsp:cNvSpPr/>
      </dsp:nvSpPr>
      <dsp:spPr>
        <a:xfrm>
          <a:off x="2570532" y="1767017"/>
          <a:ext cx="2394635" cy="1436781"/>
        </a:xfrm>
        <a:prstGeom prst="rect">
          <a:avLst/>
        </a:prstGeom>
        <a:solidFill>
          <a:srgbClr val="4472C4">
            <a:hueOff val="0"/>
            <a:satOff val="0"/>
            <a:lumOff val="0"/>
            <a:alphaOff val="0"/>
          </a:srgb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u="sng" kern="1200">
              <a:solidFill>
                <a:sysClr val="window" lastClr="FFFFFF"/>
              </a:solidFill>
              <a:latin typeface="Calibri" panose="020F0502020204030204"/>
              <a:ea typeface="+mn-ea"/>
              <a:cs typeface="+mn-cs"/>
            </a:rPr>
            <a:t>2022.</a:t>
          </a:r>
        </a:p>
        <a:p>
          <a:pPr marL="0" lvl="0" indent="0" algn="ctr" defTabSz="533400">
            <a:lnSpc>
              <a:spcPct val="90000"/>
            </a:lnSpc>
            <a:spcBef>
              <a:spcPct val="0"/>
            </a:spcBef>
            <a:spcAft>
              <a:spcPct val="35000"/>
            </a:spcAft>
            <a:buNone/>
          </a:pPr>
          <a:r>
            <a:rPr lang="sr-Latn-RS" sz="1200" u="sng" kern="1200">
              <a:solidFill>
                <a:sysClr val="window" lastClr="FFFFFF"/>
              </a:solidFill>
              <a:latin typeface="Calibri" panose="020F0502020204030204"/>
              <a:ea typeface="+mn-ea"/>
              <a:cs typeface="+mn-cs"/>
            </a:rPr>
            <a:t>Podržano</a:t>
          </a:r>
        </a:p>
        <a:p>
          <a:pPr marL="0" lvl="0" indent="0" algn="ctr" defTabSz="533400">
            <a:lnSpc>
              <a:spcPct val="90000"/>
            </a:lnSpc>
            <a:spcBef>
              <a:spcPct val="0"/>
            </a:spcBef>
            <a:spcAft>
              <a:spcPct val="35000"/>
            </a:spcAft>
            <a:buNone/>
          </a:pPr>
          <a:r>
            <a:rPr lang="sr-Latn-RS" sz="1200" u="sng" kern="1200">
              <a:solidFill>
                <a:sysClr val="window" lastClr="FFFFFF"/>
              </a:solidFill>
              <a:latin typeface="Calibri" panose="020F0502020204030204"/>
              <a:ea typeface="+mn-ea"/>
              <a:cs typeface="+mn-cs"/>
            </a:rPr>
            <a:t>25 projekata</a:t>
          </a:r>
        </a:p>
        <a:p>
          <a:pPr marL="0" lvl="0" indent="0" algn="ctr" defTabSz="533400">
            <a:lnSpc>
              <a:spcPct val="90000"/>
            </a:lnSpc>
            <a:spcBef>
              <a:spcPct val="0"/>
            </a:spcBef>
            <a:spcAft>
              <a:spcPct val="35000"/>
            </a:spcAft>
            <a:buNone/>
          </a:pPr>
          <a:r>
            <a:rPr lang="sr-Latn-RS" sz="1200" u="sng" kern="1200">
              <a:solidFill>
                <a:sysClr val="window" lastClr="FFFFFF"/>
              </a:solidFill>
              <a:latin typeface="Calibri" panose="020F0502020204030204"/>
              <a:ea typeface="+mn-ea"/>
              <a:cs typeface="+mn-cs"/>
            </a:rPr>
            <a:t>380.</a:t>
          </a:r>
          <a:r>
            <a:rPr lang="sr-Latn-RS" sz="1200" kern="1200">
              <a:solidFill>
                <a:sysClr val="window" lastClr="FFFFFF"/>
              </a:solidFill>
              <a:latin typeface="Calibri" panose="020F0502020204030204"/>
              <a:ea typeface="+mn-ea"/>
              <a:cs typeface="+mn-cs"/>
            </a:rPr>
            <a:t>000 e.</a:t>
          </a:r>
          <a:endParaRPr lang="en-GB" sz="1200" kern="1200">
            <a:solidFill>
              <a:sysClr val="window" lastClr="FFFFFF"/>
            </a:solidFill>
            <a:latin typeface="Calibri" panose="020F0502020204030204"/>
            <a:ea typeface="+mn-ea"/>
            <a:cs typeface="+mn-cs"/>
          </a:endParaRPr>
        </a:p>
      </dsp:txBody>
      <dsp:txXfrm>
        <a:off x="2570532" y="1767017"/>
        <a:ext cx="2394635" cy="1436781"/>
      </dsp:txXfrm>
    </dsp:sp>
    <dsp:sp modelId="{3C28E9DD-598C-4893-A22E-5D28091D95EC}">
      <dsp:nvSpPr>
        <dsp:cNvPr id="0" name=""/>
        <dsp:cNvSpPr/>
      </dsp:nvSpPr>
      <dsp:spPr>
        <a:xfrm>
          <a:off x="5652667" y="2212161"/>
          <a:ext cx="2394635" cy="1436781"/>
        </a:xfrm>
        <a:prstGeom prst="rect">
          <a:avLst/>
        </a:prstGeom>
        <a:solidFill>
          <a:srgbClr val="4472C4">
            <a:hueOff val="0"/>
            <a:satOff val="0"/>
            <a:lumOff val="0"/>
            <a:alphaOff val="0"/>
          </a:srgb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2023</a:t>
          </a:r>
        </a:p>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Podržano </a:t>
          </a:r>
        </a:p>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27 projekata 400.000 e.</a:t>
          </a:r>
          <a:endParaRPr lang="en-GB" sz="1200" kern="1200">
            <a:solidFill>
              <a:sysClr val="window" lastClr="FFFFFF"/>
            </a:solidFill>
            <a:latin typeface="Calibri" panose="020F0502020204030204"/>
            <a:ea typeface="+mn-ea"/>
            <a:cs typeface="+mn-cs"/>
          </a:endParaRPr>
        </a:p>
      </dsp:txBody>
      <dsp:txXfrm>
        <a:off x="5652667" y="2212161"/>
        <a:ext cx="2394635" cy="1436781"/>
      </dsp:txXfrm>
    </dsp:sp>
    <dsp:sp modelId="{375AF16D-209B-42F6-8A2B-B8EAD5ED98A8}">
      <dsp:nvSpPr>
        <dsp:cNvPr id="0" name=""/>
        <dsp:cNvSpPr/>
      </dsp:nvSpPr>
      <dsp:spPr>
        <a:xfrm>
          <a:off x="2662342" y="3354293"/>
          <a:ext cx="2394635" cy="1436781"/>
        </a:xfrm>
        <a:prstGeom prst="rect">
          <a:avLst/>
        </a:prstGeom>
        <a:solidFill>
          <a:srgbClr val="4472C4">
            <a:hueOff val="0"/>
            <a:satOff val="0"/>
            <a:lumOff val="0"/>
            <a:alphaOff val="0"/>
          </a:srgb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kern="1200">
              <a:solidFill>
                <a:sysClr val="window" lastClr="FFFFFF"/>
              </a:solidFill>
              <a:latin typeface="Calibri" panose="020F0502020204030204"/>
              <a:ea typeface="+mn-ea"/>
              <a:cs typeface="+mn-cs"/>
            </a:rPr>
            <a:t>2024</a:t>
          </a:r>
        </a:p>
        <a:p>
          <a:pPr marL="0" lvl="0" indent="0" algn="ctr" defTabSz="533400">
            <a:lnSpc>
              <a:spcPct val="90000"/>
            </a:lnSpc>
            <a:spcBef>
              <a:spcPct val="0"/>
            </a:spcBef>
            <a:spcAft>
              <a:spcPct val="35000"/>
            </a:spcAft>
            <a:buNone/>
          </a:pPr>
          <a:r>
            <a:rPr lang="en-GB" sz="1200" kern="1200">
              <a:solidFill>
                <a:sysClr val="window" lastClr="FFFFFF"/>
              </a:solidFill>
              <a:latin typeface="Calibri" panose="020F0502020204030204"/>
              <a:ea typeface="+mn-ea"/>
              <a:cs typeface="+mn-cs"/>
            </a:rPr>
            <a:t>Podržano </a:t>
          </a:r>
          <a:r>
            <a:rPr lang="sr-Latn-RS" sz="1200" kern="1200">
              <a:solidFill>
                <a:sysClr val="window" lastClr="FFFFFF"/>
              </a:solidFill>
              <a:latin typeface="Calibri" panose="020F0502020204030204"/>
              <a:ea typeface="+mn-ea"/>
              <a:cs typeface="+mn-cs"/>
            </a:rPr>
            <a:t>33 projekata 500.000 </a:t>
          </a:r>
          <a:r>
            <a:rPr lang="en-GB" sz="1200" kern="1200">
              <a:solidFill>
                <a:sysClr val="window" lastClr="FFFFFF"/>
              </a:solidFill>
              <a:latin typeface="Calibri" panose="020F0502020204030204"/>
              <a:ea typeface="+mn-ea"/>
              <a:cs typeface="+mn-cs"/>
            </a:rPr>
            <a:t>e</a:t>
          </a:r>
        </a:p>
      </dsp:txBody>
      <dsp:txXfrm>
        <a:off x="2662342" y="3354293"/>
        <a:ext cx="2394635" cy="143678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8A69A-B499-4482-83D4-E9751CAA4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6851</Words>
  <Characters>39051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USEIN Mersiha</dc:creator>
  <cp:keywords/>
  <dc:description/>
  <cp:lastModifiedBy>Sokolj Beganaj</cp:lastModifiedBy>
  <cp:revision>2</cp:revision>
  <cp:lastPrinted>2025-01-24T10:54:00Z</cp:lastPrinted>
  <dcterms:created xsi:type="dcterms:W3CDTF">2025-02-10T12:53:00Z</dcterms:created>
  <dcterms:modified xsi:type="dcterms:W3CDTF">2025-02-10T12:53:00Z</dcterms:modified>
</cp:coreProperties>
</file>