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C5B5" w14:textId="6DA86F4B" w:rsidR="003C394B" w:rsidRPr="00EB3E44" w:rsidRDefault="003C394B" w:rsidP="003C394B">
      <w:pPr>
        <w:jc w:val="center"/>
        <w:rPr>
          <w:b/>
          <w:bCs/>
          <w:sz w:val="28"/>
          <w:szCs w:val="28"/>
        </w:rPr>
      </w:pPr>
      <w:r w:rsidRPr="00EB3E44">
        <w:rPr>
          <w:b/>
          <w:bCs/>
          <w:sz w:val="28"/>
          <w:szCs w:val="28"/>
        </w:rPr>
        <w:t>C L A R I F I C A T I O N S</w:t>
      </w:r>
      <w:r w:rsidRPr="00EB3E44">
        <w:rPr>
          <w:b/>
          <w:bCs/>
          <w:sz w:val="28"/>
          <w:szCs w:val="28"/>
        </w:rPr>
        <w:tab/>
        <w:t xml:space="preserve">No. </w:t>
      </w:r>
      <w:r w:rsidR="002E120E">
        <w:rPr>
          <w:b/>
          <w:bCs/>
          <w:sz w:val="28"/>
          <w:szCs w:val="28"/>
        </w:rPr>
        <w:t>2</w:t>
      </w:r>
    </w:p>
    <w:p w14:paraId="2A2C8B4D" w14:textId="77777777" w:rsidR="003C394B" w:rsidRPr="00EB3E44" w:rsidRDefault="003C394B" w:rsidP="003C394B">
      <w:pPr>
        <w:jc w:val="center"/>
        <w:rPr>
          <w:b/>
          <w:bCs/>
          <w:sz w:val="28"/>
          <w:szCs w:val="28"/>
        </w:rPr>
      </w:pPr>
      <w:r w:rsidRPr="00EB3E44">
        <w:rPr>
          <w:b/>
          <w:bCs/>
          <w:sz w:val="28"/>
          <w:szCs w:val="28"/>
        </w:rPr>
        <w:t>Procurement related to:</w:t>
      </w:r>
    </w:p>
    <w:p w14:paraId="09E8CDFC" w14:textId="77777777" w:rsidR="003C394B" w:rsidRDefault="003C394B" w:rsidP="003C394B">
      <w:pPr>
        <w:jc w:val="center"/>
        <w:rPr>
          <w:b/>
          <w:sz w:val="28"/>
          <w:szCs w:val="28"/>
        </w:rPr>
      </w:pPr>
      <w:bookmarkStart w:id="0" w:name="_Hlk135136191"/>
      <w:r w:rsidRPr="00EB3E44">
        <w:rPr>
          <w:b/>
          <w:sz w:val="28"/>
          <w:szCs w:val="28"/>
        </w:rPr>
        <w:t xml:space="preserve">Vocational Equipment for Secondary Schools in Montenegro </w:t>
      </w:r>
    </w:p>
    <w:p w14:paraId="4332FB30" w14:textId="1F9C9F9F" w:rsidR="003C394B" w:rsidRDefault="003C394B" w:rsidP="003C394B">
      <w:pPr>
        <w:jc w:val="center"/>
        <w:rPr>
          <w:b/>
          <w:sz w:val="28"/>
          <w:szCs w:val="28"/>
        </w:rPr>
      </w:pPr>
      <w:r w:rsidRPr="00EB3E44">
        <w:rPr>
          <w:b/>
          <w:sz w:val="28"/>
          <w:szCs w:val="28"/>
        </w:rPr>
        <w:t>ICB No:</w:t>
      </w:r>
      <w:r w:rsidRPr="00EB3E44">
        <w:rPr>
          <w:sz w:val="28"/>
          <w:szCs w:val="28"/>
        </w:rPr>
        <w:t xml:space="preserve"> </w:t>
      </w:r>
      <w:bookmarkEnd w:id="0"/>
      <w:r w:rsidRPr="00EB3E44">
        <w:rPr>
          <w:b/>
          <w:sz w:val="28"/>
          <w:szCs w:val="28"/>
        </w:rPr>
        <w:t>24-011/25-12009/1</w:t>
      </w:r>
      <w:r>
        <w:rPr>
          <w:b/>
          <w:sz w:val="28"/>
          <w:szCs w:val="28"/>
        </w:rPr>
        <w:t xml:space="preserve">, </w:t>
      </w:r>
    </w:p>
    <w:p w14:paraId="15DB3496" w14:textId="5CCB25B1" w:rsidR="003C394B" w:rsidRPr="00EB3E44" w:rsidRDefault="00D86958" w:rsidP="003C394B">
      <w:pPr>
        <w:jc w:val="center"/>
        <w:rPr>
          <w:b/>
          <w:sz w:val="28"/>
          <w:szCs w:val="28"/>
        </w:rPr>
      </w:pPr>
      <w:r w:rsidRPr="00E54710">
        <w:rPr>
          <w:bCs/>
          <w:sz w:val="28"/>
          <w:szCs w:val="28"/>
        </w:rPr>
        <w:t>issu</w:t>
      </w:r>
      <w:r w:rsidR="003C394B" w:rsidRPr="00E54710">
        <w:rPr>
          <w:bCs/>
          <w:sz w:val="28"/>
          <w:szCs w:val="28"/>
        </w:rPr>
        <w:t xml:space="preserve">ed </w:t>
      </w:r>
      <w:r w:rsidR="003C394B" w:rsidRPr="00E54710">
        <w:rPr>
          <w:sz w:val="28"/>
          <w:szCs w:val="28"/>
        </w:rPr>
        <w:t xml:space="preserve">on </w:t>
      </w:r>
      <w:r w:rsidR="00F9618D" w:rsidRPr="00E54710">
        <w:rPr>
          <w:sz w:val="28"/>
          <w:szCs w:val="28"/>
        </w:rPr>
        <w:t>9</w:t>
      </w:r>
      <w:r w:rsidR="003C394B" w:rsidRPr="00E54710">
        <w:rPr>
          <w:sz w:val="28"/>
          <w:szCs w:val="28"/>
        </w:rPr>
        <w:t xml:space="preserve"> </w:t>
      </w:r>
      <w:r w:rsidRPr="00E54710">
        <w:rPr>
          <w:sz w:val="28"/>
          <w:szCs w:val="28"/>
        </w:rPr>
        <w:t>April</w:t>
      </w:r>
      <w:r w:rsidR="003C394B" w:rsidRPr="00E54710">
        <w:rPr>
          <w:sz w:val="28"/>
          <w:szCs w:val="28"/>
        </w:rPr>
        <w:t xml:space="preserve"> 2026</w:t>
      </w:r>
    </w:p>
    <w:tbl>
      <w:tblPr>
        <w:tblStyle w:val="TableGrid"/>
        <w:tblW w:w="10420" w:type="dxa"/>
        <w:tblInd w:w="-185" w:type="dxa"/>
        <w:tblLook w:val="04A0" w:firstRow="1" w:lastRow="0" w:firstColumn="1" w:lastColumn="0" w:noHBand="0" w:noVBand="1"/>
      </w:tblPr>
      <w:tblGrid>
        <w:gridCol w:w="538"/>
        <w:gridCol w:w="4587"/>
        <w:gridCol w:w="5295"/>
      </w:tblGrid>
      <w:tr w:rsidR="00181304" w:rsidRPr="00124DDA" w14:paraId="18D9F648" w14:textId="77777777" w:rsidTr="00186C16">
        <w:trPr>
          <w:trHeight w:val="440"/>
        </w:trPr>
        <w:tc>
          <w:tcPr>
            <w:tcW w:w="538" w:type="dxa"/>
            <w:shd w:val="clear" w:color="auto" w:fill="DBE5F1" w:themeFill="accent1" w:themeFillTint="33"/>
            <w:vAlign w:val="center"/>
          </w:tcPr>
          <w:p w14:paraId="5BF0157F" w14:textId="2C175974" w:rsidR="00181304" w:rsidRPr="00124DDA" w:rsidRDefault="00181304" w:rsidP="00186C16">
            <w:pPr>
              <w:spacing w:before="60"/>
              <w:jc w:val="center"/>
              <w:rPr>
                <w:b/>
                <w:bCs/>
                <w:lang w:val="en-GB"/>
              </w:rPr>
            </w:pPr>
            <w:r w:rsidRPr="00124DDA">
              <w:rPr>
                <w:b/>
                <w:bCs/>
                <w:lang w:val="en-GB"/>
              </w:rPr>
              <w:t>No.</w:t>
            </w:r>
          </w:p>
        </w:tc>
        <w:tc>
          <w:tcPr>
            <w:tcW w:w="4587" w:type="dxa"/>
            <w:shd w:val="clear" w:color="auto" w:fill="DBE5F1" w:themeFill="accent1" w:themeFillTint="33"/>
            <w:vAlign w:val="center"/>
          </w:tcPr>
          <w:p w14:paraId="2475914A" w14:textId="14BB8183" w:rsidR="00181304" w:rsidRPr="00124DDA" w:rsidRDefault="00181304" w:rsidP="00186C16">
            <w:pPr>
              <w:spacing w:before="60"/>
              <w:jc w:val="center"/>
              <w:rPr>
                <w:b/>
                <w:bCs/>
                <w:lang w:val="en-GB"/>
              </w:rPr>
            </w:pPr>
            <w:r w:rsidRPr="00124DDA">
              <w:rPr>
                <w:b/>
                <w:bCs/>
                <w:lang w:val="en-GB"/>
              </w:rPr>
              <w:t>Question</w:t>
            </w:r>
          </w:p>
        </w:tc>
        <w:tc>
          <w:tcPr>
            <w:tcW w:w="5295" w:type="dxa"/>
            <w:shd w:val="clear" w:color="auto" w:fill="DBE5F1" w:themeFill="accent1" w:themeFillTint="33"/>
            <w:vAlign w:val="center"/>
          </w:tcPr>
          <w:p w14:paraId="4D5389CA" w14:textId="6CA63A82" w:rsidR="00181304" w:rsidRPr="00124DDA" w:rsidRDefault="00181304" w:rsidP="00186C16">
            <w:pPr>
              <w:spacing w:before="60"/>
              <w:jc w:val="center"/>
              <w:rPr>
                <w:b/>
                <w:bCs/>
                <w:lang w:val="en-GB"/>
              </w:rPr>
            </w:pPr>
            <w:r w:rsidRPr="00124DDA">
              <w:rPr>
                <w:b/>
                <w:bCs/>
                <w:lang w:val="en-GB"/>
              </w:rPr>
              <w:t>Answer</w:t>
            </w:r>
          </w:p>
        </w:tc>
      </w:tr>
      <w:tr w:rsidR="00181304" w:rsidRPr="007D39C3" w14:paraId="4E1B0FE7" w14:textId="77777777" w:rsidTr="00186C16">
        <w:trPr>
          <w:trHeight w:val="3050"/>
        </w:trPr>
        <w:tc>
          <w:tcPr>
            <w:tcW w:w="538" w:type="dxa"/>
          </w:tcPr>
          <w:p w14:paraId="7CC9F135" w14:textId="33E73F37" w:rsidR="00181304" w:rsidRPr="007D39C3" w:rsidRDefault="00134226" w:rsidP="00186C16">
            <w:pPr>
              <w:spacing w:before="60"/>
              <w:jc w:val="center"/>
              <w:rPr>
                <w:lang w:val="en-GB"/>
              </w:rPr>
            </w:pPr>
            <w:r w:rsidRPr="007D39C3">
              <w:rPr>
                <w:lang w:val="en-GB"/>
              </w:rPr>
              <w:t>1</w:t>
            </w:r>
          </w:p>
        </w:tc>
        <w:tc>
          <w:tcPr>
            <w:tcW w:w="4587" w:type="dxa"/>
          </w:tcPr>
          <w:p w14:paraId="018AAA6F" w14:textId="3A39DEC2" w:rsidR="002E120E" w:rsidRPr="00F9618D" w:rsidRDefault="002E120E" w:rsidP="00186C16">
            <w:pPr>
              <w:spacing w:before="60"/>
              <w:rPr>
                <w:rFonts w:cstheme="minorHAnsi"/>
                <w:b/>
              </w:rPr>
            </w:pPr>
            <w:r w:rsidRPr="00F9618D">
              <w:rPr>
                <w:rFonts w:cstheme="minorHAnsi"/>
                <w:b/>
              </w:rPr>
              <w:t>Scope and Equipment Definition</w:t>
            </w:r>
          </w:p>
          <w:p w14:paraId="3FB91986" w14:textId="59020ABA" w:rsidR="002E120E" w:rsidRPr="002E120E" w:rsidRDefault="002E120E" w:rsidP="00186C16">
            <w:pPr>
              <w:pStyle w:val="ListParagraph"/>
              <w:numPr>
                <w:ilvl w:val="0"/>
                <w:numId w:val="13"/>
              </w:numPr>
              <w:spacing w:before="60"/>
              <w:ind w:left="253" w:hanging="253"/>
              <w:contextualSpacing w:val="0"/>
              <w:jc w:val="both"/>
              <w:rPr>
                <w:rFonts w:cstheme="minorHAnsi"/>
              </w:rPr>
            </w:pPr>
            <w:r w:rsidRPr="002E120E">
              <w:rPr>
                <w:rFonts w:cstheme="minorHAnsi"/>
              </w:rPr>
              <w:t xml:space="preserve">The tender references an "FMB with 120-degree </w:t>
            </w:r>
            <w:r w:rsidR="00F31B55" w:rsidRPr="002E120E">
              <w:rPr>
                <w:rFonts w:cstheme="minorHAnsi"/>
              </w:rPr>
              <w:t>visualization</w:t>
            </w:r>
            <w:r w:rsidRPr="002E120E">
              <w:rPr>
                <w:rFonts w:cstheme="minorHAnsi"/>
              </w:rPr>
              <w:t xml:space="preserve">" in multiple places, but a 120-degree visual field corresponds to a DNV Class B console configuration, not Full Mission Bridge. </w:t>
            </w:r>
          </w:p>
          <w:p w14:paraId="6A378246" w14:textId="6040FB7A" w:rsidR="00181304" w:rsidRPr="002E120E" w:rsidRDefault="002E120E" w:rsidP="00186C16">
            <w:pPr>
              <w:pStyle w:val="ListParagraph"/>
              <w:numPr>
                <w:ilvl w:val="0"/>
                <w:numId w:val="13"/>
              </w:numPr>
              <w:spacing w:before="60"/>
              <w:ind w:left="253" w:hanging="253"/>
              <w:contextualSpacing w:val="0"/>
              <w:jc w:val="both"/>
              <w:rPr>
                <w:rFonts w:ascii="Aptos" w:hAnsi="Aptos"/>
              </w:rPr>
            </w:pPr>
            <w:r w:rsidRPr="002E120E">
              <w:rPr>
                <w:rFonts w:cstheme="minorHAnsi"/>
              </w:rPr>
              <w:t>Can you confirm whether the required setup is a Class B console simulator, and clarify if a Full Mission Bridge (270 degrees or more) is intended anywhere in the scope?</w:t>
            </w:r>
          </w:p>
        </w:tc>
        <w:tc>
          <w:tcPr>
            <w:tcW w:w="5295" w:type="dxa"/>
          </w:tcPr>
          <w:p w14:paraId="6E8DB9BA" w14:textId="3FE9B0ED" w:rsidR="00FC6337" w:rsidRPr="007B47F2" w:rsidRDefault="009F18D5" w:rsidP="00186C16">
            <w:pPr>
              <w:spacing w:before="60"/>
              <w:jc w:val="both"/>
              <w:rPr>
                <w:lang w:val="en-GB"/>
              </w:rPr>
            </w:pPr>
            <w:r w:rsidRPr="007B47F2">
              <w:rPr>
                <w:lang w:val="en-GB"/>
              </w:rPr>
              <w:t>Required Maritime simulator is FMB Class B with 120°deg</w:t>
            </w:r>
            <w:r w:rsidR="00F31B55" w:rsidRPr="007B47F2">
              <w:rPr>
                <w:lang w:val="en-GB"/>
              </w:rPr>
              <w:t>ree</w:t>
            </w:r>
            <w:r w:rsidRPr="007B47F2">
              <w:rPr>
                <w:lang w:val="en-GB"/>
              </w:rPr>
              <w:t xml:space="preserve"> visualisation</w:t>
            </w:r>
            <w:r w:rsidR="00D60309" w:rsidRPr="007B47F2">
              <w:rPr>
                <w:lang w:val="en-GB"/>
              </w:rPr>
              <w:t xml:space="preserve"> including all </w:t>
            </w:r>
            <w:r w:rsidR="00F31B55" w:rsidRPr="007B47F2">
              <w:rPr>
                <w:lang w:val="en-GB"/>
              </w:rPr>
              <w:t xml:space="preserve">other requirements as </w:t>
            </w:r>
            <w:r w:rsidR="00D60309" w:rsidRPr="007B47F2">
              <w:rPr>
                <w:lang w:val="en-GB"/>
              </w:rPr>
              <w:t>specified in technical sp</w:t>
            </w:r>
            <w:r w:rsidR="00F31B55" w:rsidRPr="007B47F2">
              <w:rPr>
                <w:lang w:val="en-GB"/>
              </w:rPr>
              <w:t>e</w:t>
            </w:r>
            <w:r w:rsidR="00D60309" w:rsidRPr="007B47F2">
              <w:rPr>
                <w:lang w:val="en-GB"/>
              </w:rPr>
              <w:t>cifications</w:t>
            </w:r>
            <w:r w:rsidRPr="007B47F2">
              <w:rPr>
                <w:lang w:val="en-GB"/>
              </w:rPr>
              <w:t>.</w:t>
            </w:r>
            <w:r w:rsidR="00124DDA" w:rsidRPr="007B47F2">
              <w:rPr>
                <w:color w:val="FF0000"/>
                <w:lang w:val="en-GB"/>
              </w:rPr>
              <w:t xml:space="preserve"> </w:t>
            </w:r>
          </w:p>
        </w:tc>
      </w:tr>
      <w:tr w:rsidR="009F18D5" w:rsidRPr="007D39C3" w14:paraId="2D539F83" w14:textId="77777777" w:rsidTr="00186C16">
        <w:trPr>
          <w:trHeight w:val="2420"/>
        </w:trPr>
        <w:tc>
          <w:tcPr>
            <w:tcW w:w="538" w:type="dxa"/>
          </w:tcPr>
          <w:p w14:paraId="7F3DEA27" w14:textId="4970DED5" w:rsidR="009F18D5" w:rsidRPr="007D39C3" w:rsidRDefault="009F18D5" w:rsidP="00186C16">
            <w:pPr>
              <w:spacing w:before="60"/>
              <w:jc w:val="center"/>
              <w:rPr>
                <w:lang w:val="en-GB"/>
              </w:rPr>
            </w:pPr>
            <w:r w:rsidRPr="007D39C3">
              <w:rPr>
                <w:lang w:val="en-GB"/>
              </w:rPr>
              <w:t>2</w:t>
            </w:r>
          </w:p>
        </w:tc>
        <w:tc>
          <w:tcPr>
            <w:tcW w:w="4587" w:type="dxa"/>
          </w:tcPr>
          <w:p w14:paraId="49D7D064" w14:textId="59237ADD" w:rsidR="009F18D5" w:rsidRPr="00F9618D" w:rsidRDefault="009F18D5" w:rsidP="00186C16">
            <w:pPr>
              <w:spacing w:before="60"/>
              <w:rPr>
                <w:rFonts w:cstheme="minorHAnsi"/>
                <w:b/>
              </w:rPr>
            </w:pPr>
            <w:r w:rsidRPr="00F9618D">
              <w:rPr>
                <w:rFonts w:cstheme="minorHAnsi"/>
                <w:b/>
              </w:rPr>
              <w:t>Crisis Management Simulator</w:t>
            </w:r>
          </w:p>
          <w:p w14:paraId="7762572E" w14:textId="77777777" w:rsidR="009F18D5" w:rsidRPr="00B97363" w:rsidRDefault="009F18D5" w:rsidP="00186C16">
            <w:pPr>
              <w:pStyle w:val="ListParagraph"/>
              <w:numPr>
                <w:ilvl w:val="0"/>
                <w:numId w:val="15"/>
              </w:numPr>
              <w:spacing w:before="60"/>
              <w:ind w:left="253" w:hanging="270"/>
              <w:contextualSpacing w:val="0"/>
              <w:jc w:val="both"/>
              <w:rPr>
                <w:rFonts w:cstheme="minorHAnsi"/>
              </w:rPr>
            </w:pPr>
            <w:r w:rsidRPr="00B97363">
              <w:rPr>
                <w:rFonts w:cstheme="minorHAnsi"/>
              </w:rPr>
              <w:t>Can you confirm whether this system is already installed at either school</w:t>
            </w:r>
          </w:p>
          <w:p w14:paraId="7D9AC453" w14:textId="77777777" w:rsidR="009F18D5" w:rsidRPr="00B97363" w:rsidRDefault="009F18D5" w:rsidP="00186C16">
            <w:pPr>
              <w:pStyle w:val="ListParagraph"/>
              <w:numPr>
                <w:ilvl w:val="0"/>
                <w:numId w:val="15"/>
              </w:numPr>
              <w:spacing w:before="60"/>
              <w:ind w:left="253" w:hanging="270"/>
              <w:contextualSpacing w:val="0"/>
              <w:jc w:val="both"/>
              <w:rPr>
                <w:rFonts w:cstheme="minorHAnsi"/>
              </w:rPr>
            </w:pPr>
            <w:r w:rsidRPr="00B97363">
              <w:rPr>
                <w:rFonts w:cstheme="minorHAnsi"/>
              </w:rPr>
              <w:t xml:space="preserve">Or is to be procured separately, and is it expected to be included in the Lot 5 bid price? </w:t>
            </w:r>
          </w:p>
          <w:p w14:paraId="054CE730" w14:textId="356A960B" w:rsidR="009F18D5" w:rsidRPr="00B97363" w:rsidRDefault="009F18D5" w:rsidP="00186C16">
            <w:pPr>
              <w:pStyle w:val="ListParagraph"/>
              <w:numPr>
                <w:ilvl w:val="0"/>
                <w:numId w:val="15"/>
              </w:numPr>
              <w:spacing w:before="60"/>
              <w:ind w:left="253" w:hanging="270"/>
              <w:contextualSpacing w:val="0"/>
              <w:jc w:val="both"/>
              <w:rPr>
                <w:rFonts w:cstheme="minorHAnsi"/>
              </w:rPr>
            </w:pPr>
            <w:r w:rsidRPr="00B97363">
              <w:rPr>
                <w:rFonts w:cstheme="minorHAnsi"/>
              </w:rPr>
              <w:t xml:space="preserve">If it must be supplied under this </w:t>
            </w:r>
            <w:r w:rsidRPr="00CB2D37">
              <w:rPr>
                <w:rFonts w:cstheme="minorHAnsi"/>
              </w:rPr>
              <w:t>lot, what are specific technical requirements for it?</w:t>
            </w:r>
          </w:p>
        </w:tc>
        <w:tc>
          <w:tcPr>
            <w:tcW w:w="5295" w:type="dxa"/>
          </w:tcPr>
          <w:p w14:paraId="3AC87355" w14:textId="1D381AAA" w:rsidR="009F18D5" w:rsidRPr="007B47F2" w:rsidRDefault="001B58DB" w:rsidP="00186C16">
            <w:pPr>
              <w:spacing w:before="60"/>
              <w:jc w:val="both"/>
              <w:rPr>
                <w:rFonts w:cstheme="minorHAnsi"/>
              </w:rPr>
            </w:pPr>
            <w:r w:rsidRPr="007B47F2">
              <w:rPr>
                <w:rFonts w:cstheme="minorHAnsi"/>
              </w:rPr>
              <w:t xml:space="preserve">The </w:t>
            </w:r>
            <w:r w:rsidR="009F18D5" w:rsidRPr="007B47F2">
              <w:rPr>
                <w:rFonts w:cstheme="minorHAnsi"/>
              </w:rPr>
              <w:t>Crisis Management Simulator</w:t>
            </w:r>
            <w:r w:rsidRPr="007B47F2">
              <w:rPr>
                <w:rFonts w:cstheme="minorHAnsi"/>
              </w:rPr>
              <w:t>s</w:t>
            </w:r>
            <w:r w:rsidR="009F18D5" w:rsidRPr="007B47F2">
              <w:rPr>
                <w:rFonts w:cstheme="minorHAnsi"/>
              </w:rPr>
              <w:t xml:space="preserve"> </w:t>
            </w:r>
            <w:r w:rsidRPr="007B47F2">
              <w:rPr>
                <w:rFonts w:cstheme="minorHAnsi"/>
              </w:rPr>
              <w:t xml:space="preserve">are not installed in schools and it </w:t>
            </w:r>
            <w:r w:rsidR="009F18D5" w:rsidRPr="007B47F2">
              <w:rPr>
                <w:rFonts w:cstheme="minorHAnsi"/>
              </w:rPr>
              <w:t>should be supplied under this lot.</w:t>
            </w:r>
          </w:p>
          <w:p w14:paraId="33DCBD04" w14:textId="77777777" w:rsidR="009F18D5" w:rsidRPr="007B47F2" w:rsidRDefault="009F18D5" w:rsidP="00186C16">
            <w:pPr>
              <w:spacing w:before="60"/>
              <w:jc w:val="both"/>
              <w:rPr>
                <w:rFonts w:cstheme="minorHAnsi"/>
              </w:rPr>
            </w:pPr>
            <w:r w:rsidRPr="007B47F2">
              <w:rPr>
                <w:rFonts w:cstheme="minorHAnsi"/>
              </w:rPr>
              <w:t>Crisis Management Simulator should present realistic emergency scenarios and adequate response.</w:t>
            </w:r>
          </w:p>
          <w:p w14:paraId="724DCA37" w14:textId="36FD5FAB" w:rsidR="00CB2D37" w:rsidRPr="007B47F2" w:rsidRDefault="00CB2D37" w:rsidP="00186C16">
            <w:pPr>
              <w:spacing w:before="60"/>
              <w:jc w:val="both"/>
              <w:rPr>
                <w:lang w:val="en-GB"/>
              </w:rPr>
            </w:pPr>
          </w:p>
        </w:tc>
      </w:tr>
      <w:tr w:rsidR="009F18D5" w:rsidRPr="007D39C3" w14:paraId="1763CBE6" w14:textId="77777777" w:rsidTr="00411639">
        <w:trPr>
          <w:trHeight w:val="2510"/>
        </w:trPr>
        <w:tc>
          <w:tcPr>
            <w:tcW w:w="538" w:type="dxa"/>
          </w:tcPr>
          <w:p w14:paraId="7C1B1E0E" w14:textId="0A217C45" w:rsidR="009F18D5" w:rsidRPr="007D39C3" w:rsidRDefault="009F18D5" w:rsidP="00186C16">
            <w:pPr>
              <w:spacing w:before="60"/>
              <w:jc w:val="center"/>
              <w:rPr>
                <w:lang w:val="en-GB"/>
              </w:rPr>
            </w:pPr>
            <w:r w:rsidRPr="007D39C3">
              <w:rPr>
                <w:lang w:val="en-GB"/>
              </w:rPr>
              <w:t>3</w:t>
            </w:r>
          </w:p>
        </w:tc>
        <w:tc>
          <w:tcPr>
            <w:tcW w:w="4587" w:type="dxa"/>
          </w:tcPr>
          <w:p w14:paraId="21D372DD" w14:textId="412D4794" w:rsidR="009F18D5" w:rsidRPr="00F9618D" w:rsidRDefault="009F18D5" w:rsidP="00186C16">
            <w:pPr>
              <w:spacing w:before="60"/>
              <w:rPr>
                <w:rFonts w:cstheme="minorHAnsi"/>
                <w:b/>
              </w:rPr>
            </w:pPr>
            <w:r w:rsidRPr="00F9618D">
              <w:rPr>
                <w:rFonts w:cstheme="minorHAnsi"/>
                <w:b/>
              </w:rPr>
              <w:t>Kotor-Specific Requirements, LNG and Methanol Simulator</w:t>
            </w:r>
          </w:p>
          <w:p w14:paraId="47EA4401" w14:textId="77777777" w:rsidR="009F18D5" w:rsidRPr="00B97363" w:rsidRDefault="009F18D5" w:rsidP="00186C16">
            <w:pPr>
              <w:pStyle w:val="ListParagraph"/>
              <w:numPr>
                <w:ilvl w:val="0"/>
                <w:numId w:val="16"/>
              </w:numPr>
              <w:spacing w:before="60"/>
              <w:ind w:left="253" w:hanging="270"/>
              <w:contextualSpacing w:val="0"/>
              <w:jc w:val="both"/>
              <w:rPr>
                <w:rFonts w:cstheme="minorHAnsi"/>
              </w:rPr>
            </w:pPr>
            <w:r w:rsidRPr="00B97363">
              <w:rPr>
                <w:rFonts w:cstheme="minorHAnsi"/>
              </w:rPr>
              <w:t xml:space="preserve">The compliance document includes items K.5.18 (Steam Turbine LNG Carrier Model) and K.5.19 (Methanol Bunkering Simulator under IGF Code) for the Kotor school. </w:t>
            </w:r>
          </w:p>
          <w:p w14:paraId="375D0B81" w14:textId="796F705F" w:rsidR="009F18D5" w:rsidRPr="00B97363" w:rsidRDefault="009F18D5" w:rsidP="00186C16">
            <w:pPr>
              <w:pStyle w:val="ListParagraph"/>
              <w:numPr>
                <w:ilvl w:val="0"/>
                <w:numId w:val="16"/>
              </w:numPr>
              <w:spacing w:before="60"/>
              <w:ind w:left="253" w:hanging="270"/>
              <w:contextualSpacing w:val="0"/>
              <w:jc w:val="both"/>
              <w:rPr>
                <w:rFonts w:ascii="Aptos" w:hAnsi="Aptos"/>
              </w:rPr>
            </w:pPr>
            <w:r w:rsidRPr="00B97363">
              <w:rPr>
                <w:rFonts w:cstheme="minorHAnsi"/>
              </w:rPr>
              <w:t>Does it have to be methanol or can be LNG or alternative fuel simulator?</w:t>
            </w:r>
          </w:p>
        </w:tc>
        <w:tc>
          <w:tcPr>
            <w:tcW w:w="5295" w:type="dxa"/>
          </w:tcPr>
          <w:p w14:paraId="078F16A1" w14:textId="780259DA" w:rsidR="009F18D5" w:rsidRPr="007D39C3" w:rsidRDefault="009F18D5" w:rsidP="00186C16">
            <w:pPr>
              <w:spacing w:before="60"/>
              <w:jc w:val="both"/>
              <w:rPr>
                <w:lang w:val="en-GB"/>
              </w:rPr>
            </w:pPr>
            <w:r w:rsidRPr="00CE4FBC">
              <w:t>Methanol or equivalent fuel</w:t>
            </w:r>
            <w:r>
              <w:t>,</w:t>
            </w:r>
            <w:r w:rsidRPr="00CE4FBC">
              <w:t xml:space="preserve"> enabling basic and advanced IGF code training is acceptable.</w:t>
            </w:r>
          </w:p>
        </w:tc>
      </w:tr>
      <w:tr w:rsidR="009F18D5" w:rsidRPr="007D39C3" w14:paraId="2BC8F58A" w14:textId="77777777" w:rsidTr="00186C16">
        <w:tc>
          <w:tcPr>
            <w:tcW w:w="538" w:type="dxa"/>
          </w:tcPr>
          <w:p w14:paraId="6A91ECE0" w14:textId="41A907A2" w:rsidR="009F18D5" w:rsidRPr="007D39C3" w:rsidRDefault="009F18D5" w:rsidP="00186C16">
            <w:pPr>
              <w:spacing w:before="60"/>
              <w:jc w:val="center"/>
              <w:rPr>
                <w:lang w:val="en-GB"/>
              </w:rPr>
            </w:pPr>
            <w:r w:rsidRPr="007D39C3">
              <w:rPr>
                <w:lang w:val="en-GB"/>
              </w:rPr>
              <w:t>4</w:t>
            </w:r>
          </w:p>
        </w:tc>
        <w:tc>
          <w:tcPr>
            <w:tcW w:w="4587" w:type="dxa"/>
          </w:tcPr>
          <w:p w14:paraId="262DDE0C" w14:textId="011FC3B3" w:rsidR="009F18D5" w:rsidRPr="00C02369" w:rsidRDefault="009F18D5" w:rsidP="00186C16">
            <w:pPr>
              <w:spacing w:before="60"/>
              <w:jc w:val="both"/>
              <w:rPr>
                <w:rFonts w:cstheme="minorHAnsi"/>
                <w:b/>
                <w:bCs/>
                <w:lang w:val="en-GB"/>
              </w:rPr>
            </w:pPr>
            <w:r w:rsidRPr="00C02369">
              <w:rPr>
                <w:rFonts w:cstheme="minorHAnsi"/>
                <w:b/>
                <w:bCs/>
                <w:lang w:val="en-GB"/>
              </w:rPr>
              <w:t>Split-Screen Conning Display</w:t>
            </w:r>
          </w:p>
          <w:p w14:paraId="7B3941A9" w14:textId="10FF8639" w:rsidR="009F18D5" w:rsidRPr="00F9618D" w:rsidRDefault="009F18D5" w:rsidP="00186C16">
            <w:pPr>
              <w:numPr>
                <w:ilvl w:val="0"/>
                <w:numId w:val="17"/>
              </w:numPr>
              <w:spacing w:before="60"/>
              <w:ind w:left="253" w:hanging="270"/>
              <w:jc w:val="both"/>
              <w:rPr>
                <w:rFonts w:cstheme="minorHAnsi"/>
                <w:bCs/>
                <w:lang w:val="en-GB"/>
              </w:rPr>
            </w:pPr>
            <w:r w:rsidRPr="00F9618D">
              <w:rPr>
                <w:rFonts w:cstheme="minorHAnsi"/>
                <w:bCs/>
                <w:lang w:val="en-GB"/>
              </w:rPr>
              <w:t xml:space="preserve">Can you confirm whether this must be a single physical display rendering both channels, and whether a dual-monitor setup (one screen for </w:t>
            </w:r>
            <w:r w:rsidRPr="00F9618D">
              <w:rPr>
                <w:rFonts w:cstheme="minorHAnsi"/>
                <w:bCs/>
                <w:lang w:val="en-GB"/>
              </w:rPr>
              <w:lastRenderedPageBreak/>
              <w:t>visual, one for conning) would satisfy this requirement?</w:t>
            </w:r>
          </w:p>
        </w:tc>
        <w:tc>
          <w:tcPr>
            <w:tcW w:w="5295" w:type="dxa"/>
          </w:tcPr>
          <w:p w14:paraId="3734D0BE" w14:textId="77777777" w:rsidR="009F18D5" w:rsidRPr="007D39C3" w:rsidRDefault="009F18D5" w:rsidP="00186C16">
            <w:pPr>
              <w:spacing w:before="60"/>
              <w:jc w:val="both"/>
              <w:rPr>
                <w:lang w:val="en-GB"/>
              </w:rPr>
            </w:pPr>
            <w:r>
              <w:rPr>
                <w:lang w:val="en-GB"/>
              </w:rPr>
              <w:lastRenderedPageBreak/>
              <w:t xml:space="preserve">One single display is requested. </w:t>
            </w:r>
            <w:r w:rsidRPr="007D39C3">
              <w:rPr>
                <w:lang w:val="en-GB"/>
              </w:rPr>
              <w:t>Tenderers are allowed to offer better specifications.</w:t>
            </w:r>
            <w:r>
              <w:rPr>
                <w:lang w:val="en-GB"/>
              </w:rPr>
              <w:t xml:space="preserve"> D</w:t>
            </w:r>
            <w:r w:rsidRPr="00CE4FBC">
              <w:rPr>
                <w:rFonts w:cstheme="minorHAnsi"/>
                <w:bCs/>
                <w:lang w:val="en-GB"/>
              </w:rPr>
              <w:t>ual-monitor setup</w:t>
            </w:r>
            <w:r>
              <w:rPr>
                <w:rFonts w:cstheme="minorHAnsi"/>
                <w:bCs/>
                <w:lang w:val="en-GB"/>
              </w:rPr>
              <w:t xml:space="preserve"> is acceptable.</w:t>
            </w:r>
          </w:p>
          <w:p w14:paraId="5E98ED00" w14:textId="0CAFE64C" w:rsidR="009F18D5" w:rsidRPr="007D39C3" w:rsidRDefault="009F18D5" w:rsidP="00186C16">
            <w:pPr>
              <w:spacing w:before="60"/>
              <w:rPr>
                <w:lang w:val="en-GB"/>
              </w:rPr>
            </w:pPr>
          </w:p>
        </w:tc>
      </w:tr>
      <w:tr w:rsidR="009F18D5" w:rsidRPr="007D39C3" w14:paraId="16155A83" w14:textId="77777777" w:rsidTr="00411639">
        <w:trPr>
          <w:trHeight w:val="2231"/>
        </w:trPr>
        <w:tc>
          <w:tcPr>
            <w:tcW w:w="538" w:type="dxa"/>
          </w:tcPr>
          <w:p w14:paraId="57806F1F" w14:textId="0C969DE8" w:rsidR="009F18D5" w:rsidRPr="007D39C3" w:rsidRDefault="009F18D5" w:rsidP="00186C16">
            <w:pPr>
              <w:spacing w:before="60"/>
              <w:jc w:val="center"/>
              <w:rPr>
                <w:lang w:val="en-GB"/>
              </w:rPr>
            </w:pPr>
            <w:r w:rsidRPr="007D39C3">
              <w:rPr>
                <w:lang w:val="en-GB"/>
              </w:rPr>
              <w:t>5</w:t>
            </w:r>
          </w:p>
        </w:tc>
        <w:tc>
          <w:tcPr>
            <w:tcW w:w="4587" w:type="dxa"/>
          </w:tcPr>
          <w:p w14:paraId="2F48822B" w14:textId="3AA34FB8" w:rsidR="009F18D5" w:rsidRPr="00C02369" w:rsidRDefault="009F18D5" w:rsidP="00186C16">
            <w:pPr>
              <w:spacing w:before="60"/>
              <w:jc w:val="both"/>
              <w:rPr>
                <w:b/>
                <w:lang w:val="en-GB"/>
              </w:rPr>
            </w:pPr>
            <w:r w:rsidRPr="00C02369">
              <w:rPr>
                <w:b/>
                <w:lang w:val="en-GB"/>
              </w:rPr>
              <w:t xml:space="preserve">Training Days </w:t>
            </w:r>
          </w:p>
          <w:p w14:paraId="3164E7F8" w14:textId="55F0A4B0" w:rsidR="009F18D5" w:rsidRDefault="009F18D5" w:rsidP="00186C16">
            <w:pPr>
              <w:pStyle w:val="ListParagraph"/>
              <w:numPr>
                <w:ilvl w:val="0"/>
                <w:numId w:val="18"/>
              </w:numPr>
              <w:spacing w:before="60"/>
              <w:ind w:left="253" w:hanging="270"/>
              <w:contextualSpacing w:val="0"/>
              <w:jc w:val="both"/>
              <w:rPr>
                <w:lang w:val="en-GB"/>
              </w:rPr>
            </w:pPr>
            <w:r w:rsidRPr="00C02369">
              <w:rPr>
                <w:lang w:val="en-GB"/>
              </w:rPr>
              <w:t xml:space="preserve">The compliance matrix </w:t>
            </w:r>
            <w:r w:rsidR="00082738" w:rsidRPr="00C02369">
              <w:rPr>
                <w:lang w:val="en-GB"/>
              </w:rPr>
              <w:t>refers</w:t>
            </w:r>
            <w:r w:rsidRPr="00C02369">
              <w:rPr>
                <w:lang w:val="en-GB"/>
              </w:rPr>
              <w:t xml:space="preserve"> to training of 5 days for Navigation, 5 days for Engine Room, and 3 days for GMDSS. </w:t>
            </w:r>
          </w:p>
          <w:p w14:paraId="7533D6BE" w14:textId="0723F096" w:rsidR="009F18D5" w:rsidRPr="00C02369" w:rsidRDefault="009F18D5" w:rsidP="00186C16">
            <w:pPr>
              <w:pStyle w:val="ListParagraph"/>
              <w:numPr>
                <w:ilvl w:val="0"/>
                <w:numId w:val="18"/>
              </w:numPr>
              <w:spacing w:before="60"/>
              <w:ind w:left="253" w:hanging="270"/>
              <w:contextualSpacing w:val="0"/>
              <w:jc w:val="both"/>
              <w:rPr>
                <w:lang w:val="en-GB"/>
              </w:rPr>
            </w:pPr>
            <w:r w:rsidRPr="00C02369">
              <w:rPr>
                <w:lang w:val="en-GB"/>
              </w:rPr>
              <w:t>Can you confirm if the training is required at both Bar and Kotor or separately in line with the split.</w:t>
            </w:r>
          </w:p>
        </w:tc>
        <w:tc>
          <w:tcPr>
            <w:tcW w:w="5295" w:type="dxa"/>
          </w:tcPr>
          <w:p w14:paraId="60C23919" w14:textId="2622EEC8" w:rsidR="009F18D5" w:rsidRPr="007D39C3" w:rsidRDefault="009F18D5" w:rsidP="00186C16">
            <w:pPr>
              <w:spacing w:before="60"/>
              <w:jc w:val="both"/>
              <w:rPr>
                <w:lang w:val="en-GB"/>
              </w:rPr>
            </w:pPr>
            <w:r>
              <w:rPr>
                <w:lang w:val="en-GB"/>
              </w:rPr>
              <w:t xml:space="preserve">Training should be organised separately in each school or jointly for both schools considering that </w:t>
            </w:r>
            <w:r w:rsidR="00082738" w:rsidRPr="000B1A19">
              <w:rPr>
                <w:lang w:val="en-GB"/>
              </w:rPr>
              <w:t>one type</w:t>
            </w:r>
            <w:r w:rsidRPr="000B1A19">
              <w:rPr>
                <w:lang w:val="en-GB"/>
              </w:rPr>
              <w:t xml:space="preserve"> of a training should be organised in Kotor and </w:t>
            </w:r>
            <w:r w:rsidR="000B1A19" w:rsidRPr="000B1A19">
              <w:rPr>
                <w:lang w:val="en-GB"/>
              </w:rPr>
              <w:t xml:space="preserve">one </w:t>
            </w:r>
            <w:r w:rsidR="000B1A19">
              <w:rPr>
                <w:lang w:val="en-GB"/>
              </w:rPr>
              <w:t xml:space="preserve">type </w:t>
            </w:r>
            <w:r w:rsidRPr="000B1A19">
              <w:rPr>
                <w:lang w:val="en-GB"/>
              </w:rPr>
              <w:t>in Bar</w:t>
            </w:r>
            <w:r>
              <w:rPr>
                <w:lang w:val="en-GB"/>
              </w:rPr>
              <w:t xml:space="preserve"> school proportionally.</w:t>
            </w:r>
          </w:p>
        </w:tc>
      </w:tr>
      <w:tr w:rsidR="009F18D5" w:rsidRPr="007D39C3" w14:paraId="1D400956" w14:textId="77777777" w:rsidTr="00411639">
        <w:trPr>
          <w:trHeight w:val="3950"/>
        </w:trPr>
        <w:tc>
          <w:tcPr>
            <w:tcW w:w="538" w:type="dxa"/>
          </w:tcPr>
          <w:p w14:paraId="63AA6CFB" w14:textId="09348EC6" w:rsidR="009F18D5" w:rsidRPr="00EA5AEA" w:rsidRDefault="009F18D5" w:rsidP="00186C16">
            <w:pPr>
              <w:spacing w:before="60"/>
              <w:jc w:val="center"/>
              <w:rPr>
                <w:lang w:val="en-GB"/>
              </w:rPr>
            </w:pPr>
            <w:r w:rsidRPr="00EA5AEA">
              <w:rPr>
                <w:lang w:val="en-GB"/>
              </w:rPr>
              <w:t>6</w:t>
            </w:r>
          </w:p>
        </w:tc>
        <w:tc>
          <w:tcPr>
            <w:tcW w:w="4587" w:type="dxa"/>
          </w:tcPr>
          <w:p w14:paraId="1F3F617A" w14:textId="26360756" w:rsidR="009F18D5" w:rsidRPr="00087B9F" w:rsidRDefault="009F18D5" w:rsidP="00186C16">
            <w:pPr>
              <w:spacing w:before="60"/>
              <w:jc w:val="both"/>
              <w:rPr>
                <w:b/>
                <w:bCs/>
                <w:lang w:val="en-GB"/>
              </w:rPr>
            </w:pPr>
            <w:r w:rsidRPr="00087B9F">
              <w:rPr>
                <w:b/>
                <w:bCs/>
                <w:lang w:val="en-GB"/>
              </w:rPr>
              <w:t>Audited Financial Statements, 2025 Inclusion</w:t>
            </w:r>
          </w:p>
          <w:p w14:paraId="5A4B8652" w14:textId="77777777" w:rsidR="009F18D5" w:rsidRDefault="009F18D5" w:rsidP="00186C16">
            <w:pPr>
              <w:numPr>
                <w:ilvl w:val="0"/>
                <w:numId w:val="19"/>
              </w:numPr>
              <w:spacing w:before="60"/>
              <w:ind w:left="253" w:hanging="270"/>
              <w:jc w:val="both"/>
              <w:rPr>
                <w:bCs/>
                <w:lang w:val="en-GB"/>
              </w:rPr>
            </w:pPr>
            <w:r w:rsidRPr="00EA5AEA">
              <w:rPr>
                <w:bCs/>
                <w:lang w:val="en-GB"/>
              </w:rPr>
              <w:t xml:space="preserve">The tender requires audited balance sheets for financially closed years 2025, 2024, and 2023. </w:t>
            </w:r>
          </w:p>
          <w:p w14:paraId="1C23CDED" w14:textId="1E6CD587" w:rsidR="009F18D5" w:rsidRPr="00EA5AEA" w:rsidRDefault="009F18D5" w:rsidP="00186C16">
            <w:pPr>
              <w:numPr>
                <w:ilvl w:val="0"/>
                <w:numId w:val="19"/>
              </w:numPr>
              <w:spacing w:before="60"/>
              <w:ind w:left="253" w:hanging="270"/>
              <w:jc w:val="both"/>
              <w:rPr>
                <w:bCs/>
                <w:lang w:val="en-GB"/>
              </w:rPr>
            </w:pPr>
            <w:r w:rsidRPr="00EA5AEA">
              <w:rPr>
                <w:bCs/>
                <w:lang w:val="en-GB"/>
              </w:rPr>
              <w:t>Can you confirm whether audited 2024 accounts would be accepted for the most recent year?</w:t>
            </w:r>
          </w:p>
        </w:tc>
        <w:tc>
          <w:tcPr>
            <w:tcW w:w="5295" w:type="dxa"/>
          </w:tcPr>
          <w:p w14:paraId="249FB06D" w14:textId="2FDE1079" w:rsidR="009F18D5" w:rsidRPr="004B7856" w:rsidRDefault="009F18D5" w:rsidP="00186C16">
            <w:pPr>
              <w:pStyle w:val="NormalWeb"/>
              <w:spacing w:before="60" w:beforeAutospacing="0"/>
              <w:jc w:val="both"/>
              <w:rPr>
                <w:rFonts w:asciiTheme="minorHAnsi" w:hAnsiTheme="minorHAnsi" w:cstheme="minorHAnsi"/>
                <w:sz w:val="22"/>
                <w:szCs w:val="22"/>
              </w:rPr>
            </w:pPr>
            <w:r>
              <w:rPr>
                <w:rFonts w:asciiTheme="minorHAnsi" w:hAnsiTheme="minorHAnsi" w:cstheme="minorHAnsi"/>
                <w:sz w:val="22"/>
                <w:szCs w:val="22"/>
                <w:lang w:val="en-GB"/>
              </w:rPr>
              <w:t xml:space="preserve">With reference to Section III </w:t>
            </w:r>
            <w:r w:rsidRPr="001A3502">
              <w:rPr>
                <w:rFonts w:asciiTheme="minorHAnsi" w:hAnsiTheme="minorHAnsi" w:cstheme="minorHAnsi"/>
                <w:sz w:val="22"/>
                <w:szCs w:val="22"/>
                <w:lang w:val="en-GB"/>
              </w:rPr>
              <w:t>- Evaluation and Qualification Criteria</w:t>
            </w:r>
            <w:r>
              <w:rPr>
                <w:rFonts w:asciiTheme="minorHAnsi" w:hAnsiTheme="minorHAnsi" w:cstheme="minorHAnsi"/>
                <w:sz w:val="22"/>
                <w:szCs w:val="22"/>
                <w:lang w:val="en-GB"/>
              </w:rPr>
              <w:t xml:space="preserve">, </w:t>
            </w:r>
            <w:r w:rsidRPr="00965DEA">
              <w:rPr>
                <w:rFonts w:asciiTheme="minorHAnsi" w:hAnsiTheme="minorHAnsi" w:cstheme="minorHAnsi"/>
                <w:sz w:val="22"/>
                <w:szCs w:val="22"/>
                <w:lang w:val="en-GB"/>
              </w:rPr>
              <w:t>Financial Capability:</w:t>
            </w:r>
            <w:r w:rsidRPr="001A3502">
              <w:rPr>
                <w:rFonts w:asciiTheme="minorHAnsi" w:hAnsiTheme="minorHAnsi" w:cstheme="minorHAnsi"/>
                <w:sz w:val="22"/>
                <w:szCs w:val="22"/>
                <w:lang w:val="en-GB"/>
              </w:rPr>
              <w:t xml:space="preserve"> </w:t>
            </w:r>
            <w:r w:rsidRPr="00965DEA">
              <w:rPr>
                <w:rFonts w:asciiTheme="minorHAnsi" w:hAnsiTheme="minorHAnsi" w:cstheme="minorHAnsi"/>
                <w:i/>
                <w:sz w:val="22"/>
                <w:szCs w:val="22"/>
                <w:lang w:val="en-GB"/>
              </w:rPr>
              <w:t>“The Bidder shall submit the audited balance sheets or, if not required by the laws of the Bidder’s country, other financial statements acceptable to the Purchaser, for the last three (3) financially closed years (i.e. 2025, 2024 and 2023). These statements must demonstrate a positive profit in at least two out of the above mentioned three financial years. One of those two years must be the last closed financial year</w:t>
            </w:r>
            <w:r w:rsidRPr="003565D0">
              <w:rPr>
                <w:rFonts w:asciiTheme="minorHAnsi" w:hAnsiTheme="minorHAnsi" w:cstheme="minorHAnsi"/>
                <w:i/>
                <w:sz w:val="22"/>
                <w:szCs w:val="22"/>
                <w:u w:val="single"/>
                <w:lang w:val="en-GB"/>
              </w:rPr>
              <w:t>. If the financial year 2025 has not been closed, the financial years 2024, 2023 and 2022 will be taken into consideration”</w:t>
            </w:r>
            <w:r w:rsidRPr="003565D0">
              <w:rPr>
                <w:rFonts w:asciiTheme="minorHAnsi" w:hAnsiTheme="minorHAnsi" w:cstheme="minorHAnsi"/>
                <w:sz w:val="22"/>
                <w:szCs w:val="22"/>
                <w:u w:val="single"/>
                <w:lang w:val="en-GB"/>
              </w:rPr>
              <w:t>,</w:t>
            </w:r>
            <w:r>
              <w:rPr>
                <w:rFonts w:asciiTheme="minorHAnsi" w:hAnsiTheme="minorHAnsi" w:cstheme="minorHAnsi"/>
                <w:sz w:val="22"/>
                <w:szCs w:val="22"/>
                <w:lang w:val="en-GB"/>
              </w:rPr>
              <w:t xml:space="preserve"> </w:t>
            </w:r>
            <w:r w:rsidRPr="004E6B93">
              <w:rPr>
                <w:rFonts w:asciiTheme="minorHAnsi" w:hAnsiTheme="minorHAnsi" w:cstheme="minorHAnsi"/>
                <w:sz w:val="22"/>
                <w:szCs w:val="22"/>
                <w:u w:val="single"/>
                <w:lang w:val="en-GB"/>
              </w:rPr>
              <w:t>therefore if 2024 represents the most recently closed financial year, it shall be considered acceptable.</w:t>
            </w:r>
          </w:p>
        </w:tc>
      </w:tr>
      <w:tr w:rsidR="009F18D5" w:rsidRPr="007D39C3" w14:paraId="32D60D47" w14:textId="77777777" w:rsidTr="00186C16">
        <w:tc>
          <w:tcPr>
            <w:tcW w:w="538" w:type="dxa"/>
          </w:tcPr>
          <w:p w14:paraId="50FBDB48" w14:textId="4055EBF7" w:rsidR="009F18D5" w:rsidRPr="007D39C3" w:rsidRDefault="009F18D5" w:rsidP="00186C16">
            <w:pPr>
              <w:spacing w:before="60"/>
              <w:jc w:val="center"/>
              <w:rPr>
                <w:lang w:val="en-GB"/>
              </w:rPr>
            </w:pPr>
            <w:r w:rsidRPr="007D39C3">
              <w:rPr>
                <w:lang w:val="en-GB"/>
              </w:rPr>
              <w:t>7</w:t>
            </w:r>
          </w:p>
        </w:tc>
        <w:tc>
          <w:tcPr>
            <w:tcW w:w="4587" w:type="dxa"/>
          </w:tcPr>
          <w:p w14:paraId="2B0CFFFE" w14:textId="01C423BF" w:rsidR="009F18D5" w:rsidRPr="00087B9F" w:rsidRDefault="009F18D5" w:rsidP="00186C16">
            <w:pPr>
              <w:spacing w:before="60"/>
              <w:jc w:val="both"/>
              <w:rPr>
                <w:b/>
                <w:lang w:val="en-GB"/>
              </w:rPr>
            </w:pPr>
            <w:r w:rsidRPr="00087B9F">
              <w:rPr>
                <w:b/>
                <w:lang w:val="en-GB"/>
              </w:rPr>
              <w:t>Bid Security, Format and Acceptable Issuing Banks</w:t>
            </w:r>
          </w:p>
          <w:p w14:paraId="24976C43" w14:textId="77777777" w:rsidR="009F18D5" w:rsidRDefault="009F18D5" w:rsidP="00186C16">
            <w:pPr>
              <w:pStyle w:val="ListParagraph"/>
              <w:numPr>
                <w:ilvl w:val="0"/>
                <w:numId w:val="20"/>
              </w:numPr>
              <w:spacing w:before="60"/>
              <w:ind w:left="253" w:hanging="253"/>
              <w:contextualSpacing w:val="0"/>
              <w:jc w:val="both"/>
              <w:rPr>
                <w:lang w:val="en-GB"/>
              </w:rPr>
            </w:pPr>
            <w:r w:rsidRPr="00AC0B48">
              <w:rPr>
                <w:lang w:val="en-GB"/>
              </w:rPr>
              <w:t>The bid security requirement is EUR 14,400. Can you confirm preferred security (bank guarantee, insurance bond, or cash),</w:t>
            </w:r>
          </w:p>
          <w:p w14:paraId="6918364A" w14:textId="60211AA2" w:rsidR="009F18D5" w:rsidRPr="00AC0B48" w:rsidRDefault="009F18D5" w:rsidP="00186C16">
            <w:pPr>
              <w:pStyle w:val="ListParagraph"/>
              <w:numPr>
                <w:ilvl w:val="0"/>
                <w:numId w:val="20"/>
              </w:numPr>
              <w:spacing w:before="60"/>
              <w:ind w:left="253" w:hanging="253"/>
              <w:contextualSpacing w:val="0"/>
              <w:jc w:val="both"/>
              <w:rPr>
                <w:lang w:val="en-GB"/>
              </w:rPr>
            </w:pPr>
            <w:r w:rsidRPr="00AC0B48">
              <w:rPr>
                <w:lang w:val="en-GB"/>
              </w:rPr>
              <w:t>If the security must be issued by a registered EU-based bank guarantee is acceptable?</w:t>
            </w:r>
          </w:p>
        </w:tc>
        <w:tc>
          <w:tcPr>
            <w:tcW w:w="5295" w:type="dxa"/>
          </w:tcPr>
          <w:p w14:paraId="6199F23A" w14:textId="38C610EF" w:rsidR="009F18D5" w:rsidRPr="000B1A19" w:rsidRDefault="009F18D5" w:rsidP="00186C16">
            <w:pPr>
              <w:pStyle w:val="Sub-ClauseText"/>
              <w:spacing w:before="60" w:after="200"/>
              <w:rPr>
                <w:rStyle w:val="Strong"/>
                <w:rFonts w:asciiTheme="minorHAnsi" w:hAnsiTheme="minorHAnsi" w:cstheme="minorHAnsi"/>
                <w:b w:val="0"/>
                <w:sz w:val="22"/>
                <w:szCs w:val="22"/>
              </w:rPr>
            </w:pPr>
            <w:r w:rsidRPr="000B1A19">
              <w:rPr>
                <w:rStyle w:val="Strong"/>
                <w:rFonts w:asciiTheme="minorHAnsi" w:hAnsiTheme="minorHAnsi" w:cstheme="minorHAnsi"/>
                <w:b w:val="0"/>
                <w:sz w:val="22"/>
                <w:szCs w:val="22"/>
              </w:rPr>
              <w:t>With reference to Section I, Instruction to Bidders,</w:t>
            </w:r>
            <w:r w:rsidRPr="000B1A19">
              <w:rPr>
                <w:rStyle w:val="Strong"/>
                <w:rFonts w:asciiTheme="minorHAnsi" w:hAnsiTheme="minorHAnsi" w:cstheme="minorHAnsi"/>
                <w:sz w:val="22"/>
                <w:szCs w:val="22"/>
              </w:rPr>
              <w:t xml:space="preserve"> </w:t>
            </w:r>
            <w:r w:rsidRPr="000B1A19">
              <w:rPr>
                <w:rStyle w:val="Strong"/>
                <w:rFonts w:asciiTheme="minorHAnsi" w:hAnsiTheme="minorHAnsi" w:cstheme="minorHAnsi"/>
                <w:b w:val="0"/>
                <w:sz w:val="22"/>
                <w:szCs w:val="22"/>
              </w:rPr>
              <w:t>point 19.1,</w:t>
            </w:r>
            <w:r w:rsidRPr="000B1A19">
              <w:rPr>
                <w:rStyle w:val="Strong"/>
                <w:rFonts w:asciiTheme="minorHAnsi" w:hAnsiTheme="minorHAnsi" w:cstheme="minorHAnsi"/>
                <w:sz w:val="22"/>
                <w:szCs w:val="22"/>
              </w:rPr>
              <w:t xml:space="preserve"> </w:t>
            </w:r>
            <w:r w:rsidRPr="000B1A19">
              <w:rPr>
                <w:rFonts w:asciiTheme="minorHAnsi" w:hAnsiTheme="minorHAnsi" w:cstheme="minorHAnsi"/>
                <w:spacing w:val="0"/>
              </w:rPr>
              <w:t>“</w:t>
            </w:r>
            <w:r w:rsidRPr="000B1A19">
              <w:rPr>
                <w:rFonts w:asciiTheme="minorHAnsi" w:hAnsiTheme="minorHAnsi" w:cstheme="minorHAnsi"/>
                <w:i/>
                <w:spacing w:val="0"/>
                <w:sz w:val="22"/>
                <w:szCs w:val="22"/>
              </w:rPr>
              <w:t xml:space="preserve">the Bid Security shall be a demand guarantee in any of the following forms at the Bidder’s option: a) </w:t>
            </w:r>
            <w:r w:rsidRPr="000B1A19">
              <w:rPr>
                <w:rFonts w:asciiTheme="minorHAnsi" w:hAnsiTheme="minorHAnsi" w:cstheme="minorHAnsi"/>
                <w:i/>
                <w:sz w:val="22"/>
                <w:szCs w:val="22"/>
              </w:rPr>
              <w:t>an unconditional guarantee issued by a bank or non-bank financial institution (such as an insurance, bonding or surety company); b) an irrevocable letter of credit; c) a cashier’s or certified check</w:t>
            </w:r>
            <w:r w:rsidRPr="000B1A19">
              <w:rPr>
                <w:rStyle w:val="Strong"/>
                <w:rFonts w:asciiTheme="minorHAnsi" w:hAnsiTheme="minorHAnsi" w:cstheme="minorHAnsi"/>
                <w:b w:val="0"/>
              </w:rPr>
              <w:t xml:space="preserve">”. </w:t>
            </w:r>
            <w:r w:rsidRPr="000B1A19">
              <w:rPr>
                <w:rStyle w:val="Strong"/>
                <w:rFonts w:asciiTheme="minorHAnsi" w:hAnsiTheme="minorHAnsi" w:cstheme="minorHAnsi"/>
                <w:b w:val="0"/>
                <w:sz w:val="22"/>
                <w:szCs w:val="22"/>
              </w:rPr>
              <w:t>The Form of Bid Security (Bank Guarantee) is given on page 75 of the Request for Bids.</w:t>
            </w:r>
          </w:p>
          <w:p w14:paraId="60E7AC9E" w14:textId="74E255C1" w:rsidR="009F18D5" w:rsidRPr="000B1A19" w:rsidRDefault="009F18D5" w:rsidP="00186C16">
            <w:pPr>
              <w:pStyle w:val="Sub-ClauseText"/>
              <w:spacing w:before="60"/>
              <w:rPr>
                <w:rStyle w:val="Strong"/>
                <w:rFonts w:asciiTheme="minorHAnsi" w:hAnsiTheme="minorHAnsi" w:cstheme="minorHAnsi"/>
                <w:b w:val="0"/>
                <w:sz w:val="22"/>
                <w:szCs w:val="22"/>
              </w:rPr>
            </w:pPr>
            <w:r w:rsidRPr="000B1A19">
              <w:rPr>
                <w:rFonts w:asciiTheme="minorHAnsi" w:hAnsiTheme="minorHAnsi" w:cstheme="minorHAnsi"/>
                <w:bCs/>
                <w:sz w:val="22"/>
                <w:szCs w:val="22"/>
                <w:lang w:val="en-US"/>
              </w:rPr>
              <w:t xml:space="preserve">A </w:t>
            </w:r>
            <w:r w:rsidR="00186C16" w:rsidRPr="000B1A19">
              <w:rPr>
                <w:rFonts w:asciiTheme="minorHAnsi" w:hAnsiTheme="minorHAnsi" w:cstheme="minorHAnsi"/>
                <w:bCs/>
                <w:sz w:val="22"/>
                <w:szCs w:val="22"/>
                <w:lang w:val="en-US"/>
              </w:rPr>
              <w:t xml:space="preserve">bid </w:t>
            </w:r>
            <w:r w:rsidRPr="000B1A19">
              <w:rPr>
                <w:rFonts w:asciiTheme="minorHAnsi" w:hAnsiTheme="minorHAnsi" w:cstheme="minorHAnsi"/>
                <w:bCs/>
                <w:sz w:val="22"/>
                <w:szCs w:val="22"/>
                <w:lang w:val="en-US"/>
              </w:rPr>
              <w:t xml:space="preserve">security in the form of a bank guarantee issued by a </w:t>
            </w:r>
            <w:r w:rsidR="003565D0" w:rsidRPr="000B1A19">
              <w:rPr>
                <w:rFonts w:asciiTheme="minorHAnsi" w:hAnsiTheme="minorHAnsi" w:cstheme="minorHAnsi"/>
                <w:bCs/>
                <w:sz w:val="22"/>
                <w:szCs w:val="22"/>
                <w:lang w:val="en-US"/>
              </w:rPr>
              <w:t xml:space="preserve">registered </w:t>
            </w:r>
            <w:r w:rsidR="007D6E9A" w:rsidRPr="000B1A19">
              <w:rPr>
                <w:rFonts w:asciiTheme="minorHAnsi" w:hAnsiTheme="minorHAnsi" w:cstheme="minorHAnsi"/>
                <w:bCs/>
                <w:sz w:val="22"/>
                <w:szCs w:val="22"/>
                <w:lang w:val="en-US"/>
              </w:rPr>
              <w:t>creditworthy</w:t>
            </w:r>
            <w:r w:rsidR="003565D0" w:rsidRPr="000B1A19">
              <w:rPr>
                <w:rFonts w:asciiTheme="minorHAnsi" w:hAnsiTheme="minorHAnsi" w:cstheme="minorHAnsi"/>
                <w:bCs/>
                <w:sz w:val="22"/>
                <w:szCs w:val="22"/>
                <w:lang w:val="en-US"/>
              </w:rPr>
              <w:t xml:space="preserve"> </w:t>
            </w:r>
            <w:r w:rsidRPr="000B1A19">
              <w:rPr>
                <w:rFonts w:asciiTheme="minorHAnsi" w:hAnsiTheme="minorHAnsi" w:cstheme="minorHAnsi"/>
                <w:bCs/>
                <w:sz w:val="22"/>
                <w:szCs w:val="22"/>
                <w:lang w:val="en-US"/>
              </w:rPr>
              <w:t>EU-based bank is acceptable.</w:t>
            </w:r>
          </w:p>
        </w:tc>
      </w:tr>
      <w:tr w:rsidR="009F18D5" w:rsidRPr="007D39C3" w14:paraId="3E32C81B" w14:textId="77777777" w:rsidTr="007D6E9A">
        <w:trPr>
          <w:trHeight w:val="2447"/>
        </w:trPr>
        <w:tc>
          <w:tcPr>
            <w:tcW w:w="538" w:type="dxa"/>
          </w:tcPr>
          <w:p w14:paraId="72AB39F1" w14:textId="3B4A38C0" w:rsidR="009F18D5" w:rsidRPr="007D39C3" w:rsidRDefault="009F18D5" w:rsidP="00186C16">
            <w:pPr>
              <w:spacing w:before="60"/>
              <w:jc w:val="center"/>
              <w:rPr>
                <w:lang w:val="en-GB"/>
              </w:rPr>
            </w:pPr>
            <w:r w:rsidRPr="007D39C3">
              <w:rPr>
                <w:lang w:val="en-GB"/>
              </w:rPr>
              <w:t>8</w:t>
            </w:r>
          </w:p>
        </w:tc>
        <w:tc>
          <w:tcPr>
            <w:tcW w:w="4587" w:type="dxa"/>
          </w:tcPr>
          <w:p w14:paraId="3E9F0AD3" w14:textId="5C9BFE06" w:rsidR="009F18D5" w:rsidRPr="00087B9F" w:rsidRDefault="009F18D5" w:rsidP="00186C16">
            <w:pPr>
              <w:spacing w:before="60"/>
              <w:jc w:val="both"/>
              <w:rPr>
                <w:b/>
                <w:bCs/>
                <w:lang w:val="en-GB"/>
              </w:rPr>
            </w:pPr>
            <w:r w:rsidRPr="00087B9F">
              <w:rPr>
                <w:b/>
                <w:bCs/>
                <w:lang w:val="en-GB"/>
              </w:rPr>
              <w:t>Delivery Timeline, 16 Weeks from Award</w:t>
            </w:r>
          </w:p>
          <w:p w14:paraId="7B6D4071" w14:textId="77777777" w:rsidR="009F18D5" w:rsidRDefault="009F18D5" w:rsidP="00186C16">
            <w:pPr>
              <w:pStyle w:val="ListParagraph"/>
              <w:numPr>
                <w:ilvl w:val="0"/>
                <w:numId w:val="21"/>
              </w:numPr>
              <w:spacing w:before="60"/>
              <w:ind w:left="253" w:hanging="270"/>
              <w:contextualSpacing w:val="0"/>
              <w:jc w:val="both"/>
              <w:rPr>
                <w:bCs/>
                <w:lang w:val="en-GB"/>
              </w:rPr>
            </w:pPr>
            <w:r w:rsidRPr="0038245C">
              <w:rPr>
                <w:bCs/>
                <w:lang w:val="en-GB"/>
              </w:rPr>
              <w:t xml:space="preserve">The contract duration for Lot 5 is specified as 4 months (approximately 16 weeks from award). </w:t>
            </w:r>
          </w:p>
          <w:p w14:paraId="2DDAC5F1" w14:textId="40039676" w:rsidR="009F18D5" w:rsidRPr="0038245C" w:rsidRDefault="009F18D5" w:rsidP="00186C16">
            <w:pPr>
              <w:pStyle w:val="ListParagraph"/>
              <w:numPr>
                <w:ilvl w:val="0"/>
                <w:numId w:val="21"/>
              </w:numPr>
              <w:spacing w:before="60"/>
              <w:ind w:left="253" w:hanging="270"/>
              <w:contextualSpacing w:val="0"/>
              <w:jc w:val="both"/>
              <w:rPr>
                <w:bCs/>
                <w:lang w:val="en-GB"/>
              </w:rPr>
            </w:pPr>
            <w:r w:rsidRPr="0038245C">
              <w:rPr>
                <w:bCs/>
                <w:lang w:val="en-GB"/>
              </w:rPr>
              <w:t xml:space="preserve">Can you confirm if this timeline includes installation, commissioning, and training or if it is for physical delivery on both </w:t>
            </w:r>
            <w:r w:rsidR="007D6E9A" w:rsidRPr="0038245C">
              <w:rPr>
                <w:bCs/>
                <w:lang w:val="en-GB"/>
              </w:rPr>
              <w:t>sites</w:t>
            </w:r>
            <w:r w:rsidRPr="0038245C">
              <w:rPr>
                <w:bCs/>
                <w:lang w:val="en-GB"/>
              </w:rPr>
              <w:t>.</w:t>
            </w:r>
          </w:p>
        </w:tc>
        <w:tc>
          <w:tcPr>
            <w:tcW w:w="5295" w:type="dxa"/>
          </w:tcPr>
          <w:p w14:paraId="2B4619E5" w14:textId="59C0F5EA" w:rsidR="003565D0" w:rsidRPr="000B1A19" w:rsidRDefault="003565D0" w:rsidP="00186C16">
            <w:pPr>
              <w:spacing w:before="60"/>
              <w:jc w:val="both"/>
              <w:rPr>
                <w:bCs/>
                <w:lang w:val="en-GB"/>
              </w:rPr>
            </w:pPr>
            <w:r w:rsidRPr="000B1A19">
              <w:rPr>
                <w:bCs/>
                <w:lang w:val="en-GB"/>
              </w:rPr>
              <w:t xml:space="preserve">As per Section VII, Schedule of requirements, List of Goods and Delivery Schedule, for Lot 5, we confirm a maximum delivery period of sixteen (16) weeks from the date of contract signature by both parties. </w:t>
            </w:r>
          </w:p>
          <w:p w14:paraId="3CE87DE6" w14:textId="53D7914B" w:rsidR="009F18D5" w:rsidRPr="000B1A19" w:rsidRDefault="003565D0" w:rsidP="007D6E9A">
            <w:pPr>
              <w:spacing w:before="60"/>
              <w:jc w:val="both"/>
              <w:rPr>
                <w:bCs/>
                <w:lang w:val="en-GB"/>
              </w:rPr>
            </w:pPr>
            <w:r w:rsidRPr="000B1A19">
              <w:rPr>
                <w:bCs/>
                <w:lang w:val="en-GB"/>
              </w:rPr>
              <w:t>We confirm that the period allocated for the completion of related services</w:t>
            </w:r>
            <w:r w:rsidR="007D6E9A" w:rsidRPr="000B1A19">
              <w:rPr>
                <w:bCs/>
                <w:lang w:val="en-GB"/>
              </w:rPr>
              <w:t xml:space="preserve"> (i.e installation, commissioning, and training) </w:t>
            </w:r>
            <w:r w:rsidRPr="000B1A19">
              <w:rPr>
                <w:bCs/>
                <w:lang w:val="en-GB"/>
              </w:rPr>
              <w:t>is included within the total delivery period of sixteen (16) weeks for Lot 5.</w:t>
            </w:r>
          </w:p>
        </w:tc>
      </w:tr>
      <w:tr w:rsidR="009F18D5" w:rsidRPr="007D39C3" w14:paraId="269F8FD3" w14:textId="77777777" w:rsidTr="00186C16">
        <w:tc>
          <w:tcPr>
            <w:tcW w:w="538" w:type="dxa"/>
          </w:tcPr>
          <w:p w14:paraId="04D712C3" w14:textId="296FE54F" w:rsidR="009F18D5" w:rsidRPr="007D39C3" w:rsidRDefault="009F18D5" w:rsidP="00186C16">
            <w:pPr>
              <w:spacing w:before="60"/>
              <w:jc w:val="center"/>
              <w:rPr>
                <w:lang w:val="en-GB"/>
              </w:rPr>
            </w:pPr>
            <w:r w:rsidRPr="007D39C3">
              <w:rPr>
                <w:lang w:val="en-GB"/>
              </w:rPr>
              <w:t>9</w:t>
            </w:r>
          </w:p>
        </w:tc>
        <w:tc>
          <w:tcPr>
            <w:tcW w:w="4587" w:type="dxa"/>
          </w:tcPr>
          <w:p w14:paraId="1FFB3576" w14:textId="676D0964" w:rsidR="009F18D5" w:rsidRPr="00E10872" w:rsidRDefault="009F18D5" w:rsidP="00186C16">
            <w:pPr>
              <w:spacing w:before="60"/>
              <w:jc w:val="both"/>
              <w:rPr>
                <w:b/>
                <w:bCs/>
                <w:lang w:val="en-GB"/>
              </w:rPr>
            </w:pPr>
            <w:r w:rsidRPr="00E10872">
              <w:rPr>
                <w:b/>
                <w:bCs/>
                <w:lang w:val="en-GB"/>
              </w:rPr>
              <w:t>Physical Submission Requirement</w:t>
            </w:r>
          </w:p>
          <w:p w14:paraId="5F67C02E" w14:textId="77777777" w:rsidR="009F18D5" w:rsidRDefault="009F18D5" w:rsidP="00186C16">
            <w:pPr>
              <w:pStyle w:val="ListParagraph"/>
              <w:numPr>
                <w:ilvl w:val="0"/>
                <w:numId w:val="22"/>
              </w:numPr>
              <w:spacing w:before="60"/>
              <w:ind w:left="253" w:hanging="270"/>
              <w:contextualSpacing w:val="0"/>
              <w:jc w:val="both"/>
              <w:rPr>
                <w:bCs/>
                <w:lang w:val="en-GB"/>
              </w:rPr>
            </w:pPr>
            <w:r w:rsidRPr="006131E3">
              <w:rPr>
                <w:bCs/>
                <w:lang w:val="en-GB"/>
              </w:rPr>
              <w:lastRenderedPageBreak/>
              <w:t>Can you confirm the exact number of physical copies required for the Lot 5 bid</w:t>
            </w:r>
          </w:p>
          <w:p w14:paraId="49F76442" w14:textId="2A44A105" w:rsidR="009F18D5" w:rsidRPr="006131E3" w:rsidRDefault="009F18D5" w:rsidP="00186C16">
            <w:pPr>
              <w:pStyle w:val="ListParagraph"/>
              <w:numPr>
                <w:ilvl w:val="0"/>
                <w:numId w:val="22"/>
              </w:numPr>
              <w:spacing w:before="60"/>
              <w:ind w:left="253" w:hanging="270"/>
              <w:contextualSpacing w:val="0"/>
              <w:jc w:val="both"/>
              <w:rPr>
                <w:bCs/>
                <w:lang w:val="en-GB"/>
              </w:rPr>
            </w:pPr>
            <w:r w:rsidRPr="006131E3">
              <w:rPr>
                <w:bCs/>
                <w:lang w:val="en-GB"/>
              </w:rPr>
              <w:t>Can you also advise on the preferred courier or delivery method for submissions from abroad, and whether the original and copies should be submitted separately?</w:t>
            </w:r>
          </w:p>
        </w:tc>
        <w:tc>
          <w:tcPr>
            <w:tcW w:w="5295" w:type="dxa"/>
          </w:tcPr>
          <w:p w14:paraId="527BAD43" w14:textId="77777777" w:rsidR="009F18D5" w:rsidRPr="00997634" w:rsidRDefault="009F18D5" w:rsidP="00186C16">
            <w:pPr>
              <w:spacing w:before="60"/>
              <w:jc w:val="both"/>
              <w:rPr>
                <w:i/>
                <w:lang w:val="en-GB"/>
              </w:rPr>
            </w:pPr>
            <w:r w:rsidRPr="00191957">
              <w:rPr>
                <w:lang w:val="en-GB"/>
              </w:rPr>
              <w:lastRenderedPageBreak/>
              <w:t xml:space="preserve">With reference to Section II – Bid Data Sheet, point 20.1 </w:t>
            </w:r>
            <w:r>
              <w:rPr>
                <w:lang w:val="en-GB"/>
              </w:rPr>
              <w:t>“</w:t>
            </w:r>
            <w:r w:rsidRPr="00191957">
              <w:rPr>
                <w:i/>
                <w:lang w:val="en-GB"/>
              </w:rPr>
              <w:t xml:space="preserve">In addition to the original of the Bid, the number of </w:t>
            </w:r>
            <w:r w:rsidRPr="00191957">
              <w:rPr>
                <w:i/>
                <w:lang w:val="en-GB"/>
              </w:rPr>
              <w:lastRenderedPageBreak/>
              <w:t xml:space="preserve">copies is: (3) three (two printed copies and one copy in </w:t>
            </w:r>
            <w:r w:rsidRPr="00997634">
              <w:rPr>
                <w:i/>
                <w:lang w:val="en-GB"/>
              </w:rPr>
              <w:t xml:space="preserve">electronic media, such us USB flash drive, or similar. All documents will be in pdf format. Additionally, to pdf format Price schedule will be provided in excel format as well)”. </w:t>
            </w:r>
          </w:p>
          <w:p w14:paraId="70687F6E" w14:textId="3D701939" w:rsidR="009F18D5" w:rsidRPr="00997634" w:rsidRDefault="009F18D5" w:rsidP="00997634">
            <w:pPr>
              <w:pStyle w:val="ListParagraph"/>
              <w:numPr>
                <w:ilvl w:val="0"/>
                <w:numId w:val="29"/>
              </w:numPr>
              <w:spacing w:before="60"/>
              <w:ind w:left="171" w:hanging="180"/>
              <w:contextualSpacing w:val="0"/>
              <w:jc w:val="both"/>
              <w:rPr>
                <w:b/>
                <w:bCs/>
              </w:rPr>
            </w:pPr>
            <w:r w:rsidRPr="00997634">
              <w:t xml:space="preserve">This means that three </w:t>
            </w:r>
            <w:r w:rsidRPr="00997634">
              <w:rPr>
                <w:u w:val="single"/>
              </w:rPr>
              <w:t>printed copies</w:t>
            </w:r>
            <w:r w:rsidRPr="00997634">
              <w:t xml:space="preserve"> (one original and two copies) must be submitted, along with one electronic version on a USB or similar flash drive.</w:t>
            </w:r>
            <w:r w:rsidR="003565D0" w:rsidRPr="00997634">
              <w:t xml:space="preserve"> </w:t>
            </w:r>
          </w:p>
          <w:p w14:paraId="32CE1244" w14:textId="71C3038C" w:rsidR="009F18D5" w:rsidRPr="003555D3" w:rsidRDefault="009F18D5" w:rsidP="00411639">
            <w:pPr>
              <w:pStyle w:val="ListParagraph"/>
              <w:numPr>
                <w:ilvl w:val="0"/>
                <w:numId w:val="27"/>
              </w:numPr>
              <w:spacing w:before="120"/>
              <w:ind w:left="158" w:hanging="187"/>
              <w:contextualSpacing w:val="0"/>
              <w:jc w:val="both"/>
            </w:pPr>
            <w:r w:rsidRPr="00997634">
              <w:t>The selection of a courier service</w:t>
            </w:r>
            <w:r>
              <w:t xml:space="preserve"> or any other delivery method for submissions from abroad shall be the sole responsibility of the bidder. The bidder is required to prepare one outer envelope containing the original and copies of the bid. The original bid must be clearly marked "ORIGINAL" and copies of the bid must be clearly marked "COPY".</w:t>
            </w:r>
          </w:p>
        </w:tc>
      </w:tr>
      <w:tr w:rsidR="009F18D5" w:rsidRPr="007D39C3" w14:paraId="0B3CFAFF" w14:textId="77777777" w:rsidTr="00186C16">
        <w:tc>
          <w:tcPr>
            <w:tcW w:w="538" w:type="dxa"/>
          </w:tcPr>
          <w:p w14:paraId="70D657F1" w14:textId="1A14801D" w:rsidR="009F18D5" w:rsidRPr="007D39C3" w:rsidRDefault="009F18D5" w:rsidP="00186C16">
            <w:pPr>
              <w:spacing w:before="60"/>
              <w:jc w:val="center"/>
              <w:rPr>
                <w:lang w:val="en-GB"/>
              </w:rPr>
            </w:pPr>
            <w:r w:rsidRPr="007D39C3">
              <w:rPr>
                <w:lang w:val="en-GB"/>
              </w:rPr>
              <w:lastRenderedPageBreak/>
              <w:t>10</w:t>
            </w:r>
          </w:p>
        </w:tc>
        <w:tc>
          <w:tcPr>
            <w:tcW w:w="4587" w:type="dxa"/>
          </w:tcPr>
          <w:p w14:paraId="0B8ED5F8" w14:textId="5D0E30AC" w:rsidR="009F18D5" w:rsidRPr="00B86A4C" w:rsidRDefault="009F18D5" w:rsidP="00186C16">
            <w:pPr>
              <w:spacing w:before="60"/>
              <w:jc w:val="both"/>
              <w:rPr>
                <w:b/>
                <w:lang w:val="en-GB"/>
              </w:rPr>
            </w:pPr>
            <w:r w:rsidRPr="00B86A4C">
              <w:rPr>
                <w:b/>
                <w:lang w:val="en-GB"/>
              </w:rPr>
              <w:t>The maximum allowable bid price for the entire Lot 5 is €720,000 excluding VAT. This covers entire simulator set up in the two schools in Bar and Koto</w:t>
            </w:r>
          </w:p>
          <w:p w14:paraId="01B33DAD" w14:textId="76166ED8" w:rsidR="009F18D5" w:rsidRPr="00087B9F" w:rsidRDefault="009F18D5" w:rsidP="00186C16">
            <w:pPr>
              <w:pStyle w:val="ListParagraph"/>
              <w:numPr>
                <w:ilvl w:val="0"/>
                <w:numId w:val="24"/>
              </w:numPr>
              <w:spacing w:before="60"/>
              <w:ind w:left="253" w:hanging="270"/>
              <w:contextualSpacing w:val="0"/>
              <w:jc w:val="both"/>
              <w:rPr>
                <w:lang w:val="en-GB"/>
              </w:rPr>
            </w:pPr>
            <w:r w:rsidRPr="00087B9F">
              <w:rPr>
                <w:lang w:val="en-GB"/>
              </w:rPr>
              <w:t>Is there possibility to exceed this cost of €720,000</w:t>
            </w:r>
          </w:p>
          <w:p w14:paraId="5451BA43" w14:textId="7934D551" w:rsidR="009F18D5" w:rsidRPr="00B86A4C" w:rsidRDefault="009F18D5" w:rsidP="00186C16">
            <w:pPr>
              <w:pStyle w:val="ListParagraph"/>
              <w:numPr>
                <w:ilvl w:val="0"/>
                <w:numId w:val="23"/>
              </w:numPr>
              <w:spacing w:before="60"/>
              <w:contextualSpacing w:val="0"/>
              <w:jc w:val="both"/>
              <w:rPr>
                <w:lang w:val="en-GB"/>
              </w:rPr>
            </w:pPr>
            <w:r w:rsidRPr="00B86A4C">
              <w:rPr>
                <w:lang w:val="en-GB"/>
              </w:rPr>
              <w:t>2x Class B console with 1x IS</w:t>
            </w:r>
          </w:p>
          <w:p w14:paraId="5E6380D2" w14:textId="218970EA" w:rsidR="009F18D5" w:rsidRPr="00B86A4C" w:rsidRDefault="009F18D5" w:rsidP="00186C16">
            <w:pPr>
              <w:pStyle w:val="ListParagraph"/>
              <w:numPr>
                <w:ilvl w:val="0"/>
                <w:numId w:val="23"/>
              </w:numPr>
              <w:spacing w:before="60"/>
              <w:contextualSpacing w:val="0"/>
              <w:jc w:val="both"/>
              <w:rPr>
                <w:lang w:val="en-GB"/>
              </w:rPr>
            </w:pPr>
            <w:r w:rsidRPr="00B86A4C">
              <w:rPr>
                <w:lang w:val="en-GB"/>
              </w:rPr>
              <w:t>1x Engine Room Simulator with 1x IS</w:t>
            </w:r>
          </w:p>
          <w:p w14:paraId="2A51D906" w14:textId="2A09D07B" w:rsidR="009F18D5" w:rsidRPr="00B86A4C" w:rsidRDefault="009F18D5" w:rsidP="00186C16">
            <w:pPr>
              <w:pStyle w:val="ListParagraph"/>
              <w:numPr>
                <w:ilvl w:val="0"/>
                <w:numId w:val="23"/>
              </w:numPr>
              <w:spacing w:before="60"/>
              <w:contextualSpacing w:val="0"/>
              <w:jc w:val="both"/>
              <w:rPr>
                <w:lang w:val="en-GB"/>
              </w:rPr>
            </w:pPr>
            <w:r w:rsidRPr="00B86A4C">
              <w:rPr>
                <w:lang w:val="en-GB"/>
              </w:rPr>
              <w:t xml:space="preserve">8x Navigation Desktop </w:t>
            </w:r>
          </w:p>
          <w:p w14:paraId="20FF81C4" w14:textId="41335235" w:rsidR="009F18D5" w:rsidRPr="00B86A4C" w:rsidRDefault="009F18D5" w:rsidP="00186C16">
            <w:pPr>
              <w:pStyle w:val="ListParagraph"/>
              <w:numPr>
                <w:ilvl w:val="0"/>
                <w:numId w:val="23"/>
              </w:numPr>
              <w:spacing w:before="60"/>
              <w:contextualSpacing w:val="0"/>
              <w:jc w:val="both"/>
              <w:rPr>
                <w:lang w:val="en-GB"/>
              </w:rPr>
            </w:pPr>
            <w:r w:rsidRPr="00B86A4C">
              <w:rPr>
                <w:lang w:val="en-GB"/>
              </w:rPr>
              <w:t>12x ERS Desktop</w:t>
            </w:r>
          </w:p>
          <w:p w14:paraId="0521F3BB" w14:textId="113F2E4D" w:rsidR="009F18D5" w:rsidRPr="00B86A4C" w:rsidRDefault="009F18D5" w:rsidP="00186C16">
            <w:pPr>
              <w:pStyle w:val="ListParagraph"/>
              <w:numPr>
                <w:ilvl w:val="0"/>
                <w:numId w:val="23"/>
              </w:numPr>
              <w:spacing w:before="60"/>
              <w:contextualSpacing w:val="0"/>
              <w:jc w:val="both"/>
              <w:rPr>
                <w:lang w:val="en-GB"/>
              </w:rPr>
            </w:pPr>
            <w:r w:rsidRPr="00B86A4C">
              <w:rPr>
                <w:lang w:val="en-GB"/>
              </w:rPr>
              <w:t>6x GMDSS Simulator with 1x IS</w:t>
            </w:r>
          </w:p>
          <w:p w14:paraId="028FF0E7" w14:textId="4876BC05" w:rsidR="009F18D5" w:rsidRPr="00B86A4C" w:rsidRDefault="009F18D5" w:rsidP="00186C16">
            <w:pPr>
              <w:pStyle w:val="ListParagraph"/>
              <w:numPr>
                <w:ilvl w:val="0"/>
                <w:numId w:val="23"/>
              </w:numPr>
              <w:spacing w:before="60"/>
              <w:contextualSpacing w:val="0"/>
              <w:jc w:val="both"/>
              <w:rPr>
                <w:lang w:val="en-GB"/>
              </w:rPr>
            </w:pPr>
            <w:r w:rsidRPr="00B86A4C">
              <w:rPr>
                <w:lang w:val="en-GB"/>
              </w:rPr>
              <w:t>Methanol Bunkering Simulator (IGF)</w:t>
            </w:r>
          </w:p>
          <w:p w14:paraId="69F89AB4" w14:textId="2D82E6F4" w:rsidR="009F18D5" w:rsidRPr="00B86A4C" w:rsidRDefault="009F18D5" w:rsidP="00186C16">
            <w:pPr>
              <w:pStyle w:val="ListParagraph"/>
              <w:numPr>
                <w:ilvl w:val="0"/>
                <w:numId w:val="23"/>
              </w:numPr>
              <w:spacing w:before="60"/>
              <w:contextualSpacing w:val="0"/>
              <w:jc w:val="both"/>
              <w:rPr>
                <w:lang w:val="en-GB"/>
              </w:rPr>
            </w:pPr>
            <w:r w:rsidRPr="00B86A4C">
              <w:rPr>
                <w:lang w:val="en-GB"/>
              </w:rPr>
              <w:t>23 days of training across the set ups and locations</w:t>
            </w:r>
          </w:p>
        </w:tc>
        <w:tc>
          <w:tcPr>
            <w:tcW w:w="5295" w:type="dxa"/>
          </w:tcPr>
          <w:p w14:paraId="7CA6E421" w14:textId="77777777" w:rsidR="009F18D5" w:rsidRPr="00F500AE" w:rsidRDefault="009F18D5" w:rsidP="00186C16">
            <w:pPr>
              <w:spacing w:before="60"/>
              <w:jc w:val="both"/>
              <w:rPr>
                <w:lang w:val="en-GB"/>
              </w:rPr>
            </w:pPr>
            <w:r w:rsidRPr="00F500AE">
              <w:rPr>
                <w:lang w:val="en-GB"/>
              </w:rPr>
              <w:t xml:space="preserve">With reference to Section II – Bid Data Sheet, point 2.1, the estimated contract value for Lot 5, excluding VAT, is </w:t>
            </w:r>
            <w:r w:rsidRPr="00784A04">
              <w:rPr>
                <w:lang w:val="en-GB"/>
              </w:rPr>
              <w:t>EUR 720,000.</w:t>
            </w:r>
            <w:r w:rsidRPr="00F500AE">
              <w:rPr>
                <w:lang w:val="en-GB"/>
              </w:rPr>
              <w:t xml:space="preserve"> This amount represents a fixed budget ceiling defined in the procurement documentation and shall not be exceeded.</w:t>
            </w:r>
          </w:p>
          <w:p w14:paraId="298AB230" w14:textId="77777777" w:rsidR="009F18D5" w:rsidRPr="00F500AE" w:rsidRDefault="009F18D5" w:rsidP="00186C16">
            <w:pPr>
              <w:spacing w:before="60"/>
              <w:rPr>
                <w:lang w:val="en-GB"/>
              </w:rPr>
            </w:pPr>
          </w:p>
          <w:p w14:paraId="0153E9CC" w14:textId="5A8DEE0B" w:rsidR="009F18D5" w:rsidRPr="007D39C3" w:rsidRDefault="009F18D5" w:rsidP="00186C16">
            <w:pPr>
              <w:spacing w:before="60"/>
              <w:rPr>
                <w:lang w:val="en-GB"/>
              </w:rPr>
            </w:pPr>
          </w:p>
        </w:tc>
      </w:tr>
      <w:tr w:rsidR="009F18D5" w:rsidRPr="007D39C3" w14:paraId="0655F6CF" w14:textId="77777777" w:rsidTr="00186C16">
        <w:trPr>
          <w:trHeight w:val="70"/>
        </w:trPr>
        <w:tc>
          <w:tcPr>
            <w:tcW w:w="538" w:type="dxa"/>
          </w:tcPr>
          <w:p w14:paraId="48017966" w14:textId="518280B3" w:rsidR="009F18D5" w:rsidRPr="007D39C3" w:rsidRDefault="009F18D5" w:rsidP="00186C16">
            <w:pPr>
              <w:spacing w:before="60"/>
              <w:jc w:val="center"/>
              <w:rPr>
                <w:lang w:val="en-GB"/>
              </w:rPr>
            </w:pPr>
            <w:r>
              <w:rPr>
                <w:lang w:val="en-GB"/>
              </w:rPr>
              <w:t>11</w:t>
            </w:r>
          </w:p>
        </w:tc>
        <w:tc>
          <w:tcPr>
            <w:tcW w:w="4587" w:type="dxa"/>
          </w:tcPr>
          <w:p w14:paraId="725D38B4" w14:textId="046E0D2E" w:rsidR="009F18D5" w:rsidRDefault="009F18D5" w:rsidP="00186C16">
            <w:pPr>
              <w:spacing w:before="60"/>
              <w:jc w:val="both"/>
              <w:rPr>
                <w:b/>
                <w:bCs/>
                <w:lang w:val="en-GB"/>
              </w:rPr>
            </w:pPr>
            <w:r w:rsidRPr="00D13A56">
              <w:rPr>
                <w:b/>
                <w:bCs/>
              </w:rPr>
              <w:t>VAT Treatment</w:t>
            </w:r>
            <w:r w:rsidRPr="00D13A56">
              <w:rPr>
                <w:b/>
                <w:bCs/>
                <w:lang w:val="en-GB"/>
              </w:rPr>
              <w:t xml:space="preserve"> </w:t>
            </w:r>
          </w:p>
          <w:p w14:paraId="17830C90" w14:textId="7D554441" w:rsidR="009F18D5" w:rsidRPr="00D13A56" w:rsidRDefault="009F18D5" w:rsidP="00186C16">
            <w:pPr>
              <w:spacing w:before="60"/>
              <w:jc w:val="both"/>
              <w:rPr>
                <w:bCs/>
                <w:lang w:val="en-GB"/>
              </w:rPr>
            </w:pPr>
            <w:r w:rsidRPr="00D13A56">
              <w:rPr>
                <w:bCs/>
                <w:lang w:val="en-GB"/>
              </w:rPr>
              <w:t>Tender Documentation, Letter of Bid: At the end of the document it is stated that: the payment of VAT at the rate of 21% should be determined for the funds used from the budget.</w:t>
            </w:r>
          </w:p>
          <w:p w14:paraId="0BB2E20C" w14:textId="5E3AAE69" w:rsidR="009F18D5" w:rsidRPr="00D13A56" w:rsidRDefault="009F18D5" w:rsidP="00186C16">
            <w:pPr>
              <w:spacing w:before="60"/>
              <w:jc w:val="both"/>
              <w:rPr>
                <w:bCs/>
                <w:lang w:val="en-GB"/>
              </w:rPr>
            </w:pPr>
            <w:r w:rsidRPr="00D13A56">
              <w:rPr>
                <w:bCs/>
                <w:lang w:val="en-GB"/>
              </w:rPr>
              <w:t>However, in Clarifications – Answer 7, it is stated that the remaining 49% of the</w:t>
            </w:r>
            <w:r w:rsidRPr="00D13A56">
              <w:rPr>
                <w:b/>
                <w:bCs/>
                <w:lang w:val="en-GB"/>
              </w:rPr>
              <w:t xml:space="preserve"> </w:t>
            </w:r>
            <w:r w:rsidRPr="00D13A56">
              <w:rPr>
                <w:bCs/>
                <w:lang w:val="en-GB"/>
              </w:rPr>
              <w:t>contract price, financed by the Government of Montenegro, shall be subject to VAT at the applicable rate of 21%, which shall be borne by the Supplier.</w:t>
            </w:r>
          </w:p>
          <w:p w14:paraId="6896994F" w14:textId="77777777" w:rsidR="009F18D5" w:rsidRPr="00D13A56" w:rsidRDefault="009F18D5" w:rsidP="00186C16">
            <w:pPr>
              <w:spacing w:before="60"/>
              <w:jc w:val="both"/>
              <w:rPr>
                <w:bCs/>
                <w:lang w:val="en-GB"/>
              </w:rPr>
            </w:pPr>
            <w:r w:rsidRPr="00D13A56">
              <w:rPr>
                <w:bCs/>
                <w:lang w:val="en-GB"/>
              </w:rPr>
              <w:t>These statements appear contradictory. We would therefore appreciate clarification on the following:</w:t>
            </w:r>
          </w:p>
          <w:p w14:paraId="14636EAA" w14:textId="4A2A89D1" w:rsidR="009F18D5" w:rsidRPr="00D13A56" w:rsidRDefault="009F18D5" w:rsidP="00186C16">
            <w:pPr>
              <w:spacing w:before="60"/>
              <w:jc w:val="both"/>
              <w:rPr>
                <w:bCs/>
                <w:lang w:val="en-GB"/>
              </w:rPr>
            </w:pPr>
            <w:r w:rsidRPr="00D13A56">
              <w:rPr>
                <w:bCs/>
                <w:lang w:val="en-GB"/>
              </w:rPr>
              <w:lastRenderedPageBreak/>
              <w:t>• Will the Purchaser pay VAT at the applicable rate of 21% on the 49% portion of the contract price financed by the Government of Montenegro, or will this cost be borne by the Supplier?</w:t>
            </w:r>
          </w:p>
          <w:p w14:paraId="228CDC92" w14:textId="022CDABB" w:rsidR="009F18D5" w:rsidRPr="00D13A56" w:rsidRDefault="009F18D5" w:rsidP="00186C16">
            <w:pPr>
              <w:spacing w:before="60"/>
              <w:jc w:val="both"/>
              <w:rPr>
                <w:bCs/>
                <w:lang w:val="en-GB"/>
              </w:rPr>
            </w:pPr>
            <w:r w:rsidRPr="00D13A56">
              <w:rPr>
                <w:bCs/>
                <w:lang w:val="en-GB"/>
              </w:rPr>
              <w:t>• Given that bidders registered in Montenegro are generally required to charge VAT at 21% on the 49% portion of</w:t>
            </w:r>
            <w:r w:rsidR="00411639">
              <w:rPr>
                <w:bCs/>
                <w:lang w:val="en-GB"/>
              </w:rPr>
              <w:t xml:space="preserve"> </w:t>
            </w:r>
            <w:r w:rsidRPr="00D13A56">
              <w:rPr>
                <w:bCs/>
                <w:lang w:val="en-GB"/>
              </w:rPr>
              <w:t>the contract price financed by the Government of Montenegro and invoiced to the Purchaser also registered in</w:t>
            </w:r>
          </w:p>
          <w:p w14:paraId="5CBB4D78" w14:textId="63C04E40" w:rsidR="009F18D5" w:rsidRPr="00D13A56" w:rsidRDefault="009F18D5" w:rsidP="00186C16">
            <w:pPr>
              <w:spacing w:before="60"/>
              <w:jc w:val="both"/>
              <w:rPr>
                <w:bCs/>
                <w:lang w:val="en-GB"/>
              </w:rPr>
            </w:pPr>
            <w:r w:rsidRPr="00D13A56">
              <w:rPr>
                <w:bCs/>
                <w:lang w:val="en-GB"/>
              </w:rPr>
              <w:t>Montenegro (unless a VAT exemption applies), could you please confirm whether the Purchaser intends to pay this VAT?</w:t>
            </w:r>
          </w:p>
          <w:p w14:paraId="1897CA3D" w14:textId="77777777" w:rsidR="009F18D5" w:rsidRPr="00D13A56" w:rsidRDefault="009F18D5" w:rsidP="00186C16">
            <w:pPr>
              <w:spacing w:before="60"/>
              <w:jc w:val="both"/>
              <w:rPr>
                <w:bCs/>
                <w:lang w:val="en-GB"/>
              </w:rPr>
            </w:pPr>
            <w:r w:rsidRPr="00D13A56">
              <w:rPr>
                <w:bCs/>
                <w:lang w:val="en-GB"/>
              </w:rPr>
              <w:t>Additionally, we request clarification regarding the VAT exemption mechanism:</w:t>
            </w:r>
          </w:p>
          <w:p w14:paraId="48D76B26" w14:textId="478D2CA0" w:rsidR="009F18D5" w:rsidRPr="00D13A56" w:rsidRDefault="009F18D5" w:rsidP="00186C16">
            <w:pPr>
              <w:spacing w:before="60"/>
              <w:jc w:val="both"/>
              <w:rPr>
                <w:bCs/>
                <w:lang w:val="en-GB"/>
              </w:rPr>
            </w:pPr>
            <w:r w:rsidRPr="00D13A56">
              <w:rPr>
                <w:bCs/>
                <w:lang w:val="en-GB"/>
              </w:rPr>
              <w:t>• How will the Revenue and Customs Administration determine which items on the Supplier’s invoice are exempt from VAT until the 51% threshold of the contract price is reached?</w:t>
            </w:r>
          </w:p>
          <w:p w14:paraId="7B9B284D" w14:textId="0B36706B" w:rsidR="009F18D5" w:rsidRPr="007D39C3" w:rsidRDefault="009F18D5" w:rsidP="00186C16">
            <w:pPr>
              <w:spacing w:before="60"/>
              <w:jc w:val="both"/>
              <w:rPr>
                <w:b/>
                <w:bCs/>
                <w:lang w:val="en-GB"/>
              </w:rPr>
            </w:pPr>
            <w:r w:rsidRPr="00D13A56">
              <w:rPr>
                <w:bCs/>
                <w:lang w:val="en-GB"/>
              </w:rPr>
              <w:t>• Alternatively, is the intention that 51% of the VAT amount for each invoiced item be exempted proportionally?</w:t>
            </w:r>
          </w:p>
        </w:tc>
        <w:tc>
          <w:tcPr>
            <w:tcW w:w="5295" w:type="dxa"/>
          </w:tcPr>
          <w:p w14:paraId="37C68F54" w14:textId="77777777" w:rsidR="003565D0" w:rsidRPr="008C2EBB" w:rsidRDefault="003565D0" w:rsidP="00186C16">
            <w:pPr>
              <w:spacing w:before="60"/>
              <w:jc w:val="both"/>
            </w:pPr>
            <w:r w:rsidRPr="008C2EBB">
              <w:lastRenderedPageBreak/>
              <w:t>The Contract is financed from two sources: 51% from funds exempt from VAT and 49% from funds subject to VAT in accordance with the applicable legislation of Montenegro.</w:t>
            </w:r>
          </w:p>
          <w:p w14:paraId="4B74B9A0" w14:textId="77777777" w:rsidR="003565D0" w:rsidRPr="008C2EBB" w:rsidRDefault="003565D0" w:rsidP="00186C16">
            <w:pPr>
              <w:spacing w:before="60"/>
              <w:jc w:val="both"/>
            </w:pPr>
            <w:r w:rsidRPr="008C2EBB">
              <w:t>In this respect, please note the following:  </w:t>
            </w:r>
          </w:p>
          <w:p w14:paraId="5801FFF9" w14:textId="77777777" w:rsidR="003565D0" w:rsidRPr="008C2EBB" w:rsidRDefault="003565D0" w:rsidP="00186C16">
            <w:pPr>
              <w:numPr>
                <w:ilvl w:val="0"/>
                <w:numId w:val="28"/>
              </w:numPr>
              <w:spacing w:before="60"/>
              <w:ind w:left="416"/>
              <w:jc w:val="both"/>
            </w:pPr>
            <w:r w:rsidRPr="008C2EBB">
              <w:t>The portion of the Contract value corresponding to 49% of the total Contract price shall be subject to VAT at the applicable rate in Montenegro.</w:t>
            </w:r>
          </w:p>
          <w:p w14:paraId="5FC5CCEB" w14:textId="77777777" w:rsidR="003565D0" w:rsidRPr="008C2EBB" w:rsidRDefault="003565D0" w:rsidP="00186C16">
            <w:pPr>
              <w:numPr>
                <w:ilvl w:val="0"/>
                <w:numId w:val="28"/>
              </w:numPr>
              <w:spacing w:before="60"/>
              <w:ind w:left="416"/>
              <w:jc w:val="both"/>
            </w:pPr>
            <w:r w:rsidRPr="008C2EBB">
              <w:t>The remaining 51% of the Contract price shall be exempt from VAT, subject to the applicable exemption regime.</w:t>
            </w:r>
          </w:p>
          <w:p w14:paraId="42534EEE" w14:textId="1398A9C1" w:rsidR="003565D0" w:rsidRDefault="003565D0" w:rsidP="006E5656">
            <w:pPr>
              <w:numPr>
                <w:ilvl w:val="0"/>
                <w:numId w:val="28"/>
              </w:numPr>
              <w:spacing w:before="60"/>
              <w:ind w:left="416"/>
              <w:jc w:val="both"/>
            </w:pPr>
            <w:r w:rsidRPr="008C2EBB">
              <w:t xml:space="preserve">All VAT-related matters under the Contract, including assessment, invoicing, payment and any applicable exemption, shall be governed by and interpreted in </w:t>
            </w:r>
            <w:r w:rsidRPr="008C2EBB">
              <w:lastRenderedPageBreak/>
              <w:t>accordance with the applicable legislation of Montenegro, primarily the Law on Value Added Tax, the Rulebook on the Procedure for Exemption from Payment of Value Added Tax for Investors and the Supply of Certain Products and Services, and the procedures of the competent tax authorities.</w:t>
            </w:r>
            <w:r>
              <w:t xml:space="preserve"> </w:t>
            </w:r>
            <w:r w:rsidRPr="008C2EBB">
              <w:t>VAT, where applicable, shall be clearly indicated in the Contract for the purposes of the Tax Administration, in accordance with the applicable legislation.</w:t>
            </w:r>
          </w:p>
          <w:p w14:paraId="1DF7BF91" w14:textId="65C9EAC0" w:rsidR="00CE7EBD" w:rsidRPr="00CE7EBD" w:rsidRDefault="00CE7EBD" w:rsidP="00CE7EBD">
            <w:pPr>
              <w:spacing w:after="160"/>
              <w:ind w:left="351"/>
            </w:pPr>
            <w:r>
              <w:t>-</w:t>
            </w:r>
            <w:r w:rsidRPr="00CE7EBD">
              <w:t>The VAT exemption shall be applied depending on the source of financing of each individual invoice, and not necessarily on a proportional basis.</w:t>
            </w:r>
          </w:p>
          <w:p w14:paraId="447CCE4E" w14:textId="77777777" w:rsidR="00CE7EBD" w:rsidRPr="00CE7EBD" w:rsidRDefault="00CE7EBD" w:rsidP="00CE7EBD">
            <w:pPr>
              <w:ind w:left="351"/>
              <w:jc w:val="both"/>
            </w:pPr>
            <w:r w:rsidRPr="00CE7EBD">
              <w:t>In this respect:</w:t>
            </w:r>
          </w:p>
          <w:p w14:paraId="03035BC2" w14:textId="77777777" w:rsidR="00CE7EBD" w:rsidRPr="00CE7EBD" w:rsidRDefault="00CE7EBD" w:rsidP="00CE7EBD">
            <w:pPr>
              <w:spacing w:after="160"/>
              <w:ind w:left="351"/>
              <w:jc w:val="both"/>
            </w:pPr>
            <w:r w:rsidRPr="00CE7EBD">
              <w:t xml:space="preserve">Invoices (or portions thereof) financed from funds exempt from VAT (up to 51% of the total Contract value) shall be treated as VAT-exempt; </w:t>
            </w:r>
          </w:p>
          <w:p w14:paraId="32E3D7A7" w14:textId="46BBB284" w:rsidR="00CE7EBD" w:rsidRPr="00D941C4" w:rsidRDefault="00CE7EBD" w:rsidP="00CE7EBD">
            <w:pPr>
              <w:spacing w:after="160"/>
              <w:ind w:left="351"/>
              <w:jc w:val="both"/>
              <w:rPr>
                <w:u w:val="single"/>
              </w:rPr>
            </w:pPr>
            <w:r w:rsidRPr="00CE7EBD">
              <w:t xml:space="preserve">Invoices (or portions thereof) financed from funds subject to VAT (49% of the total Contract value) shall be subject to VAT at the applicable rate of 21%, in accordance with Montenegrin legislation. </w:t>
            </w:r>
            <w:r w:rsidR="00766989" w:rsidRPr="00D941C4">
              <w:rPr>
                <w:u w:val="single"/>
              </w:rPr>
              <w:t xml:space="preserve">Regarding the response previously provided under </w:t>
            </w:r>
            <w:r w:rsidR="00D941C4">
              <w:rPr>
                <w:u w:val="single"/>
              </w:rPr>
              <w:t>question</w:t>
            </w:r>
            <w:r w:rsidR="00766989" w:rsidRPr="00D941C4">
              <w:rPr>
                <w:u w:val="single"/>
              </w:rPr>
              <w:t xml:space="preserve"> 7, which formed an integral part of Clarification 1, we would like to clarify that VAT costs are to be borne by the Purchaser.</w:t>
            </w:r>
          </w:p>
          <w:p w14:paraId="69D4E1A8" w14:textId="77777777" w:rsidR="00CE7EBD" w:rsidRPr="00CE7EBD" w:rsidRDefault="00CE7EBD" w:rsidP="00CE7EBD">
            <w:pPr>
              <w:ind w:left="351"/>
              <w:jc w:val="both"/>
            </w:pPr>
            <w:r w:rsidRPr="00CE7EBD">
              <w:t>Consequently, it is possible that an invoice is fully VAT-exempt, where it is entirely financed from VAT-exempt funds. The allocation of each invoice to the respective financing source shall be determined by the Purchaser.</w:t>
            </w:r>
          </w:p>
          <w:p w14:paraId="26E1DF85" w14:textId="77777777" w:rsidR="00CE7EBD" w:rsidRDefault="00CE7EBD" w:rsidP="00CE7EBD">
            <w:pPr>
              <w:ind w:left="351"/>
              <w:jc w:val="both"/>
            </w:pPr>
            <w:r w:rsidRPr="00CE7EBD">
              <w:t>This does not exclude the possibility that only a portion of a given invoice is subject to VAT, while the remaining portion is treated as VAT-exempt, depending on the applicable source of financing.</w:t>
            </w:r>
          </w:p>
          <w:p w14:paraId="092E6F8E" w14:textId="65BCCFB9" w:rsidR="00213BBD" w:rsidRPr="00D77BFE" w:rsidRDefault="00213BBD" w:rsidP="00CE7EBD">
            <w:pPr>
              <w:ind w:left="351"/>
              <w:jc w:val="both"/>
            </w:pPr>
            <w:r w:rsidRPr="00213BBD">
              <w:rPr>
                <w:lang w:val="en"/>
              </w:rPr>
              <w:t xml:space="preserve">It is important that at the end of invoicing, the percentages of 51% </w:t>
            </w:r>
            <w:r w:rsidRPr="00D77BFE">
              <w:rPr>
                <w:lang w:val="en"/>
              </w:rPr>
              <w:t>and 4</w:t>
            </w:r>
            <w:r w:rsidR="00D77BFE" w:rsidRPr="00D77BFE">
              <w:rPr>
                <w:lang w:val="en"/>
              </w:rPr>
              <w:t>9</w:t>
            </w:r>
            <w:r w:rsidRPr="00D77BFE">
              <w:rPr>
                <w:lang w:val="en"/>
              </w:rPr>
              <w:t>% given in the contract are respected.</w:t>
            </w:r>
          </w:p>
          <w:p w14:paraId="0A66018B" w14:textId="1107C818" w:rsidR="00CE7EBD" w:rsidRPr="00CE7EBD" w:rsidRDefault="00CE7EBD" w:rsidP="00186C16">
            <w:pPr>
              <w:spacing w:before="60"/>
              <w:jc w:val="both"/>
            </w:pPr>
          </w:p>
        </w:tc>
      </w:tr>
      <w:tr w:rsidR="009F18D5" w:rsidRPr="007D39C3" w14:paraId="7B72C030" w14:textId="77777777" w:rsidTr="00186C16">
        <w:trPr>
          <w:trHeight w:val="70"/>
        </w:trPr>
        <w:tc>
          <w:tcPr>
            <w:tcW w:w="538" w:type="dxa"/>
          </w:tcPr>
          <w:p w14:paraId="339C8079" w14:textId="3726CF04" w:rsidR="009F18D5" w:rsidRPr="007D39C3" w:rsidRDefault="009F18D5" w:rsidP="00186C16">
            <w:pPr>
              <w:spacing w:before="60"/>
              <w:jc w:val="center"/>
              <w:rPr>
                <w:lang w:val="en-GB"/>
              </w:rPr>
            </w:pPr>
            <w:r>
              <w:rPr>
                <w:lang w:val="en-GB"/>
              </w:rPr>
              <w:lastRenderedPageBreak/>
              <w:t>12</w:t>
            </w:r>
          </w:p>
        </w:tc>
        <w:tc>
          <w:tcPr>
            <w:tcW w:w="4587" w:type="dxa"/>
          </w:tcPr>
          <w:p w14:paraId="1ED2934D" w14:textId="77777777" w:rsidR="009F18D5" w:rsidRPr="00D13A56" w:rsidRDefault="009F18D5" w:rsidP="00186C16">
            <w:pPr>
              <w:spacing w:before="60"/>
              <w:jc w:val="both"/>
              <w:rPr>
                <w:b/>
              </w:rPr>
            </w:pPr>
            <w:r w:rsidRPr="00D13A56">
              <w:rPr>
                <w:b/>
              </w:rPr>
              <w:t xml:space="preserve">Payment Terms – Partial Delivery </w:t>
            </w:r>
          </w:p>
          <w:p w14:paraId="45A438AD" w14:textId="77777777" w:rsidR="009F18D5" w:rsidRDefault="009F18D5" w:rsidP="00186C16">
            <w:pPr>
              <w:spacing w:before="60"/>
              <w:jc w:val="both"/>
            </w:pPr>
            <w:r w:rsidRPr="00D13A56">
              <w:t xml:space="preserve">In Special Conditions, Article GCC 16.1 (Payment for Goods Supplied from Abroad), it is stated that: "On Delivery: Seventy (70) percent of the Contract Price shall be paid on receipt of the Goods and upon submission of the documents specified in GCC Clause 13. Where only part of the supplies has been delivered, the 70% </w:t>
            </w:r>
            <w:r w:rsidRPr="00D13A56">
              <w:lastRenderedPageBreak/>
              <w:t xml:space="preserve">payment due following partial provisional acceptance shall be calculated on the value of the supplies which have actually been accepted." </w:t>
            </w:r>
          </w:p>
          <w:p w14:paraId="6B9BA69C" w14:textId="77777777" w:rsidR="009F18D5" w:rsidRDefault="009F18D5" w:rsidP="00186C16">
            <w:pPr>
              <w:spacing w:before="60"/>
              <w:jc w:val="both"/>
            </w:pPr>
            <w:r w:rsidRPr="00D13A56">
              <w:t xml:space="preserve">We kindly request clarification on the following: </w:t>
            </w:r>
          </w:p>
          <w:p w14:paraId="1B3DFD98" w14:textId="77777777" w:rsidR="009F18D5" w:rsidRPr="00213BBD" w:rsidRDefault="009F18D5" w:rsidP="00186C16">
            <w:pPr>
              <w:spacing w:before="60"/>
              <w:jc w:val="both"/>
            </w:pPr>
            <w:r w:rsidRPr="00D13A56">
              <w:t xml:space="preserve">• </w:t>
            </w:r>
            <w:r w:rsidRPr="00213BBD">
              <w:t xml:space="preserve">How is “partial provisional acceptance” linked to the 70% payment, given that a Provisional Acceptance document is not listed among the documents required under GCC Clause 13? Further to the above, please confirm: </w:t>
            </w:r>
          </w:p>
          <w:p w14:paraId="2844B6B0" w14:textId="77777777" w:rsidR="009F18D5" w:rsidRDefault="009F18D5" w:rsidP="00186C16">
            <w:pPr>
              <w:spacing w:before="60"/>
              <w:jc w:val="both"/>
            </w:pPr>
            <w:r w:rsidRPr="00D13A56">
              <w:t xml:space="preserve">• That the 70% payment will be made upon delivery and receipt of the Goods, and submission of the documents specified in GCC Clause 13, for all delivery locations; </w:t>
            </w:r>
          </w:p>
          <w:p w14:paraId="15F965C5" w14:textId="6F2145B7" w:rsidR="009F18D5" w:rsidRPr="007D39C3" w:rsidRDefault="009F18D5" w:rsidP="00186C16">
            <w:pPr>
              <w:spacing w:before="60"/>
              <w:jc w:val="both"/>
              <w:rPr>
                <w:lang w:val="en-GB"/>
              </w:rPr>
            </w:pPr>
            <w:r w:rsidRPr="00D13A56">
              <w:t>• Specifically, that this applies equally to goods delivered to the two schools in Nikšić, despite those sites being subject to ongoing adaptation works</w:t>
            </w:r>
          </w:p>
        </w:tc>
        <w:tc>
          <w:tcPr>
            <w:tcW w:w="5295" w:type="dxa"/>
          </w:tcPr>
          <w:p w14:paraId="67175270" w14:textId="65E85956" w:rsidR="009F18D5" w:rsidRDefault="003E3E1D" w:rsidP="00186C16">
            <w:pPr>
              <w:spacing w:before="60"/>
              <w:jc w:val="both"/>
              <w:rPr>
                <w:lang w:val="en-GB"/>
              </w:rPr>
            </w:pPr>
            <w:r w:rsidRPr="001A061F">
              <w:lastRenderedPageBreak/>
              <w:t>Where only part of the supplies has been delivered, the 70% payment due following partial provisional acceptance shall be calculated on the value of the supplies which have actually been accepted</w:t>
            </w:r>
          </w:p>
          <w:p w14:paraId="01D344BA" w14:textId="0CAF5361" w:rsidR="001A061F" w:rsidRPr="001A061F" w:rsidRDefault="00A43159" w:rsidP="001A061F">
            <w:pPr>
              <w:spacing w:before="60"/>
              <w:jc w:val="both"/>
            </w:pPr>
            <w:r w:rsidRPr="001A061F">
              <w:t xml:space="preserve">Please note that the following is stipulated under </w:t>
            </w:r>
            <w:r w:rsidR="001A061F">
              <w:t xml:space="preserve">the </w:t>
            </w:r>
            <w:r w:rsidRPr="001A061F">
              <w:t>SCC</w:t>
            </w:r>
            <w:r w:rsidR="00CE7EBD">
              <w:t xml:space="preserve"> article 13</w:t>
            </w:r>
            <w:r w:rsidRPr="001A061F">
              <w:t>:</w:t>
            </w:r>
          </w:p>
          <w:p w14:paraId="04C2894E" w14:textId="55BE5517" w:rsidR="00A43159" w:rsidRPr="0089573E" w:rsidRDefault="00A43159" w:rsidP="001A061F">
            <w:pPr>
              <w:spacing w:before="60"/>
              <w:jc w:val="both"/>
            </w:pPr>
            <w:r>
              <w:rPr>
                <w:b/>
                <w:bCs/>
              </w:rPr>
              <w:t xml:space="preserve"> </w:t>
            </w:r>
            <w:r w:rsidRPr="00CB5B33">
              <w:rPr>
                <w:b/>
                <w:bCs/>
              </w:rPr>
              <w:t>Provisional acceptance certificate (PAC):</w:t>
            </w:r>
            <w:r w:rsidRPr="0089573E">
              <w:t xml:space="preserve"> Provisional Acceptance certificate shall be granted when the supplies </w:t>
            </w:r>
            <w:r w:rsidRPr="0089573E">
              <w:lastRenderedPageBreak/>
              <w:t xml:space="preserve">have been delivered in full compliance with the Contract, have satisfactorily passed all required tests and/or commissioning procedures, and when all other obligations precedent to acceptance — including, where applicable, </w:t>
            </w:r>
            <w:r w:rsidRPr="001A061F">
              <w:rPr>
                <w:u w:val="single"/>
              </w:rPr>
              <w:t>the provision of training, technical documentation, and any ancillary services</w:t>
            </w:r>
            <w:r w:rsidRPr="0089573E">
              <w:t xml:space="preserve"> — have been duly performed by the Contractor. Upon fulfilment of these conditions, the Contracting Authority shall issue the Provisional Acceptance Certificate.</w:t>
            </w:r>
          </w:p>
          <w:p w14:paraId="1BC1F8CE" w14:textId="1397012C" w:rsidR="00A43159" w:rsidRPr="007D39C3" w:rsidRDefault="00290FF5" w:rsidP="00186C16">
            <w:pPr>
              <w:spacing w:before="60"/>
              <w:jc w:val="both"/>
              <w:rPr>
                <w:lang w:val="en-GB"/>
              </w:rPr>
            </w:pPr>
            <w:r w:rsidRPr="00290FF5">
              <w:rPr>
                <w:lang w:val="en"/>
              </w:rPr>
              <w:t xml:space="preserve">Regarding schools in Nikšić, in the event that the works are delayed and the bidder decides to store the equipment in the school premises until the conditions are met for its relocation to the renovated premises, the Contracting Authority will issue a partial </w:t>
            </w:r>
            <w:r>
              <w:rPr>
                <w:lang w:val="en"/>
              </w:rPr>
              <w:t>provisional acceptance</w:t>
            </w:r>
            <w:r w:rsidRPr="00290FF5">
              <w:rPr>
                <w:lang w:val="en"/>
              </w:rPr>
              <w:t xml:space="preserve"> certificate and as soon as the remaining services are implemented in accordance with the contractual obligations, a Provisional Acceptance Certificate will be issued</w:t>
            </w:r>
            <w:r>
              <w:rPr>
                <w:lang w:val="en"/>
              </w:rPr>
              <w:t>.</w:t>
            </w:r>
          </w:p>
        </w:tc>
      </w:tr>
      <w:tr w:rsidR="009F18D5" w:rsidRPr="007D39C3" w14:paraId="0A3570B3" w14:textId="77777777" w:rsidTr="00712B7F">
        <w:trPr>
          <w:trHeight w:val="4283"/>
        </w:trPr>
        <w:tc>
          <w:tcPr>
            <w:tcW w:w="538" w:type="dxa"/>
          </w:tcPr>
          <w:p w14:paraId="697CE568" w14:textId="5167134A" w:rsidR="009F18D5" w:rsidRPr="007D39C3" w:rsidRDefault="009F18D5" w:rsidP="00186C16">
            <w:pPr>
              <w:spacing w:before="60"/>
              <w:jc w:val="center"/>
              <w:rPr>
                <w:lang w:val="en-GB"/>
              </w:rPr>
            </w:pPr>
            <w:r>
              <w:rPr>
                <w:lang w:val="en-GB"/>
              </w:rPr>
              <w:lastRenderedPageBreak/>
              <w:t>13</w:t>
            </w:r>
          </w:p>
        </w:tc>
        <w:tc>
          <w:tcPr>
            <w:tcW w:w="4587" w:type="dxa"/>
          </w:tcPr>
          <w:p w14:paraId="7779BC0A" w14:textId="78D2FC07" w:rsidR="009F18D5" w:rsidRPr="007D39C3" w:rsidRDefault="00262440" w:rsidP="00186C16">
            <w:pPr>
              <w:spacing w:before="60"/>
              <w:jc w:val="both"/>
              <w:rPr>
                <w:lang w:val="en-GB"/>
              </w:rPr>
            </w:pPr>
            <w:r w:rsidRPr="00262440">
              <w:rPr>
                <w:lang w:val="en-GB"/>
              </w:rPr>
              <w:t>Technical Specification of Items 4.88 Desktop Computer, 4.89 Dental CAD Software, and 4.99 Desktop Computer. According to the discussion of computer and software manufacturers, they only issue a Manufacturer's Authorization letter to their official distributors. They conduct their sales through authorized distributors. Therefore, Manufacturer’s Authorization letter that you requested for these items can't giving by the manufacturers directly. We kindly request that you remove Manufacturer Authorization letter requirement for the mentioned items in the technical specifications document.</w:t>
            </w:r>
          </w:p>
        </w:tc>
        <w:tc>
          <w:tcPr>
            <w:tcW w:w="5295" w:type="dxa"/>
          </w:tcPr>
          <w:p w14:paraId="5366A9FE" w14:textId="77777777" w:rsidR="00262440" w:rsidRDefault="00262440" w:rsidP="00186C16">
            <w:pPr>
              <w:spacing w:before="60"/>
              <w:jc w:val="both"/>
              <w:rPr>
                <w:lang w:val="en-GB"/>
              </w:rPr>
            </w:pPr>
            <w:r>
              <w:rPr>
                <w:lang w:val="en-GB"/>
              </w:rPr>
              <w:t>MAF remains requested.</w:t>
            </w:r>
          </w:p>
          <w:p w14:paraId="217DE4F0" w14:textId="6E3DFD00" w:rsidR="00262440" w:rsidRDefault="00262440" w:rsidP="00186C16">
            <w:pPr>
              <w:spacing w:before="60"/>
              <w:jc w:val="both"/>
              <w:rPr>
                <w:lang w:val="en-GB"/>
              </w:rPr>
            </w:pPr>
            <w:r w:rsidRPr="007D39C3">
              <w:rPr>
                <w:lang w:val="en-GB"/>
              </w:rPr>
              <w:t xml:space="preserve">MAF should be issued by manufacturer </w:t>
            </w:r>
            <w:r w:rsidRPr="00712B7F">
              <w:rPr>
                <w:u w:val="single"/>
                <w:lang w:val="en-GB"/>
              </w:rPr>
              <w:t xml:space="preserve">or its formally authorized representative, </w:t>
            </w:r>
            <w:r w:rsidRPr="007D39C3">
              <w:rPr>
                <w:lang w:val="en-GB"/>
              </w:rPr>
              <w:t>subject to proof that such authorization exists as requested for each item in the technical specifications.</w:t>
            </w:r>
          </w:p>
          <w:p w14:paraId="7574C881" w14:textId="5B1FDBA4" w:rsidR="00262440" w:rsidRPr="007D39C3" w:rsidRDefault="00262440" w:rsidP="00186C16">
            <w:pPr>
              <w:spacing w:before="60"/>
              <w:jc w:val="both"/>
              <w:rPr>
                <w:lang w:val="en-GB"/>
              </w:rPr>
            </w:pPr>
            <w:r w:rsidRPr="007D39C3">
              <w:rPr>
                <w:lang w:val="en-GB"/>
              </w:rPr>
              <w:t>Bidders should issue declaration describing who is providing warranty-aftersales service on behalf of manufacturers for all items offered.</w:t>
            </w:r>
          </w:p>
          <w:p w14:paraId="142FD61A" w14:textId="24945C9A" w:rsidR="009F18D5" w:rsidRPr="007D39C3" w:rsidRDefault="00262440" w:rsidP="00186C16">
            <w:pPr>
              <w:spacing w:before="60"/>
              <w:jc w:val="both"/>
              <w:rPr>
                <w:lang w:val="en-GB"/>
              </w:rPr>
            </w:pPr>
            <w:r w:rsidRPr="007D39C3">
              <w:rPr>
                <w:lang w:val="en-GB"/>
              </w:rPr>
              <w:t>In the case warranty requirements where not covered by MAF bidders should submit</w:t>
            </w:r>
            <w:r w:rsidRPr="007D39C3">
              <w:rPr>
                <w:b/>
                <w:bCs/>
                <w:lang w:val="en-GB"/>
              </w:rPr>
              <w:t xml:space="preserve"> </w:t>
            </w:r>
            <w:r w:rsidRPr="007D39C3">
              <w:rPr>
                <w:lang w:val="en-GB"/>
              </w:rPr>
              <w:t>documentary evidence from the manufacturer or manufacturer representative demonstrating their commitment to provide technical support, spares, and maintenance for the specified warranty and post-warranty periods.</w:t>
            </w:r>
          </w:p>
        </w:tc>
      </w:tr>
      <w:tr w:rsidR="009F18D5" w:rsidRPr="007D39C3" w14:paraId="45338050" w14:textId="77777777" w:rsidTr="00186C16">
        <w:trPr>
          <w:trHeight w:val="70"/>
        </w:trPr>
        <w:tc>
          <w:tcPr>
            <w:tcW w:w="538" w:type="dxa"/>
          </w:tcPr>
          <w:p w14:paraId="477AA04E" w14:textId="74D4CF19" w:rsidR="009F18D5" w:rsidRPr="00186C16" w:rsidRDefault="003E3E1D" w:rsidP="00186C16">
            <w:pPr>
              <w:spacing w:before="60"/>
              <w:jc w:val="center"/>
              <w:rPr>
                <w:lang w:val="en-GB"/>
              </w:rPr>
            </w:pPr>
            <w:r w:rsidRPr="00186C16">
              <w:rPr>
                <w:lang w:val="en-GB"/>
              </w:rPr>
              <w:t>14</w:t>
            </w:r>
          </w:p>
        </w:tc>
        <w:tc>
          <w:tcPr>
            <w:tcW w:w="4587" w:type="dxa"/>
          </w:tcPr>
          <w:p w14:paraId="4A905DD7" w14:textId="33119330" w:rsidR="003E3E1D" w:rsidRPr="00186C16" w:rsidRDefault="003E3E1D" w:rsidP="00186C16">
            <w:pPr>
              <w:spacing w:before="60"/>
              <w:jc w:val="both"/>
              <w:rPr>
                <w:b/>
                <w:bCs/>
                <w:lang w:val="en-GB"/>
              </w:rPr>
            </w:pPr>
            <w:r w:rsidRPr="00186C16">
              <w:rPr>
                <w:b/>
                <w:bCs/>
                <w:lang w:val="en-GB"/>
              </w:rPr>
              <w:t>Item 1.92 Solar Panel</w:t>
            </w:r>
          </w:p>
          <w:p w14:paraId="2F8B16E7" w14:textId="08A2F9E5" w:rsidR="003E3E1D" w:rsidRPr="00186C16" w:rsidRDefault="003E3E1D" w:rsidP="00186C16">
            <w:pPr>
              <w:pStyle w:val="ListParagraph"/>
              <w:spacing w:before="60"/>
              <w:ind w:left="-20"/>
              <w:contextualSpacing w:val="0"/>
              <w:jc w:val="both"/>
              <w:rPr>
                <w:lang w:val="en-GB"/>
              </w:rPr>
            </w:pPr>
            <w:r w:rsidRPr="00186C16">
              <w:rPr>
                <w:lang w:val="en-GB"/>
              </w:rPr>
              <w:t>What is the application of these panels. Should this also be a trainer model like the rest of the items?</w:t>
            </w:r>
          </w:p>
          <w:p w14:paraId="4664A54E" w14:textId="0A4EEBA2" w:rsidR="009F18D5" w:rsidRPr="00186C16" w:rsidRDefault="009F18D5" w:rsidP="00186C16">
            <w:pPr>
              <w:pStyle w:val="ListParagraph"/>
              <w:spacing w:before="60"/>
              <w:ind w:left="360"/>
              <w:contextualSpacing w:val="0"/>
              <w:jc w:val="both"/>
              <w:rPr>
                <w:lang w:val="en-GB"/>
              </w:rPr>
            </w:pPr>
          </w:p>
        </w:tc>
        <w:tc>
          <w:tcPr>
            <w:tcW w:w="5295" w:type="dxa"/>
          </w:tcPr>
          <w:p w14:paraId="1E267A6E" w14:textId="025AE753" w:rsidR="009F18D5" w:rsidRPr="00186C16" w:rsidRDefault="00186A1F" w:rsidP="00186C16">
            <w:pPr>
              <w:spacing w:before="60"/>
              <w:jc w:val="both"/>
              <w:rPr>
                <w:lang w:val="en-GB"/>
              </w:rPr>
            </w:pPr>
            <w:r w:rsidRPr="00186C16">
              <w:rPr>
                <w:lang w:val="en-GB"/>
              </w:rPr>
              <w:t>Solar panel will be used for students training.</w:t>
            </w:r>
          </w:p>
        </w:tc>
      </w:tr>
      <w:tr w:rsidR="009F18D5" w:rsidRPr="007D39C3" w14:paraId="317C8A07" w14:textId="77777777" w:rsidTr="001D61AB">
        <w:trPr>
          <w:trHeight w:val="1160"/>
        </w:trPr>
        <w:tc>
          <w:tcPr>
            <w:tcW w:w="538" w:type="dxa"/>
          </w:tcPr>
          <w:p w14:paraId="5B086CAD" w14:textId="32ADA302" w:rsidR="009F18D5" w:rsidRPr="00186C16" w:rsidRDefault="003E3E1D" w:rsidP="00186C16">
            <w:pPr>
              <w:spacing w:before="60"/>
              <w:jc w:val="center"/>
              <w:rPr>
                <w:lang w:val="en-GB"/>
              </w:rPr>
            </w:pPr>
            <w:r w:rsidRPr="00186C16">
              <w:rPr>
                <w:lang w:val="en-GB"/>
              </w:rPr>
              <w:t>15</w:t>
            </w:r>
          </w:p>
        </w:tc>
        <w:tc>
          <w:tcPr>
            <w:tcW w:w="4587" w:type="dxa"/>
          </w:tcPr>
          <w:p w14:paraId="6D1142E9" w14:textId="77777777" w:rsidR="003E3E1D" w:rsidRPr="00186C16" w:rsidRDefault="003E3E1D" w:rsidP="00186C16">
            <w:pPr>
              <w:spacing w:before="60"/>
              <w:jc w:val="both"/>
              <w:rPr>
                <w:b/>
                <w:bCs/>
                <w:lang w:val="en-GB"/>
              </w:rPr>
            </w:pPr>
            <w:r w:rsidRPr="00186C16">
              <w:rPr>
                <w:b/>
                <w:bCs/>
                <w:lang w:val="en-GB"/>
              </w:rPr>
              <w:t>Item 4.29 Heimlich Vest</w:t>
            </w:r>
          </w:p>
          <w:p w14:paraId="6D3DFDF7" w14:textId="4A40CD52" w:rsidR="009F18D5" w:rsidRPr="00186C16" w:rsidRDefault="003E3E1D" w:rsidP="00186C16">
            <w:pPr>
              <w:spacing w:before="60"/>
              <w:jc w:val="both"/>
              <w:rPr>
                <w:lang w:val="en-GB"/>
              </w:rPr>
            </w:pPr>
            <w:r w:rsidRPr="00186C16">
              <w:rPr>
                <w:lang w:val="en-GB"/>
              </w:rPr>
              <w:t>Can you confirm the vest required is for children, not adults.</w:t>
            </w:r>
          </w:p>
        </w:tc>
        <w:tc>
          <w:tcPr>
            <w:tcW w:w="5295" w:type="dxa"/>
          </w:tcPr>
          <w:p w14:paraId="7E44D3C1" w14:textId="2C8082D5" w:rsidR="009F18D5" w:rsidRPr="00186C16" w:rsidRDefault="00186A1F" w:rsidP="00186C16">
            <w:pPr>
              <w:spacing w:before="60"/>
              <w:jc w:val="both"/>
              <w:rPr>
                <w:lang w:val="en-GB"/>
              </w:rPr>
            </w:pPr>
            <w:r w:rsidRPr="00186C16">
              <w:rPr>
                <w:lang w:val="en-GB"/>
              </w:rPr>
              <w:t>Heimlich Vest is for adults.</w:t>
            </w:r>
          </w:p>
        </w:tc>
      </w:tr>
    </w:tbl>
    <w:p w14:paraId="10E662BE" w14:textId="77777777" w:rsidR="00181304" w:rsidRPr="00AD3E09" w:rsidRDefault="00181304">
      <w:pPr>
        <w:rPr>
          <w:lang w:val="en-GB"/>
        </w:rPr>
      </w:pPr>
    </w:p>
    <w:sectPr w:rsidR="00181304" w:rsidRPr="00AD3E0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DE36" w14:textId="77777777" w:rsidR="00095101" w:rsidRDefault="00095101" w:rsidP="00124DDA">
      <w:pPr>
        <w:spacing w:after="0" w:line="240" w:lineRule="auto"/>
      </w:pPr>
      <w:r>
        <w:separator/>
      </w:r>
    </w:p>
  </w:endnote>
  <w:endnote w:type="continuationSeparator" w:id="0">
    <w:p w14:paraId="6B61CC9F" w14:textId="77777777" w:rsidR="00095101" w:rsidRDefault="00095101" w:rsidP="0012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005926"/>
      <w:docPartObj>
        <w:docPartGallery w:val="Page Numbers (Bottom of Page)"/>
        <w:docPartUnique/>
      </w:docPartObj>
    </w:sdtPr>
    <w:sdtContent>
      <w:sdt>
        <w:sdtPr>
          <w:id w:val="-1769616900"/>
          <w:docPartObj>
            <w:docPartGallery w:val="Page Numbers (Top of Page)"/>
            <w:docPartUnique/>
          </w:docPartObj>
        </w:sdtPr>
        <w:sdtContent>
          <w:p w14:paraId="2EEA2AC5" w14:textId="08C09063" w:rsidR="00124DDA" w:rsidRDefault="00124D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5BBA43" w14:textId="77777777" w:rsidR="00124DDA" w:rsidRDefault="00124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CF70" w14:textId="77777777" w:rsidR="00095101" w:rsidRDefault="00095101" w:rsidP="00124DDA">
      <w:pPr>
        <w:spacing w:after="0" w:line="240" w:lineRule="auto"/>
      </w:pPr>
      <w:r>
        <w:separator/>
      </w:r>
    </w:p>
  </w:footnote>
  <w:footnote w:type="continuationSeparator" w:id="0">
    <w:p w14:paraId="2F4A6057" w14:textId="77777777" w:rsidR="00095101" w:rsidRDefault="00095101" w:rsidP="00124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297"/>
    <w:multiLevelType w:val="hybridMultilevel"/>
    <w:tmpl w:val="46BE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B0D3F"/>
    <w:multiLevelType w:val="hybridMultilevel"/>
    <w:tmpl w:val="B2E2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17D8E"/>
    <w:multiLevelType w:val="multilevel"/>
    <w:tmpl w:val="E6C8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708D4"/>
    <w:multiLevelType w:val="hybridMultilevel"/>
    <w:tmpl w:val="62AE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A95D53"/>
    <w:multiLevelType w:val="hybridMultilevel"/>
    <w:tmpl w:val="A366F992"/>
    <w:lvl w:ilvl="0" w:tplc="FE2C8218">
      <w:start w:val="1"/>
      <w:numFmt w:val="lowerLetter"/>
      <w:lvlText w:val="%1)"/>
      <w:lvlJc w:val="left"/>
      <w:pPr>
        <w:ind w:left="360" w:hanging="360"/>
      </w:pPr>
      <w:rPr>
        <w:rFonts w:asciiTheme="minorHAnsi" w:hAnsiTheme="minorHAnsi" w:cstheme="minorHAnsi" w:hint="default"/>
        <w:sz w:val="22"/>
        <w:szCs w:val="22"/>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6" w15:restartNumberingAfterBreak="0">
    <w:nsid w:val="1F8A1DFC"/>
    <w:multiLevelType w:val="hybridMultilevel"/>
    <w:tmpl w:val="AB50948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7" w15:restartNumberingAfterBreak="0">
    <w:nsid w:val="2470202A"/>
    <w:multiLevelType w:val="hybridMultilevel"/>
    <w:tmpl w:val="87FAF6B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DC355B2"/>
    <w:multiLevelType w:val="hybridMultilevel"/>
    <w:tmpl w:val="B35E99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C63568D"/>
    <w:multiLevelType w:val="hybridMultilevel"/>
    <w:tmpl w:val="62F8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D7495"/>
    <w:multiLevelType w:val="hybridMultilevel"/>
    <w:tmpl w:val="96A6FEE8"/>
    <w:lvl w:ilvl="0" w:tplc="07360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21FD8"/>
    <w:multiLevelType w:val="hybridMultilevel"/>
    <w:tmpl w:val="B678C476"/>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2" w15:restartNumberingAfterBreak="0">
    <w:nsid w:val="467668DA"/>
    <w:multiLevelType w:val="hybridMultilevel"/>
    <w:tmpl w:val="49F498F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00142E"/>
    <w:multiLevelType w:val="hybridMultilevel"/>
    <w:tmpl w:val="86D2B4D4"/>
    <w:lvl w:ilvl="0" w:tplc="2000000F">
      <w:start w:val="1"/>
      <w:numFmt w:val="decimal"/>
      <w:lvlText w:val="%1."/>
      <w:lvlJc w:val="left"/>
      <w:pPr>
        <w:ind w:left="360" w:hanging="360"/>
      </w:pPr>
    </w:lvl>
    <w:lvl w:ilvl="1" w:tplc="20000001">
      <w:start w:val="1"/>
      <w:numFmt w:val="bullet"/>
      <w:lvlText w:val=""/>
      <w:lvlJc w:val="left"/>
      <w:pPr>
        <w:ind w:left="720" w:hanging="360"/>
      </w:pPr>
      <w:rPr>
        <w:rFonts w:ascii="Symbol" w:hAnsi="Symbol"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4964472A"/>
    <w:multiLevelType w:val="hybridMultilevel"/>
    <w:tmpl w:val="A14430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9C41699"/>
    <w:multiLevelType w:val="hybridMultilevel"/>
    <w:tmpl w:val="2F5AE6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AB37917"/>
    <w:multiLevelType w:val="hybridMultilevel"/>
    <w:tmpl w:val="578E3780"/>
    <w:lvl w:ilvl="0" w:tplc="04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17" w15:restartNumberingAfterBreak="0">
    <w:nsid w:val="530939B1"/>
    <w:multiLevelType w:val="hybridMultilevel"/>
    <w:tmpl w:val="076C30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4AD3E1D"/>
    <w:multiLevelType w:val="hybridMultilevel"/>
    <w:tmpl w:val="1D56F270"/>
    <w:lvl w:ilvl="0" w:tplc="6B308B9E">
      <w:start w:val="1"/>
      <w:numFmt w:val="lowerLetter"/>
      <w:lvlText w:val="%1)"/>
      <w:lvlJc w:val="left"/>
      <w:pPr>
        <w:ind w:left="360" w:hanging="360"/>
      </w:pPr>
      <w:rPr>
        <w:rFonts w:asciiTheme="minorHAnsi" w:hAnsiTheme="minorHAnsi" w:cstheme="minorHAnsi" w:hint="default"/>
        <w:sz w:val="22"/>
        <w:szCs w:val="22"/>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9" w15:restartNumberingAfterBreak="0">
    <w:nsid w:val="57510484"/>
    <w:multiLevelType w:val="hybridMultilevel"/>
    <w:tmpl w:val="B14C6516"/>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0" w15:restartNumberingAfterBreak="0">
    <w:nsid w:val="5CF902BF"/>
    <w:multiLevelType w:val="hybridMultilevel"/>
    <w:tmpl w:val="589E27D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1" w15:restartNumberingAfterBreak="0">
    <w:nsid w:val="683C0776"/>
    <w:multiLevelType w:val="hybridMultilevel"/>
    <w:tmpl w:val="F76692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B72437D"/>
    <w:multiLevelType w:val="hybridMultilevel"/>
    <w:tmpl w:val="8BBE6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61AC5"/>
    <w:multiLevelType w:val="hybridMultilevel"/>
    <w:tmpl w:val="AD1476FC"/>
    <w:lvl w:ilvl="0" w:tplc="04090017">
      <w:start w:val="1"/>
      <w:numFmt w:val="lowerLetter"/>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5" w15:restartNumberingAfterBreak="0">
    <w:nsid w:val="6C891209"/>
    <w:multiLevelType w:val="hybridMultilevel"/>
    <w:tmpl w:val="26B6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005AEA"/>
    <w:multiLevelType w:val="hybridMultilevel"/>
    <w:tmpl w:val="25F80EEA"/>
    <w:lvl w:ilvl="0" w:tplc="B9E62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15B69"/>
    <w:multiLevelType w:val="hybridMultilevel"/>
    <w:tmpl w:val="206AEB12"/>
    <w:lvl w:ilvl="0" w:tplc="5F3863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1203BE1"/>
    <w:multiLevelType w:val="hybridMultilevel"/>
    <w:tmpl w:val="1AA47D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272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2188721">
    <w:abstractNumId w:val="19"/>
  </w:num>
  <w:num w:numId="2" w16cid:durableId="1822037046">
    <w:abstractNumId w:val="6"/>
  </w:num>
  <w:num w:numId="3" w16cid:durableId="1295788590">
    <w:abstractNumId w:val="20"/>
  </w:num>
  <w:num w:numId="4" w16cid:durableId="1561405608">
    <w:abstractNumId w:val="18"/>
  </w:num>
  <w:num w:numId="5" w16cid:durableId="911893222">
    <w:abstractNumId w:val="5"/>
  </w:num>
  <w:num w:numId="6" w16cid:durableId="104884575">
    <w:abstractNumId w:val="28"/>
  </w:num>
  <w:num w:numId="7" w16cid:durableId="1873837346">
    <w:abstractNumId w:val="10"/>
  </w:num>
  <w:num w:numId="8" w16cid:durableId="1116221456">
    <w:abstractNumId w:val="30"/>
  </w:num>
  <w:num w:numId="9" w16cid:durableId="2130008856">
    <w:abstractNumId w:val="24"/>
  </w:num>
  <w:num w:numId="10" w16cid:durableId="1670208110">
    <w:abstractNumId w:val="11"/>
  </w:num>
  <w:num w:numId="11" w16cid:durableId="1771470323">
    <w:abstractNumId w:val="12"/>
  </w:num>
  <w:num w:numId="12" w16cid:durableId="1652371220">
    <w:abstractNumId w:val="7"/>
  </w:num>
  <w:num w:numId="13" w16cid:durableId="712659173">
    <w:abstractNumId w:val="14"/>
  </w:num>
  <w:num w:numId="14" w16cid:durableId="1651910033">
    <w:abstractNumId w:val="13"/>
  </w:num>
  <w:num w:numId="15" w16cid:durableId="1954163743">
    <w:abstractNumId w:val="17"/>
  </w:num>
  <w:num w:numId="16" w16cid:durableId="1528257557">
    <w:abstractNumId w:val="21"/>
  </w:num>
  <w:num w:numId="17" w16cid:durableId="801532232">
    <w:abstractNumId w:val="8"/>
  </w:num>
  <w:num w:numId="18" w16cid:durableId="193008245">
    <w:abstractNumId w:val="23"/>
  </w:num>
  <w:num w:numId="19" w16cid:durableId="1793744143">
    <w:abstractNumId w:val="15"/>
  </w:num>
  <w:num w:numId="20" w16cid:durableId="44380582">
    <w:abstractNumId w:val="9"/>
  </w:num>
  <w:num w:numId="21" w16cid:durableId="1298340921">
    <w:abstractNumId w:val="1"/>
  </w:num>
  <w:num w:numId="22" w16cid:durableId="378357035">
    <w:abstractNumId w:val="0"/>
  </w:num>
  <w:num w:numId="23" w16cid:durableId="947658530">
    <w:abstractNumId w:val="26"/>
  </w:num>
  <w:num w:numId="24" w16cid:durableId="441461637">
    <w:abstractNumId w:val="25"/>
  </w:num>
  <w:num w:numId="25" w16cid:durableId="895701767">
    <w:abstractNumId w:val="4"/>
  </w:num>
  <w:num w:numId="26" w16cid:durableId="639043489">
    <w:abstractNumId w:val="22"/>
  </w:num>
  <w:num w:numId="27" w16cid:durableId="1885829242">
    <w:abstractNumId w:val="3"/>
  </w:num>
  <w:num w:numId="28" w16cid:durableId="451559330">
    <w:abstractNumId w:val="27"/>
  </w:num>
  <w:num w:numId="29" w16cid:durableId="418715077">
    <w:abstractNumId w:val="16"/>
  </w:num>
  <w:num w:numId="30" w16cid:durableId="81295389">
    <w:abstractNumId w:val="2"/>
  </w:num>
  <w:num w:numId="31" w16cid:durableId="17787129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04"/>
    <w:rsid w:val="0001785F"/>
    <w:rsid w:val="00021E49"/>
    <w:rsid w:val="0005542C"/>
    <w:rsid w:val="00065E55"/>
    <w:rsid w:val="00071C2C"/>
    <w:rsid w:val="00082738"/>
    <w:rsid w:val="00084540"/>
    <w:rsid w:val="00087B9F"/>
    <w:rsid w:val="00095101"/>
    <w:rsid w:val="000B1A19"/>
    <w:rsid w:val="000D1DFB"/>
    <w:rsid w:val="000E35F6"/>
    <w:rsid w:val="00101CDC"/>
    <w:rsid w:val="00105C90"/>
    <w:rsid w:val="00112E34"/>
    <w:rsid w:val="00122EFF"/>
    <w:rsid w:val="00124DDA"/>
    <w:rsid w:val="00131A37"/>
    <w:rsid w:val="00132E08"/>
    <w:rsid w:val="00134226"/>
    <w:rsid w:val="00150570"/>
    <w:rsid w:val="001559A0"/>
    <w:rsid w:val="00162D05"/>
    <w:rsid w:val="00166F2D"/>
    <w:rsid w:val="00181304"/>
    <w:rsid w:val="00186A1F"/>
    <w:rsid w:val="00186C16"/>
    <w:rsid w:val="00191957"/>
    <w:rsid w:val="001A061F"/>
    <w:rsid w:val="001A27B9"/>
    <w:rsid w:val="001A3502"/>
    <w:rsid w:val="001B0024"/>
    <w:rsid w:val="001B3950"/>
    <w:rsid w:val="001B58DB"/>
    <w:rsid w:val="001C0263"/>
    <w:rsid w:val="001D61AB"/>
    <w:rsid w:val="001E2AAE"/>
    <w:rsid w:val="001F0190"/>
    <w:rsid w:val="00213BBD"/>
    <w:rsid w:val="0021546B"/>
    <w:rsid w:val="002205D6"/>
    <w:rsid w:val="00253A56"/>
    <w:rsid w:val="00262440"/>
    <w:rsid w:val="00274C14"/>
    <w:rsid w:val="00277409"/>
    <w:rsid w:val="00284560"/>
    <w:rsid w:val="00286C89"/>
    <w:rsid w:val="00286E10"/>
    <w:rsid w:val="00290FF5"/>
    <w:rsid w:val="002934F5"/>
    <w:rsid w:val="002940B6"/>
    <w:rsid w:val="002B0176"/>
    <w:rsid w:val="002B6F25"/>
    <w:rsid w:val="002C275A"/>
    <w:rsid w:val="002C4E64"/>
    <w:rsid w:val="002D3166"/>
    <w:rsid w:val="002D5E1E"/>
    <w:rsid w:val="002D72C5"/>
    <w:rsid w:val="002E0031"/>
    <w:rsid w:val="002E120E"/>
    <w:rsid w:val="002E2884"/>
    <w:rsid w:val="002F70C4"/>
    <w:rsid w:val="00313792"/>
    <w:rsid w:val="0031502D"/>
    <w:rsid w:val="0032717C"/>
    <w:rsid w:val="00346B1E"/>
    <w:rsid w:val="003555D3"/>
    <w:rsid w:val="003565D0"/>
    <w:rsid w:val="003626EE"/>
    <w:rsid w:val="00370473"/>
    <w:rsid w:val="0038245C"/>
    <w:rsid w:val="003919AF"/>
    <w:rsid w:val="003B0C79"/>
    <w:rsid w:val="003B196C"/>
    <w:rsid w:val="003C0212"/>
    <w:rsid w:val="003C394B"/>
    <w:rsid w:val="003C6006"/>
    <w:rsid w:val="003D17C4"/>
    <w:rsid w:val="003E3E1D"/>
    <w:rsid w:val="003F6BF1"/>
    <w:rsid w:val="00403B1D"/>
    <w:rsid w:val="004045B3"/>
    <w:rsid w:val="00411639"/>
    <w:rsid w:val="004549EF"/>
    <w:rsid w:val="004622E7"/>
    <w:rsid w:val="00480290"/>
    <w:rsid w:val="00480846"/>
    <w:rsid w:val="004827A4"/>
    <w:rsid w:val="00490F23"/>
    <w:rsid w:val="004930DC"/>
    <w:rsid w:val="004B53B4"/>
    <w:rsid w:val="004B7856"/>
    <w:rsid w:val="004C08E8"/>
    <w:rsid w:val="004E1A09"/>
    <w:rsid w:val="004E6B93"/>
    <w:rsid w:val="00503397"/>
    <w:rsid w:val="00523B12"/>
    <w:rsid w:val="00532435"/>
    <w:rsid w:val="005530CC"/>
    <w:rsid w:val="00574814"/>
    <w:rsid w:val="00582F85"/>
    <w:rsid w:val="005C0B9E"/>
    <w:rsid w:val="005C717A"/>
    <w:rsid w:val="005D4FE1"/>
    <w:rsid w:val="006131E3"/>
    <w:rsid w:val="00621A4F"/>
    <w:rsid w:val="00643C98"/>
    <w:rsid w:val="006468AA"/>
    <w:rsid w:val="00667941"/>
    <w:rsid w:val="00693207"/>
    <w:rsid w:val="0069753C"/>
    <w:rsid w:val="006A78A2"/>
    <w:rsid w:val="006D7A61"/>
    <w:rsid w:val="006E5656"/>
    <w:rsid w:val="006F46F5"/>
    <w:rsid w:val="00711DBD"/>
    <w:rsid w:val="00712B7F"/>
    <w:rsid w:val="007201FE"/>
    <w:rsid w:val="00741A59"/>
    <w:rsid w:val="00753E38"/>
    <w:rsid w:val="007541A3"/>
    <w:rsid w:val="00762E9D"/>
    <w:rsid w:val="00766989"/>
    <w:rsid w:val="007738B4"/>
    <w:rsid w:val="00781AF2"/>
    <w:rsid w:val="00781BD1"/>
    <w:rsid w:val="00783A2B"/>
    <w:rsid w:val="00784A04"/>
    <w:rsid w:val="007B47F2"/>
    <w:rsid w:val="007D1656"/>
    <w:rsid w:val="007D3282"/>
    <w:rsid w:val="007D39C3"/>
    <w:rsid w:val="007D6E9A"/>
    <w:rsid w:val="007E0494"/>
    <w:rsid w:val="00806815"/>
    <w:rsid w:val="008249EA"/>
    <w:rsid w:val="008535AC"/>
    <w:rsid w:val="00861733"/>
    <w:rsid w:val="00870EE5"/>
    <w:rsid w:val="00882D82"/>
    <w:rsid w:val="00894482"/>
    <w:rsid w:val="008D631F"/>
    <w:rsid w:val="008F4AA6"/>
    <w:rsid w:val="00901633"/>
    <w:rsid w:val="0090372D"/>
    <w:rsid w:val="00904864"/>
    <w:rsid w:val="00910A8A"/>
    <w:rsid w:val="00912F39"/>
    <w:rsid w:val="0093557F"/>
    <w:rsid w:val="009523A3"/>
    <w:rsid w:val="009552CB"/>
    <w:rsid w:val="00965DEA"/>
    <w:rsid w:val="00977A18"/>
    <w:rsid w:val="00982176"/>
    <w:rsid w:val="009821CE"/>
    <w:rsid w:val="00982D84"/>
    <w:rsid w:val="00986D72"/>
    <w:rsid w:val="00995C2D"/>
    <w:rsid w:val="00997634"/>
    <w:rsid w:val="009A1B95"/>
    <w:rsid w:val="009B6CA0"/>
    <w:rsid w:val="009C34B2"/>
    <w:rsid w:val="009D145B"/>
    <w:rsid w:val="009E2D3B"/>
    <w:rsid w:val="009E49DF"/>
    <w:rsid w:val="009F18D5"/>
    <w:rsid w:val="009F4446"/>
    <w:rsid w:val="00A05075"/>
    <w:rsid w:val="00A21052"/>
    <w:rsid w:val="00A43159"/>
    <w:rsid w:val="00A54FA0"/>
    <w:rsid w:val="00A555BF"/>
    <w:rsid w:val="00A76A0D"/>
    <w:rsid w:val="00A82F5A"/>
    <w:rsid w:val="00A87557"/>
    <w:rsid w:val="00A909F0"/>
    <w:rsid w:val="00AA6C29"/>
    <w:rsid w:val="00AC0B48"/>
    <w:rsid w:val="00AD3E09"/>
    <w:rsid w:val="00AD5852"/>
    <w:rsid w:val="00B016E6"/>
    <w:rsid w:val="00B14066"/>
    <w:rsid w:val="00B210AA"/>
    <w:rsid w:val="00B33CCC"/>
    <w:rsid w:val="00B35EB0"/>
    <w:rsid w:val="00B617AE"/>
    <w:rsid w:val="00B632CB"/>
    <w:rsid w:val="00B86A4C"/>
    <w:rsid w:val="00B94FDF"/>
    <w:rsid w:val="00B97363"/>
    <w:rsid w:val="00BB3EF0"/>
    <w:rsid w:val="00BD332B"/>
    <w:rsid w:val="00BE6945"/>
    <w:rsid w:val="00BE6E69"/>
    <w:rsid w:val="00C02369"/>
    <w:rsid w:val="00C37F10"/>
    <w:rsid w:val="00C41563"/>
    <w:rsid w:val="00C43506"/>
    <w:rsid w:val="00C51701"/>
    <w:rsid w:val="00C53A81"/>
    <w:rsid w:val="00C53B1E"/>
    <w:rsid w:val="00C569B1"/>
    <w:rsid w:val="00C6430C"/>
    <w:rsid w:val="00C74772"/>
    <w:rsid w:val="00C950A0"/>
    <w:rsid w:val="00C96E54"/>
    <w:rsid w:val="00CA3694"/>
    <w:rsid w:val="00CA3C18"/>
    <w:rsid w:val="00CB2D37"/>
    <w:rsid w:val="00CE063F"/>
    <w:rsid w:val="00CE7BB1"/>
    <w:rsid w:val="00CE7EBD"/>
    <w:rsid w:val="00CF499B"/>
    <w:rsid w:val="00D13A56"/>
    <w:rsid w:val="00D17C4D"/>
    <w:rsid w:val="00D21D51"/>
    <w:rsid w:val="00D60309"/>
    <w:rsid w:val="00D77BFE"/>
    <w:rsid w:val="00D82156"/>
    <w:rsid w:val="00D86958"/>
    <w:rsid w:val="00D93FDC"/>
    <w:rsid w:val="00D941C4"/>
    <w:rsid w:val="00D94960"/>
    <w:rsid w:val="00DB47DF"/>
    <w:rsid w:val="00DD3FD2"/>
    <w:rsid w:val="00DD6DA0"/>
    <w:rsid w:val="00DD7E70"/>
    <w:rsid w:val="00DE0D21"/>
    <w:rsid w:val="00DE3564"/>
    <w:rsid w:val="00E10872"/>
    <w:rsid w:val="00E26396"/>
    <w:rsid w:val="00E36AC9"/>
    <w:rsid w:val="00E54710"/>
    <w:rsid w:val="00E57C9A"/>
    <w:rsid w:val="00E57E57"/>
    <w:rsid w:val="00E61E1F"/>
    <w:rsid w:val="00E67B93"/>
    <w:rsid w:val="00E76CAC"/>
    <w:rsid w:val="00EA3164"/>
    <w:rsid w:val="00EA5AEA"/>
    <w:rsid w:val="00ED6E06"/>
    <w:rsid w:val="00EE0BD3"/>
    <w:rsid w:val="00EE362D"/>
    <w:rsid w:val="00EF238F"/>
    <w:rsid w:val="00F31B55"/>
    <w:rsid w:val="00F3257C"/>
    <w:rsid w:val="00F500AE"/>
    <w:rsid w:val="00F76077"/>
    <w:rsid w:val="00F82E06"/>
    <w:rsid w:val="00F87964"/>
    <w:rsid w:val="00F93ADC"/>
    <w:rsid w:val="00F952E2"/>
    <w:rsid w:val="00F9618D"/>
    <w:rsid w:val="00FB695A"/>
    <w:rsid w:val="00FC2DD6"/>
    <w:rsid w:val="00FC3D27"/>
    <w:rsid w:val="00FC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3FE8"/>
  <w15:chartTrackingRefBased/>
  <w15:docId w15:val="{28D0AA20-852B-4CA6-9388-3B527C7D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50"/>
  </w:style>
  <w:style w:type="paragraph" w:styleId="Heading1">
    <w:name w:val="heading 1"/>
    <w:basedOn w:val="Normal"/>
    <w:next w:val="Normal"/>
    <w:link w:val="Heading1Char"/>
    <w:uiPriority w:val="9"/>
    <w:qFormat/>
    <w:rsid w:val="001813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13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8130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130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130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1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30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8130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8130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8130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8130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1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304"/>
    <w:rPr>
      <w:rFonts w:eastAsiaTheme="majorEastAsia" w:cstheme="majorBidi"/>
      <w:color w:val="272727" w:themeColor="text1" w:themeTint="D8"/>
    </w:rPr>
  </w:style>
  <w:style w:type="paragraph" w:styleId="Title">
    <w:name w:val="Title"/>
    <w:basedOn w:val="Normal"/>
    <w:next w:val="Normal"/>
    <w:link w:val="TitleChar"/>
    <w:uiPriority w:val="10"/>
    <w:qFormat/>
    <w:rsid w:val="00181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3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3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1304"/>
    <w:rPr>
      <w:i/>
      <w:iCs/>
      <w:color w:val="404040" w:themeColor="text1" w:themeTint="BF"/>
    </w:rPr>
  </w:style>
  <w:style w:type="paragraph" w:styleId="ListParagraph">
    <w:name w:val="List Paragraph"/>
    <w:aliases w:val="Citation List,본문(내용),List Paragraph (numbered (a)),Paragraph,List Paragraph Red,lp1,Liste Paragraf,Colorful List - Accent 11,PROVERE 1,List Paragraph 1,Bullet Points,Paragraphe de liste,Bullet List,Table of contents numbered,Heading 2_sj"/>
    <w:basedOn w:val="Normal"/>
    <w:link w:val="ListParagraphChar"/>
    <w:uiPriority w:val="34"/>
    <w:qFormat/>
    <w:rsid w:val="00181304"/>
    <w:pPr>
      <w:ind w:left="720"/>
      <w:contextualSpacing/>
    </w:pPr>
  </w:style>
  <w:style w:type="character" w:styleId="IntenseEmphasis">
    <w:name w:val="Intense Emphasis"/>
    <w:basedOn w:val="DefaultParagraphFont"/>
    <w:uiPriority w:val="21"/>
    <w:qFormat/>
    <w:rsid w:val="00181304"/>
    <w:rPr>
      <w:i/>
      <w:iCs/>
      <w:color w:val="365F91" w:themeColor="accent1" w:themeShade="BF"/>
    </w:rPr>
  </w:style>
  <w:style w:type="paragraph" w:styleId="IntenseQuote">
    <w:name w:val="Intense Quote"/>
    <w:basedOn w:val="Normal"/>
    <w:next w:val="Normal"/>
    <w:link w:val="IntenseQuoteChar"/>
    <w:uiPriority w:val="30"/>
    <w:qFormat/>
    <w:rsid w:val="001813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1304"/>
    <w:rPr>
      <w:i/>
      <w:iCs/>
      <w:color w:val="365F91" w:themeColor="accent1" w:themeShade="BF"/>
    </w:rPr>
  </w:style>
  <w:style w:type="character" w:styleId="IntenseReference">
    <w:name w:val="Intense Reference"/>
    <w:basedOn w:val="DefaultParagraphFont"/>
    <w:uiPriority w:val="32"/>
    <w:qFormat/>
    <w:rsid w:val="00181304"/>
    <w:rPr>
      <w:b/>
      <w:bCs/>
      <w:smallCaps/>
      <w:color w:val="365F91" w:themeColor="accent1" w:themeShade="BF"/>
      <w:spacing w:val="5"/>
    </w:rPr>
  </w:style>
  <w:style w:type="table" w:styleId="TableGrid">
    <w:name w:val="Table Grid"/>
    <w:basedOn w:val="TableNormal"/>
    <w:uiPriority w:val="59"/>
    <w:rsid w:val="00181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3B1E"/>
    <w:rPr>
      <w:color w:val="0000FF" w:themeColor="hyperlink"/>
      <w:u w:val="single"/>
    </w:rPr>
  </w:style>
  <w:style w:type="character" w:customStyle="1" w:styleId="UnresolvedMention1">
    <w:name w:val="Unresolved Mention1"/>
    <w:basedOn w:val="DefaultParagraphFont"/>
    <w:uiPriority w:val="99"/>
    <w:semiHidden/>
    <w:unhideWhenUsed/>
    <w:rsid w:val="00C53B1E"/>
    <w:rPr>
      <w:color w:val="605E5C"/>
      <w:shd w:val="clear" w:color="auto" w:fill="E1DFDD"/>
    </w:rPr>
  </w:style>
  <w:style w:type="paragraph" w:customStyle="1" w:styleId="Default">
    <w:name w:val="Default"/>
    <w:rsid w:val="00403B1D"/>
    <w:pPr>
      <w:autoSpaceDE w:val="0"/>
      <w:autoSpaceDN w:val="0"/>
      <w:adjustRightInd w:val="0"/>
      <w:spacing w:after="0" w:line="240" w:lineRule="auto"/>
    </w:pPr>
    <w:rPr>
      <w:rFonts w:ascii="Times New Roman" w:hAnsi="Times New Roman" w:cs="Times New Roman"/>
      <w:color w:val="000000"/>
      <w:kern w:val="0"/>
      <w:sz w:val="24"/>
      <w:szCs w:val="24"/>
      <w:lang w:val="sr-Latn-RS"/>
    </w:rPr>
  </w:style>
  <w:style w:type="character" w:styleId="CommentReference">
    <w:name w:val="annotation reference"/>
    <w:basedOn w:val="DefaultParagraphFont"/>
    <w:uiPriority w:val="99"/>
    <w:semiHidden/>
    <w:unhideWhenUsed/>
    <w:rsid w:val="00D94960"/>
    <w:rPr>
      <w:sz w:val="16"/>
      <w:szCs w:val="16"/>
    </w:rPr>
  </w:style>
  <w:style w:type="paragraph" w:styleId="CommentText">
    <w:name w:val="annotation text"/>
    <w:basedOn w:val="Normal"/>
    <w:link w:val="CommentTextChar"/>
    <w:uiPriority w:val="99"/>
    <w:semiHidden/>
    <w:unhideWhenUsed/>
    <w:rsid w:val="00D94960"/>
    <w:pPr>
      <w:spacing w:line="240" w:lineRule="auto"/>
    </w:pPr>
    <w:rPr>
      <w:sz w:val="20"/>
      <w:szCs w:val="20"/>
    </w:rPr>
  </w:style>
  <w:style w:type="character" w:customStyle="1" w:styleId="CommentTextChar">
    <w:name w:val="Comment Text Char"/>
    <w:basedOn w:val="DefaultParagraphFont"/>
    <w:link w:val="CommentText"/>
    <w:uiPriority w:val="99"/>
    <w:semiHidden/>
    <w:rsid w:val="00D94960"/>
    <w:rPr>
      <w:sz w:val="20"/>
      <w:szCs w:val="20"/>
    </w:rPr>
  </w:style>
  <w:style w:type="paragraph" w:styleId="CommentSubject">
    <w:name w:val="annotation subject"/>
    <w:basedOn w:val="CommentText"/>
    <w:next w:val="CommentText"/>
    <w:link w:val="CommentSubjectChar"/>
    <w:uiPriority w:val="99"/>
    <w:semiHidden/>
    <w:unhideWhenUsed/>
    <w:rsid w:val="00D94960"/>
    <w:rPr>
      <w:b/>
      <w:bCs/>
    </w:rPr>
  </w:style>
  <w:style w:type="character" w:customStyle="1" w:styleId="CommentSubjectChar">
    <w:name w:val="Comment Subject Char"/>
    <w:basedOn w:val="CommentTextChar"/>
    <w:link w:val="CommentSubject"/>
    <w:uiPriority w:val="99"/>
    <w:semiHidden/>
    <w:rsid w:val="00D94960"/>
    <w:rPr>
      <w:b/>
      <w:bCs/>
      <w:sz w:val="20"/>
      <w:szCs w:val="20"/>
    </w:rPr>
  </w:style>
  <w:style w:type="paragraph" w:styleId="BalloonText">
    <w:name w:val="Balloon Text"/>
    <w:basedOn w:val="Normal"/>
    <w:link w:val="BalloonTextChar"/>
    <w:uiPriority w:val="99"/>
    <w:semiHidden/>
    <w:unhideWhenUsed/>
    <w:rsid w:val="00D94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960"/>
    <w:rPr>
      <w:rFonts w:ascii="Segoe UI" w:hAnsi="Segoe UI" w:cs="Segoe UI"/>
      <w:sz w:val="18"/>
      <w:szCs w:val="18"/>
    </w:rPr>
  </w:style>
  <w:style w:type="paragraph" w:styleId="NormalWeb">
    <w:name w:val="Normal (Web)"/>
    <w:basedOn w:val="Normal"/>
    <w:uiPriority w:val="99"/>
    <w:unhideWhenUsed/>
    <w:rsid w:val="00F93A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style-span">
    <w:name w:val="apple-style-span"/>
    <w:basedOn w:val="DefaultParagraphFont"/>
    <w:rsid w:val="00582F85"/>
  </w:style>
  <w:style w:type="paragraph" w:customStyle="1" w:styleId="Sub-ClauseText">
    <w:name w:val="Sub-Clause Text"/>
    <w:basedOn w:val="Normal"/>
    <w:rsid w:val="00065E55"/>
    <w:pPr>
      <w:spacing w:before="120" w:after="120" w:line="240" w:lineRule="auto"/>
      <w:jc w:val="both"/>
    </w:pPr>
    <w:rPr>
      <w:rFonts w:ascii="Times New Roman" w:eastAsia="Times New Roman" w:hAnsi="Times New Roman" w:cs="Times New Roman"/>
      <w:spacing w:val="-4"/>
      <w:kern w:val="0"/>
      <w:sz w:val="24"/>
      <w:szCs w:val="24"/>
      <w:lang w:val="en-GB"/>
      <w14:ligatures w14:val="none"/>
    </w:rPr>
  </w:style>
  <w:style w:type="character" w:customStyle="1" w:styleId="ListParagraphChar">
    <w:name w:val="List Paragraph Char"/>
    <w:aliases w:val="Citation List Char,본문(내용) Char,List Paragraph (numbered (a)) Char,Paragraph Char,List Paragraph Red Char,lp1 Char,Liste Paragraf Char,Colorful List - Accent 11 Char,PROVERE 1 Char,List Paragraph 1 Char,Bullet Points Char"/>
    <w:basedOn w:val="DefaultParagraphFont"/>
    <w:link w:val="ListParagraph"/>
    <w:uiPriority w:val="34"/>
    <w:qFormat/>
    <w:rsid w:val="00F76077"/>
  </w:style>
  <w:style w:type="character" w:customStyle="1" w:styleId="fontstyle01">
    <w:name w:val="fontstyle01"/>
    <w:basedOn w:val="DefaultParagraphFont"/>
    <w:rsid w:val="00A82F5A"/>
    <w:rPr>
      <w:rFonts w:ascii="Calibri-Bold" w:hAnsi="Calibri-Bold" w:hint="default"/>
      <w:b/>
      <w:bCs/>
      <w:i w:val="0"/>
      <w:iCs w:val="0"/>
      <w:color w:val="000000"/>
      <w:sz w:val="24"/>
      <w:szCs w:val="24"/>
    </w:rPr>
  </w:style>
  <w:style w:type="character" w:styleId="Strong">
    <w:name w:val="Strong"/>
    <w:basedOn w:val="DefaultParagraphFont"/>
    <w:uiPriority w:val="22"/>
    <w:qFormat/>
    <w:rsid w:val="009523A3"/>
    <w:rPr>
      <w:b/>
      <w:bCs/>
    </w:rPr>
  </w:style>
  <w:style w:type="paragraph" w:styleId="Header">
    <w:name w:val="header"/>
    <w:basedOn w:val="Normal"/>
    <w:link w:val="HeaderChar"/>
    <w:uiPriority w:val="99"/>
    <w:unhideWhenUsed/>
    <w:rsid w:val="00124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DA"/>
  </w:style>
  <w:style w:type="paragraph" w:styleId="Footer">
    <w:name w:val="footer"/>
    <w:basedOn w:val="Normal"/>
    <w:link w:val="FooterChar"/>
    <w:uiPriority w:val="99"/>
    <w:unhideWhenUsed/>
    <w:rsid w:val="00124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DA"/>
  </w:style>
  <w:style w:type="character" w:styleId="UnresolvedMention">
    <w:name w:val="Unresolved Mention"/>
    <w:basedOn w:val="DefaultParagraphFont"/>
    <w:uiPriority w:val="99"/>
    <w:semiHidden/>
    <w:unhideWhenUsed/>
    <w:rsid w:val="00CE7EBD"/>
    <w:rPr>
      <w:color w:val="605E5C"/>
      <w:shd w:val="clear" w:color="auto" w:fill="E1DFDD"/>
    </w:rPr>
  </w:style>
  <w:style w:type="character" w:styleId="FollowedHyperlink">
    <w:name w:val="FollowedHyperlink"/>
    <w:basedOn w:val="DefaultParagraphFont"/>
    <w:uiPriority w:val="99"/>
    <w:semiHidden/>
    <w:unhideWhenUsed/>
    <w:rsid w:val="00CE7E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7793">
      <w:bodyDiv w:val="1"/>
      <w:marLeft w:val="0"/>
      <w:marRight w:val="0"/>
      <w:marTop w:val="0"/>
      <w:marBottom w:val="0"/>
      <w:divBdr>
        <w:top w:val="none" w:sz="0" w:space="0" w:color="auto"/>
        <w:left w:val="none" w:sz="0" w:space="0" w:color="auto"/>
        <w:bottom w:val="none" w:sz="0" w:space="0" w:color="auto"/>
        <w:right w:val="none" w:sz="0" w:space="0" w:color="auto"/>
      </w:divBdr>
    </w:div>
    <w:div w:id="1015232285">
      <w:bodyDiv w:val="1"/>
      <w:marLeft w:val="0"/>
      <w:marRight w:val="0"/>
      <w:marTop w:val="0"/>
      <w:marBottom w:val="0"/>
      <w:divBdr>
        <w:top w:val="none" w:sz="0" w:space="0" w:color="auto"/>
        <w:left w:val="none" w:sz="0" w:space="0" w:color="auto"/>
        <w:bottom w:val="none" w:sz="0" w:space="0" w:color="auto"/>
        <w:right w:val="none" w:sz="0" w:space="0" w:color="auto"/>
      </w:divBdr>
    </w:div>
    <w:div w:id="1257443584">
      <w:bodyDiv w:val="1"/>
      <w:marLeft w:val="0"/>
      <w:marRight w:val="0"/>
      <w:marTop w:val="0"/>
      <w:marBottom w:val="0"/>
      <w:divBdr>
        <w:top w:val="none" w:sz="0" w:space="0" w:color="auto"/>
        <w:left w:val="none" w:sz="0" w:space="0" w:color="auto"/>
        <w:bottom w:val="none" w:sz="0" w:space="0" w:color="auto"/>
        <w:right w:val="none" w:sz="0" w:space="0" w:color="auto"/>
      </w:divBdr>
    </w:div>
    <w:div w:id="1354109324">
      <w:bodyDiv w:val="1"/>
      <w:marLeft w:val="0"/>
      <w:marRight w:val="0"/>
      <w:marTop w:val="0"/>
      <w:marBottom w:val="0"/>
      <w:divBdr>
        <w:top w:val="none" w:sz="0" w:space="0" w:color="auto"/>
        <w:left w:val="none" w:sz="0" w:space="0" w:color="auto"/>
        <w:bottom w:val="none" w:sz="0" w:space="0" w:color="auto"/>
        <w:right w:val="none" w:sz="0" w:space="0" w:color="auto"/>
      </w:divBdr>
    </w:div>
    <w:div w:id="1836453134">
      <w:bodyDiv w:val="1"/>
      <w:marLeft w:val="0"/>
      <w:marRight w:val="0"/>
      <w:marTop w:val="0"/>
      <w:marBottom w:val="0"/>
      <w:divBdr>
        <w:top w:val="none" w:sz="0" w:space="0" w:color="auto"/>
        <w:left w:val="none" w:sz="0" w:space="0" w:color="auto"/>
        <w:bottom w:val="none" w:sz="0" w:space="0" w:color="auto"/>
        <w:right w:val="none" w:sz="0" w:space="0" w:color="auto"/>
      </w:divBdr>
    </w:div>
    <w:div w:id="1916892383">
      <w:bodyDiv w:val="1"/>
      <w:marLeft w:val="0"/>
      <w:marRight w:val="0"/>
      <w:marTop w:val="0"/>
      <w:marBottom w:val="0"/>
      <w:divBdr>
        <w:top w:val="none" w:sz="0" w:space="0" w:color="auto"/>
        <w:left w:val="none" w:sz="0" w:space="0" w:color="auto"/>
        <w:bottom w:val="none" w:sz="0" w:space="0" w:color="auto"/>
        <w:right w:val="none" w:sz="0" w:space="0" w:color="auto"/>
      </w:divBdr>
    </w:div>
    <w:div w:id="2048555261">
      <w:bodyDiv w:val="1"/>
      <w:marLeft w:val="0"/>
      <w:marRight w:val="0"/>
      <w:marTop w:val="0"/>
      <w:marBottom w:val="0"/>
      <w:divBdr>
        <w:top w:val="none" w:sz="0" w:space="0" w:color="auto"/>
        <w:left w:val="none" w:sz="0" w:space="0" w:color="auto"/>
        <w:bottom w:val="none" w:sz="0" w:space="0" w:color="auto"/>
        <w:right w:val="none" w:sz="0" w:space="0" w:color="auto"/>
      </w:divBdr>
      <w:divsChild>
        <w:div w:id="1035010198">
          <w:marLeft w:val="0"/>
          <w:marRight w:val="0"/>
          <w:marTop w:val="0"/>
          <w:marBottom w:val="0"/>
          <w:divBdr>
            <w:top w:val="none" w:sz="0" w:space="0" w:color="auto"/>
            <w:left w:val="none" w:sz="0" w:space="0" w:color="auto"/>
            <w:bottom w:val="none" w:sz="0" w:space="0" w:color="auto"/>
            <w:right w:val="none" w:sz="0" w:space="0" w:color="auto"/>
          </w:divBdr>
          <w:divsChild>
            <w:div w:id="745810024">
              <w:marLeft w:val="0"/>
              <w:marRight w:val="0"/>
              <w:marTop w:val="0"/>
              <w:marBottom w:val="0"/>
              <w:divBdr>
                <w:top w:val="none" w:sz="0" w:space="0" w:color="auto"/>
                <w:left w:val="none" w:sz="0" w:space="0" w:color="auto"/>
                <w:bottom w:val="none" w:sz="0" w:space="0" w:color="auto"/>
                <w:right w:val="none" w:sz="0" w:space="0" w:color="auto"/>
              </w:divBdr>
              <w:divsChild>
                <w:div w:id="241258916">
                  <w:marLeft w:val="0"/>
                  <w:marRight w:val="0"/>
                  <w:marTop w:val="0"/>
                  <w:marBottom w:val="0"/>
                  <w:divBdr>
                    <w:top w:val="none" w:sz="0" w:space="0" w:color="auto"/>
                    <w:left w:val="none" w:sz="0" w:space="0" w:color="auto"/>
                    <w:bottom w:val="none" w:sz="0" w:space="0" w:color="auto"/>
                    <w:right w:val="none" w:sz="0" w:space="0" w:color="auto"/>
                  </w:divBdr>
                  <w:divsChild>
                    <w:div w:id="378285833">
                      <w:marLeft w:val="0"/>
                      <w:marRight w:val="0"/>
                      <w:marTop w:val="0"/>
                      <w:marBottom w:val="0"/>
                      <w:divBdr>
                        <w:top w:val="none" w:sz="0" w:space="0" w:color="auto"/>
                        <w:left w:val="none" w:sz="0" w:space="0" w:color="auto"/>
                        <w:bottom w:val="none" w:sz="0" w:space="0" w:color="auto"/>
                        <w:right w:val="none" w:sz="0" w:space="0" w:color="auto"/>
                      </w:divBdr>
                      <w:divsChild>
                        <w:div w:id="488982957">
                          <w:marLeft w:val="0"/>
                          <w:marRight w:val="0"/>
                          <w:marTop w:val="0"/>
                          <w:marBottom w:val="0"/>
                          <w:divBdr>
                            <w:top w:val="none" w:sz="0" w:space="0" w:color="auto"/>
                            <w:left w:val="none" w:sz="0" w:space="0" w:color="auto"/>
                            <w:bottom w:val="none" w:sz="0" w:space="0" w:color="auto"/>
                            <w:right w:val="none" w:sz="0" w:space="0" w:color="auto"/>
                          </w:divBdr>
                          <w:divsChild>
                            <w:div w:id="660085509">
                              <w:marLeft w:val="0"/>
                              <w:marRight w:val="0"/>
                              <w:marTop w:val="0"/>
                              <w:marBottom w:val="0"/>
                              <w:divBdr>
                                <w:top w:val="none" w:sz="0" w:space="0" w:color="auto"/>
                                <w:left w:val="none" w:sz="0" w:space="0" w:color="auto"/>
                                <w:bottom w:val="none" w:sz="0" w:space="0" w:color="auto"/>
                                <w:right w:val="none" w:sz="0" w:space="0" w:color="auto"/>
                              </w:divBdr>
                              <w:divsChild>
                                <w:div w:id="15777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Suzana Beaumard (SUB)</cp:lastModifiedBy>
  <cp:revision>4</cp:revision>
  <dcterms:created xsi:type="dcterms:W3CDTF">2026-04-09T09:43:00Z</dcterms:created>
  <dcterms:modified xsi:type="dcterms:W3CDTF">2026-04-09T09:51:00Z</dcterms:modified>
</cp:coreProperties>
</file>