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3B" w:rsidRDefault="00BC6A3B" w:rsidP="00A51DA2">
      <w:pPr>
        <w:spacing w:after="0" w:line="240" w:lineRule="auto"/>
        <w:jc w:val="center"/>
        <w:rPr>
          <w:rFonts w:ascii="Arial" w:hAnsi="Arial" w:cs="Arial"/>
          <w:b/>
          <w:sz w:val="24"/>
          <w:szCs w:val="24"/>
        </w:rPr>
      </w:pPr>
      <w:r w:rsidRPr="003056AD">
        <w:rPr>
          <w:rFonts w:ascii="Arial" w:hAnsi="Arial" w:cs="Arial"/>
          <w:b/>
          <w:sz w:val="24"/>
          <w:szCs w:val="24"/>
        </w:rPr>
        <w:t>OBRAZLOŽENJE</w:t>
      </w:r>
    </w:p>
    <w:p w:rsidR="00A51DA2" w:rsidRDefault="00A51DA2" w:rsidP="00A51DA2">
      <w:pPr>
        <w:spacing w:after="0" w:line="240" w:lineRule="auto"/>
        <w:jc w:val="center"/>
        <w:rPr>
          <w:rFonts w:ascii="Arial" w:hAnsi="Arial" w:cs="Arial"/>
          <w:sz w:val="24"/>
          <w:szCs w:val="24"/>
        </w:rPr>
      </w:pPr>
    </w:p>
    <w:p w:rsidR="00A51DA2" w:rsidRPr="003056AD" w:rsidRDefault="00A51DA2" w:rsidP="00A51DA2">
      <w:pPr>
        <w:spacing w:after="0" w:line="240" w:lineRule="auto"/>
        <w:jc w:val="center"/>
        <w:rPr>
          <w:rFonts w:ascii="Arial" w:hAnsi="Arial" w:cs="Arial"/>
          <w:sz w:val="24"/>
          <w:szCs w:val="24"/>
        </w:rPr>
      </w:pPr>
    </w:p>
    <w:p w:rsidR="004C6508" w:rsidRDefault="00BC6A3B" w:rsidP="00A51DA2">
      <w:pPr>
        <w:pStyle w:val="NoSpacing"/>
        <w:numPr>
          <w:ilvl w:val="0"/>
          <w:numId w:val="10"/>
        </w:numPr>
        <w:rPr>
          <w:rFonts w:ascii="Arial" w:hAnsi="Arial" w:cs="Arial"/>
          <w:b/>
          <w:sz w:val="24"/>
          <w:szCs w:val="24"/>
        </w:rPr>
      </w:pPr>
      <w:r w:rsidRPr="003056AD">
        <w:rPr>
          <w:rFonts w:ascii="Arial" w:hAnsi="Arial" w:cs="Arial"/>
          <w:b/>
          <w:sz w:val="24"/>
          <w:szCs w:val="24"/>
        </w:rPr>
        <w:t>Ustavni osnov za donošenje zakona</w:t>
      </w:r>
    </w:p>
    <w:p w:rsidR="006C4585" w:rsidRDefault="006C4585" w:rsidP="00A51DA2">
      <w:pPr>
        <w:pStyle w:val="NoSpacing"/>
        <w:jc w:val="both"/>
        <w:rPr>
          <w:rFonts w:ascii="Arial" w:hAnsi="Arial" w:cs="Arial"/>
          <w:b/>
          <w:sz w:val="24"/>
          <w:szCs w:val="24"/>
        </w:rPr>
      </w:pPr>
    </w:p>
    <w:p w:rsidR="00BC6A3B" w:rsidRPr="004C6508" w:rsidRDefault="00BC6A3B" w:rsidP="00A51DA2">
      <w:pPr>
        <w:pStyle w:val="NoSpacing"/>
        <w:ind w:firstLine="708"/>
        <w:jc w:val="both"/>
        <w:rPr>
          <w:rFonts w:ascii="Arial" w:hAnsi="Arial" w:cs="Arial"/>
          <w:b/>
          <w:sz w:val="24"/>
          <w:szCs w:val="24"/>
        </w:rPr>
      </w:pPr>
      <w:r w:rsidRPr="003056AD">
        <w:rPr>
          <w:rFonts w:ascii="Arial" w:hAnsi="Arial" w:cs="Arial"/>
          <w:sz w:val="24"/>
          <w:szCs w:val="24"/>
        </w:rPr>
        <w:t xml:space="preserve">Ustavni osnov za donošenje ovog zakona sadržan je u članu 16 tačka 5 Ustava Crne Gore, kojim je predviđeno da se zakonom uređuju pitanja od interesa za Crnu Goru. </w:t>
      </w:r>
    </w:p>
    <w:p w:rsidR="001F43F9" w:rsidRPr="003056AD" w:rsidRDefault="001F43F9" w:rsidP="00A51DA2">
      <w:pPr>
        <w:pStyle w:val="NoSpacing"/>
        <w:rPr>
          <w:rFonts w:ascii="Arial" w:hAnsi="Arial" w:cs="Arial"/>
          <w:sz w:val="24"/>
          <w:szCs w:val="24"/>
        </w:rPr>
      </w:pPr>
    </w:p>
    <w:p w:rsidR="006C4585" w:rsidRDefault="00BC6A3B" w:rsidP="004D34A6">
      <w:pPr>
        <w:pStyle w:val="NoSpacing"/>
        <w:numPr>
          <w:ilvl w:val="0"/>
          <w:numId w:val="10"/>
        </w:numPr>
        <w:rPr>
          <w:rFonts w:ascii="Arial" w:hAnsi="Arial" w:cs="Arial"/>
          <w:b/>
          <w:sz w:val="24"/>
          <w:szCs w:val="24"/>
        </w:rPr>
      </w:pPr>
      <w:r w:rsidRPr="003056AD">
        <w:rPr>
          <w:rFonts w:ascii="Arial" w:hAnsi="Arial" w:cs="Arial"/>
          <w:b/>
          <w:sz w:val="24"/>
          <w:szCs w:val="24"/>
        </w:rPr>
        <w:t>Razlozi za donošenje zakona</w:t>
      </w:r>
    </w:p>
    <w:p w:rsidR="006C4585" w:rsidRDefault="006C4585" w:rsidP="006C4585">
      <w:pPr>
        <w:pStyle w:val="NoSpacing"/>
        <w:rPr>
          <w:rFonts w:ascii="Arial" w:hAnsi="Arial" w:cs="Arial"/>
          <w:b/>
          <w:sz w:val="24"/>
          <w:szCs w:val="24"/>
        </w:rPr>
      </w:pPr>
    </w:p>
    <w:p w:rsidR="00EC6E97" w:rsidRDefault="007218AB" w:rsidP="00EC6E97">
      <w:pPr>
        <w:pStyle w:val="NoSpacing"/>
        <w:ind w:firstLine="708"/>
        <w:jc w:val="both"/>
        <w:rPr>
          <w:rFonts w:ascii="Arial" w:hAnsi="Arial" w:cs="Arial"/>
          <w:sz w:val="24"/>
          <w:szCs w:val="24"/>
        </w:rPr>
      </w:pPr>
      <w:r w:rsidRPr="007218AB">
        <w:rPr>
          <w:rFonts w:ascii="Arial" w:hAnsi="Arial" w:cs="Arial"/>
          <w:sz w:val="24"/>
          <w:szCs w:val="24"/>
        </w:rPr>
        <w:t>U cilju impelementacije ciljeva i mjera Strategije razvoja visokog obrazovanja u Crnoj Gori (</w:t>
      </w:r>
      <w:r>
        <w:rPr>
          <w:rFonts w:ascii="Arial" w:hAnsi="Arial" w:cs="Arial"/>
          <w:sz w:val="24"/>
          <w:szCs w:val="24"/>
        </w:rPr>
        <w:t>2024-2027</w:t>
      </w:r>
      <w:r w:rsidRPr="007218AB">
        <w:rPr>
          <w:rFonts w:ascii="Arial" w:hAnsi="Arial" w:cs="Arial"/>
          <w:sz w:val="24"/>
          <w:szCs w:val="24"/>
        </w:rPr>
        <w:t xml:space="preserve">), postizanja bolje prepoznatljivosti našeg sitema visokog obrazovanja i konkurentnosti naših visokoškolaca na domaćem i inostranom tržištu rada, neophodno je bilo zakonom obezbijediti pravne osnove za realizaciju istih. Sve mjere koje se odnose na obezbjeđenje kvaliteta, usklađivanje sa potrebama tržišta rada, održiv sistem finansiranja, kao i jačanje internacionalizacije su u skladu sa </w:t>
      </w:r>
      <w:r>
        <w:rPr>
          <w:rFonts w:ascii="Arial" w:hAnsi="Arial" w:cs="Arial"/>
          <w:sz w:val="24"/>
          <w:szCs w:val="24"/>
        </w:rPr>
        <w:t xml:space="preserve">Srednjoročnim programom </w:t>
      </w:r>
      <w:r w:rsidRPr="007218AB">
        <w:rPr>
          <w:rFonts w:ascii="Arial" w:hAnsi="Arial" w:cs="Arial"/>
          <w:sz w:val="24"/>
          <w:szCs w:val="24"/>
        </w:rPr>
        <w:t>rada Vlade</w:t>
      </w:r>
      <w:r>
        <w:rPr>
          <w:rFonts w:ascii="Arial" w:hAnsi="Arial" w:cs="Arial"/>
          <w:sz w:val="24"/>
          <w:szCs w:val="24"/>
        </w:rPr>
        <w:t xml:space="preserve"> </w:t>
      </w:r>
      <w:r w:rsidRPr="007218AB">
        <w:rPr>
          <w:rFonts w:ascii="Arial" w:hAnsi="Arial" w:cs="Arial"/>
          <w:sz w:val="24"/>
          <w:szCs w:val="24"/>
        </w:rPr>
        <w:t>Crne Gore 2024-2027.</w:t>
      </w:r>
      <w:r w:rsidRPr="007218AB">
        <w:rPr>
          <w:rFonts w:ascii="Arial" w:hAnsi="Arial" w:cs="Arial"/>
          <w:sz w:val="24"/>
          <w:szCs w:val="24"/>
        </w:rPr>
        <w:t xml:space="preserve"> i Programom </w:t>
      </w:r>
      <w:r w:rsidR="007C567C" w:rsidRPr="007C567C">
        <w:rPr>
          <w:rFonts w:ascii="Arial" w:hAnsi="Arial" w:cs="Arial"/>
          <w:sz w:val="24"/>
          <w:szCs w:val="24"/>
        </w:rPr>
        <w:t>pristupanja Crne Gore Evropskoj uniji</w:t>
      </w:r>
      <w:r w:rsidR="007C567C">
        <w:rPr>
          <w:rFonts w:ascii="Arial" w:hAnsi="Arial" w:cs="Arial"/>
          <w:sz w:val="24"/>
          <w:szCs w:val="24"/>
        </w:rPr>
        <w:t xml:space="preserve"> </w:t>
      </w:r>
      <w:r w:rsidR="007C567C" w:rsidRPr="007C567C">
        <w:rPr>
          <w:rFonts w:ascii="Arial" w:hAnsi="Arial" w:cs="Arial"/>
          <w:sz w:val="24"/>
          <w:szCs w:val="24"/>
        </w:rPr>
        <w:t>2024 – 2027</w:t>
      </w:r>
      <w:r w:rsidRPr="007218AB">
        <w:rPr>
          <w:rFonts w:ascii="Arial" w:hAnsi="Arial" w:cs="Arial"/>
          <w:sz w:val="24"/>
          <w:szCs w:val="24"/>
        </w:rPr>
        <w:t>.</w:t>
      </w:r>
      <w:r w:rsidR="00EC6E97" w:rsidRPr="00EC6E97">
        <w:rPr>
          <w:rFonts w:ascii="Arial" w:hAnsi="Arial" w:cs="Arial"/>
          <w:sz w:val="24"/>
          <w:szCs w:val="24"/>
        </w:rPr>
        <w:t xml:space="preserve"> </w:t>
      </w:r>
    </w:p>
    <w:p w:rsidR="00EC6E97" w:rsidRPr="006C4585" w:rsidRDefault="000E439D" w:rsidP="00EC6E97">
      <w:pPr>
        <w:pStyle w:val="NoSpacing"/>
        <w:ind w:firstLine="708"/>
        <w:jc w:val="both"/>
        <w:rPr>
          <w:rFonts w:ascii="Arial" w:hAnsi="Arial" w:cs="Arial"/>
          <w:b/>
          <w:sz w:val="24"/>
          <w:szCs w:val="24"/>
        </w:rPr>
      </w:pPr>
      <w:r>
        <w:rPr>
          <w:rFonts w:ascii="Arial" w:hAnsi="Arial" w:cs="Arial"/>
          <w:sz w:val="24"/>
          <w:szCs w:val="24"/>
        </w:rPr>
        <w:t>Nacrt z</w:t>
      </w:r>
      <w:r w:rsidR="00EC6E97">
        <w:rPr>
          <w:rFonts w:ascii="Arial" w:hAnsi="Arial" w:cs="Arial"/>
          <w:sz w:val="24"/>
          <w:szCs w:val="24"/>
        </w:rPr>
        <w:t xml:space="preserve">akona </w:t>
      </w:r>
      <w:r w:rsidR="00EC6E97" w:rsidRPr="003056AD">
        <w:rPr>
          <w:rFonts w:ascii="Arial" w:hAnsi="Arial" w:cs="Arial"/>
          <w:sz w:val="24"/>
          <w:szCs w:val="24"/>
        </w:rPr>
        <w:t>o visokom obrazovanju predlaže se u cilju</w:t>
      </w:r>
      <w:r w:rsidR="00EC6E97">
        <w:rPr>
          <w:rFonts w:ascii="Arial" w:hAnsi="Arial" w:cs="Arial"/>
          <w:sz w:val="24"/>
          <w:szCs w:val="24"/>
        </w:rPr>
        <w:t xml:space="preserve"> unapređenja</w:t>
      </w:r>
      <w:r w:rsidR="00EC6E97" w:rsidRPr="003056AD">
        <w:rPr>
          <w:rFonts w:ascii="Arial" w:hAnsi="Arial" w:cs="Arial"/>
          <w:sz w:val="24"/>
          <w:szCs w:val="24"/>
        </w:rPr>
        <w:t xml:space="preserve"> kv</w:t>
      </w:r>
      <w:r w:rsidR="00EC6E97">
        <w:rPr>
          <w:rFonts w:ascii="Arial" w:hAnsi="Arial" w:cs="Arial"/>
          <w:sz w:val="24"/>
          <w:szCs w:val="24"/>
        </w:rPr>
        <w:t xml:space="preserve">aliteta u visokom obrazovanju, </w:t>
      </w:r>
      <w:r w:rsidR="00EC6E97" w:rsidRPr="00FE3FAE">
        <w:rPr>
          <w:rFonts w:ascii="Arial" w:hAnsi="Arial" w:cs="Arial"/>
          <w:sz w:val="24"/>
          <w:szCs w:val="24"/>
        </w:rPr>
        <w:t>usklađivanje obrazovanja s potrebama tržišta rada</w:t>
      </w:r>
      <w:r w:rsidR="00EC6E97">
        <w:rPr>
          <w:rFonts w:ascii="Arial" w:hAnsi="Arial" w:cs="Arial"/>
          <w:sz w:val="24"/>
          <w:szCs w:val="24"/>
        </w:rPr>
        <w:t>,</w:t>
      </w:r>
      <w:r w:rsidR="00EC6E97" w:rsidRPr="004E4C83">
        <w:rPr>
          <w:rFonts w:ascii="Arial" w:hAnsi="Arial" w:cs="Arial"/>
          <w:color w:val="474747"/>
          <w:sz w:val="27"/>
          <w:szCs w:val="27"/>
          <w:shd w:val="clear" w:color="auto" w:fill="FFFFFF"/>
        </w:rPr>
        <w:t xml:space="preserve"> </w:t>
      </w:r>
      <w:r w:rsidR="00EC6E97" w:rsidRPr="004C6508">
        <w:rPr>
          <w:rFonts w:ascii="Arial" w:eastAsia="Times New Roman" w:hAnsi="Arial" w:cs="Arial"/>
          <w:sz w:val="24"/>
          <w:szCs w:val="24"/>
          <w:lang w:val="en-US"/>
        </w:rPr>
        <w:t>unapređenja praktične nastave,</w:t>
      </w:r>
      <w:r w:rsidR="00EC6E97" w:rsidRPr="004C6508">
        <w:rPr>
          <w:rFonts w:ascii="Arial" w:eastAsia="Calibri" w:hAnsi="Arial" w:cs="Arial"/>
          <w:sz w:val="24"/>
          <w:szCs w:val="24"/>
          <w:lang w:val="en-US"/>
        </w:rPr>
        <w:t xml:space="preserve"> </w:t>
      </w:r>
      <w:r w:rsidR="00EC6E97" w:rsidRPr="004C6508">
        <w:rPr>
          <w:rFonts w:ascii="Arial" w:eastAsia="Times New Roman" w:hAnsi="Arial" w:cs="Arial"/>
          <w:sz w:val="24"/>
          <w:szCs w:val="24"/>
          <w:lang w:val="en-US"/>
        </w:rPr>
        <w:t>statusa akademskog osoblja, upisne politike,</w:t>
      </w:r>
      <w:r w:rsidR="00EC6E97" w:rsidRPr="004E4C83">
        <w:rPr>
          <w:rFonts w:ascii="Arial" w:hAnsi="Arial" w:cs="Arial"/>
          <w:sz w:val="24"/>
          <w:szCs w:val="24"/>
        </w:rPr>
        <w:t xml:space="preserve"> </w:t>
      </w:r>
      <w:r w:rsidR="00EC6E97" w:rsidRPr="004E4C83">
        <w:rPr>
          <w:rFonts w:ascii="Arial" w:eastAsia="Times New Roman" w:hAnsi="Arial" w:cs="Arial"/>
          <w:sz w:val="24"/>
          <w:szCs w:val="24"/>
        </w:rPr>
        <w:t>stvaranje konkurentnog kadra na tržištu rada</w:t>
      </w:r>
      <w:r w:rsidR="00EC6E97">
        <w:rPr>
          <w:rFonts w:ascii="Arial" w:eastAsia="Times New Roman" w:hAnsi="Arial" w:cs="Arial"/>
          <w:sz w:val="24"/>
          <w:szCs w:val="24"/>
          <w:lang w:val="en-US"/>
        </w:rPr>
        <w:t>.</w:t>
      </w:r>
    </w:p>
    <w:p w:rsidR="005D23B6" w:rsidRDefault="000E439D" w:rsidP="005D23B6">
      <w:pPr>
        <w:pStyle w:val="NoSpacing"/>
        <w:ind w:firstLine="708"/>
        <w:jc w:val="both"/>
        <w:rPr>
          <w:rFonts w:ascii="Arial" w:hAnsi="Arial" w:cs="Arial"/>
          <w:sz w:val="24"/>
          <w:szCs w:val="24"/>
        </w:rPr>
      </w:pPr>
      <w:r>
        <w:rPr>
          <w:rFonts w:ascii="Arial" w:hAnsi="Arial" w:cs="Arial"/>
          <w:sz w:val="24"/>
          <w:szCs w:val="24"/>
        </w:rPr>
        <w:t>Nacrtom</w:t>
      </w:r>
      <w:r w:rsidR="00DA6B61" w:rsidRPr="00DA6B61">
        <w:rPr>
          <w:rFonts w:ascii="Arial" w:hAnsi="Arial" w:cs="Arial"/>
          <w:sz w:val="24"/>
          <w:szCs w:val="24"/>
        </w:rPr>
        <w:t xml:space="preserve"> zakona o visokom obrazovanju</w:t>
      </w:r>
      <w:r w:rsidR="00DA6B61">
        <w:rPr>
          <w:rFonts w:ascii="Arial" w:hAnsi="Arial" w:cs="Arial"/>
          <w:sz w:val="24"/>
          <w:szCs w:val="24"/>
        </w:rPr>
        <w:t xml:space="preserve"> definisano je da se s</w:t>
      </w:r>
      <w:r w:rsidR="00DA6B61" w:rsidRPr="00DA6B61">
        <w:rPr>
          <w:rFonts w:ascii="Arial" w:hAnsi="Arial" w:cs="Arial"/>
          <w:sz w:val="24"/>
          <w:szCs w:val="24"/>
        </w:rPr>
        <w:t xml:space="preserve">tudijski programi </w:t>
      </w:r>
      <w:r w:rsidR="00DA6B61">
        <w:rPr>
          <w:rFonts w:ascii="Arial" w:hAnsi="Arial" w:cs="Arial"/>
          <w:sz w:val="24"/>
          <w:szCs w:val="24"/>
        </w:rPr>
        <w:t xml:space="preserve">mogu realizovati kao </w:t>
      </w:r>
      <w:r w:rsidR="00DA6B61" w:rsidRPr="00DA6B61">
        <w:rPr>
          <w:rFonts w:ascii="Arial" w:hAnsi="Arial" w:cs="Arial"/>
          <w:sz w:val="24"/>
          <w:szCs w:val="24"/>
        </w:rPr>
        <w:t>dodiplomski, postdiplomski i doktorski</w:t>
      </w:r>
      <w:r w:rsidR="00DA6B61">
        <w:rPr>
          <w:rFonts w:ascii="Arial" w:hAnsi="Arial" w:cs="Arial"/>
          <w:sz w:val="24"/>
          <w:szCs w:val="24"/>
        </w:rPr>
        <w:t xml:space="preserve">. Predloženim </w:t>
      </w:r>
      <w:r w:rsidR="009F60BD">
        <w:rPr>
          <w:rFonts w:ascii="Arial" w:hAnsi="Arial" w:cs="Arial"/>
          <w:sz w:val="24"/>
          <w:szCs w:val="24"/>
        </w:rPr>
        <w:t>Nacrtom</w:t>
      </w:r>
      <w:r w:rsidR="00DA6B61">
        <w:rPr>
          <w:rFonts w:ascii="Arial" w:hAnsi="Arial" w:cs="Arial"/>
          <w:sz w:val="24"/>
          <w:szCs w:val="24"/>
        </w:rPr>
        <w:t xml:space="preserve"> d</w:t>
      </w:r>
      <w:r w:rsidR="00DA6B61" w:rsidRPr="00DA6B61">
        <w:rPr>
          <w:rFonts w:ascii="Arial" w:hAnsi="Arial" w:cs="Arial"/>
          <w:sz w:val="24"/>
          <w:szCs w:val="24"/>
        </w:rPr>
        <w:t>odiplomski studijski program</w:t>
      </w:r>
      <w:r w:rsidR="00DA6B61">
        <w:rPr>
          <w:rFonts w:ascii="Arial" w:hAnsi="Arial" w:cs="Arial"/>
          <w:sz w:val="24"/>
          <w:szCs w:val="24"/>
        </w:rPr>
        <w:t>i koji se realizuju na ustanovama visokog obrazovanja u Crnoj Gori obima su</w:t>
      </w:r>
      <w:r w:rsidR="00DA6B61" w:rsidRPr="00DA6B61">
        <w:rPr>
          <w:rFonts w:ascii="Arial" w:hAnsi="Arial" w:cs="Arial"/>
          <w:sz w:val="24"/>
          <w:szCs w:val="24"/>
        </w:rPr>
        <w:t xml:space="preserve"> 180 ECTS</w:t>
      </w:r>
      <w:r w:rsidR="00DA6B61">
        <w:rPr>
          <w:rFonts w:ascii="Arial" w:hAnsi="Arial" w:cs="Arial"/>
          <w:sz w:val="24"/>
          <w:szCs w:val="24"/>
        </w:rPr>
        <w:t>. Postdiplomski studijski programi se mogu realizovati kao specijalistički, u trajanju od jedne godine,</w:t>
      </w:r>
      <w:r w:rsidR="00DA6B61" w:rsidRPr="00DA6B61">
        <w:rPr>
          <w:rFonts w:ascii="Arial" w:hAnsi="Arial" w:cs="Arial"/>
          <w:sz w:val="24"/>
          <w:szCs w:val="24"/>
        </w:rPr>
        <w:t xml:space="preserve"> obima 60 ECTS</w:t>
      </w:r>
      <w:r w:rsidR="00DA6B61">
        <w:rPr>
          <w:rFonts w:ascii="Arial" w:hAnsi="Arial" w:cs="Arial"/>
          <w:sz w:val="24"/>
          <w:szCs w:val="24"/>
        </w:rPr>
        <w:t>,</w:t>
      </w:r>
      <w:r w:rsidR="00DA6B61" w:rsidRPr="00DA6B61">
        <w:rPr>
          <w:rFonts w:ascii="Arial" w:hAnsi="Arial" w:cs="Arial"/>
          <w:sz w:val="24"/>
          <w:szCs w:val="24"/>
        </w:rPr>
        <w:t xml:space="preserve"> i master</w:t>
      </w:r>
      <w:r w:rsidR="00DA6B61">
        <w:rPr>
          <w:rFonts w:ascii="Arial" w:hAnsi="Arial" w:cs="Arial"/>
          <w:sz w:val="24"/>
          <w:szCs w:val="24"/>
        </w:rPr>
        <w:t xml:space="preserve"> u trajanju od jedne, odnoso dvije godine, </w:t>
      </w:r>
      <w:r w:rsidR="00DA6B61" w:rsidRPr="00DA6B61">
        <w:rPr>
          <w:rFonts w:ascii="Arial" w:hAnsi="Arial" w:cs="Arial"/>
          <w:sz w:val="24"/>
          <w:szCs w:val="24"/>
        </w:rPr>
        <w:t>obima 60 ECTS</w:t>
      </w:r>
      <w:r w:rsidR="00DA6B61">
        <w:rPr>
          <w:rFonts w:ascii="Arial" w:hAnsi="Arial" w:cs="Arial"/>
          <w:sz w:val="24"/>
          <w:szCs w:val="24"/>
        </w:rPr>
        <w:t xml:space="preserve">, odnosno </w:t>
      </w:r>
      <w:r w:rsidR="00DA6B61" w:rsidRPr="00DA6B61">
        <w:rPr>
          <w:rFonts w:ascii="Arial" w:hAnsi="Arial" w:cs="Arial"/>
          <w:sz w:val="24"/>
          <w:szCs w:val="24"/>
        </w:rPr>
        <w:t>120 ECTS.</w:t>
      </w:r>
      <w:r w:rsidR="00DA6B61">
        <w:rPr>
          <w:rFonts w:ascii="Arial" w:hAnsi="Arial" w:cs="Arial"/>
          <w:sz w:val="24"/>
          <w:szCs w:val="24"/>
        </w:rPr>
        <w:t xml:space="preserve"> Doktorski studijski programi se mogu akreditovati samo kao akademski i obima su 180 ECTS. Takođe</w:t>
      </w:r>
      <w:r>
        <w:rPr>
          <w:rFonts w:ascii="Arial" w:hAnsi="Arial" w:cs="Arial"/>
          <w:sz w:val="24"/>
          <w:szCs w:val="24"/>
        </w:rPr>
        <w:t>,</w:t>
      </w:r>
      <w:r w:rsidR="00DA6B61">
        <w:rPr>
          <w:rFonts w:ascii="Arial" w:hAnsi="Arial" w:cs="Arial"/>
          <w:sz w:val="24"/>
          <w:szCs w:val="24"/>
        </w:rPr>
        <w:t xml:space="preserve"> </w:t>
      </w:r>
      <w:r>
        <w:rPr>
          <w:rFonts w:ascii="Arial" w:hAnsi="Arial" w:cs="Arial"/>
          <w:sz w:val="24"/>
          <w:szCs w:val="24"/>
        </w:rPr>
        <w:t>Nacrtom</w:t>
      </w:r>
      <w:r w:rsidR="00DA6B61">
        <w:rPr>
          <w:rFonts w:ascii="Arial" w:hAnsi="Arial" w:cs="Arial"/>
          <w:sz w:val="24"/>
          <w:szCs w:val="24"/>
        </w:rPr>
        <w:t xml:space="preserve"> zakona prepoznati su i</w:t>
      </w:r>
      <w:r w:rsidR="00DA6B61" w:rsidRPr="00DA6B61">
        <w:rPr>
          <w:rFonts w:ascii="Arial" w:hAnsi="Arial" w:cs="Arial"/>
          <w:sz w:val="24"/>
          <w:szCs w:val="24"/>
        </w:rPr>
        <w:t>ntegrisani studijski program</w:t>
      </w:r>
      <w:r w:rsidR="00DA6B61">
        <w:rPr>
          <w:rFonts w:ascii="Arial" w:hAnsi="Arial" w:cs="Arial"/>
          <w:sz w:val="24"/>
          <w:szCs w:val="24"/>
        </w:rPr>
        <w:t xml:space="preserve">i obima </w:t>
      </w:r>
      <w:r w:rsidR="00DA6B61" w:rsidRPr="00DA6B61">
        <w:rPr>
          <w:rFonts w:ascii="Arial" w:hAnsi="Arial" w:cs="Arial"/>
          <w:sz w:val="24"/>
          <w:szCs w:val="24"/>
        </w:rPr>
        <w:t>300 ECTS, odnosno 360 ECTS.</w:t>
      </w:r>
      <w:r w:rsidR="005D23B6">
        <w:rPr>
          <w:rFonts w:ascii="Arial" w:hAnsi="Arial" w:cs="Arial"/>
          <w:sz w:val="24"/>
          <w:szCs w:val="24"/>
        </w:rPr>
        <w:t xml:space="preserve"> </w:t>
      </w:r>
      <w:r w:rsidR="00DA6B61">
        <w:rPr>
          <w:rFonts w:ascii="Arial" w:hAnsi="Arial" w:cs="Arial"/>
          <w:sz w:val="24"/>
          <w:szCs w:val="24"/>
        </w:rPr>
        <w:t xml:space="preserve">Promjena dosadašnjeg modela studija </w:t>
      </w:r>
      <w:r w:rsidR="00DA6B61" w:rsidRPr="00DA6B61">
        <w:rPr>
          <w:rFonts w:ascii="Arial" w:hAnsi="Arial" w:cs="Arial"/>
          <w:sz w:val="24"/>
          <w:szCs w:val="24"/>
        </w:rPr>
        <w:t xml:space="preserve">treba da doprinese, između ostalog, boljoj </w:t>
      </w:r>
      <w:r w:rsidR="00DA6B61">
        <w:rPr>
          <w:rFonts w:ascii="Arial" w:hAnsi="Arial" w:cs="Arial"/>
          <w:sz w:val="24"/>
          <w:szCs w:val="24"/>
        </w:rPr>
        <w:t>prepoznatljivosti kvalifikacija VII nivoa Nacionalnog okvira kvalifikacija</w:t>
      </w:r>
      <w:r w:rsidR="00DA6B61" w:rsidRPr="00DA6B61">
        <w:rPr>
          <w:rFonts w:ascii="Arial" w:hAnsi="Arial" w:cs="Arial"/>
          <w:sz w:val="24"/>
          <w:szCs w:val="24"/>
        </w:rPr>
        <w:t xml:space="preserve">. </w:t>
      </w:r>
    </w:p>
    <w:p w:rsidR="00FD4653" w:rsidRDefault="00DA6B61" w:rsidP="00DA6B61">
      <w:pPr>
        <w:pStyle w:val="NoSpacing"/>
        <w:ind w:firstLine="708"/>
        <w:jc w:val="both"/>
        <w:rPr>
          <w:rFonts w:ascii="Arial" w:hAnsi="Arial" w:cs="Arial"/>
          <w:sz w:val="24"/>
          <w:szCs w:val="24"/>
        </w:rPr>
      </w:pPr>
      <w:r w:rsidRPr="00DA6B61">
        <w:rPr>
          <w:rFonts w:ascii="Arial" w:hAnsi="Arial" w:cs="Arial"/>
          <w:sz w:val="24"/>
          <w:szCs w:val="24"/>
        </w:rPr>
        <w:t xml:space="preserve">Zakon predviđa i uvođenje </w:t>
      </w:r>
      <w:r w:rsidR="00EC6E97">
        <w:rPr>
          <w:rFonts w:ascii="Arial" w:hAnsi="Arial" w:cs="Arial"/>
          <w:sz w:val="24"/>
          <w:szCs w:val="24"/>
        </w:rPr>
        <w:t xml:space="preserve">obavezne praktične nastave </w:t>
      </w:r>
      <w:r w:rsidR="00EC6E97" w:rsidRPr="00EC6E97">
        <w:rPr>
          <w:rFonts w:ascii="Arial" w:hAnsi="Arial" w:cs="Arial"/>
          <w:sz w:val="24"/>
          <w:szCs w:val="24"/>
        </w:rPr>
        <w:t xml:space="preserve">u obimu od najmanje 30 ECTS kredita po studijskom programu dodiplomskih studija, a </w:t>
      </w:r>
      <w:r w:rsidR="00EC6E97">
        <w:rPr>
          <w:rFonts w:ascii="Arial" w:hAnsi="Arial" w:cs="Arial"/>
          <w:sz w:val="24"/>
          <w:szCs w:val="24"/>
        </w:rPr>
        <w:t xml:space="preserve">koja se </w:t>
      </w:r>
      <w:r w:rsidR="00EC6E97" w:rsidRPr="00EC6E97">
        <w:rPr>
          <w:rFonts w:ascii="Arial" w:hAnsi="Arial" w:cs="Arial"/>
          <w:sz w:val="24"/>
          <w:szCs w:val="24"/>
        </w:rPr>
        <w:t>realizuje u realnom radnom okruženju ili u prostorijama ustanove, u skladu sa studijskim programom</w:t>
      </w:r>
      <w:r w:rsidR="00EC6E97">
        <w:rPr>
          <w:rFonts w:ascii="Arial" w:hAnsi="Arial" w:cs="Arial"/>
          <w:sz w:val="24"/>
          <w:szCs w:val="24"/>
        </w:rPr>
        <w:t>, zatim drugačiji način funkcionisanja</w:t>
      </w:r>
      <w:r w:rsidR="00A51DA2">
        <w:rPr>
          <w:rFonts w:ascii="Arial" w:hAnsi="Arial" w:cs="Arial"/>
          <w:sz w:val="24"/>
          <w:szCs w:val="24"/>
        </w:rPr>
        <w:t xml:space="preserve"> i organizacione strukture</w:t>
      </w:r>
      <w:r w:rsidR="00EC6E97">
        <w:rPr>
          <w:rFonts w:ascii="Arial" w:hAnsi="Arial" w:cs="Arial"/>
          <w:sz w:val="24"/>
          <w:szCs w:val="24"/>
        </w:rPr>
        <w:t xml:space="preserve"> </w:t>
      </w:r>
      <w:r w:rsidR="00EC6E97" w:rsidRPr="007218AB">
        <w:rPr>
          <w:rFonts w:ascii="Arial" w:hAnsi="Arial" w:cs="Arial"/>
          <w:sz w:val="24"/>
          <w:szCs w:val="24"/>
          <w:lang w:val="en-US"/>
        </w:rPr>
        <w:t>Agencij</w:t>
      </w:r>
      <w:r w:rsidR="00EC6E97">
        <w:rPr>
          <w:rFonts w:ascii="Arial" w:hAnsi="Arial" w:cs="Arial"/>
          <w:sz w:val="24"/>
          <w:szCs w:val="24"/>
          <w:lang w:val="en-US"/>
        </w:rPr>
        <w:t>e</w:t>
      </w:r>
      <w:r w:rsidR="00EC6E97" w:rsidRPr="007218AB">
        <w:rPr>
          <w:rFonts w:ascii="Arial" w:hAnsi="Arial" w:cs="Arial"/>
          <w:sz w:val="24"/>
          <w:szCs w:val="24"/>
          <w:lang w:val="en-US"/>
        </w:rPr>
        <w:t xml:space="preserve"> za obezbjeđivanje kvaliteta visokog obrazovanja</w:t>
      </w:r>
      <w:r w:rsidR="00EC6E97">
        <w:rPr>
          <w:rFonts w:ascii="Arial" w:hAnsi="Arial" w:cs="Arial"/>
          <w:sz w:val="24"/>
          <w:szCs w:val="24"/>
          <w:lang w:val="en-US"/>
        </w:rPr>
        <w:t xml:space="preserve"> (dosadašnja Agencija za kontrolu i obezbjeđenje kvaliteta visokog obrazovanja)</w:t>
      </w:r>
      <w:r w:rsidRPr="00DA6B61">
        <w:rPr>
          <w:rFonts w:ascii="Arial" w:hAnsi="Arial" w:cs="Arial"/>
          <w:sz w:val="24"/>
          <w:szCs w:val="24"/>
        </w:rPr>
        <w:t>. To je</w:t>
      </w:r>
      <w:r w:rsidR="00A51DA2">
        <w:rPr>
          <w:rFonts w:ascii="Arial" w:hAnsi="Arial" w:cs="Arial"/>
          <w:sz w:val="24"/>
          <w:szCs w:val="24"/>
        </w:rPr>
        <w:t>, između ostalog,</w:t>
      </w:r>
      <w:r w:rsidRPr="00DA6B61">
        <w:rPr>
          <w:rFonts w:ascii="Arial" w:hAnsi="Arial" w:cs="Arial"/>
          <w:sz w:val="24"/>
          <w:szCs w:val="24"/>
        </w:rPr>
        <w:t xml:space="preserve"> jedan od razloga zbog kojeg  je  neophodno usvojiti  navedeni zakon u </w:t>
      </w:r>
      <w:r w:rsidR="00EC6E97">
        <w:rPr>
          <w:rFonts w:ascii="Arial" w:hAnsi="Arial" w:cs="Arial"/>
          <w:sz w:val="24"/>
          <w:szCs w:val="24"/>
        </w:rPr>
        <w:t>IV kvartalu</w:t>
      </w:r>
      <w:r w:rsidRPr="00DA6B61">
        <w:rPr>
          <w:rFonts w:ascii="Arial" w:hAnsi="Arial" w:cs="Arial"/>
          <w:sz w:val="24"/>
          <w:szCs w:val="24"/>
        </w:rPr>
        <w:t xml:space="preserve"> tekuće godine.</w:t>
      </w:r>
    </w:p>
    <w:p w:rsidR="00A51DA2" w:rsidRDefault="00A51DA2" w:rsidP="00DA6B61">
      <w:pPr>
        <w:pStyle w:val="NoSpacing"/>
        <w:ind w:firstLine="708"/>
        <w:jc w:val="both"/>
        <w:rPr>
          <w:rFonts w:ascii="Arial" w:hAnsi="Arial" w:cs="Arial"/>
          <w:sz w:val="24"/>
          <w:szCs w:val="24"/>
        </w:rPr>
      </w:pPr>
      <w:r w:rsidRPr="00A51DA2">
        <w:rPr>
          <w:rFonts w:ascii="Arial" w:hAnsi="Arial" w:cs="Arial"/>
          <w:sz w:val="24"/>
          <w:szCs w:val="24"/>
        </w:rPr>
        <w:t xml:space="preserve">Za  izradu </w:t>
      </w:r>
      <w:r w:rsidR="000E439D">
        <w:rPr>
          <w:rFonts w:ascii="Arial" w:hAnsi="Arial" w:cs="Arial"/>
          <w:sz w:val="24"/>
          <w:szCs w:val="24"/>
        </w:rPr>
        <w:t>Nacrta</w:t>
      </w:r>
      <w:r w:rsidRPr="00A51DA2">
        <w:rPr>
          <w:rFonts w:ascii="Arial" w:hAnsi="Arial" w:cs="Arial"/>
          <w:sz w:val="24"/>
          <w:szCs w:val="24"/>
        </w:rPr>
        <w:t xml:space="preserve"> zakona Ministarstvo prosvjete</w:t>
      </w:r>
      <w:r>
        <w:rPr>
          <w:rFonts w:ascii="Arial" w:hAnsi="Arial" w:cs="Arial"/>
          <w:sz w:val="24"/>
          <w:szCs w:val="24"/>
        </w:rPr>
        <w:t xml:space="preserve">, nauke i inovacija </w:t>
      </w:r>
      <w:r w:rsidRPr="00A51DA2">
        <w:rPr>
          <w:rFonts w:ascii="Arial" w:hAnsi="Arial" w:cs="Arial"/>
          <w:sz w:val="24"/>
          <w:szCs w:val="24"/>
        </w:rPr>
        <w:t xml:space="preserve">formiralo </w:t>
      </w:r>
      <w:r>
        <w:rPr>
          <w:rFonts w:ascii="Arial" w:hAnsi="Arial" w:cs="Arial"/>
          <w:sz w:val="24"/>
          <w:szCs w:val="24"/>
        </w:rPr>
        <w:t xml:space="preserve">je </w:t>
      </w:r>
      <w:r w:rsidRPr="00A51DA2">
        <w:rPr>
          <w:rFonts w:ascii="Arial" w:hAnsi="Arial" w:cs="Arial"/>
          <w:sz w:val="24"/>
          <w:szCs w:val="24"/>
        </w:rPr>
        <w:t>mješovitu Radnu grupu, imajući u vidu da se radi o stručnim poslovima u okviru kojih se zahtijeva saradnja različitih institucija. Radnu grupu činili su predstavnici Ministarstva prosvjete,</w:t>
      </w:r>
      <w:r>
        <w:rPr>
          <w:rFonts w:ascii="Arial" w:hAnsi="Arial" w:cs="Arial"/>
          <w:sz w:val="24"/>
          <w:szCs w:val="24"/>
        </w:rPr>
        <w:t xml:space="preserve"> nauke i inovacija,</w:t>
      </w:r>
      <w:r w:rsidRPr="00A51DA2">
        <w:rPr>
          <w:rFonts w:ascii="Arial" w:hAnsi="Arial" w:cs="Arial"/>
          <w:sz w:val="24"/>
          <w:szCs w:val="24"/>
        </w:rPr>
        <w:t xml:space="preserve"> Univerziteta Crne Gore, Univerziteta Donja Gorica, Univerziteta Mediteran, </w:t>
      </w:r>
      <w:r>
        <w:rPr>
          <w:rFonts w:ascii="Arial" w:hAnsi="Arial" w:cs="Arial"/>
          <w:sz w:val="24"/>
          <w:szCs w:val="24"/>
        </w:rPr>
        <w:t xml:space="preserve">Univerziteta „Adriatik“, Crnogorske akademije nauka i umjetnosti, </w:t>
      </w:r>
      <w:r w:rsidRPr="00A51DA2">
        <w:rPr>
          <w:rFonts w:ascii="Arial" w:hAnsi="Arial" w:cs="Arial"/>
          <w:sz w:val="24"/>
          <w:szCs w:val="24"/>
        </w:rPr>
        <w:t>Privredne komore, Sindikata Univerziteta Crne Gore, Studentskog parlamenta Univerziteta Crne Gore</w:t>
      </w:r>
      <w:r>
        <w:rPr>
          <w:rFonts w:ascii="Arial" w:hAnsi="Arial" w:cs="Arial"/>
          <w:sz w:val="24"/>
          <w:szCs w:val="24"/>
        </w:rPr>
        <w:t>, predstavnika studenata Univerziteta Donja Gorica</w:t>
      </w:r>
      <w:r w:rsidRPr="00A51DA2">
        <w:rPr>
          <w:rFonts w:ascii="Arial" w:hAnsi="Arial" w:cs="Arial"/>
          <w:sz w:val="24"/>
          <w:szCs w:val="24"/>
        </w:rPr>
        <w:t xml:space="preserve"> i NVO sektora</w:t>
      </w:r>
      <w:r>
        <w:rPr>
          <w:rFonts w:ascii="Arial" w:hAnsi="Arial" w:cs="Arial"/>
          <w:sz w:val="24"/>
          <w:szCs w:val="24"/>
        </w:rPr>
        <w:t>.</w:t>
      </w:r>
    </w:p>
    <w:p w:rsidR="00A51DA2" w:rsidRDefault="00A51DA2" w:rsidP="00DA6B61">
      <w:pPr>
        <w:pStyle w:val="NoSpacing"/>
        <w:ind w:firstLine="708"/>
        <w:jc w:val="both"/>
        <w:rPr>
          <w:rFonts w:ascii="Arial" w:hAnsi="Arial" w:cs="Arial"/>
          <w:sz w:val="24"/>
          <w:szCs w:val="24"/>
        </w:rPr>
      </w:pPr>
    </w:p>
    <w:p w:rsidR="004D34A6" w:rsidRPr="003056AD" w:rsidRDefault="004D34A6" w:rsidP="004D34A6">
      <w:pPr>
        <w:pStyle w:val="NoSpacing"/>
        <w:numPr>
          <w:ilvl w:val="0"/>
          <w:numId w:val="10"/>
        </w:numPr>
        <w:jc w:val="both"/>
        <w:rPr>
          <w:rFonts w:ascii="Arial" w:hAnsi="Arial" w:cs="Arial"/>
          <w:b/>
          <w:sz w:val="24"/>
          <w:szCs w:val="24"/>
        </w:rPr>
      </w:pPr>
      <w:r w:rsidRPr="004D34A6">
        <w:rPr>
          <w:rFonts w:ascii="Arial" w:hAnsi="Arial" w:cs="Arial"/>
          <w:b/>
          <w:sz w:val="24"/>
          <w:szCs w:val="24"/>
        </w:rPr>
        <w:t>Usaglašenost sa pravnom tekovinom Evropske Unije i potvrđenim međunarodnim konvencijama</w:t>
      </w:r>
    </w:p>
    <w:p w:rsidR="004D34A6" w:rsidRDefault="004D34A6" w:rsidP="004D34A6">
      <w:pPr>
        <w:pStyle w:val="NoSpacing"/>
        <w:jc w:val="both"/>
        <w:rPr>
          <w:rFonts w:ascii="Arial" w:hAnsi="Arial" w:cs="Arial"/>
          <w:sz w:val="24"/>
          <w:szCs w:val="24"/>
        </w:rPr>
      </w:pPr>
    </w:p>
    <w:p w:rsidR="001415A6" w:rsidRDefault="00DE6EE0" w:rsidP="001415A6">
      <w:pPr>
        <w:pStyle w:val="NoSpacing"/>
        <w:ind w:firstLine="708"/>
        <w:jc w:val="both"/>
        <w:rPr>
          <w:rFonts w:ascii="Arial" w:hAnsi="Arial" w:cs="Arial"/>
          <w:sz w:val="24"/>
          <w:szCs w:val="24"/>
        </w:rPr>
      </w:pPr>
      <w:r w:rsidRPr="00DE6EE0">
        <w:rPr>
          <w:rFonts w:ascii="Arial" w:hAnsi="Arial" w:cs="Arial"/>
          <w:sz w:val="24"/>
          <w:szCs w:val="24"/>
        </w:rPr>
        <w:t xml:space="preserve">Oblast obrazovanja je uređena propisima koji pripadaju tzv. mekom pravu (soft law), što znaći da nema obavezujućih direktiva i odluka, osim direktive koja se odnosi na regulisane profesije i dio je poglavlja 3. </w:t>
      </w:r>
    </w:p>
    <w:p w:rsidR="00DE6EE0" w:rsidRPr="00DE6EE0" w:rsidRDefault="00DE6EE0" w:rsidP="001415A6">
      <w:pPr>
        <w:pStyle w:val="NoSpacing"/>
        <w:ind w:firstLine="708"/>
        <w:jc w:val="both"/>
        <w:rPr>
          <w:rFonts w:ascii="Arial" w:hAnsi="Arial" w:cs="Arial"/>
          <w:sz w:val="24"/>
          <w:szCs w:val="24"/>
        </w:rPr>
      </w:pPr>
      <w:r w:rsidRPr="00DE6EE0">
        <w:rPr>
          <w:rFonts w:ascii="Arial" w:hAnsi="Arial" w:cs="Arial"/>
          <w:sz w:val="24"/>
          <w:szCs w:val="24"/>
        </w:rPr>
        <w:t>Obrazovanje je, uglavnom, uređeno preporukama i rezolucijama. Na ovaj način je zemljama članicama ostavljena mogućnost da obrazovanje uređuju  zadržavajući osobenosti svoga sistema, uz poštovanje preporuka i mišljenja.</w:t>
      </w:r>
    </w:p>
    <w:p w:rsidR="00DE6EE0" w:rsidRPr="00DE6EE0" w:rsidRDefault="000E439D" w:rsidP="001415A6">
      <w:pPr>
        <w:pStyle w:val="NoSpacing"/>
        <w:ind w:firstLine="708"/>
        <w:jc w:val="both"/>
        <w:rPr>
          <w:rFonts w:ascii="Arial" w:hAnsi="Arial" w:cs="Arial"/>
          <w:sz w:val="24"/>
          <w:szCs w:val="24"/>
        </w:rPr>
      </w:pPr>
      <w:r>
        <w:rPr>
          <w:rFonts w:ascii="Arial" w:hAnsi="Arial" w:cs="Arial"/>
          <w:sz w:val="24"/>
          <w:szCs w:val="24"/>
        </w:rPr>
        <w:t>Nacrt</w:t>
      </w:r>
      <w:r w:rsidR="00DE6EE0" w:rsidRPr="00DE6EE0">
        <w:rPr>
          <w:rFonts w:ascii="Arial" w:hAnsi="Arial" w:cs="Arial"/>
          <w:sz w:val="24"/>
          <w:szCs w:val="24"/>
        </w:rPr>
        <w:t xml:space="preserve"> zakona je u potpunosti usaglašen sa Ugovorom o funkcionisanju EU (UFEU, treći dio, Politike i unutrašnje akcije Unije, Glava XII, Obrazovanje, stručno osposobljavanje, omladina i sport, član 165) kao primarnim izvorima prava Evropske unije, a koji promoviše evropsku dimenziju obrazovanja kroz učenje stranih jezi</w:t>
      </w:r>
      <w:r w:rsidR="001415A6">
        <w:rPr>
          <w:rFonts w:ascii="Arial" w:hAnsi="Arial" w:cs="Arial"/>
          <w:sz w:val="24"/>
          <w:szCs w:val="24"/>
        </w:rPr>
        <w:t>k</w:t>
      </w:r>
      <w:r w:rsidR="00DE6EE0" w:rsidRPr="00DE6EE0">
        <w:rPr>
          <w:rFonts w:ascii="Arial" w:hAnsi="Arial" w:cs="Arial"/>
          <w:sz w:val="24"/>
          <w:szCs w:val="24"/>
        </w:rPr>
        <w:t>a, saradnju između ustanova visokog obrazovanja, podstiče internacionalizaciju, ohrabruje mobilnost studenata i nastavnog osoblja, akademsko priznavanje, podstiče razvoj učenja na daljinu itd.</w:t>
      </w:r>
    </w:p>
    <w:p w:rsidR="008A6557" w:rsidRDefault="000E439D" w:rsidP="008A6557">
      <w:pPr>
        <w:pStyle w:val="NoSpacing"/>
        <w:ind w:firstLine="708"/>
        <w:jc w:val="both"/>
        <w:rPr>
          <w:rFonts w:ascii="Arial" w:hAnsi="Arial" w:cs="Arial"/>
          <w:sz w:val="24"/>
          <w:szCs w:val="24"/>
        </w:rPr>
      </w:pPr>
      <w:r>
        <w:rPr>
          <w:rFonts w:ascii="Arial" w:hAnsi="Arial" w:cs="Arial"/>
          <w:sz w:val="24"/>
          <w:szCs w:val="24"/>
        </w:rPr>
        <w:t>Nacrt</w:t>
      </w:r>
      <w:r w:rsidR="00DE6EE0" w:rsidRPr="00DE6EE0">
        <w:rPr>
          <w:rFonts w:ascii="Arial" w:hAnsi="Arial" w:cs="Arial"/>
          <w:sz w:val="24"/>
          <w:szCs w:val="24"/>
        </w:rPr>
        <w:t xml:space="preserve"> je usaglašen s</w:t>
      </w:r>
      <w:r w:rsidR="001415A6">
        <w:rPr>
          <w:rFonts w:ascii="Arial" w:hAnsi="Arial" w:cs="Arial"/>
          <w:sz w:val="24"/>
          <w:szCs w:val="24"/>
        </w:rPr>
        <w:t>a Direktivom EU</w:t>
      </w:r>
      <w:r w:rsidR="001415A6" w:rsidRPr="001415A6">
        <w:rPr>
          <w:rFonts w:ascii="Arial" w:hAnsi="Arial" w:cs="Arial"/>
          <w:sz w:val="24"/>
          <w:szCs w:val="24"/>
        </w:rPr>
        <w:t xml:space="preserve"> 2016/801 </w:t>
      </w:r>
      <w:r w:rsidR="001415A6">
        <w:rPr>
          <w:rFonts w:ascii="Arial" w:hAnsi="Arial" w:cs="Arial"/>
          <w:sz w:val="24"/>
          <w:szCs w:val="24"/>
        </w:rPr>
        <w:t xml:space="preserve">Evropskog </w:t>
      </w:r>
      <w:r w:rsidR="001415A6" w:rsidRPr="001415A6">
        <w:rPr>
          <w:rFonts w:ascii="Arial" w:hAnsi="Arial" w:cs="Arial"/>
          <w:sz w:val="24"/>
          <w:szCs w:val="24"/>
        </w:rPr>
        <w:t xml:space="preserve">parlamenta i </w:t>
      </w:r>
      <w:r w:rsidR="001415A6">
        <w:rPr>
          <w:rFonts w:ascii="Arial" w:hAnsi="Arial" w:cs="Arial"/>
          <w:sz w:val="24"/>
          <w:szCs w:val="24"/>
        </w:rPr>
        <w:t>V</w:t>
      </w:r>
      <w:r w:rsidR="001415A6" w:rsidRPr="001415A6">
        <w:rPr>
          <w:rFonts w:ascii="Arial" w:hAnsi="Arial" w:cs="Arial"/>
          <w:sz w:val="24"/>
          <w:szCs w:val="24"/>
        </w:rPr>
        <w:t xml:space="preserve">ijeća </w:t>
      </w:r>
      <w:r w:rsidR="001415A6" w:rsidRPr="001415A6">
        <w:rPr>
          <w:rFonts w:ascii="Arial" w:hAnsi="Arial" w:cs="Arial"/>
          <w:sz w:val="24"/>
          <w:szCs w:val="24"/>
        </w:rPr>
        <w:t xml:space="preserve">od 11. </w:t>
      </w:r>
      <w:r w:rsidR="001415A6">
        <w:rPr>
          <w:rFonts w:ascii="Arial" w:hAnsi="Arial" w:cs="Arial"/>
          <w:sz w:val="24"/>
          <w:szCs w:val="24"/>
        </w:rPr>
        <w:t>maja</w:t>
      </w:r>
      <w:r w:rsidR="001415A6" w:rsidRPr="001415A6">
        <w:rPr>
          <w:rFonts w:ascii="Arial" w:hAnsi="Arial" w:cs="Arial"/>
          <w:sz w:val="24"/>
          <w:szCs w:val="24"/>
        </w:rPr>
        <w:t xml:space="preserve"> 2016.</w:t>
      </w:r>
      <w:r w:rsidR="002600B7">
        <w:rPr>
          <w:rFonts w:ascii="Arial" w:hAnsi="Arial" w:cs="Arial"/>
          <w:sz w:val="24"/>
          <w:szCs w:val="24"/>
        </w:rPr>
        <w:t xml:space="preserve"> godine,</w:t>
      </w:r>
      <w:r w:rsidR="001415A6" w:rsidRPr="001415A6">
        <w:rPr>
          <w:rFonts w:ascii="Arial" w:hAnsi="Arial" w:cs="Arial"/>
          <w:sz w:val="24"/>
          <w:szCs w:val="24"/>
        </w:rPr>
        <w:t xml:space="preserve"> o </w:t>
      </w:r>
      <w:r w:rsidR="001415A6">
        <w:rPr>
          <w:rFonts w:ascii="Arial" w:hAnsi="Arial" w:cs="Arial"/>
          <w:sz w:val="24"/>
          <w:szCs w:val="24"/>
        </w:rPr>
        <w:t>uslovima</w:t>
      </w:r>
      <w:r w:rsidR="001415A6" w:rsidRPr="001415A6">
        <w:rPr>
          <w:rFonts w:ascii="Arial" w:hAnsi="Arial" w:cs="Arial"/>
          <w:sz w:val="24"/>
          <w:szCs w:val="24"/>
        </w:rPr>
        <w:t xml:space="preserve"> ulaska i boravka </w:t>
      </w:r>
      <w:r w:rsidR="001415A6">
        <w:rPr>
          <w:rFonts w:ascii="Arial" w:hAnsi="Arial" w:cs="Arial"/>
          <w:sz w:val="24"/>
          <w:szCs w:val="24"/>
        </w:rPr>
        <w:t>državljana</w:t>
      </w:r>
      <w:r w:rsidR="001415A6" w:rsidRPr="001415A6">
        <w:rPr>
          <w:rFonts w:ascii="Arial" w:hAnsi="Arial" w:cs="Arial"/>
          <w:sz w:val="24"/>
          <w:szCs w:val="24"/>
        </w:rPr>
        <w:t xml:space="preserve"> trećih zemalja u svrhu i</w:t>
      </w:r>
      <w:r w:rsidR="001415A6">
        <w:rPr>
          <w:rFonts w:ascii="Arial" w:hAnsi="Arial" w:cs="Arial"/>
          <w:sz w:val="24"/>
          <w:szCs w:val="24"/>
        </w:rPr>
        <w:t xml:space="preserve">istraživanja, </w:t>
      </w:r>
      <w:r w:rsidR="001415A6" w:rsidRPr="001415A6">
        <w:rPr>
          <w:rFonts w:ascii="Arial" w:hAnsi="Arial" w:cs="Arial"/>
          <w:sz w:val="24"/>
          <w:szCs w:val="24"/>
        </w:rPr>
        <w:t>studija, osposobljavanja</w:t>
      </w:r>
      <w:r w:rsidR="001415A6">
        <w:rPr>
          <w:rFonts w:ascii="Arial" w:hAnsi="Arial" w:cs="Arial"/>
          <w:sz w:val="24"/>
          <w:szCs w:val="24"/>
        </w:rPr>
        <w:t xml:space="preserve">, </w:t>
      </w:r>
      <w:r w:rsidR="001415A6" w:rsidRPr="001415A6">
        <w:rPr>
          <w:rFonts w:ascii="Arial" w:hAnsi="Arial" w:cs="Arial"/>
          <w:sz w:val="24"/>
          <w:szCs w:val="24"/>
        </w:rPr>
        <w:t xml:space="preserve">volonterstva, razmjena </w:t>
      </w:r>
      <w:r w:rsidR="001415A6">
        <w:rPr>
          <w:rFonts w:ascii="Arial" w:hAnsi="Arial" w:cs="Arial"/>
          <w:sz w:val="24"/>
          <w:szCs w:val="24"/>
        </w:rPr>
        <w:t>učenika</w:t>
      </w:r>
      <w:r w:rsidR="001415A6" w:rsidRPr="001415A6">
        <w:rPr>
          <w:rFonts w:ascii="Arial" w:hAnsi="Arial" w:cs="Arial"/>
          <w:sz w:val="24"/>
          <w:szCs w:val="24"/>
        </w:rPr>
        <w:t xml:space="preserve"> ili obrazovnih projekata, i obavljanja poslova </w:t>
      </w:r>
      <w:r w:rsidR="001415A6">
        <w:rPr>
          <w:rFonts w:ascii="Arial" w:hAnsi="Arial" w:cs="Arial"/>
          <w:sz w:val="24"/>
          <w:szCs w:val="24"/>
        </w:rPr>
        <w:t>(</w:t>
      </w:r>
      <w:r w:rsidR="001415A6" w:rsidRPr="001415A6">
        <w:rPr>
          <w:rFonts w:ascii="Arial" w:hAnsi="Arial" w:cs="Arial"/>
          <w:sz w:val="24"/>
          <w:szCs w:val="24"/>
        </w:rPr>
        <w:t>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r w:rsidR="001415A6" w:rsidRPr="001415A6">
        <w:rPr>
          <w:rFonts w:ascii="Arial" w:hAnsi="Arial" w:cs="Arial"/>
          <w:sz w:val="24"/>
          <w:szCs w:val="24"/>
        </w:rPr>
        <w:t xml:space="preserve">, </w:t>
      </w:r>
      <w:r w:rsidR="00DE6EE0" w:rsidRPr="00DE6EE0">
        <w:rPr>
          <w:rFonts w:ascii="Arial" w:hAnsi="Arial" w:cs="Arial"/>
          <w:sz w:val="24"/>
          <w:szCs w:val="24"/>
        </w:rPr>
        <w:t>Odluk</w:t>
      </w:r>
      <w:r w:rsidR="002600B7">
        <w:rPr>
          <w:rFonts w:ascii="Arial" w:hAnsi="Arial" w:cs="Arial"/>
          <w:sz w:val="24"/>
          <w:szCs w:val="24"/>
        </w:rPr>
        <w:t>om</w:t>
      </w:r>
      <w:r w:rsidR="00DE6EE0" w:rsidRPr="00DE6EE0">
        <w:rPr>
          <w:rFonts w:ascii="Arial" w:hAnsi="Arial" w:cs="Arial"/>
          <w:sz w:val="24"/>
          <w:szCs w:val="24"/>
        </w:rPr>
        <w:t xml:space="preserve"> br. 1720/2006/EC Evropskog parlamenta i Savjeta od 15. novembra 2006. godine, o uspostavljanju akcionog programa u oblasti cjeloživotnog učenja (Decision No 1720/2006/EC of the European Parliament and of the Council of 15 November 2006 establishing an action programme in the field of lifelong learning), </w:t>
      </w:r>
      <w:r w:rsidR="00DE6EE0" w:rsidRPr="00ED217E">
        <w:rPr>
          <w:rFonts w:ascii="Arial" w:hAnsi="Arial" w:cs="Arial"/>
          <w:sz w:val="24"/>
          <w:szCs w:val="24"/>
        </w:rPr>
        <w:t>Preporukom Evropskog parlamenta i Savjeta od 18. decembra 2006. o ključnim kompetencijama za cjeloživotno učenje (Recommendation of the European Parliament and of the Council of 18 December 2006 on key competences for lifelong learning), Preporukom Evropskog parlamenta i Savjeta od 23. aprila 2008. o uspostavljanju evropskog kvalifikacionog okvira za cjeloživotno učenje  (Recommendation of the European Parliament and of the Council of 23 April 2008 on the establishment of the European Qualifications Framework for lifelong learning) i Preporukom Savjeta od 24. septembra 1998. o evropskoj saradnji o obezbjeđenju kvaliteta u visokom obrazovanju / Council Recommendation of 24 September 1998 on European cooperation in quality assurance in higher education)</w:t>
      </w:r>
      <w:r w:rsidR="008A6557" w:rsidRPr="00ED217E">
        <w:rPr>
          <w:rFonts w:ascii="Arial" w:hAnsi="Arial" w:cs="Arial"/>
          <w:sz w:val="24"/>
          <w:szCs w:val="24"/>
        </w:rPr>
        <w:t xml:space="preserve">, </w:t>
      </w:r>
      <w:r w:rsidR="008A6557" w:rsidRPr="00ED217E">
        <w:rPr>
          <w:rFonts w:ascii="Arial" w:hAnsi="Arial" w:cs="Arial"/>
          <w:sz w:val="24"/>
          <w:szCs w:val="24"/>
        </w:rPr>
        <w:t>Zaključci</w:t>
      </w:r>
      <w:r w:rsidR="008A6557" w:rsidRPr="00ED217E">
        <w:rPr>
          <w:rFonts w:ascii="Arial" w:hAnsi="Arial" w:cs="Arial"/>
          <w:sz w:val="24"/>
          <w:szCs w:val="24"/>
        </w:rPr>
        <w:t>ma</w:t>
      </w:r>
      <w:r w:rsidR="008A6557" w:rsidRPr="00ED217E">
        <w:rPr>
          <w:rFonts w:ascii="Arial" w:hAnsi="Arial" w:cs="Arial"/>
          <w:sz w:val="24"/>
          <w:szCs w:val="24"/>
        </w:rPr>
        <w:t xml:space="preserve"> Vijeća o </w:t>
      </w:r>
      <w:r w:rsidR="008A6557" w:rsidRPr="00ED217E">
        <w:rPr>
          <w:rFonts w:ascii="Arial" w:hAnsi="Arial" w:cs="Arial"/>
          <w:sz w:val="24"/>
          <w:szCs w:val="24"/>
        </w:rPr>
        <w:t>jednakosti</w:t>
      </w:r>
      <w:r w:rsidR="008A6557" w:rsidRPr="00ED217E">
        <w:rPr>
          <w:rFonts w:ascii="Arial" w:hAnsi="Arial" w:cs="Arial"/>
          <w:sz w:val="24"/>
          <w:szCs w:val="24"/>
        </w:rPr>
        <w:t xml:space="preserve"> i </w:t>
      </w:r>
      <w:r w:rsidR="008A6557" w:rsidRPr="00ED217E">
        <w:rPr>
          <w:rFonts w:ascii="Arial" w:hAnsi="Arial" w:cs="Arial"/>
          <w:sz w:val="24"/>
          <w:szCs w:val="24"/>
        </w:rPr>
        <w:t>inkluziji u obrazovanju</w:t>
      </w:r>
      <w:r w:rsidR="008A6557" w:rsidRPr="00ED217E">
        <w:rPr>
          <w:rFonts w:ascii="Arial" w:hAnsi="Arial" w:cs="Arial"/>
          <w:sz w:val="24"/>
          <w:szCs w:val="24"/>
        </w:rPr>
        <w:t xml:space="preserve"> i osposobljavanja</w:t>
      </w:r>
      <w:r w:rsidR="008A6557" w:rsidRPr="00ED217E">
        <w:rPr>
          <w:rFonts w:ascii="Arial" w:hAnsi="Arial" w:cs="Arial"/>
          <w:sz w:val="24"/>
          <w:szCs w:val="24"/>
        </w:rPr>
        <w:t xml:space="preserve"> </w:t>
      </w:r>
      <w:r w:rsidR="008A6557" w:rsidRPr="00ED217E">
        <w:rPr>
          <w:rFonts w:ascii="Arial" w:hAnsi="Arial" w:cs="Arial"/>
          <w:sz w:val="24"/>
          <w:szCs w:val="24"/>
        </w:rPr>
        <w:t>kako bi se promovisao uspjeh u obrazovnju</w:t>
      </w:r>
      <w:r w:rsidR="008A6557">
        <w:rPr>
          <w:rFonts w:ascii="Arial" w:hAnsi="Arial" w:cs="Arial"/>
          <w:sz w:val="24"/>
          <w:szCs w:val="24"/>
        </w:rPr>
        <w:t xml:space="preserve"> za sve (</w:t>
      </w:r>
      <w:r w:rsidR="008A6557" w:rsidRPr="008A6557">
        <w:rPr>
          <w:rFonts w:ascii="Arial" w:hAnsi="Arial" w:cs="Arial"/>
          <w:sz w:val="24"/>
          <w:szCs w:val="24"/>
        </w:rPr>
        <w:t>Council conclusions on equity and inclusion in education and training in order to promote educational success for all 2021/C 221/02</w:t>
      </w:r>
      <w:r w:rsidR="008A6557">
        <w:rPr>
          <w:rFonts w:ascii="Arial" w:hAnsi="Arial" w:cs="Arial"/>
          <w:sz w:val="24"/>
          <w:szCs w:val="24"/>
        </w:rPr>
        <w:t>)</w:t>
      </w:r>
      <w:r w:rsidR="008A6557">
        <w:rPr>
          <w:rFonts w:ascii="Arial" w:hAnsi="Arial" w:cs="Arial"/>
          <w:sz w:val="24"/>
          <w:szCs w:val="24"/>
        </w:rPr>
        <w:t xml:space="preserve">, Preporukom Vijeća </w:t>
      </w:r>
      <w:r w:rsidR="008A6557" w:rsidRPr="008A6557">
        <w:rPr>
          <w:rFonts w:ascii="Arial" w:hAnsi="Arial" w:cs="Arial"/>
          <w:sz w:val="24"/>
          <w:szCs w:val="24"/>
        </w:rPr>
        <w:t xml:space="preserve">od 24. </w:t>
      </w:r>
      <w:r w:rsidR="008A6557">
        <w:rPr>
          <w:rFonts w:ascii="Arial" w:hAnsi="Arial" w:cs="Arial"/>
          <w:sz w:val="24"/>
          <w:szCs w:val="24"/>
        </w:rPr>
        <w:t>novembra</w:t>
      </w:r>
      <w:r w:rsidR="008A6557" w:rsidRPr="008A6557">
        <w:rPr>
          <w:rFonts w:ascii="Arial" w:hAnsi="Arial" w:cs="Arial"/>
          <w:sz w:val="24"/>
          <w:szCs w:val="24"/>
        </w:rPr>
        <w:t xml:space="preserve"> 2020. </w:t>
      </w:r>
      <w:r w:rsidR="008A6557" w:rsidRPr="008A6557">
        <w:rPr>
          <w:rFonts w:ascii="Arial" w:hAnsi="Arial" w:cs="Arial"/>
          <w:sz w:val="24"/>
          <w:szCs w:val="24"/>
        </w:rPr>
        <w:t>stručnom obrazovanju za održivu konkurentnost, društvenu jednakosti jednakost</w:t>
      </w:r>
      <w:r w:rsidR="008A6557">
        <w:rPr>
          <w:rFonts w:ascii="Arial" w:hAnsi="Arial" w:cs="Arial"/>
          <w:sz w:val="24"/>
          <w:szCs w:val="24"/>
        </w:rPr>
        <w:t xml:space="preserve"> </w:t>
      </w:r>
      <w:r w:rsidR="008A6557" w:rsidRPr="008A6557">
        <w:rPr>
          <w:rFonts w:ascii="Arial" w:hAnsi="Arial" w:cs="Arial"/>
          <w:sz w:val="24"/>
          <w:szCs w:val="24"/>
        </w:rPr>
        <w:t>(</w:t>
      </w:r>
      <w:r w:rsidR="00ED217E" w:rsidRPr="00ED217E">
        <w:rPr>
          <w:rFonts w:ascii="Arial" w:hAnsi="Arial" w:cs="Arial"/>
          <w:sz w:val="24"/>
          <w:szCs w:val="24"/>
        </w:rPr>
        <w:t>Council Recommendation of 24 November 2020 on vocational education and training (VET) for sustainable competitiveness, social fairness and resilience 2020/C 417/01</w:t>
      </w:r>
      <w:r w:rsidR="00ED217E">
        <w:rPr>
          <w:rFonts w:ascii="Arial" w:hAnsi="Arial" w:cs="Arial"/>
          <w:sz w:val="24"/>
          <w:szCs w:val="24"/>
        </w:rPr>
        <w:t>).</w:t>
      </w:r>
    </w:p>
    <w:p w:rsidR="00DE6EE0" w:rsidRDefault="008A6557" w:rsidP="002600B7">
      <w:pPr>
        <w:pStyle w:val="NoSpacing"/>
        <w:ind w:firstLine="708"/>
        <w:jc w:val="both"/>
        <w:rPr>
          <w:rFonts w:ascii="Arial" w:hAnsi="Arial" w:cs="Arial"/>
          <w:sz w:val="24"/>
          <w:szCs w:val="24"/>
        </w:rPr>
      </w:pPr>
      <w:r w:rsidRPr="008A6557">
        <w:rPr>
          <w:rFonts w:ascii="Arial" w:hAnsi="Arial" w:cs="Arial"/>
          <w:sz w:val="24"/>
          <w:szCs w:val="24"/>
        </w:rPr>
        <w:t xml:space="preserve"> </w:t>
      </w:r>
      <w:r w:rsidR="00DE6EE0" w:rsidRPr="00DE6EE0">
        <w:rPr>
          <w:rFonts w:ascii="Arial" w:hAnsi="Arial" w:cs="Arial"/>
          <w:sz w:val="24"/>
          <w:szCs w:val="24"/>
        </w:rPr>
        <w:t xml:space="preserve">Osim usklađenosti sa izvorima prava Evropske unije </w:t>
      </w:r>
      <w:r w:rsidR="000E439D">
        <w:rPr>
          <w:rFonts w:ascii="Arial" w:hAnsi="Arial" w:cs="Arial"/>
          <w:sz w:val="24"/>
          <w:szCs w:val="24"/>
        </w:rPr>
        <w:t>Nacrt</w:t>
      </w:r>
      <w:r w:rsidR="00DE6EE0" w:rsidRPr="00DE6EE0">
        <w:rPr>
          <w:rFonts w:ascii="Arial" w:hAnsi="Arial" w:cs="Arial"/>
          <w:sz w:val="24"/>
          <w:szCs w:val="24"/>
        </w:rPr>
        <w:t xml:space="preserve"> je usaglašen sa Bolonjskom deklaracijom, Lisabonskom konvencijom o priznavanju kvalifikacija u visokom obrazovanju u regionu.</w:t>
      </w:r>
    </w:p>
    <w:p w:rsidR="00ED217E" w:rsidRDefault="00ED217E" w:rsidP="002600B7">
      <w:pPr>
        <w:pStyle w:val="NoSpacing"/>
        <w:ind w:firstLine="708"/>
        <w:jc w:val="both"/>
        <w:rPr>
          <w:rFonts w:ascii="Arial" w:hAnsi="Arial" w:cs="Arial"/>
          <w:sz w:val="24"/>
          <w:szCs w:val="24"/>
        </w:rPr>
      </w:pPr>
    </w:p>
    <w:p w:rsidR="00A677EA" w:rsidRDefault="00A677EA" w:rsidP="002600B7">
      <w:pPr>
        <w:pStyle w:val="NoSpacing"/>
        <w:ind w:firstLine="708"/>
        <w:jc w:val="both"/>
        <w:rPr>
          <w:rFonts w:ascii="Arial" w:hAnsi="Arial" w:cs="Arial"/>
          <w:sz w:val="24"/>
          <w:szCs w:val="24"/>
        </w:rPr>
      </w:pPr>
    </w:p>
    <w:p w:rsidR="00A677EA" w:rsidRDefault="00A677EA" w:rsidP="002600B7">
      <w:pPr>
        <w:pStyle w:val="NoSpacing"/>
        <w:ind w:firstLine="708"/>
        <w:jc w:val="both"/>
        <w:rPr>
          <w:rFonts w:ascii="Arial" w:hAnsi="Arial" w:cs="Arial"/>
          <w:sz w:val="24"/>
          <w:szCs w:val="24"/>
        </w:rPr>
      </w:pPr>
    </w:p>
    <w:p w:rsidR="0018729B" w:rsidRDefault="00BC6A3B" w:rsidP="004D34A6">
      <w:pPr>
        <w:pStyle w:val="NoSpacing"/>
        <w:numPr>
          <w:ilvl w:val="0"/>
          <w:numId w:val="10"/>
        </w:numPr>
        <w:rPr>
          <w:rFonts w:ascii="Arial" w:hAnsi="Arial" w:cs="Arial"/>
          <w:b/>
          <w:sz w:val="24"/>
          <w:szCs w:val="24"/>
        </w:rPr>
      </w:pPr>
      <w:r w:rsidRPr="003056AD">
        <w:rPr>
          <w:rFonts w:ascii="Arial" w:hAnsi="Arial" w:cs="Arial"/>
          <w:b/>
          <w:sz w:val="24"/>
          <w:szCs w:val="24"/>
        </w:rPr>
        <w:t>Objašnjenje osnovnih pravnih instituta</w:t>
      </w:r>
    </w:p>
    <w:p w:rsidR="0018729B" w:rsidRDefault="0018729B" w:rsidP="0018729B">
      <w:pPr>
        <w:pStyle w:val="NoSpacing"/>
        <w:rPr>
          <w:rFonts w:ascii="Arial" w:hAnsi="Arial" w:cs="Arial"/>
          <w:b/>
          <w:sz w:val="24"/>
          <w:szCs w:val="24"/>
        </w:rPr>
      </w:pPr>
    </w:p>
    <w:p w:rsidR="00DE33A5" w:rsidRPr="00DE33A5" w:rsidRDefault="000E439D" w:rsidP="00DE33A5">
      <w:pPr>
        <w:pStyle w:val="NoSpacing"/>
        <w:ind w:firstLine="708"/>
        <w:jc w:val="both"/>
        <w:rPr>
          <w:rFonts w:ascii="Arial" w:hAnsi="Arial" w:cs="Arial"/>
          <w:sz w:val="24"/>
          <w:szCs w:val="24"/>
          <w:lang w:val="en-US"/>
        </w:rPr>
      </w:pPr>
      <w:r>
        <w:rPr>
          <w:rFonts w:ascii="Arial" w:hAnsi="Arial" w:cs="Arial"/>
          <w:sz w:val="24"/>
          <w:szCs w:val="24"/>
          <w:lang w:val="en-US"/>
        </w:rPr>
        <w:t>Nacrtom</w:t>
      </w:r>
      <w:r w:rsidR="00DE33A5" w:rsidRPr="00DE33A5">
        <w:rPr>
          <w:rFonts w:ascii="Arial" w:hAnsi="Arial" w:cs="Arial"/>
          <w:sz w:val="24"/>
          <w:szCs w:val="24"/>
          <w:lang w:val="en-US"/>
        </w:rPr>
        <w:t xml:space="preserve"> zakona predviđeno je da poslove na obezbjeđenju kvaliteta, utvrđene ovim zakonom i drugim propisima, a u skladu sa evropskim standardima i smjernicama, obavlja Agencija za </w:t>
      </w:r>
      <w:r w:rsidR="00DE33A5" w:rsidRPr="007218AB">
        <w:rPr>
          <w:rFonts w:ascii="Arial" w:hAnsi="Arial" w:cs="Arial"/>
          <w:sz w:val="24"/>
          <w:szCs w:val="24"/>
          <w:lang w:val="en-US"/>
        </w:rPr>
        <w:t>obezbjeđivanje kvaliteta visokog obrazovanja</w:t>
      </w:r>
      <w:r w:rsidR="00DE33A5">
        <w:rPr>
          <w:rFonts w:ascii="Arial" w:hAnsi="Arial" w:cs="Arial"/>
          <w:sz w:val="24"/>
          <w:szCs w:val="24"/>
          <w:lang w:val="en-US"/>
        </w:rPr>
        <w:t xml:space="preserve">. </w:t>
      </w:r>
      <w:r w:rsidR="00DE33A5" w:rsidRPr="00DE33A5">
        <w:rPr>
          <w:rFonts w:ascii="Arial" w:hAnsi="Arial" w:cs="Arial"/>
          <w:sz w:val="24"/>
          <w:szCs w:val="24"/>
          <w:lang w:val="en-US"/>
        </w:rPr>
        <w:t>Agencija će biće nadležna za sprovođenje postupka eksterne evaluacije ustanova visokog obrazovanja</w:t>
      </w:r>
      <w:r w:rsidR="00DE33A5">
        <w:rPr>
          <w:rFonts w:ascii="Arial" w:hAnsi="Arial" w:cs="Arial"/>
          <w:sz w:val="24"/>
          <w:szCs w:val="24"/>
          <w:lang w:val="en-US"/>
        </w:rPr>
        <w:t xml:space="preserve"> (akreditacije i reakreditacije)</w:t>
      </w:r>
      <w:r w:rsidR="00DE33A5" w:rsidRPr="00DE33A5">
        <w:rPr>
          <w:rFonts w:ascii="Arial" w:hAnsi="Arial" w:cs="Arial"/>
          <w:sz w:val="24"/>
          <w:szCs w:val="24"/>
          <w:lang w:val="en-US"/>
        </w:rPr>
        <w:t xml:space="preserve">. Agencija će, takođe, donositi standarde za evaluaciju ustanova, u skladu sa standardima u Evropskom prostoru visokog obrazovanja, rangirati ustanove visokog obrazovanja po metodologiji rangiranja ustanova u Evropskom prostoru visokog obrazovanja i dr. Jedna od nadležnosti Agencije je i sprovođenje periodičnih ocjena kvaliteta rada licenciranih ustanova visokog obrazovanja na zahtjev ovlašćenog organa ustanove ili Ministarstva. </w:t>
      </w:r>
    </w:p>
    <w:p w:rsidR="00584714" w:rsidRDefault="000E439D" w:rsidP="00584714">
      <w:pPr>
        <w:pStyle w:val="NoSpacing"/>
        <w:ind w:firstLine="708"/>
        <w:jc w:val="both"/>
        <w:rPr>
          <w:rFonts w:ascii="Arial" w:hAnsi="Arial" w:cs="Arial"/>
          <w:sz w:val="24"/>
          <w:szCs w:val="24"/>
          <w:lang w:val="en-US"/>
        </w:rPr>
      </w:pPr>
      <w:r>
        <w:rPr>
          <w:rFonts w:ascii="Arial" w:hAnsi="Arial" w:cs="Arial"/>
          <w:sz w:val="24"/>
          <w:szCs w:val="24"/>
          <w:lang w:val="en-US"/>
        </w:rPr>
        <w:t>Nacrtom</w:t>
      </w:r>
      <w:r w:rsidR="00DE33A5">
        <w:rPr>
          <w:rFonts w:ascii="Arial" w:hAnsi="Arial" w:cs="Arial"/>
          <w:sz w:val="24"/>
          <w:szCs w:val="24"/>
          <w:lang w:val="en-US"/>
        </w:rPr>
        <w:t xml:space="preserve"> zakona</w:t>
      </w:r>
      <w:r w:rsidR="00DE33A5" w:rsidRPr="00DE33A5">
        <w:rPr>
          <w:rFonts w:ascii="Arial" w:hAnsi="Arial" w:cs="Arial"/>
          <w:sz w:val="24"/>
          <w:szCs w:val="24"/>
          <w:lang w:val="en-US"/>
        </w:rPr>
        <w:t xml:space="preserve"> predviđeno je uspostavljanje organa Agencije</w:t>
      </w:r>
      <w:r w:rsidR="00DE33A5">
        <w:rPr>
          <w:rFonts w:ascii="Arial" w:hAnsi="Arial" w:cs="Arial"/>
          <w:sz w:val="24"/>
          <w:szCs w:val="24"/>
          <w:lang w:val="en-US"/>
        </w:rPr>
        <w:t xml:space="preserve">: </w:t>
      </w:r>
      <w:r w:rsidR="00DE33A5" w:rsidRPr="009E3F11">
        <w:rPr>
          <w:rFonts w:ascii="Arial" w:hAnsi="Arial" w:cs="Arial"/>
          <w:sz w:val="24"/>
          <w:szCs w:val="24"/>
        </w:rPr>
        <w:t>Upravn</w:t>
      </w:r>
      <w:r w:rsidR="00DE33A5">
        <w:rPr>
          <w:rFonts w:ascii="Arial" w:hAnsi="Arial" w:cs="Arial"/>
          <w:sz w:val="24"/>
          <w:szCs w:val="24"/>
        </w:rPr>
        <w:t>og</w:t>
      </w:r>
      <w:r w:rsidR="00DE33A5" w:rsidRPr="009E3F11">
        <w:rPr>
          <w:rFonts w:ascii="Arial" w:hAnsi="Arial" w:cs="Arial"/>
          <w:sz w:val="24"/>
          <w:szCs w:val="24"/>
        </w:rPr>
        <w:t xml:space="preserve"> odbor</w:t>
      </w:r>
      <w:r w:rsidR="00DE33A5">
        <w:rPr>
          <w:rFonts w:ascii="Arial" w:hAnsi="Arial" w:cs="Arial"/>
          <w:sz w:val="24"/>
          <w:szCs w:val="24"/>
        </w:rPr>
        <w:t>a</w:t>
      </w:r>
      <w:r w:rsidR="00DE33A5" w:rsidRPr="009E3F11">
        <w:rPr>
          <w:rFonts w:ascii="Arial" w:hAnsi="Arial" w:cs="Arial"/>
          <w:sz w:val="24"/>
          <w:szCs w:val="24"/>
        </w:rPr>
        <w:t>, direktor</w:t>
      </w:r>
      <w:r w:rsidR="00DE33A5">
        <w:rPr>
          <w:rFonts w:ascii="Arial" w:hAnsi="Arial" w:cs="Arial"/>
          <w:sz w:val="24"/>
          <w:szCs w:val="24"/>
        </w:rPr>
        <w:t>a</w:t>
      </w:r>
      <w:r w:rsidR="00DE33A5" w:rsidRPr="009E3F11">
        <w:rPr>
          <w:rFonts w:ascii="Arial" w:hAnsi="Arial" w:cs="Arial"/>
          <w:sz w:val="24"/>
          <w:szCs w:val="24"/>
        </w:rPr>
        <w:t xml:space="preserve"> i Akreditacion</w:t>
      </w:r>
      <w:r w:rsidR="00DE33A5">
        <w:rPr>
          <w:rFonts w:ascii="Arial" w:hAnsi="Arial" w:cs="Arial"/>
          <w:sz w:val="24"/>
          <w:szCs w:val="24"/>
        </w:rPr>
        <w:t>og</w:t>
      </w:r>
      <w:r w:rsidR="00DE33A5" w:rsidRPr="009E3F11">
        <w:rPr>
          <w:rFonts w:ascii="Arial" w:hAnsi="Arial" w:cs="Arial"/>
          <w:sz w:val="24"/>
          <w:szCs w:val="24"/>
        </w:rPr>
        <w:t xml:space="preserve"> odbor</w:t>
      </w:r>
      <w:r w:rsidR="00DE33A5">
        <w:rPr>
          <w:rFonts w:ascii="Arial" w:hAnsi="Arial" w:cs="Arial"/>
          <w:sz w:val="24"/>
          <w:szCs w:val="24"/>
        </w:rPr>
        <w:t>a</w:t>
      </w:r>
      <w:r w:rsidR="00DE33A5" w:rsidRPr="00DE33A5">
        <w:rPr>
          <w:rFonts w:ascii="Arial" w:hAnsi="Arial" w:cs="Arial"/>
          <w:sz w:val="24"/>
          <w:szCs w:val="24"/>
          <w:lang w:val="en-US"/>
        </w:rPr>
        <w:t>.</w:t>
      </w:r>
      <w:r w:rsidR="00DE33A5" w:rsidRPr="00DE33A5">
        <w:t xml:space="preserve"> </w:t>
      </w:r>
      <w:r w:rsidR="00DE33A5">
        <w:t xml:space="preserve"> </w:t>
      </w:r>
      <w:r w:rsidR="00DE33A5" w:rsidRPr="00DE33A5">
        <w:rPr>
          <w:rFonts w:ascii="Arial" w:hAnsi="Arial" w:cs="Arial"/>
          <w:sz w:val="24"/>
          <w:szCs w:val="24"/>
          <w:lang w:val="en-US"/>
        </w:rPr>
        <w:t>Upravni odbor</w:t>
      </w:r>
      <w:r w:rsidR="00DE33A5">
        <w:rPr>
          <w:rFonts w:ascii="Arial" w:hAnsi="Arial" w:cs="Arial"/>
          <w:sz w:val="24"/>
          <w:szCs w:val="24"/>
          <w:lang w:val="en-US"/>
        </w:rPr>
        <w:t xml:space="preserve"> će</w:t>
      </w:r>
      <w:r w:rsidR="00DE33A5" w:rsidRPr="00DE33A5">
        <w:rPr>
          <w:rFonts w:ascii="Arial" w:hAnsi="Arial" w:cs="Arial"/>
          <w:sz w:val="24"/>
          <w:szCs w:val="24"/>
          <w:lang w:val="en-US"/>
        </w:rPr>
        <w:t xml:space="preserve"> ima</w:t>
      </w:r>
      <w:r w:rsidR="00DE33A5">
        <w:rPr>
          <w:rFonts w:ascii="Arial" w:hAnsi="Arial" w:cs="Arial"/>
          <w:sz w:val="24"/>
          <w:szCs w:val="24"/>
          <w:lang w:val="en-US"/>
        </w:rPr>
        <w:t>ti</w:t>
      </w:r>
      <w:r w:rsidR="00DE33A5" w:rsidRPr="00DE33A5">
        <w:rPr>
          <w:rFonts w:ascii="Arial" w:hAnsi="Arial" w:cs="Arial"/>
          <w:sz w:val="24"/>
          <w:szCs w:val="24"/>
          <w:lang w:val="en-US"/>
        </w:rPr>
        <w:t xml:space="preserve"> predsjednika i četiri člana i to</w:t>
      </w:r>
      <w:r w:rsidR="00584714">
        <w:rPr>
          <w:rFonts w:ascii="Arial" w:hAnsi="Arial" w:cs="Arial"/>
          <w:sz w:val="24"/>
          <w:szCs w:val="24"/>
          <w:lang w:val="en-US"/>
        </w:rPr>
        <w:t>:</w:t>
      </w:r>
      <w:r w:rsidR="00DE33A5" w:rsidRPr="00DE33A5">
        <w:rPr>
          <w:rFonts w:ascii="Arial" w:hAnsi="Arial" w:cs="Arial"/>
          <w:sz w:val="24"/>
          <w:szCs w:val="24"/>
          <w:lang w:val="en-US"/>
        </w:rPr>
        <w:t xml:space="preserve"> dva predstavnika osnivača, dva predstavnika zaposlenih i jed</w:t>
      </w:r>
      <w:r w:rsidR="00584714">
        <w:rPr>
          <w:rFonts w:ascii="Arial" w:hAnsi="Arial" w:cs="Arial"/>
          <w:sz w:val="24"/>
          <w:szCs w:val="24"/>
          <w:lang w:val="en-US"/>
        </w:rPr>
        <w:t>nog</w:t>
      </w:r>
      <w:r w:rsidR="00DE33A5" w:rsidRPr="00DE33A5">
        <w:rPr>
          <w:rFonts w:ascii="Arial" w:hAnsi="Arial" w:cs="Arial"/>
          <w:sz w:val="24"/>
          <w:szCs w:val="24"/>
          <w:lang w:val="en-US"/>
        </w:rPr>
        <w:t xml:space="preserve"> predstavnik</w:t>
      </w:r>
      <w:r w:rsidR="00584714">
        <w:rPr>
          <w:rFonts w:ascii="Arial" w:hAnsi="Arial" w:cs="Arial"/>
          <w:sz w:val="24"/>
          <w:szCs w:val="24"/>
          <w:lang w:val="en-US"/>
        </w:rPr>
        <w:t>a</w:t>
      </w:r>
      <w:r w:rsidR="00DE33A5" w:rsidRPr="00DE33A5">
        <w:rPr>
          <w:rFonts w:ascii="Arial" w:hAnsi="Arial" w:cs="Arial"/>
          <w:sz w:val="24"/>
          <w:szCs w:val="24"/>
          <w:lang w:val="en-US"/>
        </w:rPr>
        <w:t xml:space="preserve"> Privredne komore</w:t>
      </w:r>
      <w:r w:rsidR="00584714">
        <w:rPr>
          <w:rFonts w:ascii="Arial" w:hAnsi="Arial" w:cs="Arial"/>
          <w:sz w:val="24"/>
          <w:szCs w:val="24"/>
          <w:lang w:val="en-US"/>
        </w:rPr>
        <w:t xml:space="preserve">. </w:t>
      </w:r>
      <w:r w:rsidR="00584714" w:rsidRPr="00584714">
        <w:rPr>
          <w:rFonts w:ascii="Arial" w:hAnsi="Arial" w:cs="Arial"/>
          <w:sz w:val="24"/>
          <w:szCs w:val="24"/>
          <w:lang w:val="en-US"/>
        </w:rPr>
        <w:t xml:space="preserve">Način izbora predstavnika zaposlenih u Upravnom odboru, kao i uslove za razrješenje članova Upravnog odbora, </w:t>
      </w:r>
      <w:r w:rsidR="00584714">
        <w:rPr>
          <w:rFonts w:ascii="Arial" w:hAnsi="Arial" w:cs="Arial"/>
          <w:sz w:val="24"/>
          <w:szCs w:val="24"/>
          <w:lang w:val="en-US"/>
        </w:rPr>
        <w:t xml:space="preserve">bliže će se urediti </w:t>
      </w:r>
      <w:r w:rsidR="00584714" w:rsidRPr="00584714">
        <w:rPr>
          <w:rFonts w:ascii="Arial" w:hAnsi="Arial" w:cs="Arial"/>
          <w:sz w:val="24"/>
          <w:szCs w:val="24"/>
          <w:lang w:val="en-US"/>
        </w:rPr>
        <w:t>statutom Agencije</w:t>
      </w:r>
      <w:r w:rsidR="00DE33A5" w:rsidRPr="00DE33A5">
        <w:rPr>
          <w:rFonts w:ascii="Arial" w:hAnsi="Arial" w:cs="Arial"/>
          <w:sz w:val="24"/>
          <w:szCs w:val="24"/>
          <w:lang w:val="en-US"/>
        </w:rPr>
        <w:t xml:space="preserve">. </w:t>
      </w:r>
    </w:p>
    <w:p w:rsidR="00DE33A5" w:rsidRDefault="00DE33A5" w:rsidP="00584714">
      <w:pPr>
        <w:pStyle w:val="NoSpacing"/>
        <w:ind w:firstLine="708"/>
        <w:jc w:val="both"/>
        <w:rPr>
          <w:rFonts w:ascii="Arial" w:hAnsi="Arial" w:cs="Arial"/>
          <w:sz w:val="24"/>
          <w:szCs w:val="24"/>
          <w:lang w:val="en-US"/>
        </w:rPr>
      </w:pPr>
      <w:r w:rsidRPr="00DE33A5">
        <w:rPr>
          <w:rFonts w:ascii="Arial" w:hAnsi="Arial" w:cs="Arial"/>
          <w:sz w:val="24"/>
          <w:szCs w:val="24"/>
          <w:lang w:val="en-US"/>
        </w:rPr>
        <w:t>Radom Agencije će rukovodi direktor, koji imeđu ostalog, predstavlja i zastupa Agenciju, rukovodi radom i poslovanjem Agencije i odgovara za zakonitost rada Agencije, priprema izvještaje o radu Agencije i izvještaje Upravnom odboru Agencije, izvršava odluke Upravnog odbora, predlaže akt o organizaciji i sistematizaciji Agencije, i vrši i druge poslove utvrđene zakonom i Statutom Agencije.</w:t>
      </w:r>
    </w:p>
    <w:p w:rsidR="00584714" w:rsidRDefault="00584714" w:rsidP="00584714">
      <w:pPr>
        <w:pStyle w:val="NoSpacing"/>
        <w:ind w:firstLine="708"/>
        <w:jc w:val="both"/>
        <w:rPr>
          <w:rFonts w:ascii="Arial" w:hAnsi="Arial" w:cs="Arial"/>
          <w:sz w:val="24"/>
          <w:szCs w:val="24"/>
          <w:lang w:val="en-US"/>
        </w:rPr>
      </w:pPr>
      <w:r w:rsidRPr="00584714">
        <w:rPr>
          <w:rFonts w:ascii="Arial" w:hAnsi="Arial" w:cs="Arial"/>
          <w:sz w:val="24"/>
          <w:szCs w:val="24"/>
          <w:lang w:val="en-US"/>
        </w:rPr>
        <w:t>Stručno tijelo Agencije je Akreditacioni odbor.</w:t>
      </w:r>
      <w:r>
        <w:rPr>
          <w:rFonts w:ascii="Arial" w:hAnsi="Arial" w:cs="Arial"/>
          <w:sz w:val="24"/>
          <w:szCs w:val="24"/>
          <w:lang w:val="en-US"/>
        </w:rPr>
        <w:t xml:space="preserve"> </w:t>
      </w:r>
      <w:r w:rsidRPr="00584714">
        <w:rPr>
          <w:rFonts w:ascii="Arial" w:hAnsi="Arial" w:cs="Arial"/>
          <w:sz w:val="24"/>
          <w:szCs w:val="24"/>
          <w:lang w:val="en-US"/>
        </w:rPr>
        <w:t>Akreditacioni odbor</w:t>
      </w:r>
      <w:r>
        <w:rPr>
          <w:rFonts w:ascii="Arial" w:hAnsi="Arial" w:cs="Arial"/>
          <w:sz w:val="24"/>
          <w:szCs w:val="24"/>
          <w:lang w:val="en-US"/>
        </w:rPr>
        <w:t xml:space="preserve"> Agencije će</w:t>
      </w:r>
      <w:r w:rsidRPr="00584714">
        <w:rPr>
          <w:rFonts w:ascii="Arial" w:hAnsi="Arial" w:cs="Arial"/>
          <w:sz w:val="24"/>
          <w:szCs w:val="24"/>
          <w:lang w:val="en-US"/>
        </w:rPr>
        <w:t xml:space="preserve"> ima</w:t>
      </w:r>
      <w:r>
        <w:rPr>
          <w:rFonts w:ascii="Arial" w:hAnsi="Arial" w:cs="Arial"/>
          <w:sz w:val="24"/>
          <w:szCs w:val="24"/>
          <w:lang w:val="en-US"/>
        </w:rPr>
        <w:t>ti</w:t>
      </w:r>
      <w:r w:rsidRPr="00584714">
        <w:rPr>
          <w:rFonts w:ascii="Arial" w:hAnsi="Arial" w:cs="Arial"/>
          <w:sz w:val="24"/>
          <w:szCs w:val="24"/>
          <w:lang w:val="en-US"/>
        </w:rPr>
        <w:t xml:space="preserve"> 11 članova koji se biraju na period od četiri godine osim predstavnika studenata koji se biraju na period od dvije godine.</w:t>
      </w:r>
      <w:r>
        <w:rPr>
          <w:rFonts w:ascii="Arial" w:hAnsi="Arial" w:cs="Arial"/>
          <w:sz w:val="24"/>
          <w:szCs w:val="24"/>
          <w:lang w:val="en-US"/>
        </w:rPr>
        <w:t xml:space="preserve"> </w:t>
      </w:r>
      <w:r w:rsidRPr="00584714">
        <w:rPr>
          <w:rFonts w:ascii="Arial" w:hAnsi="Arial" w:cs="Arial"/>
          <w:sz w:val="24"/>
          <w:szCs w:val="24"/>
          <w:lang w:val="en-US"/>
        </w:rPr>
        <w:t>Članovi Akreditacionog odbora imenuju se iz reda akademskog osoblja iz oblasti visokog obrazovanja, nauke, umjetnosti, reda studenata i istaknuti stručnjaci iz oblasti privrede, društvenih djelatnosti i drugih relevantnih oblasti.</w:t>
      </w:r>
      <w:r w:rsidRPr="00584714">
        <w:t xml:space="preserve"> </w:t>
      </w:r>
      <w:r w:rsidRPr="00584714">
        <w:rPr>
          <w:rFonts w:ascii="Arial" w:hAnsi="Arial" w:cs="Arial"/>
          <w:sz w:val="24"/>
          <w:szCs w:val="24"/>
          <w:lang w:val="en-US"/>
        </w:rPr>
        <w:t>Strukturu članova Akreditacionog odbora, uslovi i postupak izbora članova uređuju se statutom Agencije.</w:t>
      </w:r>
      <w:r w:rsidRPr="00584714">
        <w:t xml:space="preserve"> </w:t>
      </w:r>
      <w:r w:rsidRPr="00584714">
        <w:rPr>
          <w:rFonts w:ascii="Arial" w:hAnsi="Arial" w:cs="Arial"/>
          <w:sz w:val="24"/>
          <w:szCs w:val="24"/>
          <w:lang w:val="en-US"/>
        </w:rPr>
        <w:t>Akreditacioni odbor</w:t>
      </w:r>
      <w:r>
        <w:rPr>
          <w:rFonts w:ascii="Arial" w:hAnsi="Arial" w:cs="Arial"/>
          <w:sz w:val="24"/>
          <w:szCs w:val="24"/>
          <w:lang w:val="en-US"/>
        </w:rPr>
        <w:t xml:space="preserve"> će, između ostalog, u okviru svojih nadležnosti imenovati </w:t>
      </w:r>
      <w:r w:rsidRPr="00584714">
        <w:rPr>
          <w:rFonts w:ascii="Arial" w:hAnsi="Arial" w:cs="Arial"/>
          <w:sz w:val="24"/>
          <w:szCs w:val="24"/>
          <w:lang w:val="en-US"/>
        </w:rPr>
        <w:t xml:space="preserve">ekspertske </w:t>
      </w:r>
      <w:r>
        <w:rPr>
          <w:rFonts w:ascii="Arial" w:hAnsi="Arial" w:cs="Arial"/>
          <w:sz w:val="24"/>
          <w:szCs w:val="24"/>
          <w:lang w:val="en-US"/>
        </w:rPr>
        <w:t>k</w:t>
      </w:r>
      <w:r w:rsidRPr="00584714">
        <w:rPr>
          <w:rFonts w:ascii="Arial" w:hAnsi="Arial" w:cs="Arial"/>
          <w:sz w:val="24"/>
          <w:szCs w:val="24"/>
          <w:lang w:val="en-US"/>
        </w:rPr>
        <w:t>omisije za akreditaciju, odnosno reakreditaciju</w:t>
      </w:r>
      <w:r>
        <w:rPr>
          <w:rFonts w:ascii="Arial" w:hAnsi="Arial" w:cs="Arial"/>
          <w:sz w:val="24"/>
          <w:szCs w:val="24"/>
          <w:lang w:val="en-US"/>
        </w:rPr>
        <w:t>, predlagati</w:t>
      </w:r>
      <w:r w:rsidRPr="00584714">
        <w:rPr>
          <w:rFonts w:ascii="Arial" w:hAnsi="Arial" w:cs="Arial"/>
          <w:sz w:val="24"/>
          <w:szCs w:val="24"/>
          <w:lang w:val="en-US"/>
        </w:rPr>
        <w:t xml:space="preserve"> standarde za samoevaluaciju i eksrernu evaluaciju u skladu sa ESG standardima</w:t>
      </w:r>
      <w:r>
        <w:rPr>
          <w:rFonts w:ascii="Arial" w:hAnsi="Arial" w:cs="Arial"/>
          <w:sz w:val="24"/>
          <w:szCs w:val="24"/>
          <w:lang w:val="en-US"/>
        </w:rPr>
        <w:t>, d</w:t>
      </w:r>
      <w:r w:rsidRPr="00584714">
        <w:rPr>
          <w:rFonts w:ascii="Arial" w:hAnsi="Arial" w:cs="Arial"/>
          <w:sz w:val="24"/>
          <w:szCs w:val="24"/>
          <w:lang w:val="en-US"/>
        </w:rPr>
        <w:t>onosi</w:t>
      </w:r>
      <w:r>
        <w:rPr>
          <w:rFonts w:ascii="Arial" w:hAnsi="Arial" w:cs="Arial"/>
          <w:sz w:val="24"/>
          <w:szCs w:val="24"/>
          <w:lang w:val="en-US"/>
        </w:rPr>
        <w:t>ti</w:t>
      </w:r>
      <w:r w:rsidRPr="00584714">
        <w:rPr>
          <w:rFonts w:ascii="Arial" w:hAnsi="Arial" w:cs="Arial"/>
          <w:sz w:val="24"/>
          <w:szCs w:val="24"/>
          <w:lang w:val="en-US"/>
        </w:rPr>
        <w:t xml:space="preserve"> odluk</w:t>
      </w:r>
      <w:r>
        <w:rPr>
          <w:rFonts w:ascii="Arial" w:hAnsi="Arial" w:cs="Arial"/>
          <w:sz w:val="24"/>
          <w:szCs w:val="24"/>
          <w:lang w:val="en-US"/>
        </w:rPr>
        <w:t>e</w:t>
      </w:r>
      <w:r w:rsidRPr="00584714">
        <w:rPr>
          <w:rFonts w:ascii="Arial" w:hAnsi="Arial" w:cs="Arial"/>
          <w:sz w:val="24"/>
          <w:szCs w:val="24"/>
          <w:lang w:val="en-US"/>
        </w:rPr>
        <w:t xml:space="preserve"> o akrditaciji, odnosno reakreditaciji na osnovu izvještaja komisije za akreditaciju, odnosno reakreditaciju</w:t>
      </w:r>
      <w:r>
        <w:rPr>
          <w:rFonts w:ascii="Arial" w:hAnsi="Arial" w:cs="Arial"/>
          <w:sz w:val="24"/>
          <w:szCs w:val="24"/>
          <w:lang w:val="en-US"/>
        </w:rPr>
        <w:t>, utvrđivati</w:t>
      </w:r>
      <w:r w:rsidRPr="00584714">
        <w:rPr>
          <w:rFonts w:ascii="Arial" w:hAnsi="Arial" w:cs="Arial"/>
          <w:sz w:val="24"/>
          <w:szCs w:val="24"/>
          <w:lang w:val="en-US"/>
        </w:rPr>
        <w:t xml:space="preserve"> listu eksperata za akreditaciju studijskih programa, odnosno reakreditaciju ustanova na osnovu javnog poziva</w:t>
      </w:r>
      <w:r>
        <w:rPr>
          <w:rFonts w:ascii="Arial" w:hAnsi="Arial" w:cs="Arial"/>
          <w:sz w:val="24"/>
          <w:szCs w:val="24"/>
          <w:lang w:val="en-US"/>
        </w:rPr>
        <w:t>.</w:t>
      </w:r>
    </w:p>
    <w:p w:rsidR="00584714" w:rsidRPr="00DE33A5" w:rsidRDefault="00584714" w:rsidP="00584714">
      <w:pPr>
        <w:pStyle w:val="NoSpacing"/>
        <w:ind w:firstLine="708"/>
        <w:jc w:val="both"/>
        <w:rPr>
          <w:rFonts w:ascii="Arial" w:hAnsi="Arial" w:cs="Arial"/>
          <w:sz w:val="24"/>
          <w:szCs w:val="24"/>
          <w:lang w:val="en-US"/>
        </w:rPr>
      </w:pPr>
      <w:r w:rsidRPr="00584714">
        <w:rPr>
          <w:rFonts w:ascii="Arial" w:hAnsi="Arial" w:cs="Arial"/>
          <w:sz w:val="24"/>
          <w:szCs w:val="24"/>
          <w:lang w:val="en-US"/>
        </w:rPr>
        <w:t>Na prava, obaveze i odgovornost zaposlenih i direktora u Agenciji</w:t>
      </w:r>
      <w:r>
        <w:rPr>
          <w:rFonts w:ascii="Arial" w:hAnsi="Arial" w:cs="Arial"/>
          <w:sz w:val="24"/>
          <w:szCs w:val="24"/>
          <w:lang w:val="en-US"/>
        </w:rPr>
        <w:t xml:space="preserve">, </w:t>
      </w:r>
      <w:r w:rsidRPr="00584714">
        <w:rPr>
          <w:rFonts w:ascii="Arial" w:hAnsi="Arial" w:cs="Arial"/>
          <w:sz w:val="24"/>
          <w:szCs w:val="24"/>
          <w:lang w:val="en-US"/>
        </w:rPr>
        <w:t>primjenj</w:t>
      </w:r>
      <w:r>
        <w:rPr>
          <w:rFonts w:ascii="Arial" w:hAnsi="Arial" w:cs="Arial"/>
          <w:sz w:val="24"/>
          <w:szCs w:val="24"/>
          <w:lang w:val="en-US"/>
        </w:rPr>
        <w:t>ivaće se</w:t>
      </w:r>
      <w:r w:rsidRPr="00584714">
        <w:rPr>
          <w:rFonts w:ascii="Arial" w:hAnsi="Arial" w:cs="Arial"/>
          <w:sz w:val="24"/>
          <w:szCs w:val="24"/>
          <w:lang w:val="en-US"/>
        </w:rPr>
        <w:t xml:space="preserve"> opšti propisi o radu.</w:t>
      </w:r>
    </w:p>
    <w:p w:rsidR="00DE33A5" w:rsidRDefault="00DE33A5" w:rsidP="00DE33A5">
      <w:pPr>
        <w:pStyle w:val="NoSpacing"/>
        <w:ind w:firstLine="708"/>
        <w:jc w:val="both"/>
        <w:rPr>
          <w:rFonts w:ascii="Arial" w:hAnsi="Arial" w:cs="Arial"/>
          <w:sz w:val="24"/>
          <w:szCs w:val="24"/>
          <w:lang w:val="en-US"/>
        </w:rPr>
      </w:pPr>
      <w:r w:rsidRPr="00DE33A5">
        <w:rPr>
          <w:rFonts w:ascii="Arial" w:hAnsi="Arial" w:cs="Arial"/>
          <w:sz w:val="24"/>
          <w:szCs w:val="24"/>
          <w:lang w:val="en-US"/>
        </w:rPr>
        <w:t xml:space="preserve">Agencija će </w:t>
      </w:r>
      <w:r w:rsidR="00584714">
        <w:rPr>
          <w:rFonts w:ascii="Arial" w:hAnsi="Arial" w:cs="Arial"/>
          <w:sz w:val="24"/>
          <w:szCs w:val="24"/>
          <w:lang w:val="en-US"/>
        </w:rPr>
        <w:t>podnositi</w:t>
      </w:r>
      <w:r w:rsidR="00584714" w:rsidRPr="00584714">
        <w:rPr>
          <w:rFonts w:ascii="Arial" w:hAnsi="Arial" w:cs="Arial"/>
          <w:sz w:val="24"/>
          <w:szCs w:val="24"/>
          <w:lang w:val="en-US"/>
        </w:rPr>
        <w:t xml:space="preserve"> Ministarstvu izvještaj o radu i godišnji finansijski izvještaj sa mišljenjem nezavisnog revizora.</w:t>
      </w:r>
      <w:r w:rsidRPr="00DE33A5">
        <w:rPr>
          <w:rFonts w:ascii="Arial" w:hAnsi="Arial" w:cs="Arial"/>
          <w:sz w:val="24"/>
          <w:szCs w:val="24"/>
          <w:lang w:val="en-US"/>
        </w:rPr>
        <w:t>, dok će nadzor nad radom Agencije vršiti Ministarstvo.</w:t>
      </w:r>
    </w:p>
    <w:p w:rsidR="002D175F" w:rsidRDefault="002D175F" w:rsidP="00DE33A5">
      <w:pPr>
        <w:pStyle w:val="NoSpacing"/>
        <w:ind w:firstLine="708"/>
        <w:jc w:val="both"/>
        <w:rPr>
          <w:rFonts w:ascii="Arial" w:hAnsi="Arial" w:cs="Arial"/>
          <w:sz w:val="24"/>
          <w:szCs w:val="24"/>
          <w:lang w:val="en-US"/>
        </w:rPr>
      </w:pPr>
      <w:r w:rsidRPr="002D175F">
        <w:rPr>
          <w:rFonts w:ascii="Arial" w:hAnsi="Arial" w:cs="Arial"/>
          <w:sz w:val="24"/>
          <w:szCs w:val="24"/>
          <w:lang w:val="en-US"/>
        </w:rPr>
        <w:t xml:space="preserve">Predloženim </w:t>
      </w:r>
      <w:r w:rsidR="009F60BD">
        <w:rPr>
          <w:rFonts w:ascii="Arial" w:hAnsi="Arial" w:cs="Arial"/>
          <w:sz w:val="24"/>
          <w:szCs w:val="24"/>
          <w:lang w:val="en-US"/>
        </w:rPr>
        <w:t>Nacrtom</w:t>
      </w:r>
      <w:r w:rsidRPr="002D175F">
        <w:rPr>
          <w:rFonts w:ascii="Arial" w:hAnsi="Arial" w:cs="Arial"/>
          <w:sz w:val="24"/>
          <w:szCs w:val="24"/>
          <w:lang w:val="en-US"/>
        </w:rPr>
        <w:t xml:space="preserve"> zakona</w:t>
      </w:r>
      <w:r>
        <w:rPr>
          <w:rFonts w:ascii="Arial" w:hAnsi="Arial" w:cs="Arial"/>
          <w:sz w:val="24"/>
          <w:szCs w:val="24"/>
          <w:lang w:val="en-US"/>
        </w:rPr>
        <w:t xml:space="preserve"> </w:t>
      </w:r>
      <w:r w:rsidR="00CC723A">
        <w:rPr>
          <w:rFonts w:ascii="Arial" w:hAnsi="Arial" w:cs="Arial"/>
          <w:sz w:val="24"/>
          <w:szCs w:val="24"/>
          <w:lang w:val="en-US"/>
        </w:rPr>
        <w:t>bliže se definišu uslovi za osnivanje ustanova visokog obrazovanja, obavljanje djelatnosti van sjedišta ustanove, odnosno da u</w:t>
      </w:r>
      <w:r w:rsidR="00CC723A" w:rsidRPr="00CC723A">
        <w:rPr>
          <w:rFonts w:ascii="Arial" w:hAnsi="Arial" w:cs="Arial"/>
          <w:sz w:val="24"/>
          <w:szCs w:val="24"/>
          <w:lang w:val="en-US"/>
        </w:rPr>
        <w:t>stanova visokog obrazovanja ne može imati područno odjeljenje van sjedišta ustanove</w:t>
      </w:r>
      <w:r w:rsidR="00CC723A">
        <w:rPr>
          <w:rFonts w:ascii="Arial" w:hAnsi="Arial" w:cs="Arial"/>
          <w:sz w:val="24"/>
          <w:szCs w:val="24"/>
          <w:lang w:val="en-US"/>
        </w:rPr>
        <w:t>. Takođe, predloženim tekstom zakona bliže se definiše zabrana rada ustanove, kao i razlozi za ukidanje ustanove i studijskog programa</w:t>
      </w:r>
      <w:r w:rsidR="00CC723A" w:rsidRPr="00CC723A">
        <w:rPr>
          <w:rFonts w:ascii="Arial" w:hAnsi="Arial" w:cs="Arial"/>
          <w:sz w:val="24"/>
          <w:szCs w:val="24"/>
          <w:lang w:val="en-US"/>
        </w:rPr>
        <w:t>.</w:t>
      </w:r>
    </w:p>
    <w:p w:rsidR="0085790B" w:rsidRDefault="000E439D" w:rsidP="00CC723A">
      <w:pPr>
        <w:pStyle w:val="NoSpacing"/>
        <w:ind w:firstLine="708"/>
        <w:jc w:val="both"/>
        <w:rPr>
          <w:rFonts w:ascii="Arial" w:hAnsi="Arial" w:cs="Arial"/>
          <w:sz w:val="24"/>
          <w:szCs w:val="24"/>
          <w:lang w:val="en-US"/>
        </w:rPr>
      </w:pPr>
      <w:r>
        <w:rPr>
          <w:rFonts w:ascii="Arial" w:hAnsi="Arial" w:cs="Arial"/>
          <w:sz w:val="24"/>
          <w:szCs w:val="24"/>
          <w:lang w:val="en-US"/>
        </w:rPr>
        <w:t>N</w:t>
      </w:r>
      <w:r w:rsidR="009F60BD">
        <w:rPr>
          <w:rFonts w:ascii="Arial" w:hAnsi="Arial" w:cs="Arial"/>
          <w:sz w:val="24"/>
          <w:szCs w:val="24"/>
          <w:lang w:val="en-US"/>
        </w:rPr>
        <w:t>acrtom</w:t>
      </w:r>
      <w:r w:rsidR="00CC723A">
        <w:rPr>
          <w:rFonts w:ascii="Arial" w:hAnsi="Arial" w:cs="Arial"/>
          <w:sz w:val="24"/>
          <w:szCs w:val="24"/>
          <w:lang w:val="en-US"/>
        </w:rPr>
        <w:t xml:space="preserve"> z</w:t>
      </w:r>
      <w:r w:rsidR="00CC723A" w:rsidRPr="00CC723A">
        <w:rPr>
          <w:rFonts w:ascii="Arial" w:hAnsi="Arial" w:cs="Arial"/>
          <w:sz w:val="24"/>
          <w:szCs w:val="24"/>
          <w:lang w:val="en-US"/>
        </w:rPr>
        <w:t xml:space="preserve">akona o visokom obrazovanju </w:t>
      </w:r>
      <w:r w:rsidR="00CC723A">
        <w:rPr>
          <w:rFonts w:ascii="Arial" w:hAnsi="Arial" w:cs="Arial"/>
          <w:sz w:val="24"/>
          <w:szCs w:val="24"/>
          <w:lang w:val="en-US"/>
        </w:rPr>
        <w:t>prepoznat je trocikličan model studija koji će se realizovati na dodiplomskim, postdiplomskim i doktorskim studijskim programima</w:t>
      </w:r>
      <w:r w:rsidR="0085790B">
        <w:rPr>
          <w:rFonts w:ascii="Arial" w:hAnsi="Arial" w:cs="Arial"/>
          <w:sz w:val="24"/>
          <w:szCs w:val="24"/>
          <w:lang w:val="en-US"/>
        </w:rPr>
        <w:t>.</w:t>
      </w:r>
      <w:r w:rsidR="00CC723A">
        <w:rPr>
          <w:rFonts w:ascii="Arial" w:hAnsi="Arial" w:cs="Arial"/>
          <w:sz w:val="24"/>
          <w:szCs w:val="24"/>
          <w:lang w:val="en-US"/>
        </w:rPr>
        <w:t xml:space="preserve"> </w:t>
      </w:r>
      <w:r w:rsidR="0085790B">
        <w:rPr>
          <w:rFonts w:ascii="Arial" w:hAnsi="Arial" w:cs="Arial"/>
          <w:sz w:val="24"/>
          <w:szCs w:val="24"/>
          <w:lang w:val="en-US"/>
        </w:rPr>
        <w:t>U</w:t>
      </w:r>
      <w:r w:rsidR="00CC723A" w:rsidRPr="00CC723A">
        <w:rPr>
          <w:rFonts w:ascii="Arial" w:hAnsi="Arial" w:cs="Arial"/>
          <w:sz w:val="24"/>
          <w:szCs w:val="24"/>
          <w:lang w:val="en-US"/>
        </w:rPr>
        <w:t>mjesto dosadašnjeg</w:t>
      </w:r>
      <w:r w:rsidR="00CC723A">
        <w:rPr>
          <w:rFonts w:ascii="Arial" w:hAnsi="Arial" w:cs="Arial"/>
          <w:sz w:val="24"/>
          <w:szCs w:val="24"/>
          <w:lang w:val="en-US"/>
        </w:rPr>
        <w:t xml:space="preserve"> dominantnog i unificiranog </w:t>
      </w:r>
      <w:r w:rsidR="00CC723A" w:rsidRPr="00CC723A">
        <w:rPr>
          <w:rFonts w:ascii="Arial" w:hAnsi="Arial" w:cs="Arial"/>
          <w:sz w:val="24"/>
          <w:szCs w:val="24"/>
          <w:lang w:val="en-US"/>
        </w:rPr>
        <w:t>modela 3+</w:t>
      </w:r>
      <w:r w:rsidR="00CC723A">
        <w:rPr>
          <w:rFonts w:ascii="Arial" w:hAnsi="Arial" w:cs="Arial"/>
          <w:sz w:val="24"/>
          <w:szCs w:val="24"/>
          <w:lang w:val="en-US"/>
        </w:rPr>
        <w:t>2</w:t>
      </w:r>
      <w:r w:rsidR="00CC723A" w:rsidRPr="00CC723A">
        <w:rPr>
          <w:rFonts w:ascii="Arial" w:hAnsi="Arial" w:cs="Arial"/>
          <w:sz w:val="24"/>
          <w:szCs w:val="24"/>
          <w:lang w:val="en-US"/>
        </w:rPr>
        <w:t>+3</w:t>
      </w:r>
      <w:r w:rsidR="0085790B">
        <w:rPr>
          <w:rFonts w:ascii="Arial" w:hAnsi="Arial" w:cs="Arial"/>
          <w:sz w:val="24"/>
          <w:szCs w:val="24"/>
          <w:lang w:val="en-US"/>
        </w:rPr>
        <w:t>, uvodi se fleksibilan model studija gdje bi se dodiplomske studije realizovale u trogodišnjem trajanju, postdiplomske studije bi se realizovale kao jednogodišnje ili dvogodišnji studijski programi, dok bi se doktorske studije, kao i do sada, realizovale kao trogodišnje studije. Na ovaj način bi se obezbijedila bolja</w:t>
      </w:r>
      <w:r w:rsidR="00CC723A" w:rsidRPr="00CC723A">
        <w:rPr>
          <w:rFonts w:ascii="Arial" w:hAnsi="Arial" w:cs="Arial"/>
          <w:sz w:val="24"/>
          <w:szCs w:val="24"/>
          <w:lang w:val="en-US"/>
        </w:rPr>
        <w:t xml:space="preserve"> prepoznatljivost diplomiranih studenata na tržištu rad</w:t>
      </w:r>
      <w:r w:rsidR="0085790B">
        <w:rPr>
          <w:rFonts w:ascii="Arial" w:hAnsi="Arial" w:cs="Arial"/>
          <w:sz w:val="24"/>
          <w:szCs w:val="24"/>
          <w:lang w:val="en-US"/>
        </w:rPr>
        <w:t>a.</w:t>
      </w:r>
      <w:r w:rsidR="00CC723A" w:rsidRPr="00CC723A">
        <w:rPr>
          <w:rFonts w:ascii="Arial" w:hAnsi="Arial" w:cs="Arial"/>
          <w:sz w:val="24"/>
          <w:szCs w:val="24"/>
          <w:lang w:val="en-US"/>
        </w:rPr>
        <w:t xml:space="preserve"> </w:t>
      </w:r>
    </w:p>
    <w:p w:rsidR="0085790B" w:rsidRDefault="00CC723A" w:rsidP="00CC723A">
      <w:pPr>
        <w:pStyle w:val="NoSpacing"/>
        <w:ind w:firstLine="708"/>
        <w:jc w:val="both"/>
        <w:rPr>
          <w:rFonts w:ascii="Arial" w:hAnsi="Arial" w:cs="Arial"/>
          <w:sz w:val="24"/>
          <w:szCs w:val="24"/>
          <w:lang w:val="en-US"/>
        </w:rPr>
      </w:pPr>
      <w:r w:rsidRPr="00CC723A">
        <w:rPr>
          <w:rFonts w:ascii="Arial" w:hAnsi="Arial" w:cs="Arial"/>
          <w:sz w:val="24"/>
          <w:szCs w:val="24"/>
          <w:lang w:val="en-US"/>
        </w:rPr>
        <w:t xml:space="preserve">Diplome iz oblasti regulisanih profesija se stiču u skladu sa Direktivom Evropske unije. U tom smislu trajanje, odnosno model studija i sadržaj ovih studijskih programa je prilagođen Direktivi EU 2005/36 EZ i izmjeni Direktive EU 2013/55 EZ. </w:t>
      </w:r>
    </w:p>
    <w:p w:rsidR="00CC723A" w:rsidRDefault="0085790B" w:rsidP="00CC723A">
      <w:pPr>
        <w:pStyle w:val="NoSpacing"/>
        <w:ind w:firstLine="708"/>
        <w:jc w:val="both"/>
        <w:rPr>
          <w:rFonts w:ascii="Arial" w:hAnsi="Arial" w:cs="Arial"/>
          <w:sz w:val="24"/>
          <w:szCs w:val="24"/>
          <w:lang w:val="en-US"/>
        </w:rPr>
      </w:pPr>
      <w:r w:rsidRPr="0085790B">
        <w:rPr>
          <w:rFonts w:ascii="Arial" w:hAnsi="Arial" w:cs="Arial"/>
          <w:sz w:val="24"/>
          <w:szCs w:val="24"/>
          <w:lang w:val="en-US"/>
        </w:rPr>
        <w:t>Studenti dodiplomskih i postdiplomskih studija na javnim ustanovama</w:t>
      </w:r>
      <w:r>
        <w:rPr>
          <w:rFonts w:ascii="Arial" w:hAnsi="Arial" w:cs="Arial"/>
          <w:sz w:val="24"/>
          <w:szCs w:val="24"/>
          <w:lang w:val="en-US"/>
        </w:rPr>
        <w:t xml:space="preserve"> visokog obrazovanja i dalje neće plaćati </w:t>
      </w:r>
      <w:r w:rsidRPr="0085790B">
        <w:rPr>
          <w:rFonts w:ascii="Arial" w:hAnsi="Arial" w:cs="Arial"/>
          <w:sz w:val="24"/>
          <w:szCs w:val="24"/>
          <w:lang w:val="en-US"/>
        </w:rPr>
        <w:t>naknadu za studiranje</w:t>
      </w:r>
      <w:r>
        <w:rPr>
          <w:rFonts w:ascii="Arial" w:hAnsi="Arial" w:cs="Arial"/>
          <w:sz w:val="24"/>
          <w:szCs w:val="24"/>
          <w:lang w:val="en-US"/>
        </w:rPr>
        <w:t>, dok će s</w:t>
      </w:r>
      <w:r w:rsidR="00CC723A" w:rsidRPr="00CC723A">
        <w:rPr>
          <w:rFonts w:ascii="Arial" w:hAnsi="Arial" w:cs="Arial"/>
          <w:sz w:val="24"/>
          <w:szCs w:val="24"/>
          <w:lang w:val="en-US"/>
        </w:rPr>
        <w:t>tudenti doktorskih studija</w:t>
      </w:r>
      <w:r>
        <w:rPr>
          <w:rFonts w:ascii="Arial" w:hAnsi="Arial" w:cs="Arial"/>
          <w:sz w:val="24"/>
          <w:szCs w:val="24"/>
          <w:lang w:val="en-US"/>
        </w:rPr>
        <w:t xml:space="preserve"> </w:t>
      </w:r>
      <w:r w:rsidR="00CC723A" w:rsidRPr="00CC723A">
        <w:rPr>
          <w:rFonts w:ascii="Arial" w:hAnsi="Arial" w:cs="Arial"/>
          <w:sz w:val="24"/>
          <w:szCs w:val="24"/>
          <w:lang w:val="en-US"/>
        </w:rPr>
        <w:t>plaćati naknadu za studiranje.</w:t>
      </w:r>
    </w:p>
    <w:p w:rsidR="0085790B" w:rsidRPr="0085790B" w:rsidRDefault="0085790B" w:rsidP="0085790B">
      <w:pPr>
        <w:pStyle w:val="NoSpacing"/>
        <w:ind w:firstLine="708"/>
        <w:jc w:val="both"/>
        <w:rPr>
          <w:rFonts w:ascii="Arial" w:hAnsi="Arial" w:cs="Arial"/>
          <w:sz w:val="24"/>
          <w:szCs w:val="24"/>
          <w:lang w:val="en-US"/>
        </w:rPr>
      </w:pPr>
      <w:r w:rsidRPr="0085790B">
        <w:rPr>
          <w:rFonts w:ascii="Arial" w:hAnsi="Arial" w:cs="Arial"/>
          <w:sz w:val="24"/>
          <w:szCs w:val="24"/>
          <w:lang w:val="en-US"/>
        </w:rPr>
        <w:t xml:space="preserve">Studenti sa invaliditetom i studenti RE populacije dodiplomskih i postdiplomskih studija koji su upisani po principu afirmativne akcije na javnim ustanovama u broju većem od broja studenata </w:t>
      </w:r>
      <w:r>
        <w:rPr>
          <w:rFonts w:ascii="Arial" w:hAnsi="Arial" w:cs="Arial"/>
          <w:sz w:val="24"/>
          <w:szCs w:val="24"/>
          <w:lang w:val="en-US"/>
        </w:rPr>
        <w:t>utvrđenih u skladu sa licencom za određeni studijski program,</w:t>
      </w:r>
      <w:r w:rsidRPr="0085790B">
        <w:rPr>
          <w:rFonts w:ascii="Arial" w:hAnsi="Arial" w:cs="Arial"/>
          <w:sz w:val="24"/>
          <w:szCs w:val="24"/>
          <w:lang w:val="en-US"/>
        </w:rPr>
        <w:t xml:space="preserve"> i na privatnim</w:t>
      </w:r>
      <w:r>
        <w:rPr>
          <w:rFonts w:ascii="Arial" w:hAnsi="Arial" w:cs="Arial"/>
          <w:sz w:val="24"/>
          <w:szCs w:val="24"/>
          <w:lang w:val="en-US"/>
        </w:rPr>
        <w:t xml:space="preserve"> i na javnim </w:t>
      </w:r>
      <w:r w:rsidRPr="0085790B">
        <w:rPr>
          <w:rFonts w:ascii="Arial" w:hAnsi="Arial" w:cs="Arial"/>
          <w:sz w:val="24"/>
          <w:szCs w:val="24"/>
          <w:lang w:val="en-US"/>
        </w:rPr>
        <w:t>ustanovama</w:t>
      </w:r>
      <w:r>
        <w:rPr>
          <w:rFonts w:ascii="Arial" w:hAnsi="Arial" w:cs="Arial"/>
          <w:sz w:val="24"/>
          <w:szCs w:val="24"/>
          <w:lang w:val="en-US"/>
        </w:rPr>
        <w:t xml:space="preserve"> visokog obrazovanja se </w:t>
      </w:r>
      <w:r w:rsidRPr="0085790B">
        <w:rPr>
          <w:rFonts w:ascii="Arial" w:hAnsi="Arial" w:cs="Arial"/>
          <w:sz w:val="24"/>
          <w:szCs w:val="24"/>
          <w:lang w:val="en-US"/>
        </w:rPr>
        <w:t>oslobađaju plaćanja naknade.</w:t>
      </w:r>
      <w:r>
        <w:rPr>
          <w:rFonts w:ascii="Arial" w:hAnsi="Arial" w:cs="Arial"/>
          <w:sz w:val="24"/>
          <w:szCs w:val="24"/>
          <w:lang w:val="en-US"/>
        </w:rPr>
        <w:t xml:space="preserve"> </w:t>
      </w:r>
      <w:r w:rsidRPr="0085790B">
        <w:rPr>
          <w:rFonts w:ascii="Arial" w:hAnsi="Arial" w:cs="Arial"/>
          <w:sz w:val="24"/>
          <w:szCs w:val="24"/>
          <w:lang w:val="en-US"/>
        </w:rPr>
        <w:t>Sredstva javnim i privatnim ustanovama</w:t>
      </w:r>
      <w:r>
        <w:rPr>
          <w:rFonts w:ascii="Arial" w:hAnsi="Arial" w:cs="Arial"/>
          <w:sz w:val="24"/>
          <w:szCs w:val="24"/>
          <w:lang w:val="en-US"/>
        </w:rPr>
        <w:t xml:space="preserve"> visokog obrazovanja za studente sa invaliditeto i studente RE populacije obezbijediće se u</w:t>
      </w:r>
      <w:r w:rsidRPr="0085790B">
        <w:rPr>
          <w:rFonts w:ascii="Arial" w:hAnsi="Arial" w:cs="Arial"/>
          <w:sz w:val="24"/>
          <w:szCs w:val="24"/>
          <w:lang w:val="en-US"/>
        </w:rPr>
        <w:t xml:space="preserve"> budžet</w:t>
      </w:r>
      <w:r>
        <w:rPr>
          <w:rFonts w:ascii="Arial" w:hAnsi="Arial" w:cs="Arial"/>
          <w:sz w:val="24"/>
          <w:szCs w:val="24"/>
          <w:lang w:val="en-US"/>
        </w:rPr>
        <w:t>u</w:t>
      </w:r>
      <w:r w:rsidRPr="0085790B">
        <w:rPr>
          <w:rFonts w:ascii="Arial" w:hAnsi="Arial" w:cs="Arial"/>
          <w:sz w:val="24"/>
          <w:szCs w:val="24"/>
          <w:lang w:val="en-US"/>
        </w:rPr>
        <w:t xml:space="preserve"> Crne Gore, po cijeni koštanja studenta na javnoj ustanovi za određeni studijski program.</w:t>
      </w:r>
    </w:p>
    <w:p w:rsidR="007775A1" w:rsidRDefault="009F60BD" w:rsidP="007775A1">
      <w:pPr>
        <w:pStyle w:val="1tekst"/>
        <w:ind w:left="0" w:firstLine="708"/>
        <w:rPr>
          <w:rFonts w:ascii="Arial" w:hAnsi="Arial" w:cs="Arial"/>
          <w:sz w:val="24"/>
          <w:szCs w:val="24"/>
        </w:rPr>
      </w:pPr>
      <w:r>
        <w:rPr>
          <w:rFonts w:ascii="Arial" w:hAnsi="Arial" w:cs="Arial"/>
          <w:sz w:val="24"/>
          <w:szCs w:val="24"/>
          <w:lang w:val="en-US"/>
        </w:rPr>
        <w:t>Nacrtom</w:t>
      </w:r>
      <w:r w:rsidR="007775A1">
        <w:rPr>
          <w:rFonts w:ascii="Arial" w:hAnsi="Arial" w:cs="Arial"/>
          <w:sz w:val="24"/>
          <w:szCs w:val="24"/>
          <w:lang w:val="en-US"/>
        </w:rPr>
        <w:t xml:space="preserve"> zakona definisani su ispitni rokovi na način da su o</w:t>
      </w:r>
      <w:r w:rsidR="007775A1" w:rsidRPr="007775A1">
        <w:rPr>
          <w:rFonts w:ascii="Arial" w:hAnsi="Arial" w:cs="Arial"/>
          <w:sz w:val="24"/>
          <w:szCs w:val="24"/>
          <w:lang w:val="en-US"/>
        </w:rPr>
        <w:t>snovni ispitni rokovi januarski, junski i septembarski.</w:t>
      </w:r>
      <w:r w:rsidR="007775A1">
        <w:rPr>
          <w:rFonts w:ascii="Arial" w:hAnsi="Arial" w:cs="Arial"/>
          <w:sz w:val="24"/>
          <w:szCs w:val="24"/>
          <w:lang w:val="en-US"/>
        </w:rPr>
        <w:t xml:space="preserve"> </w:t>
      </w:r>
      <w:r w:rsidR="007775A1" w:rsidRPr="007775A1">
        <w:rPr>
          <w:rFonts w:ascii="Arial" w:hAnsi="Arial" w:cs="Arial"/>
          <w:sz w:val="24"/>
          <w:szCs w:val="24"/>
          <w:lang w:val="en-US"/>
        </w:rPr>
        <w:t>U septembarskom ispitnom roku student ima pravo da polaže sve ispite i predispitne provjere (kolokvijumi i završni ispiti) koje je prijavio u toj studijskoj godini a koje nije polagao ili položio u januarskom, odnosno junskom roku, u skladu sa posebnim aktom ustanove.</w:t>
      </w:r>
      <w:r w:rsidR="007775A1" w:rsidRPr="007775A1">
        <w:rPr>
          <w:rFonts w:ascii="Arial" w:hAnsi="Arial" w:cs="Arial"/>
          <w:sz w:val="24"/>
          <w:szCs w:val="24"/>
        </w:rPr>
        <w:t xml:space="preserve"> </w:t>
      </w:r>
      <w:r w:rsidR="007775A1">
        <w:rPr>
          <w:rFonts w:ascii="Arial" w:hAnsi="Arial" w:cs="Arial"/>
          <w:sz w:val="24"/>
          <w:szCs w:val="24"/>
        </w:rPr>
        <w:t>Takođe, propisano je i da s</w:t>
      </w:r>
      <w:r w:rsidR="007775A1" w:rsidRPr="009E3F11">
        <w:rPr>
          <w:rFonts w:ascii="Arial" w:hAnsi="Arial" w:cs="Arial"/>
          <w:sz w:val="24"/>
          <w:szCs w:val="24"/>
        </w:rPr>
        <w:t>tudent ne može polagati dva kolokvijuma ili završni ispit u toku jednog dana, i ne više od dva završna ispita u toku sedmice, osim u septembarskom ispitnom roku.</w:t>
      </w:r>
    </w:p>
    <w:p w:rsidR="00A677EA" w:rsidRDefault="00A916CC" w:rsidP="00A677EA">
      <w:pPr>
        <w:pStyle w:val="1tekst"/>
        <w:ind w:left="0" w:firstLine="708"/>
        <w:rPr>
          <w:rFonts w:ascii="Arial" w:hAnsi="Arial" w:cs="Arial"/>
          <w:sz w:val="24"/>
          <w:szCs w:val="24"/>
        </w:rPr>
      </w:pPr>
      <w:r w:rsidRPr="00A916CC">
        <w:rPr>
          <w:rFonts w:ascii="Arial" w:hAnsi="Arial" w:cs="Arial"/>
          <w:sz w:val="24"/>
          <w:szCs w:val="24"/>
        </w:rPr>
        <w:t xml:space="preserve">Po prvi put </w:t>
      </w:r>
      <w:r>
        <w:rPr>
          <w:rFonts w:ascii="Arial" w:hAnsi="Arial" w:cs="Arial"/>
          <w:sz w:val="24"/>
          <w:szCs w:val="24"/>
        </w:rPr>
        <w:t xml:space="preserve">je propisan rok za završetak studija, odnosno da status studenta prestaje </w:t>
      </w:r>
      <w:r w:rsidRPr="009E3F11">
        <w:rPr>
          <w:rFonts w:ascii="Arial" w:hAnsi="Arial" w:cs="Arial"/>
          <w:sz w:val="24"/>
          <w:szCs w:val="24"/>
        </w:rPr>
        <w:t xml:space="preserve">ako </w:t>
      </w:r>
      <w:r>
        <w:rPr>
          <w:rFonts w:ascii="Arial" w:hAnsi="Arial" w:cs="Arial"/>
          <w:sz w:val="24"/>
          <w:szCs w:val="24"/>
        </w:rPr>
        <w:t xml:space="preserve">student </w:t>
      </w:r>
      <w:r w:rsidRPr="009E3F11">
        <w:rPr>
          <w:rFonts w:ascii="Arial" w:hAnsi="Arial" w:cs="Arial"/>
          <w:sz w:val="24"/>
          <w:szCs w:val="24"/>
        </w:rPr>
        <w:t>ne završi studijski program u roku koji je dvostruko duži od vremena predviđenog za trajanje studijskog programa, ne računajući vrijeme mirovanja statusa studenta u skladu sa statutom ustanove</w:t>
      </w:r>
      <w:r>
        <w:rPr>
          <w:rFonts w:ascii="Arial" w:hAnsi="Arial" w:cs="Arial"/>
          <w:sz w:val="24"/>
          <w:szCs w:val="24"/>
        </w:rPr>
        <w:t>.</w:t>
      </w:r>
      <w:r w:rsidRPr="00A916CC">
        <w:rPr>
          <w:rFonts w:ascii="Arial" w:hAnsi="Arial" w:cs="Arial"/>
          <w:sz w:val="24"/>
          <w:szCs w:val="24"/>
        </w:rPr>
        <w:t xml:space="preserve"> </w:t>
      </w:r>
    </w:p>
    <w:p w:rsidR="004C56C8" w:rsidRPr="003056AD" w:rsidRDefault="004C56C8" w:rsidP="00A677EA">
      <w:pPr>
        <w:pStyle w:val="1tekst"/>
        <w:ind w:left="0" w:firstLine="708"/>
        <w:rPr>
          <w:rFonts w:ascii="Arial" w:hAnsi="Arial" w:cs="Arial"/>
          <w:sz w:val="24"/>
          <w:szCs w:val="24"/>
        </w:rPr>
      </w:pPr>
      <w:r w:rsidRPr="003056AD">
        <w:rPr>
          <w:rFonts w:ascii="Arial" w:hAnsi="Arial" w:cs="Arial"/>
          <w:sz w:val="24"/>
          <w:szCs w:val="24"/>
        </w:rPr>
        <w:t xml:space="preserve">Prelaznim i završnim odredbama definisaće se status zatečenih studenata, ekvivalencija njihovih diploma sa diplomama koje će se sticati u skladu sa </w:t>
      </w:r>
      <w:r w:rsidR="009F60BD">
        <w:rPr>
          <w:rFonts w:ascii="Arial" w:hAnsi="Arial" w:cs="Arial"/>
          <w:sz w:val="24"/>
          <w:szCs w:val="24"/>
        </w:rPr>
        <w:t>Nacrtom</w:t>
      </w:r>
      <w:r w:rsidR="00B94F8B" w:rsidRPr="003056AD">
        <w:rPr>
          <w:rFonts w:ascii="Arial" w:hAnsi="Arial" w:cs="Arial"/>
          <w:sz w:val="24"/>
          <w:szCs w:val="24"/>
        </w:rPr>
        <w:t xml:space="preserve"> z</w:t>
      </w:r>
      <w:r w:rsidRPr="003056AD">
        <w:rPr>
          <w:rFonts w:ascii="Arial" w:hAnsi="Arial" w:cs="Arial"/>
          <w:sz w:val="24"/>
          <w:szCs w:val="24"/>
        </w:rPr>
        <w:t>akon</w:t>
      </w:r>
      <w:r w:rsidR="00B94F8B" w:rsidRPr="003056AD">
        <w:rPr>
          <w:rFonts w:ascii="Arial" w:hAnsi="Arial" w:cs="Arial"/>
          <w:sz w:val="24"/>
          <w:szCs w:val="24"/>
        </w:rPr>
        <w:t>a</w:t>
      </w:r>
      <w:r w:rsidRPr="003056AD">
        <w:rPr>
          <w:rFonts w:ascii="Arial" w:hAnsi="Arial" w:cs="Arial"/>
          <w:sz w:val="24"/>
          <w:szCs w:val="24"/>
        </w:rPr>
        <w:t xml:space="preserve">, rokovi za usklađivanje programa sa novom strukturom i Zakonom i dr.    </w:t>
      </w:r>
    </w:p>
    <w:p w:rsidR="00A677EA" w:rsidRDefault="00A677EA" w:rsidP="001F43F9">
      <w:pPr>
        <w:pStyle w:val="NoSpacing"/>
        <w:jc w:val="both"/>
        <w:rPr>
          <w:rFonts w:ascii="Arial" w:hAnsi="Arial" w:cs="Arial"/>
          <w:sz w:val="24"/>
          <w:szCs w:val="24"/>
        </w:rPr>
      </w:pPr>
    </w:p>
    <w:p w:rsidR="00BC6A3B" w:rsidRDefault="00BC6A3B" w:rsidP="00A677EA">
      <w:pPr>
        <w:pStyle w:val="NoSpacing"/>
        <w:numPr>
          <w:ilvl w:val="0"/>
          <w:numId w:val="10"/>
        </w:numPr>
        <w:jc w:val="both"/>
        <w:rPr>
          <w:rFonts w:ascii="Arial" w:hAnsi="Arial" w:cs="Arial"/>
          <w:b/>
          <w:sz w:val="24"/>
          <w:szCs w:val="24"/>
        </w:rPr>
      </w:pPr>
      <w:r w:rsidRPr="003056AD">
        <w:rPr>
          <w:rFonts w:ascii="Arial" w:hAnsi="Arial" w:cs="Arial"/>
          <w:b/>
          <w:sz w:val="24"/>
          <w:szCs w:val="24"/>
        </w:rPr>
        <w:t>Procjena finansijskih sredstava za sprovođenje zakona</w:t>
      </w:r>
    </w:p>
    <w:p w:rsidR="00A677EA" w:rsidRPr="003056AD" w:rsidRDefault="00A677EA" w:rsidP="00A677EA">
      <w:pPr>
        <w:pStyle w:val="NoSpacing"/>
        <w:ind w:left="720"/>
        <w:jc w:val="both"/>
        <w:rPr>
          <w:rFonts w:ascii="Arial" w:hAnsi="Arial" w:cs="Arial"/>
          <w:b/>
          <w:sz w:val="24"/>
          <w:szCs w:val="24"/>
        </w:rPr>
      </w:pPr>
    </w:p>
    <w:p w:rsidR="00BC6A3B" w:rsidRPr="003056AD" w:rsidRDefault="005E5E39" w:rsidP="00586FF3">
      <w:pPr>
        <w:pStyle w:val="NoSpacing"/>
        <w:ind w:firstLine="708"/>
        <w:jc w:val="both"/>
        <w:rPr>
          <w:rFonts w:ascii="Arial" w:hAnsi="Arial" w:cs="Arial"/>
          <w:sz w:val="24"/>
          <w:szCs w:val="24"/>
        </w:rPr>
      </w:pPr>
      <w:r w:rsidRPr="00B65F70">
        <w:rPr>
          <w:rFonts w:ascii="Arial" w:hAnsi="Arial" w:cs="Arial"/>
          <w:sz w:val="24"/>
          <w:szCs w:val="24"/>
        </w:rPr>
        <w:t>Za sprovođenje ovog propisa neophodno je</w:t>
      </w:r>
      <w:r w:rsidR="00A677EA">
        <w:rPr>
          <w:rFonts w:ascii="Arial" w:hAnsi="Arial" w:cs="Arial"/>
          <w:sz w:val="24"/>
          <w:szCs w:val="24"/>
        </w:rPr>
        <w:t xml:space="preserve"> u budžetu </w:t>
      </w:r>
      <w:r w:rsidRPr="00B65F70">
        <w:rPr>
          <w:rFonts w:ascii="Arial" w:hAnsi="Arial" w:cs="Arial"/>
          <w:sz w:val="24"/>
          <w:szCs w:val="24"/>
        </w:rPr>
        <w:t xml:space="preserve">planirati </w:t>
      </w:r>
      <w:r w:rsidR="00586FF3" w:rsidRPr="00B65F70">
        <w:rPr>
          <w:rFonts w:ascii="Arial" w:hAnsi="Arial" w:cs="Arial"/>
          <w:sz w:val="24"/>
          <w:szCs w:val="24"/>
        </w:rPr>
        <w:t>dodatna finansijska sredstva</w:t>
      </w:r>
      <w:r w:rsidR="00A677EA">
        <w:rPr>
          <w:rFonts w:ascii="Arial" w:hAnsi="Arial" w:cs="Arial"/>
          <w:sz w:val="24"/>
          <w:szCs w:val="24"/>
        </w:rPr>
        <w:t xml:space="preserve"> od oko</w:t>
      </w:r>
      <w:r w:rsidR="004344A6">
        <w:rPr>
          <w:rFonts w:ascii="Arial" w:hAnsi="Arial" w:cs="Arial"/>
          <w:sz w:val="24"/>
          <w:szCs w:val="24"/>
        </w:rPr>
        <w:t xml:space="preserve"> </w:t>
      </w:r>
      <w:r w:rsidR="00B65F70" w:rsidRPr="00B65F70">
        <w:rPr>
          <w:rFonts w:ascii="Arial" w:hAnsi="Arial" w:cs="Arial"/>
          <w:sz w:val="24"/>
          <w:szCs w:val="24"/>
        </w:rPr>
        <w:t>500.000,00 eura</w:t>
      </w:r>
      <w:r w:rsidR="00A677EA">
        <w:rPr>
          <w:rFonts w:ascii="Arial" w:hAnsi="Arial" w:cs="Arial"/>
          <w:sz w:val="24"/>
          <w:szCs w:val="24"/>
        </w:rPr>
        <w:t xml:space="preserve"> za 2025. godinu</w:t>
      </w:r>
      <w:r w:rsidR="00B65F70">
        <w:rPr>
          <w:rFonts w:ascii="Arial" w:hAnsi="Arial" w:cs="Arial"/>
          <w:sz w:val="24"/>
          <w:szCs w:val="24"/>
        </w:rPr>
        <w:t>.</w:t>
      </w:r>
    </w:p>
    <w:p w:rsidR="00C374A1" w:rsidRPr="003056AD" w:rsidRDefault="00C374A1">
      <w:pPr>
        <w:rPr>
          <w:rFonts w:ascii="Arial" w:hAnsi="Arial" w:cs="Arial"/>
          <w:sz w:val="24"/>
          <w:szCs w:val="24"/>
        </w:rPr>
      </w:pPr>
    </w:p>
    <w:sectPr w:rsidR="00C374A1" w:rsidRPr="00305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933"/>
    <w:multiLevelType w:val="hybridMultilevel"/>
    <w:tmpl w:val="30D26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00345"/>
    <w:multiLevelType w:val="multilevel"/>
    <w:tmpl w:val="2378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04C1D"/>
    <w:multiLevelType w:val="multilevel"/>
    <w:tmpl w:val="6B9E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46C84"/>
    <w:multiLevelType w:val="hybridMultilevel"/>
    <w:tmpl w:val="0A00F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A371D"/>
    <w:multiLevelType w:val="multilevel"/>
    <w:tmpl w:val="0194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A7A18"/>
    <w:multiLevelType w:val="multilevel"/>
    <w:tmpl w:val="8CC8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9C6CC2"/>
    <w:multiLevelType w:val="multilevel"/>
    <w:tmpl w:val="18AE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63DC5"/>
    <w:multiLevelType w:val="hybridMultilevel"/>
    <w:tmpl w:val="7A208E0E"/>
    <w:lvl w:ilvl="0" w:tplc="9B48990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57849"/>
    <w:multiLevelType w:val="hybridMultilevel"/>
    <w:tmpl w:val="DA7E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C2423"/>
    <w:multiLevelType w:val="hybridMultilevel"/>
    <w:tmpl w:val="58786A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4"/>
  </w:num>
  <w:num w:numId="5">
    <w:abstractNumId w:val="6"/>
  </w:num>
  <w:num w:numId="6">
    <w:abstractNumId w:val="2"/>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8E"/>
    <w:rsid w:val="00006C52"/>
    <w:rsid w:val="000E439D"/>
    <w:rsid w:val="000E5704"/>
    <w:rsid w:val="001415A6"/>
    <w:rsid w:val="00170332"/>
    <w:rsid w:val="00176D0C"/>
    <w:rsid w:val="0018729B"/>
    <w:rsid w:val="001C5C80"/>
    <w:rsid w:val="001D0171"/>
    <w:rsid w:val="001D55D8"/>
    <w:rsid w:val="001F43F9"/>
    <w:rsid w:val="002600B7"/>
    <w:rsid w:val="0027151E"/>
    <w:rsid w:val="002D175F"/>
    <w:rsid w:val="002D4988"/>
    <w:rsid w:val="002F4DFC"/>
    <w:rsid w:val="003056AD"/>
    <w:rsid w:val="00371A15"/>
    <w:rsid w:val="00426F22"/>
    <w:rsid w:val="004328AB"/>
    <w:rsid w:val="004344A6"/>
    <w:rsid w:val="0045381B"/>
    <w:rsid w:val="004C56C8"/>
    <w:rsid w:val="004C6508"/>
    <w:rsid w:val="004C7196"/>
    <w:rsid w:val="004D34A6"/>
    <w:rsid w:val="004E4C83"/>
    <w:rsid w:val="004E4D2E"/>
    <w:rsid w:val="0051237C"/>
    <w:rsid w:val="00584714"/>
    <w:rsid w:val="00586FF3"/>
    <w:rsid w:val="005B6795"/>
    <w:rsid w:val="005D23B6"/>
    <w:rsid w:val="005E5E39"/>
    <w:rsid w:val="00613F6D"/>
    <w:rsid w:val="00633C1C"/>
    <w:rsid w:val="006C4585"/>
    <w:rsid w:val="00712E81"/>
    <w:rsid w:val="007218AB"/>
    <w:rsid w:val="007610C2"/>
    <w:rsid w:val="007775A1"/>
    <w:rsid w:val="007C567C"/>
    <w:rsid w:val="007D68F8"/>
    <w:rsid w:val="00812D9B"/>
    <w:rsid w:val="0085790B"/>
    <w:rsid w:val="008A6557"/>
    <w:rsid w:val="00904AD4"/>
    <w:rsid w:val="009125D9"/>
    <w:rsid w:val="0094398E"/>
    <w:rsid w:val="009F60BD"/>
    <w:rsid w:val="00A1673D"/>
    <w:rsid w:val="00A2227B"/>
    <w:rsid w:val="00A224A3"/>
    <w:rsid w:val="00A51DA2"/>
    <w:rsid w:val="00A677EA"/>
    <w:rsid w:val="00A916CC"/>
    <w:rsid w:val="00AA5418"/>
    <w:rsid w:val="00AF7153"/>
    <w:rsid w:val="00B14EF1"/>
    <w:rsid w:val="00B36EFE"/>
    <w:rsid w:val="00B65F70"/>
    <w:rsid w:val="00B94F8B"/>
    <w:rsid w:val="00BC6A3B"/>
    <w:rsid w:val="00C11189"/>
    <w:rsid w:val="00C1771D"/>
    <w:rsid w:val="00C17A00"/>
    <w:rsid w:val="00C374A1"/>
    <w:rsid w:val="00CC723A"/>
    <w:rsid w:val="00CF73E4"/>
    <w:rsid w:val="00D06772"/>
    <w:rsid w:val="00D17CD0"/>
    <w:rsid w:val="00D36C75"/>
    <w:rsid w:val="00D425B6"/>
    <w:rsid w:val="00DA6B61"/>
    <w:rsid w:val="00DB174D"/>
    <w:rsid w:val="00DE33A5"/>
    <w:rsid w:val="00DE6EE0"/>
    <w:rsid w:val="00E21049"/>
    <w:rsid w:val="00E7311C"/>
    <w:rsid w:val="00EC1EDD"/>
    <w:rsid w:val="00EC6E97"/>
    <w:rsid w:val="00ED217E"/>
    <w:rsid w:val="00F1457B"/>
    <w:rsid w:val="00F91DB4"/>
    <w:rsid w:val="00FB2110"/>
    <w:rsid w:val="00FD4653"/>
    <w:rsid w:val="00FE3775"/>
    <w:rsid w:val="00FE3FA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00E6"/>
  <w15:docId w15:val="{FCD21500-AF34-4C6B-A13C-C28ABEBB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872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91D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3F9"/>
    <w:pPr>
      <w:spacing w:after="0" w:line="240" w:lineRule="auto"/>
    </w:pPr>
  </w:style>
  <w:style w:type="paragraph" w:customStyle="1" w:styleId="1tekst">
    <w:name w:val="_1tekst"/>
    <w:basedOn w:val="Normal"/>
    <w:rsid w:val="00FE3FAE"/>
    <w:pPr>
      <w:spacing w:after="0" w:line="240" w:lineRule="auto"/>
      <w:ind w:left="150" w:right="150" w:firstLine="240"/>
      <w:jc w:val="both"/>
    </w:pPr>
    <w:rPr>
      <w:rFonts w:ascii="Tahoma" w:eastAsia="Times New Roman" w:hAnsi="Tahoma" w:cs="Tahoma"/>
      <w:sz w:val="23"/>
      <w:szCs w:val="23"/>
      <w:lang w:eastAsia="sr-Latn-ME"/>
    </w:rPr>
  </w:style>
  <w:style w:type="character" w:styleId="Hyperlink">
    <w:name w:val="Hyperlink"/>
    <w:basedOn w:val="DefaultParagraphFont"/>
    <w:uiPriority w:val="99"/>
    <w:semiHidden/>
    <w:unhideWhenUsed/>
    <w:rsid w:val="000E5704"/>
    <w:rPr>
      <w:color w:val="0563C1"/>
      <w:u w:val="single"/>
    </w:rPr>
  </w:style>
  <w:style w:type="character" w:customStyle="1" w:styleId="Heading3Char">
    <w:name w:val="Heading 3 Char"/>
    <w:basedOn w:val="DefaultParagraphFont"/>
    <w:link w:val="Heading3"/>
    <w:uiPriority w:val="9"/>
    <w:rsid w:val="0018729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91DB4"/>
    <w:rPr>
      <w:rFonts w:asciiTheme="majorHAnsi" w:eastAsiaTheme="majorEastAsia" w:hAnsiTheme="majorHAnsi" w:cstheme="majorBidi"/>
      <w:color w:val="365F91" w:themeColor="accent1" w:themeShade="BF"/>
    </w:rPr>
  </w:style>
  <w:style w:type="paragraph" w:customStyle="1" w:styleId="no0020spacing">
    <w:name w:val="no_0020spacing"/>
    <w:basedOn w:val="Normal"/>
    <w:rsid w:val="004D34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0020spacingchar">
    <w:name w:val="no_0020spacing__char"/>
    <w:basedOn w:val="DefaultParagraphFont"/>
    <w:rsid w:val="004D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514">
      <w:bodyDiv w:val="1"/>
      <w:marLeft w:val="0"/>
      <w:marRight w:val="0"/>
      <w:marTop w:val="0"/>
      <w:marBottom w:val="0"/>
      <w:divBdr>
        <w:top w:val="none" w:sz="0" w:space="0" w:color="auto"/>
        <w:left w:val="none" w:sz="0" w:space="0" w:color="auto"/>
        <w:bottom w:val="none" w:sz="0" w:space="0" w:color="auto"/>
        <w:right w:val="none" w:sz="0" w:space="0" w:color="auto"/>
      </w:divBdr>
      <w:divsChild>
        <w:div w:id="1892157002">
          <w:marLeft w:val="0"/>
          <w:marRight w:val="0"/>
          <w:marTop w:val="0"/>
          <w:marBottom w:val="0"/>
          <w:divBdr>
            <w:top w:val="none" w:sz="0" w:space="0" w:color="auto"/>
            <w:left w:val="none" w:sz="0" w:space="0" w:color="auto"/>
            <w:bottom w:val="none" w:sz="0" w:space="0" w:color="auto"/>
            <w:right w:val="none" w:sz="0" w:space="0" w:color="auto"/>
          </w:divBdr>
        </w:div>
        <w:div w:id="109080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Mubera Kurpejovic</dc:creator>
  <cp:lastModifiedBy>Milica Zizic</cp:lastModifiedBy>
  <cp:revision>12</cp:revision>
  <dcterms:created xsi:type="dcterms:W3CDTF">2024-10-28T10:06:00Z</dcterms:created>
  <dcterms:modified xsi:type="dcterms:W3CDTF">2024-10-28T12:34:00Z</dcterms:modified>
</cp:coreProperties>
</file>