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28" w:rsidRDefault="00022028" w:rsidP="006620E1">
      <w:pPr>
        <w:jc w:val="both"/>
      </w:pPr>
      <w:r>
        <w:t xml:space="preserve">U skladu sa odredbom člana 13 Uredbe o izboru predstavnika nevladinih organizacija u radna tijela organa državne uprave i sprovođenju javne rasprave u pripremi zakona i strategija („Službeni list </w:t>
      </w:r>
      <w:proofErr w:type="gramStart"/>
      <w:r>
        <w:t>CG“</w:t>
      </w:r>
      <w:proofErr w:type="gramEnd"/>
      <w:r>
        <w:t>, broj 41/18), Ministarstvo pravde sačinilo je</w:t>
      </w:r>
    </w:p>
    <w:p w:rsidR="006620E1" w:rsidRDefault="006620E1" w:rsidP="006620E1">
      <w:pPr>
        <w:jc w:val="both"/>
      </w:pPr>
    </w:p>
    <w:p w:rsidR="00022028" w:rsidRDefault="00022028" w:rsidP="00022028">
      <w:pPr>
        <w:jc w:val="center"/>
      </w:pPr>
      <w:r>
        <w:t xml:space="preserve">IZVJEŠTAJ O OBAVLJENOM KONSULTOVANJU ZAINTERESOVANE JAVNOSTI ZA IZRADU PREDLOGA ZAKONA O </w:t>
      </w:r>
      <w:r w:rsidR="00782C9B">
        <w:t xml:space="preserve">IZMJENAMA I DOPUNAMA ZAKONA O </w:t>
      </w:r>
      <w:r w:rsidR="00960012">
        <w:t>SUDSKOM SAVJETU I SUDIJAMA</w:t>
      </w:r>
    </w:p>
    <w:p w:rsidR="00022028" w:rsidRDefault="00022028" w:rsidP="00022028">
      <w:pPr>
        <w:jc w:val="both"/>
      </w:pPr>
      <w:r w:rsidRPr="00022028">
        <w:t>U skladu sa odredbom člana 12 Uredbe o izboru predstavnika nevladinih organizacija u radna tijela organa državne uprave i sprovođenju javne rasprave u pripremi zakona i strategija („Službeni list CG“, broj 41/18), Ministarstvo pravde uputilo je Javni poziv građanima, stručnim i naučnim institucijama, državnim organima, strukovnim udruženjima, političkim strankama, nevladinim organizacijama, medijima i drugim zainteresovanim organima, organizacijama, udruženjima i pojedincima (zainteresovana javnost) da se uključe u postupak pripreme Predloga zakona o</w:t>
      </w:r>
      <w:r w:rsidR="00473F77">
        <w:t xml:space="preserve"> </w:t>
      </w:r>
      <w:r w:rsidR="00782C9B">
        <w:t xml:space="preserve">izmjenama i dopunama Zakona o </w:t>
      </w:r>
      <w:r w:rsidR="00960012">
        <w:t>Sudskom savjetu i sudijama</w:t>
      </w:r>
      <w:r w:rsidR="00782C9B">
        <w:t>.</w:t>
      </w:r>
    </w:p>
    <w:p w:rsidR="00022028" w:rsidRDefault="00022028" w:rsidP="00022028">
      <w:pPr>
        <w:jc w:val="both"/>
      </w:pPr>
      <w:r w:rsidRPr="00022028">
        <w:t>Zainteresovana javnost</w:t>
      </w:r>
      <w:r w:rsidR="0017774B">
        <w:t xml:space="preserve"> bila je</w:t>
      </w:r>
      <w:r w:rsidRPr="00022028">
        <w:t xml:space="preserve"> pozvana da dostavi svoje inicijative, predloge, sugestije i komentare u pisanom i elektronskom obliku Ministarstvu pravde na adresu: Podgorica, Vuka Karadžića 3, ili na e-mail: </w:t>
      </w:r>
      <w:hyperlink r:id="rId5" w:history="1">
        <w:r w:rsidRPr="0079668C">
          <w:rPr>
            <w:rStyle w:val="Hyperlink"/>
          </w:rPr>
          <w:t>sladjana.ivanovic@mpa.gov.me</w:t>
        </w:r>
      </w:hyperlink>
      <w:r w:rsidRPr="00022028">
        <w:t>.</w:t>
      </w:r>
    </w:p>
    <w:p w:rsidR="00022028" w:rsidRDefault="00022028" w:rsidP="00022028">
      <w:pPr>
        <w:jc w:val="both"/>
      </w:pPr>
      <w:r w:rsidRPr="00022028">
        <w:t xml:space="preserve">Konsultacije zainteresovane javnosti u početnoj fazi pripreme Predloga zakona </w:t>
      </w:r>
      <w:r w:rsidR="00782C9B" w:rsidRPr="00022028">
        <w:t>o</w:t>
      </w:r>
      <w:r w:rsidR="00782C9B">
        <w:t xml:space="preserve"> izmjenama i dopunama Zakona o</w:t>
      </w:r>
      <w:r w:rsidR="00960012">
        <w:t xml:space="preserve"> Sudskom savjetu i sudijama</w:t>
      </w:r>
      <w:r w:rsidRPr="00022028">
        <w:t>, trajale su 20 dana od dana objavljivanja javnog poziva na internet stranici Ministarstva pravde</w:t>
      </w:r>
      <w:r w:rsidR="00587666">
        <w:t>.</w:t>
      </w:r>
    </w:p>
    <w:p w:rsidR="00022028" w:rsidRDefault="00022028" w:rsidP="00022028">
      <w:pPr>
        <w:jc w:val="both"/>
      </w:pPr>
      <w:r w:rsidRPr="00022028">
        <w:t xml:space="preserve">Lice zaduženo za koordinaciju konsultovanja zainteresovane javnosti bila je Slađana </w:t>
      </w:r>
      <w:r w:rsidR="00587666">
        <w:t>Janković</w:t>
      </w:r>
      <w:r w:rsidRPr="00022028">
        <w:t>, samostalni savjetnik u Direkciji za organizaciju pravosuđa.</w:t>
      </w:r>
    </w:p>
    <w:p w:rsidR="00960012" w:rsidRPr="00960012" w:rsidRDefault="00022028" w:rsidP="00960012">
      <w:pPr>
        <w:pStyle w:val="NormalWeb"/>
        <w:rPr>
          <w:rFonts w:asciiTheme="minorHAnsi" w:eastAsiaTheme="minorHAnsi" w:hAnsiTheme="minorHAnsi" w:cstheme="minorBidi"/>
          <w:sz w:val="22"/>
          <w:szCs w:val="22"/>
        </w:rPr>
      </w:pPr>
      <w:r w:rsidRPr="00960012">
        <w:rPr>
          <w:rFonts w:asciiTheme="minorHAnsi" w:eastAsiaTheme="minorHAnsi" w:hAnsiTheme="minorHAnsi" w:cstheme="minorBidi"/>
          <w:sz w:val="22"/>
          <w:szCs w:val="22"/>
        </w:rPr>
        <w:t xml:space="preserve">U periodu određenom za konsultovanje zainteresovane javnosti, </w:t>
      </w:r>
      <w:r w:rsidR="00960012" w:rsidRPr="00960012">
        <w:rPr>
          <w:rFonts w:asciiTheme="minorHAnsi" w:eastAsiaTheme="minorHAnsi" w:hAnsiTheme="minorHAnsi" w:cstheme="minorBidi"/>
          <w:sz w:val="22"/>
          <w:szCs w:val="22"/>
        </w:rPr>
        <w:t>u predviđenom roku, primjedbe, predloge i sugestije dostavili su:</w:t>
      </w:r>
    </w:p>
    <w:p w:rsidR="00D8052C" w:rsidRDefault="00960012" w:rsidP="00960012">
      <w:pPr>
        <w:pStyle w:val="NormalWeb"/>
        <w:rPr>
          <w:rFonts w:asciiTheme="minorHAnsi" w:eastAsiaTheme="minorHAnsi" w:hAnsiTheme="minorHAnsi" w:cstheme="minorBidi"/>
          <w:sz w:val="22"/>
          <w:szCs w:val="22"/>
        </w:rPr>
      </w:pPr>
      <w:r w:rsidRPr="00960012">
        <w:rPr>
          <w:rFonts w:asciiTheme="minorHAnsi" w:eastAsiaTheme="minorHAnsi" w:hAnsiTheme="minorHAnsi" w:cstheme="minorBidi"/>
          <w:sz w:val="22"/>
          <w:szCs w:val="22"/>
        </w:rPr>
        <w:t xml:space="preserve">– NVO Akcija za socijalnu pravdu; </w:t>
      </w:r>
    </w:p>
    <w:p w:rsidR="007F14DD" w:rsidRDefault="00960012" w:rsidP="007F14DD">
      <w:pPr>
        <w:pStyle w:val="NormalWeb"/>
        <w:rPr>
          <w:rFonts w:asciiTheme="minorHAnsi" w:eastAsiaTheme="minorHAnsi" w:hAnsiTheme="minorHAnsi" w:cstheme="minorBidi"/>
          <w:sz w:val="22"/>
          <w:szCs w:val="22"/>
        </w:rPr>
      </w:pPr>
      <w:r w:rsidRPr="00960012">
        <w:rPr>
          <w:rFonts w:asciiTheme="minorHAnsi" w:eastAsiaTheme="minorHAnsi" w:hAnsiTheme="minorHAnsi" w:cstheme="minorBidi"/>
          <w:sz w:val="22"/>
          <w:szCs w:val="22"/>
        </w:rPr>
        <w:t xml:space="preserve"> – sudije krivičnog odjeljenja Višeg suda u Podgorici</w:t>
      </w:r>
      <w:r w:rsidR="007F14DD">
        <w:rPr>
          <w:rFonts w:asciiTheme="minorHAnsi" w:eastAsiaTheme="minorHAnsi" w:hAnsiTheme="minorHAnsi" w:cstheme="minorBidi"/>
          <w:sz w:val="22"/>
          <w:szCs w:val="22"/>
        </w:rPr>
        <w:t>;</w:t>
      </w:r>
    </w:p>
    <w:p w:rsidR="007F14DD" w:rsidRDefault="007F14DD" w:rsidP="007F14DD">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-Mirko Kojović, sudija Osnovnog suda u Nikšiću.</w:t>
      </w:r>
    </w:p>
    <w:p w:rsidR="007F14DD" w:rsidRPr="00960012" w:rsidRDefault="007F14DD" w:rsidP="007F14DD">
      <w:pPr>
        <w:pStyle w:val="NormalWeb"/>
        <w:rPr>
          <w:rFonts w:asciiTheme="minorHAnsi" w:eastAsiaTheme="minorHAnsi" w:hAnsiTheme="minorHAnsi" w:cstheme="minorBidi"/>
          <w:sz w:val="22"/>
          <w:szCs w:val="22"/>
        </w:rPr>
      </w:pPr>
    </w:p>
    <w:p w:rsidR="00960012" w:rsidRPr="00D8052C" w:rsidRDefault="00960012" w:rsidP="00960012">
      <w:pPr>
        <w:pStyle w:val="NormalWeb"/>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Rezime dostavljenih primjedbi, predloga i sugestija:</w:t>
      </w:r>
    </w:p>
    <w:p w:rsidR="00960012" w:rsidRDefault="00960012" w:rsidP="00C22444">
      <w:pPr>
        <w:pStyle w:val="NormalWeb"/>
        <w:numPr>
          <w:ilvl w:val="0"/>
          <w:numId w:val="1"/>
        </w:numP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Primjedbe i predlozi NVO Akcija za socijalnu pravdu</w:t>
      </w:r>
    </w:p>
    <w:tbl>
      <w:tblPr>
        <w:tblStyle w:val="TableGrid"/>
        <w:tblW w:w="0" w:type="auto"/>
        <w:tblInd w:w="360" w:type="dxa"/>
        <w:tblLook w:val="04A0" w:firstRow="1" w:lastRow="0" w:firstColumn="1" w:lastColumn="0" w:noHBand="0" w:noVBand="1"/>
      </w:tblPr>
      <w:tblGrid>
        <w:gridCol w:w="4135"/>
        <w:gridCol w:w="4855"/>
      </w:tblGrid>
      <w:tr w:rsidR="006D259E" w:rsidTr="006D259E">
        <w:tc>
          <w:tcPr>
            <w:tcW w:w="4135" w:type="dxa"/>
          </w:tcPr>
          <w:p w:rsidR="00C22444" w:rsidRPr="00C22444" w:rsidRDefault="00E80D30" w:rsidP="00C22444">
            <w:pPr>
              <w:pStyle w:val="NormalWeb"/>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Član zakona</w:t>
            </w:r>
          </w:p>
        </w:tc>
        <w:tc>
          <w:tcPr>
            <w:tcW w:w="4855" w:type="dxa"/>
          </w:tcPr>
          <w:p w:rsidR="00C22444" w:rsidRPr="00C22444" w:rsidRDefault="00E80D30" w:rsidP="00C22444">
            <w:pPr>
              <w:pStyle w:val="NormalWeb"/>
              <w:jc w:val="center"/>
              <w:rPr>
                <w:rFonts w:asciiTheme="minorHAnsi" w:eastAsiaTheme="minorHAnsi" w:hAnsiTheme="minorHAnsi" w:cstheme="minorBidi"/>
                <w:b/>
                <w:sz w:val="22"/>
                <w:szCs w:val="22"/>
              </w:rPr>
            </w:pPr>
            <w:r w:rsidRPr="00C22444">
              <w:rPr>
                <w:rFonts w:asciiTheme="minorHAnsi" w:eastAsiaTheme="minorHAnsi" w:hAnsiTheme="minorHAnsi" w:cstheme="minorBidi"/>
                <w:b/>
                <w:sz w:val="22"/>
                <w:szCs w:val="22"/>
              </w:rPr>
              <w:t>Predlog izmjen</w:t>
            </w:r>
            <w:r w:rsidR="00497E50">
              <w:rPr>
                <w:rFonts w:asciiTheme="minorHAnsi" w:eastAsiaTheme="minorHAnsi" w:hAnsiTheme="minorHAnsi" w:cstheme="minorBidi"/>
                <w:b/>
                <w:sz w:val="22"/>
                <w:szCs w:val="22"/>
              </w:rPr>
              <w:t>e/dopune</w:t>
            </w:r>
            <w:r w:rsidRPr="00C22444">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i o</w:t>
            </w:r>
            <w:r w:rsidR="00C22444" w:rsidRPr="00C22444">
              <w:rPr>
                <w:rFonts w:asciiTheme="minorHAnsi" w:eastAsiaTheme="minorHAnsi" w:hAnsiTheme="minorHAnsi" w:cstheme="minorBidi"/>
                <w:b/>
                <w:sz w:val="22"/>
                <w:szCs w:val="22"/>
              </w:rPr>
              <w:t>brazloženje</w:t>
            </w:r>
          </w:p>
        </w:tc>
      </w:tr>
      <w:tr w:rsidR="00C22444" w:rsidTr="006D259E">
        <w:trPr>
          <w:trHeight w:val="80"/>
        </w:trPr>
        <w:tc>
          <w:tcPr>
            <w:tcW w:w="4135" w:type="dxa"/>
          </w:tcPr>
          <w:p w:rsidR="00E80D30" w:rsidRDefault="00E80D30" w:rsidP="00E80D30">
            <w:pPr>
              <w:pStyle w:val="NormalWeb"/>
              <w:rPr>
                <w:rFonts w:asciiTheme="minorHAnsi" w:eastAsiaTheme="minorHAnsi" w:hAnsiTheme="minorHAnsi" w:cstheme="minorBidi"/>
                <w:sz w:val="22"/>
                <w:szCs w:val="22"/>
              </w:rPr>
            </w:pPr>
          </w:p>
          <w:p w:rsidR="00C22444" w:rsidRPr="00D8052C" w:rsidRDefault="00C22444" w:rsidP="00E80D30">
            <w:pPr>
              <w:pStyle w:val="NormalWeb"/>
              <w:jc w:val="cente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Član 2a</w:t>
            </w:r>
          </w:p>
          <w:p w:rsidR="00C22444" w:rsidRDefault="00C22444" w:rsidP="00C22444">
            <w:pPr>
              <w:pStyle w:val="NormalWeb"/>
              <w:jc w:val="right"/>
              <w:rPr>
                <w:rFonts w:asciiTheme="minorHAnsi" w:eastAsiaTheme="minorHAnsi" w:hAnsiTheme="minorHAnsi" w:cstheme="minorBidi"/>
                <w:sz w:val="22"/>
                <w:szCs w:val="22"/>
              </w:rPr>
            </w:pPr>
          </w:p>
        </w:tc>
        <w:tc>
          <w:tcPr>
            <w:tcW w:w="4855" w:type="dxa"/>
          </w:tcPr>
          <w:p w:rsidR="00E80D30" w:rsidRDefault="00E80D30" w:rsidP="00C22444">
            <w:pPr>
              <w:pStyle w:val="NormalWeb"/>
              <w:jc w:val="both"/>
              <w:rPr>
                <w:rFonts w:asciiTheme="minorHAnsi" w:eastAsiaTheme="minorHAnsi" w:hAnsiTheme="minorHAnsi" w:cstheme="minorBidi"/>
                <w:sz w:val="22"/>
                <w:szCs w:val="22"/>
              </w:rPr>
            </w:pPr>
          </w:p>
          <w:p w:rsidR="00C22444" w:rsidRDefault="00C22444" w:rsidP="00C22444">
            <w:pPr>
              <w:pStyle w:val="NormalWeb"/>
              <w:jc w:val="both"/>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 xml:space="preserve">Dostavljen je predlog za brisanje člana 2a kojim se uređuje pitanje materijalne nezavisnosti sudija, uz </w:t>
            </w:r>
            <w:r w:rsidRPr="00D8052C">
              <w:rPr>
                <w:rFonts w:asciiTheme="minorHAnsi" w:eastAsiaTheme="minorHAnsi" w:hAnsiTheme="minorHAnsi" w:cstheme="minorBidi"/>
                <w:sz w:val="22"/>
                <w:szCs w:val="22"/>
              </w:rPr>
              <w:lastRenderedPageBreak/>
              <w:t>obrazloženje da se pitanja zarada u javnom sektoru uređuju posebnim zakonima.</w:t>
            </w:r>
          </w:p>
          <w:p w:rsidR="00C22444" w:rsidRDefault="00C22444" w:rsidP="00C22444">
            <w:pPr>
              <w:pStyle w:val="NormalWeb"/>
              <w:jc w:val="center"/>
              <w:rPr>
                <w:rFonts w:asciiTheme="minorHAnsi" w:eastAsiaTheme="minorHAnsi" w:hAnsiTheme="minorHAnsi" w:cstheme="minorBidi"/>
                <w:sz w:val="22"/>
                <w:szCs w:val="22"/>
              </w:rPr>
            </w:pPr>
          </w:p>
        </w:tc>
      </w:tr>
      <w:tr w:rsidR="00C22444" w:rsidTr="006D259E">
        <w:trPr>
          <w:trHeight w:val="1700"/>
        </w:trPr>
        <w:tc>
          <w:tcPr>
            <w:tcW w:w="4135" w:type="dxa"/>
          </w:tcPr>
          <w:p w:rsidR="00C22444" w:rsidRDefault="00C22444" w:rsidP="00C22444">
            <w:pPr>
              <w:pStyle w:val="NormalWeb"/>
              <w:jc w:val="center"/>
              <w:rPr>
                <w:rFonts w:asciiTheme="minorHAnsi" w:eastAsiaTheme="minorHAnsi" w:hAnsiTheme="minorHAnsi" w:cstheme="minorBidi"/>
                <w:sz w:val="22"/>
                <w:szCs w:val="22"/>
              </w:rPr>
            </w:pPr>
          </w:p>
          <w:p w:rsidR="00C22444" w:rsidRPr="00D8052C" w:rsidRDefault="00C22444" w:rsidP="00C22444">
            <w:pPr>
              <w:pStyle w:val="NormalWeb"/>
              <w:jc w:val="cente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Član 3 stav 3</w:t>
            </w:r>
          </w:p>
          <w:p w:rsidR="00C22444" w:rsidRDefault="00C22444" w:rsidP="00C22444">
            <w:pPr>
              <w:pStyle w:val="NormalWeb"/>
              <w:jc w:val="center"/>
              <w:rPr>
                <w:rFonts w:asciiTheme="minorHAnsi" w:eastAsiaTheme="minorHAnsi" w:hAnsiTheme="minorHAnsi" w:cstheme="minorBidi"/>
                <w:sz w:val="22"/>
                <w:szCs w:val="22"/>
              </w:rPr>
            </w:pPr>
          </w:p>
          <w:p w:rsidR="00C22444" w:rsidRDefault="00C22444" w:rsidP="00C22444">
            <w:pPr>
              <w:pStyle w:val="NormalWeb"/>
              <w:jc w:val="center"/>
              <w:rPr>
                <w:rFonts w:asciiTheme="minorHAnsi" w:eastAsiaTheme="minorHAnsi" w:hAnsiTheme="minorHAnsi" w:cstheme="minorBidi"/>
                <w:sz w:val="22"/>
                <w:szCs w:val="22"/>
              </w:rPr>
            </w:pPr>
          </w:p>
        </w:tc>
        <w:tc>
          <w:tcPr>
            <w:tcW w:w="4855" w:type="dxa"/>
          </w:tcPr>
          <w:p w:rsidR="00C22444" w:rsidRPr="00D8052C" w:rsidRDefault="008068C8" w:rsidP="00C22444">
            <w:pPr>
              <w:pStyle w:val="NormalWeb"/>
              <w:jc w:val="both"/>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 xml:space="preserve">Predloženo je brisanje ili preciznije normiranje odredbe koja se odnosi na nacionalnu i rodno balansiranu zastupljenost prilikom izbora članova Sudskog savjeta, uz obrazloženje da formulacija „vodi se </w:t>
            </w:r>
            <w:proofErr w:type="gramStart"/>
            <w:r w:rsidRPr="00D8052C">
              <w:rPr>
                <w:rFonts w:asciiTheme="minorHAnsi" w:eastAsiaTheme="minorHAnsi" w:hAnsiTheme="minorHAnsi" w:cstheme="minorBidi"/>
                <w:sz w:val="22"/>
                <w:szCs w:val="22"/>
              </w:rPr>
              <w:t>računa“ daje</w:t>
            </w:r>
            <w:proofErr w:type="gramEnd"/>
            <w:r w:rsidRPr="00D8052C">
              <w:rPr>
                <w:rFonts w:asciiTheme="minorHAnsi" w:eastAsiaTheme="minorHAnsi" w:hAnsiTheme="minorHAnsi" w:cstheme="minorBidi"/>
                <w:sz w:val="22"/>
                <w:szCs w:val="22"/>
              </w:rPr>
              <w:t xml:space="preserve"> proizvoljan karakter.</w:t>
            </w:r>
          </w:p>
        </w:tc>
      </w:tr>
      <w:tr w:rsidR="008068C8" w:rsidTr="006D259E">
        <w:trPr>
          <w:trHeight w:val="1700"/>
        </w:trPr>
        <w:tc>
          <w:tcPr>
            <w:tcW w:w="4135" w:type="dxa"/>
          </w:tcPr>
          <w:p w:rsidR="008068C8" w:rsidRDefault="008068C8" w:rsidP="008068C8">
            <w:pPr>
              <w:pStyle w:val="NormalWeb"/>
              <w:jc w:val="center"/>
              <w:rPr>
                <w:rFonts w:asciiTheme="minorHAnsi" w:eastAsiaTheme="minorHAnsi" w:hAnsiTheme="minorHAnsi" w:cstheme="minorBidi"/>
                <w:sz w:val="22"/>
                <w:szCs w:val="22"/>
              </w:rPr>
            </w:pPr>
          </w:p>
          <w:p w:rsidR="008068C8" w:rsidRPr="00D8052C" w:rsidRDefault="008068C8" w:rsidP="008068C8">
            <w:pPr>
              <w:pStyle w:val="NormalWeb"/>
              <w:jc w:val="cente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Član 12</w:t>
            </w:r>
            <w:r>
              <w:rPr>
                <w:rFonts w:asciiTheme="minorHAnsi" w:eastAsiaTheme="minorHAnsi" w:hAnsiTheme="minorHAnsi" w:cstheme="minorBidi"/>
                <w:sz w:val="22"/>
                <w:szCs w:val="22"/>
              </w:rPr>
              <w:t xml:space="preserve"> stav 1 alineja 1</w:t>
            </w:r>
          </w:p>
          <w:p w:rsidR="008068C8" w:rsidRDefault="008068C8" w:rsidP="008068C8">
            <w:pPr>
              <w:pStyle w:val="NormalWeb"/>
              <w:jc w:val="right"/>
              <w:rPr>
                <w:rFonts w:asciiTheme="minorHAnsi" w:eastAsiaTheme="minorHAnsi" w:hAnsiTheme="minorHAnsi" w:cstheme="minorBidi"/>
                <w:sz w:val="22"/>
                <w:szCs w:val="22"/>
              </w:rPr>
            </w:pPr>
          </w:p>
        </w:tc>
        <w:tc>
          <w:tcPr>
            <w:tcW w:w="4855" w:type="dxa"/>
          </w:tcPr>
          <w:p w:rsidR="008068C8" w:rsidRPr="00D8052C" w:rsidRDefault="008068C8" w:rsidP="00C22444">
            <w:pPr>
              <w:pStyle w:val="NormalWeb"/>
              <w:jc w:val="both"/>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 xml:space="preserve">Dostavljen </w:t>
            </w:r>
            <w:r>
              <w:rPr>
                <w:rFonts w:asciiTheme="minorHAnsi" w:eastAsiaTheme="minorHAnsi" w:hAnsiTheme="minorHAnsi" w:cstheme="minorBidi"/>
                <w:sz w:val="22"/>
                <w:szCs w:val="22"/>
              </w:rPr>
              <w:t xml:space="preserve">je predlog da se riječ “tri” zamijeni sa riječju “dva”, a u alineji 2 riječ “jedan” zamijeni sa riječju “dva”. </w:t>
            </w:r>
            <w:r w:rsidRPr="00C22444">
              <w:rPr>
                <w:rFonts w:asciiTheme="minorHAnsi" w:eastAsiaTheme="minorHAnsi" w:hAnsiTheme="minorHAnsi" w:cstheme="minorBidi"/>
                <w:sz w:val="22"/>
                <w:szCs w:val="22"/>
              </w:rPr>
              <w:t xml:space="preserve">Rješenje se predlaže, jer nije opravdano da sudovi viših instanci imaju tri člana Sudskog savjeta, </w:t>
            </w:r>
            <w:proofErr w:type="gramStart"/>
            <w:r w:rsidRPr="00C22444">
              <w:rPr>
                <w:rFonts w:asciiTheme="minorHAnsi" w:eastAsiaTheme="minorHAnsi" w:hAnsiTheme="minorHAnsi" w:cstheme="minorBidi"/>
                <w:sz w:val="22"/>
                <w:szCs w:val="22"/>
              </w:rPr>
              <w:t>a</w:t>
            </w:r>
            <w:proofErr w:type="gramEnd"/>
            <w:r w:rsidRPr="00C22444">
              <w:rPr>
                <w:rFonts w:asciiTheme="minorHAnsi" w:eastAsiaTheme="minorHAnsi" w:hAnsiTheme="minorHAnsi" w:cstheme="minorBidi"/>
                <w:sz w:val="22"/>
                <w:szCs w:val="22"/>
              </w:rPr>
              <w:t xml:space="preserve"> osnovni sudovi jednog člana.</w:t>
            </w:r>
          </w:p>
        </w:tc>
      </w:tr>
      <w:tr w:rsidR="008068C8" w:rsidTr="006D259E">
        <w:trPr>
          <w:trHeight w:val="1133"/>
        </w:trPr>
        <w:tc>
          <w:tcPr>
            <w:tcW w:w="4135" w:type="dxa"/>
          </w:tcPr>
          <w:p w:rsidR="008068C8" w:rsidRDefault="008068C8" w:rsidP="008068C8">
            <w:pPr>
              <w:pStyle w:val="NormalWeb"/>
              <w:jc w:val="center"/>
              <w:rPr>
                <w:rFonts w:asciiTheme="minorHAnsi" w:eastAsiaTheme="minorHAnsi" w:hAnsiTheme="minorHAnsi" w:cstheme="minorBidi"/>
                <w:sz w:val="22"/>
                <w:szCs w:val="22"/>
              </w:rPr>
            </w:pPr>
          </w:p>
          <w:p w:rsidR="008068C8" w:rsidRPr="00D8052C" w:rsidRDefault="008068C8" w:rsidP="008068C8">
            <w:pPr>
              <w:pStyle w:val="NormalWeb"/>
              <w:jc w:val="cente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Član 12</w:t>
            </w:r>
            <w:r>
              <w:rPr>
                <w:rFonts w:asciiTheme="minorHAnsi" w:eastAsiaTheme="minorHAnsi" w:hAnsiTheme="minorHAnsi" w:cstheme="minorBidi"/>
                <w:sz w:val="22"/>
                <w:szCs w:val="22"/>
              </w:rPr>
              <w:t xml:space="preserve"> stav 2 alineja 2</w:t>
            </w:r>
          </w:p>
          <w:p w:rsidR="008068C8" w:rsidRDefault="008068C8" w:rsidP="008068C8">
            <w:pPr>
              <w:pStyle w:val="NormalWeb"/>
              <w:jc w:val="center"/>
              <w:rPr>
                <w:rFonts w:asciiTheme="minorHAnsi" w:eastAsiaTheme="minorHAnsi" w:hAnsiTheme="minorHAnsi" w:cstheme="minorBidi"/>
                <w:sz w:val="22"/>
                <w:szCs w:val="22"/>
              </w:rPr>
            </w:pPr>
          </w:p>
        </w:tc>
        <w:tc>
          <w:tcPr>
            <w:tcW w:w="4855" w:type="dxa"/>
          </w:tcPr>
          <w:p w:rsidR="008068C8" w:rsidRPr="008068C8" w:rsidRDefault="008068C8" w:rsidP="008068C8">
            <w:pPr>
              <w:tabs>
                <w:tab w:val="left" w:pos="1005"/>
              </w:tabs>
              <w:jc w:val="both"/>
              <w:rPr>
                <w:lang w:val="sr-Latn-ME"/>
              </w:rPr>
            </w:pPr>
            <w:r w:rsidRPr="00D8052C">
              <w:t>Predloženo je</w:t>
            </w:r>
            <w:r>
              <w:t xml:space="preserve"> da se u </w:t>
            </w:r>
            <w:r w:rsidRPr="00C22444">
              <w:t>članu 12 stav 2 alineja 2 riječ „</w:t>
            </w:r>
            <w:proofErr w:type="gramStart"/>
            <w:r w:rsidRPr="00C22444">
              <w:t>pet“ zamijeni</w:t>
            </w:r>
            <w:proofErr w:type="gramEnd"/>
            <w:r w:rsidRPr="00C22444">
              <w:t xml:space="preserve"> sa „deset“.</w:t>
            </w:r>
            <w:r>
              <w:t xml:space="preserve"> </w:t>
            </w:r>
            <w:r>
              <w:rPr>
                <w:lang w:val="sr-Latn-ME"/>
              </w:rPr>
              <w:t>Rješenje se predlaže imajući u vidu ogroman stepen partitokratsko-interesnih odnosa u zemlji.</w:t>
            </w:r>
          </w:p>
        </w:tc>
      </w:tr>
      <w:tr w:rsidR="008068C8" w:rsidTr="006D259E">
        <w:trPr>
          <w:trHeight w:val="1700"/>
        </w:trPr>
        <w:tc>
          <w:tcPr>
            <w:tcW w:w="4135" w:type="dxa"/>
          </w:tcPr>
          <w:p w:rsidR="008068C8" w:rsidRDefault="008068C8" w:rsidP="008068C8">
            <w:pPr>
              <w:pStyle w:val="NormalWeb"/>
              <w:rPr>
                <w:rFonts w:asciiTheme="minorHAnsi" w:eastAsiaTheme="minorHAnsi" w:hAnsiTheme="minorHAnsi" w:cstheme="minorBidi"/>
                <w:sz w:val="22"/>
                <w:szCs w:val="22"/>
              </w:rPr>
            </w:pPr>
          </w:p>
          <w:p w:rsidR="008068C8" w:rsidRPr="00D8052C" w:rsidRDefault="008068C8" w:rsidP="008068C8">
            <w:pPr>
              <w:pStyle w:val="NormalWeb"/>
              <w:jc w:val="center"/>
              <w:rPr>
                <w:rFonts w:asciiTheme="minorHAnsi" w:eastAsiaTheme="minorHAnsi" w:hAnsiTheme="minorHAnsi" w:cstheme="minorBidi"/>
                <w:sz w:val="22"/>
                <w:szCs w:val="22"/>
              </w:rPr>
            </w:pPr>
            <w:r w:rsidRPr="00D8052C">
              <w:rPr>
                <w:rFonts w:asciiTheme="minorHAnsi" w:eastAsiaTheme="minorHAnsi" w:hAnsiTheme="minorHAnsi" w:cstheme="minorBidi"/>
                <w:sz w:val="22"/>
                <w:szCs w:val="22"/>
              </w:rPr>
              <w:t>Član 12</w:t>
            </w:r>
            <w:r>
              <w:rPr>
                <w:rFonts w:asciiTheme="minorHAnsi" w:eastAsiaTheme="minorHAnsi" w:hAnsiTheme="minorHAnsi" w:cstheme="minorBidi"/>
                <w:sz w:val="22"/>
                <w:szCs w:val="22"/>
              </w:rPr>
              <w:t xml:space="preserve"> stav 3</w:t>
            </w:r>
          </w:p>
          <w:p w:rsidR="008068C8" w:rsidRDefault="008068C8" w:rsidP="008068C8">
            <w:pPr>
              <w:pStyle w:val="NormalWeb"/>
              <w:jc w:val="both"/>
              <w:rPr>
                <w:rFonts w:asciiTheme="minorHAnsi" w:eastAsiaTheme="minorHAnsi" w:hAnsiTheme="minorHAnsi" w:cstheme="minorBidi"/>
                <w:sz w:val="22"/>
                <w:szCs w:val="22"/>
              </w:rPr>
            </w:pPr>
          </w:p>
        </w:tc>
        <w:tc>
          <w:tcPr>
            <w:tcW w:w="4855" w:type="dxa"/>
          </w:tcPr>
          <w:p w:rsidR="008068C8" w:rsidRPr="00C22444" w:rsidRDefault="008068C8" w:rsidP="008068C8">
            <w:pPr>
              <w:tabs>
                <w:tab w:val="left" w:pos="1005"/>
              </w:tabs>
              <w:jc w:val="both"/>
              <w:rPr>
                <w:lang w:val="sr-Latn-ME"/>
              </w:rPr>
            </w:pPr>
            <w:r>
              <w:t xml:space="preserve">Dostavljen je predlog da se </w:t>
            </w:r>
            <w:r w:rsidRPr="00C22444">
              <w:rPr>
                <w:lang w:val="sr-Latn-ME"/>
              </w:rPr>
              <w:t xml:space="preserve">riječi „za teže i najteže disciplinske </w:t>
            </w:r>
            <w:proofErr w:type="gramStart"/>
            <w:r w:rsidRPr="00C22444">
              <w:rPr>
                <w:lang w:val="sr-Latn-ME"/>
              </w:rPr>
              <w:t>prekršaje“ zamijen</w:t>
            </w:r>
            <w:r>
              <w:rPr>
                <w:lang w:val="sr-Latn-ME"/>
              </w:rPr>
              <w:t>e</w:t>
            </w:r>
            <w:proofErr w:type="gramEnd"/>
            <w:r w:rsidRPr="00C22444">
              <w:rPr>
                <w:lang w:val="sr-Latn-ME"/>
              </w:rPr>
              <w:t xml:space="preserve"> sa riječima „bilo koje vrste“.</w:t>
            </w:r>
            <w:r w:rsidRPr="00C22444">
              <w:t xml:space="preserve"> </w:t>
            </w:r>
            <w:r w:rsidRPr="00C22444">
              <w:rPr>
                <w:lang w:val="sr-Latn-ME"/>
              </w:rPr>
              <w:t xml:space="preserve"> Prednje iz razloga član Sudskog savjeta mora biti lice visokih moralnih i profesionalnih kvaliteta (član 3 stav 1 važećeg Zakona), a disciplinske sankcije bilo koje vrste ne doprinose zadovoljenju uslova visokog profesionalnog kvaliteta.</w:t>
            </w:r>
          </w:p>
          <w:p w:rsidR="008068C8" w:rsidRPr="00D8052C" w:rsidRDefault="008068C8" w:rsidP="008068C8">
            <w:pPr>
              <w:tabs>
                <w:tab w:val="left" w:pos="1005"/>
              </w:tabs>
              <w:jc w:val="both"/>
            </w:pPr>
          </w:p>
        </w:tc>
      </w:tr>
      <w:tr w:rsidR="008068C8" w:rsidTr="006D259E">
        <w:trPr>
          <w:trHeight w:val="1187"/>
        </w:trPr>
        <w:tc>
          <w:tcPr>
            <w:tcW w:w="4135" w:type="dxa"/>
          </w:tcPr>
          <w:p w:rsidR="008068C8" w:rsidRDefault="008068C8" w:rsidP="008068C8">
            <w:pPr>
              <w:pStyle w:val="NormalWeb"/>
              <w:jc w:val="center"/>
              <w:rPr>
                <w:rFonts w:asciiTheme="minorHAnsi" w:eastAsiaTheme="minorHAnsi" w:hAnsiTheme="minorHAnsi" w:cstheme="minorBidi"/>
                <w:sz w:val="22"/>
                <w:szCs w:val="22"/>
              </w:rPr>
            </w:pPr>
          </w:p>
          <w:p w:rsidR="008068C8" w:rsidRPr="008068C8" w:rsidRDefault="008068C8" w:rsidP="008068C8">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w:t>
            </w:r>
            <w:r w:rsidRPr="008068C8">
              <w:rPr>
                <w:rFonts w:asciiTheme="minorHAnsi" w:eastAsiaTheme="minorHAnsi" w:hAnsiTheme="minorHAnsi" w:cstheme="minorBidi"/>
                <w:sz w:val="22"/>
                <w:szCs w:val="22"/>
              </w:rPr>
              <w:t>lan</w:t>
            </w:r>
            <w:r>
              <w:rPr>
                <w:rFonts w:asciiTheme="minorHAnsi" w:eastAsiaTheme="minorHAnsi" w:hAnsiTheme="minorHAnsi" w:cstheme="minorBidi"/>
                <w:sz w:val="22"/>
                <w:szCs w:val="22"/>
              </w:rPr>
              <w:t xml:space="preserve"> </w:t>
            </w:r>
            <w:r w:rsidRPr="008068C8">
              <w:rPr>
                <w:rFonts w:asciiTheme="minorHAnsi" w:eastAsiaTheme="minorHAnsi" w:hAnsiTheme="minorHAnsi" w:cstheme="minorBidi"/>
                <w:sz w:val="22"/>
                <w:szCs w:val="22"/>
              </w:rPr>
              <w:t>15 stav 2</w:t>
            </w:r>
          </w:p>
        </w:tc>
        <w:tc>
          <w:tcPr>
            <w:tcW w:w="4855" w:type="dxa"/>
          </w:tcPr>
          <w:p w:rsidR="005D5154" w:rsidRPr="00391CFB" w:rsidRDefault="005D5154" w:rsidP="008068C8">
            <w:pPr>
              <w:tabs>
                <w:tab w:val="left" w:pos="1005"/>
              </w:tabs>
              <w:jc w:val="both"/>
            </w:pPr>
          </w:p>
          <w:p w:rsidR="008068C8" w:rsidRPr="008068C8" w:rsidRDefault="008068C8" w:rsidP="008068C8">
            <w:pPr>
              <w:tabs>
                <w:tab w:val="left" w:pos="1005"/>
              </w:tabs>
              <w:jc w:val="both"/>
            </w:pPr>
            <w:r>
              <w:rPr>
                <w:lang w:val="sr-Latn-ME"/>
              </w:rPr>
              <w:t>Predlaže se da se Konferencija sudija saziva najkasnije 60 dana prije isteka mandata članova Sudskog savjeta.</w:t>
            </w:r>
          </w:p>
        </w:tc>
      </w:tr>
      <w:tr w:rsidR="00391CFB" w:rsidTr="006D259E">
        <w:trPr>
          <w:trHeight w:val="1700"/>
        </w:trPr>
        <w:tc>
          <w:tcPr>
            <w:tcW w:w="4135" w:type="dxa"/>
          </w:tcPr>
          <w:p w:rsidR="00E80D30" w:rsidRDefault="00E80D30" w:rsidP="008068C8">
            <w:pPr>
              <w:pStyle w:val="NormalWeb"/>
              <w:jc w:val="center"/>
              <w:rPr>
                <w:rFonts w:asciiTheme="minorHAnsi" w:eastAsiaTheme="minorHAnsi" w:hAnsiTheme="minorHAnsi" w:cstheme="minorBidi"/>
                <w:sz w:val="22"/>
                <w:szCs w:val="22"/>
              </w:rPr>
            </w:pPr>
          </w:p>
          <w:p w:rsidR="00391CFB" w:rsidRDefault="00E80D30" w:rsidP="008068C8">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w:t>
            </w:r>
            <w:r w:rsidRPr="00E80D30">
              <w:rPr>
                <w:rFonts w:asciiTheme="minorHAnsi" w:eastAsiaTheme="minorHAnsi" w:hAnsiTheme="minorHAnsi" w:cstheme="minorBidi"/>
                <w:sz w:val="22"/>
                <w:szCs w:val="22"/>
              </w:rPr>
              <w:t xml:space="preserve">lan </w:t>
            </w:r>
            <w:proofErr w:type="gramStart"/>
            <w:r w:rsidRPr="00E80D30">
              <w:rPr>
                <w:rFonts w:asciiTheme="minorHAnsi" w:eastAsiaTheme="minorHAnsi" w:hAnsiTheme="minorHAnsi" w:cstheme="minorBidi"/>
                <w:sz w:val="22"/>
                <w:szCs w:val="22"/>
              </w:rPr>
              <w:t>16  stav</w:t>
            </w:r>
            <w:proofErr w:type="gramEnd"/>
            <w:r w:rsidRPr="00E80D30">
              <w:rPr>
                <w:rFonts w:asciiTheme="minorHAnsi" w:eastAsiaTheme="minorHAnsi" w:hAnsiTheme="minorHAnsi" w:cstheme="minorBidi"/>
                <w:sz w:val="22"/>
                <w:szCs w:val="22"/>
              </w:rPr>
              <w:t xml:space="preserve"> 2 alinej</w:t>
            </w:r>
            <w:r>
              <w:rPr>
                <w:rFonts w:asciiTheme="minorHAnsi" w:eastAsiaTheme="minorHAnsi" w:hAnsiTheme="minorHAnsi" w:cstheme="minorBidi"/>
                <w:sz w:val="22"/>
                <w:szCs w:val="22"/>
              </w:rPr>
              <w:t>a</w:t>
            </w:r>
            <w:r w:rsidRPr="00E80D30">
              <w:rPr>
                <w:rFonts w:asciiTheme="minorHAnsi" w:eastAsiaTheme="minorHAnsi" w:hAnsiTheme="minorHAnsi" w:cstheme="minorBidi"/>
                <w:sz w:val="22"/>
                <w:szCs w:val="22"/>
              </w:rPr>
              <w:t xml:space="preserve"> 2 </w:t>
            </w:r>
          </w:p>
        </w:tc>
        <w:tc>
          <w:tcPr>
            <w:tcW w:w="4855" w:type="dxa"/>
          </w:tcPr>
          <w:p w:rsidR="00391CFB" w:rsidRDefault="00E80D30" w:rsidP="008068C8">
            <w:pPr>
              <w:tabs>
                <w:tab w:val="left" w:pos="1005"/>
              </w:tabs>
              <w:jc w:val="both"/>
            </w:pPr>
            <w:r>
              <w:t>Dostavljen je predlog da se u</w:t>
            </w:r>
            <w:r w:rsidRPr="00E80D30">
              <w:t xml:space="preserve"> članu 16 u stavu 2 u alineji 2 riječ „</w:t>
            </w:r>
            <w:proofErr w:type="gramStart"/>
            <w:r w:rsidRPr="00E80D30">
              <w:t>pet“ zamijeniti</w:t>
            </w:r>
            <w:proofErr w:type="gramEnd"/>
            <w:r w:rsidRPr="00E80D30">
              <w:t xml:space="preserve"> sa riječju „deset“, a u alineji 3 riječ „osam“ zamijeniti riječju „osam“.Predložena izmjena u alineji 2 prati predloženu izmjenu za član 12 stav 2 alineja 2, dok se takođe predlaže da član Sudskog savjeta iz reda uglednih pravnika ne može biti birano lice koje je vršilo sudijsku ili tužilačku funkciju u poslednjih deset godina, a ne osam godina kako je propisano važećim zakonskim propisom</w:t>
            </w:r>
            <w:r>
              <w:t>.</w:t>
            </w:r>
          </w:p>
          <w:p w:rsidR="00497E50" w:rsidRPr="00391CFB" w:rsidRDefault="00497E50" w:rsidP="008068C8">
            <w:pPr>
              <w:tabs>
                <w:tab w:val="left" w:pos="1005"/>
              </w:tabs>
              <w:jc w:val="both"/>
            </w:pPr>
          </w:p>
        </w:tc>
      </w:tr>
      <w:tr w:rsidR="00E80D30" w:rsidTr="006D259E">
        <w:trPr>
          <w:trHeight w:val="1700"/>
        </w:trPr>
        <w:tc>
          <w:tcPr>
            <w:tcW w:w="4135" w:type="dxa"/>
          </w:tcPr>
          <w:p w:rsidR="00E80D30" w:rsidRDefault="00E80D30" w:rsidP="008068C8">
            <w:pPr>
              <w:pStyle w:val="NormalWeb"/>
              <w:jc w:val="center"/>
              <w:rPr>
                <w:rFonts w:asciiTheme="minorHAnsi" w:eastAsiaTheme="minorHAnsi" w:hAnsiTheme="minorHAnsi" w:cstheme="minorBidi"/>
                <w:sz w:val="22"/>
                <w:szCs w:val="22"/>
              </w:rPr>
            </w:pPr>
          </w:p>
          <w:p w:rsidR="00E80D30" w:rsidRDefault="00E80D30" w:rsidP="008068C8">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w:t>
            </w:r>
            <w:r w:rsidRPr="00E80D30">
              <w:rPr>
                <w:rFonts w:asciiTheme="minorHAnsi" w:eastAsiaTheme="minorHAnsi" w:hAnsiTheme="minorHAnsi" w:cstheme="minorBidi"/>
                <w:sz w:val="22"/>
                <w:szCs w:val="22"/>
              </w:rPr>
              <w:t>lan 16a stav</w:t>
            </w:r>
            <w:r>
              <w:rPr>
                <w:rFonts w:asciiTheme="minorHAnsi" w:eastAsiaTheme="minorHAnsi" w:hAnsiTheme="minorHAnsi" w:cstheme="minorBidi"/>
                <w:sz w:val="22"/>
                <w:szCs w:val="22"/>
              </w:rPr>
              <w:t xml:space="preserve"> 1</w:t>
            </w:r>
          </w:p>
        </w:tc>
        <w:tc>
          <w:tcPr>
            <w:tcW w:w="4855" w:type="dxa"/>
          </w:tcPr>
          <w:p w:rsidR="00E80D30" w:rsidRDefault="00E80D30" w:rsidP="008068C8">
            <w:pPr>
              <w:tabs>
                <w:tab w:val="left" w:pos="1005"/>
              </w:tabs>
              <w:jc w:val="both"/>
            </w:pPr>
          </w:p>
          <w:p w:rsidR="00E80D30" w:rsidRDefault="00E80D30" w:rsidP="008068C8">
            <w:pPr>
              <w:tabs>
                <w:tab w:val="left" w:pos="1005"/>
              </w:tabs>
              <w:jc w:val="both"/>
            </w:pPr>
            <w:r w:rsidRPr="00E80D30">
              <w:t>U članu 16a stav 1 riječ „</w:t>
            </w:r>
            <w:proofErr w:type="gramStart"/>
            <w:r w:rsidRPr="00E80D30">
              <w:t>četiri“ zamijeniti</w:t>
            </w:r>
            <w:proofErr w:type="gramEnd"/>
            <w:r w:rsidRPr="00E80D30">
              <w:t xml:space="preserve"> sa „šest“.</w:t>
            </w:r>
            <w:r>
              <w:t>R</w:t>
            </w:r>
            <w:r>
              <w:rPr>
                <w:lang w:val="sr-Latn-ME"/>
              </w:rPr>
              <w:t>ješenje se predlaže u cilju obezbjeđenja većeg vremenskog perioda kao optimalnijeg za provođenje javnog poziva i izbor članova.</w:t>
            </w:r>
          </w:p>
        </w:tc>
      </w:tr>
      <w:tr w:rsidR="00E80D30" w:rsidTr="006D259E">
        <w:trPr>
          <w:trHeight w:val="1700"/>
        </w:trPr>
        <w:tc>
          <w:tcPr>
            <w:tcW w:w="4135" w:type="dxa"/>
          </w:tcPr>
          <w:p w:rsidR="00E80D30" w:rsidRDefault="00E80D30" w:rsidP="00E80D30">
            <w:pPr>
              <w:pStyle w:val="NormalWeb"/>
              <w:jc w:val="center"/>
              <w:rPr>
                <w:rFonts w:asciiTheme="minorHAnsi" w:eastAsiaTheme="minorHAnsi" w:hAnsiTheme="minorHAnsi" w:cstheme="minorBidi"/>
                <w:sz w:val="22"/>
                <w:szCs w:val="22"/>
              </w:rPr>
            </w:pPr>
          </w:p>
          <w:p w:rsidR="00C74D6B" w:rsidRDefault="00C74D6B" w:rsidP="00E80D30">
            <w:pPr>
              <w:pStyle w:val="NormalWeb"/>
              <w:jc w:val="center"/>
              <w:rPr>
                <w:rFonts w:asciiTheme="minorHAnsi" w:eastAsiaTheme="minorHAnsi" w:hAnsiTheme="minorHAnsi" w:cstheme="minorBidi"/>
                <w:sz w:val="22"/>
                <w:szCs w:val="22"/>
              </w:rPr>
            </w:pPr>
          </w:p>
          <w:p w:rsidR="00E80D30" w:rsidRDefault="00E80D30" w:rsidP="00E80D30">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w:t>
            </w:r>
            <w:r w:rsidRPr="00E80D30">
              <w:rPr>
                <w:rFonts w:asciiTheme="minorHAnsi" w:eastAsiaTheme="minorHAnsi" w:hAnsiTheme="minorHAnsi" w:cstheme="minorBidi"/>
                <w:sz w:val="22"/>
                <w:szCs w:val="22"/>
              </w:rPr>
              <w:t>lan 20 stav 3</w:t>
            </w:r>
          </w:p>
        </w:tc>
        <w:tc>
          <w:tcPr>
            <w:tcW w:w="4855" w:type="dxa"/>
          </w:tcPr>
          <w:p w:rsidR="00E80D30" w:rsidRDefault="00E80D30" w:rsidP="008068C8">
            <w:pPr>
              <w:tabs>
                <w:tab w:val="left" w:pos="1005"/>
              </w:tabs>
              <w:jc w:val="both"/>
            </w:pPr>
            <w:r w:rsidRPr="00E80D30">
              <w:t xml:space="preserve">U članu 20 stav 3 izmijeniti tako da glasi „Djelo je krivično djelo za koje je propisana kazna </w:t>
            </w:r>
            <w:proofErr w:type="gramStart"/>
            <w:r w:rsidRPr="00E80D30">
              <w:t>zatvora“</w:t>
            </w:r>
            <w:proofErr w:type="gramEnd"/>
            <w:r w:rsidRPr="00E80D30">
              <w:t>, a u stavu 4 brisati riječi „za teže i najteže disciplinske prekršaje</w:t>
            </w:r>
            <w:r w:rsidR="00C74D6B">
              <w:t>.</w:t>
            </w:r>
          </w:p>
          <w:p w:rsidR="00C74D6B" w:rsidRDefault="00C74D6B" w:rsidP="00C74D6B">
            <w:pPr>
              <w:tabs>
                <w:tab w:val="left" w:pos="1005"/>
              </w:tabs>
              <w:jc w:val="both"/>
              <w:rPr>
                <w:lang w:val="sr-Latn-ME"/>
              </w:rPr>
            </w:pPr>
            <w:r>
              <w:rPr>
                <w:lang w:val="sr-Latn-ME"/>
              </w:rPr>
              <w:t>Rješenje se predlaže kao pooštrena norma, a zbog činjenice da članovi Sudskog savjeta moraju biti lica sa nesporno visokim moralnim i profesionalnim kvalitetima, te kada to bude dovedeno u pitanje mora uslijediti razrješenje.</w:t>
            </w:r>
          </w:p>
          <w:p w:rsidR="00C74D6B" w:rsidRDefault="00C74D6B" w:rsidP="008068C8">
            <w:pPr>
              <w:tabs>
                <w:tab w:val="left" w:pos="1005"/>
              </w:tabs>
              <w:jc w:val="both"/>
            </w:pPr>
          </w:p>
        </w:tc>
      </w:tr>
      <w:tr w:rsidR="00C74D6B" w:rsidTr="006D259E">
        <w:trPr>
          <w:trHeight w:val="1700"/>
        </w:trPr>
        <w:tc>
          <w:tcPr>
            <w:tcW w:w="4135" w:type="dxa"/>
          </w:tcPr>
          <w:p w:rsidR="00C74D6B" w:rsidRDefault="00C74D6B" w:rsidP="00E80D30">
            <w:pPr>
              <w:pStyle w:val="NormalWeb"/>
              <w:jc w:val="center"/>
              <w:rPr>
                <w:rFonts w:asciiTheme="minorHAnsi" w:eastAsiaTheme="minorHAnsi" w:hAnsiTheme="minorHAnsi" w:cstheme="minorBidi"/>
                <w:sz w:val="22"/>
                <w:szCs w:val="22"/>
              </w:rPr>
            </w:pPr>
          </w:p>
          <w:p w:rsidR="00C74D6B" w:rsidRDefault="00C74D6B" w:rsidP="00E80D30">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w:t>
            </w:r>
            <w:r w:rsidRPr="00C74D6B">
              <w:rPr>
                <w:rFonts w:asciiTheme="minorHAnsi" w:eastAsiaTheme="minorHAnsi" w:hAnsiTheme="minorHAnsi" w:cstheme="minorBidi"/>
                <w:sz w:val="22"/>
                <w:szCs w:val="22"/>
              </w:rPr>
              <w:t>lan 22 stav 1 tačka 3</w:t>
            </w:r>
          </w:p>
        </w:tc>
        <w:tc>
          <w:tcPr>
            <w:tcW w:w="4855" w:type="dxa"/>
          </w:tcPr>
          <w:p w:rsidR="00C74D6B" w:rsidRDefault="00C74D6B" w:rsidP="008068C8">
            <w:pPr>
              <w:tabs>
                <w:tab w:val="left" w:pos="1005"/>
              </w:tabs>
              <w:jc w:val="both"/>
            </w:pPr>
            <w:r w:rsidRPr="00C74D6B">
              <w:t>U članu 22 stav 1 tačka 3 riječ „</w:t>
            </w:r>
            <w:proofErr w:type="gramStart"/>
            <w:r w:rsidRPr="00C74D6B">
              <w:t>potvrdi“ zamijeniti</w:t>
            </w:r>
            <w:proofErr w:type="gramEnd"/>
            <w:r w:rsidRPr="00C74D6B">
              <w:t xml:space="preserve"> sa riječju „podigne“, a u članu 4 brisati riječi „za najteži disciplinski prekršaj“.</w:t>
            </w:r>
          </w:p>
          <w:p w:rsidR="00C74D6B" w:rsidRPr="00E80D30" w:rsidRDefault="00C74D6B" w:rsidP="008068C8">
            <w:pPr>
              <w:tabs>
                <w:tab w:val="left" w:pos="1005"/>
              </w:tabs>
              <w:jc w:val="both"/>
            </w:pPr>
            <w:r>
              <w:rPr>
                <w:lang w:val="sr-Latn-ME"/>
              </w:rPr>
              <w:t>Rješenje se predlaže kao pooštrena norma u skladu sa prethodno predloženih rješenja i obrazloženja.</w:t>
            </w:r>
          </w:p>
        </w:tc>
      </w:tr>
      <w:tr w:rsidR="00C74D6B" w:rsidTr="006620E1">
        <w:trPr>
          <w:trHeight w:val="3689"/>
        </w:trPr>
        <w:tc>
          <w:tcPr>
            <w:tcW w:w="4135" w:type="dxa"/>
          </w:tcPr>
          <w:p w:rsidR="00C74D6B" w:rsidRDefault="00C74D6B" w:rsidP="00E80D30">
            <w:pPr>
              <w:pStyle w:val="NormalWeb"/>
              <w:jc w:val="center"/>
              <w:rPr>
                <w:rFonts w:asciiTheme="minorHAnsi" w:eastAsiaTheme="minorHAnsi" w:hAnsiTheme="minorHAnsi" w:cstheme="minorBidi"/>
                <w:sz w:val="22"/>
                <w:szCs w:val="22"/>
              </w:rPr>
            </w:pPr>
          </w:p>
          <w:p w:rsidR="003F28D7" w:rsidRDefault="003F28D7" w:rsidP="00E80D30">
            <w:pPr>
              <w:pStyle w:val="NormalWeb"/>
              <w:jc w:val="center"/>
              <w:rPr>
                <w:rFonts w:asciiTheme="minorHAnsi" w:eastAsiaTheme="minorHAnsi" w:hAnsiTheme="minorHAnsi" w:cstheme="minorBidi"/>
                <w:sz w:val="22"/>
                <w:szCs w:val="22"/>
              </w:rPr>
            </w:pPr>
          </w:p>
          <w:p w:rsidR="003F28D7" w:rsidRDefault="003F28D7" w:rsidP="00E80D30">
            <w:pPr>
              <w:pStyle w:val="NormalWeb"/>
              <w:jc w:val="center"/>
              <w:rPr>
                <w:rFonts w:asciiTheme="minorHAnsi" w:eastAsiaTheme="minorHAnsi" w:hAnsiTheme="minorHAnsi" w:cstheme="minorBidi"/>
                <w:sz w:val="22"/>
                <w:szCs w:val="22"/>
              </w:rPr>
            </w:pPr>
          </w:p>
          <w:p w:rsidR="006620E1" w:rsidRDefault="00C74D6B" w:rsidP="003F28D7">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37</w:t>
            </w:r>
            <w:r w:rsidR="003F28D7">
              <w:rPr>
                <w:rFonts w:asciiTheme="minorHAnsi" w:eastAsiaTheme="minorHAnsi" w:hAnsiTheme="minorHAnsi" w:cstheme="minorBidi"/>
                <w:sz w:val="22"/>
                <w:szCs w:val="22"/>
              </w:rPr>
              <w:t xml:space="preserve"> i 38</w:t>
            </w:r>
          </w:p>
          <w:p w:rsidR="006620E1" w:rsidRPr="006620E1" w:rsidRDefault="006620E1" w:rsidP="006620E1"/>
          <w:p w:rsidR="003F28D7" w:rsidRPr="006620E1" w:rsidRDefault="003F28D7" w:rsidP="006620E1">
            <w:pPr>
              <w:tabs>
                <w:tab w:val="left" w:pos="2890"/>
              </w:tabs>
            </w:pPr>
          </w:p>
        </w:tc>
        <w:tc>
          <w:tcPr>
            <w:tcW w:w="4855" w:type="dxa"/>
          </w:tcPr>
          <w:p w:rsidR="00C74D6B" w:rsidRDefault="003F28D7" w:rsidP="008068C8">
            <w:pPr>
              <w:tabs>
                <w:tab w:val="left" w:pos="1005"/>
              </w:tabs>
              <w:jc w:val="both"/>
            </w:pPr>
            <w:r w:rsidRPr="003F28D7">
              <w:t>U dijelu zakona gdje su predviđeni uslovi za izbor sudija propisati da sudije prolaze obaveznu bezbjednosnu provjeru i provjeru imovnog stanja, kao i posebnim stavom propisati da lica koja se biraju za sudije ne mogu da budu donatori političkih partija, o čemu će prije izbora biti pribavljene informacije Agencije za sprječavanje korupcije</w:t>
            </w:r>
            <w:r>
              <w:t>.</w:t>
            </w:r>
          </w:p>
          <w:p w:rsidR="003F28D7" w:rsidRDefault="003F28D7" w:rsidP="008068C8">
            <w:pPr>
              <w:tabs>
                <w:tab w:val="left" w:pos="1005"/>
              </w:tabs>
              <w:jc w:val="both"/>
            </w:pPr>
          </w:p>
          <w:p w:rsidR="003F28D7" w:rsidRPr="00C74D6B" w:rsidRDefault="003F28D7" w:rsidP="008068C8">
            <w:pPr>
              <w:tabs>
                <w:tab w:val="left" w:pos="1005"/>
              </w:tabs>
              <w:jc w:val="both"/>
            </w:pPr>
            <w:r>
              <w:rPr>
                <w:lang w:val="sr-Latn-ME"/>
              </w:rPr>
              <w:t>Rješenje se predlaže u cilju potpune i neophodne provjere integriteta kandidata koji se biraju za sudijske funkcije, a takođe i zbog potrebe vraćanja povjerenja javnosti u crnogorski pravosudni sistem, a imajući u vidu da je to povjerenje na niskom nivou.</w:t>
            </w:r>
          </w:p>
        </w:tc>
      </w:tr>
      <w:tr w:rsidR="003F28D7" w:rsidTr="006D259E">
        <w:trPr>
          <w:trHeight w:val="1700"/>
        </w:trPr>
        <w:tc>
          <w:tcPr>
            <w:tcW w:w="4135" w:type="dxa"/>
          </w:tcPr>
          <w:p w:rsidR="003F28D7" w:rsidRDefault="003F28D7" w:rsidP="00E80D30">
            <w:pPr>
              <w:pStyle w:val="NormalWeb"/>
              <w:jc w:val="center"/>
              <w:rPr>
                <w:rFonts w:asciiTheme="minorHAnsi" w:eastAsiaTheme="minorHAnsi" w:hAnsiTheme="minorHAnsi" w:cstheme="minorBidi"/>
                <w:sz w:val="22"/>
                <w:szCs w:val="22"/>
              </w:rPr>
            </w:pPr>
          </w:p>
          <w:p w:rsidR="003F28D7" w:rsidRDefault="003F28D7" w:rsidP="00E80D30">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Član 49 stav 1</w:t>
            </w:r>
          </w:p>
        </w:tc>
        <w:tc>
          <w:tcPr>
            <w:tcW w:w="4855" w:type="dxa"/>
          </w:tcPr>
          <w:p w:rsidR="003F28D7" w:rsidRDefault="003F28D7" w:rsidP="008068C8">
            <w:pPr>
              <w:tabs>
                <w:tab w:val="left" w:pos="1005"/>
              </w:tabs>
              <w:jc w:val="both"/>
            </w:pPr>
            <w:r w:rsidRPr="003F28D7">
              <w:t>U članu 49 stav 1 broj „</w:t>
            </w:r>
            <w:proofErr w:type="gramStart"/>
            <w:r w:rsidRPr="003F28D7">
              <w:t>55“ zamijeniti</w:t>
            </w:r>
            <w:proofErr w:type="gramEnd"/>
            <w:r w:rsidRPr="003F28D7">
              <w:t xml:space="preserve"> sa brojem „65“.</w:t>
            </w:r>
          </w:p>
          <w:p w:rsidR="003F28D7" w:rsidRPr="003F28D7" w:rsidRDefault="003F28D7" w:rsidP="008068C8">
            <w:pPr>
              <w:tabs>
                <w:tab w:val="left" w:pos="1005"/>
              </w:tabs>
              <w:jc w:val="both"/>
            </w:pPr>
            <w:r w:rsidRPr="003F28D7">
              <w:t>Rješenje se predlaže iz razloga što treba pooštriti kriterijum za ostvarivanje broja bodova na pisanom testu, odnosno pravosudnom ispitu za lica koja se prijavljuju da postanu sudije.</w:t>
            </w:r>
          </w:p>
        </w:tc>
      </w:tr>
      <w:tr w:rsidR="003F28D7" w:rsidTr="006D259E">
        <w:trPr>
          <w:trHeight w:val="1700"/>
        </w:trPr>
        <w:tc>
          <w:tcPr>
            <w:tcW w:w="4135" w:type="dxa"/>
          </w:tcPr>
          <w:p w:rsidR="003F28D7" w:rsidRDefault="003F28D7" w:rsidP="00E80D30">
            <w:pPr>
              <w:pStyle w:val="NormalWeb"/>
              <w:jc w:val="center"/>
              <w:rPr>
                <w:rFonts w:asciiTheme="minorHAnsi" w:eastAsiaTheme="minorHAnsi" w:hAnsiTheme="minorHAnsi" w:cstheme="minorBidi"/>
                <w:sz w:val="22"/>
                <w:szCs w:val="22"/>
              </w:rPr>
            </w:pPr>
          </w:p>
          <w:p w:rsidR="003F28D7" w:rsidRDefault="003F28D7" w:rsidP="003F28D7">
            <w:pPr>
              <w:tabs>
                <w:tab w:val="left" w:pos="1299"/>
              </w:tabs>
            </w:pPr>
            <w:r>
              <w:tab/>
            </w:r>
          </w:p>
          <w:p w:rsidR="003F28D7" w:rsidRDefault="003F28D7" w:rsidP="003F28D7">
            <w:pPr>
              <w:tabs>
                <w:tab w:val="left" w:pos="1299"/>
              </w:tabs>
            </w:pPr>
            <w:r>
              <w:t xml:space="preserve">                      </w:t>
            </w:r>
          </w:p>
          <w:p w:rsidR="003F28D7" w:rsidRPr="003F28D7" w:rsidRDefault="003F28D7" w:rsidP="003F28D7">
            <w:pPr>
              <w:tabs>
                <w:tab w:val="left" w:pos="1299"/>
              </w:tabs>
            </w:pPr>
            <w:r>
              <w:t xml:space="preserve">                      Član 87 stav 1 tačka 1</w:t>
            </w:r>
          </w:p>
        </w:tc>
        <w:tc>
          <w:tcPr>
            <w:tcW w:w="4855" w:type="dxa"/>
          </w:tcPr>
          <w:p w:rsidR="003F28D7" w:rsidRDefault="003F28D7" w:rsidP="008068C8">
            <w:pPr>
              <w:tabs>
                <w:tab w:val="left" w:pos="1005"/>
              </w:tabs>
              <w:jc w:val="both"/>
            </w:pPr>
            <w:r w:rsidRPr="003F28D7">
              <w:t>U članu 87 stav 1 tačka 1 riječ „</w:t>
            </w:r>
            <w:proofErr w:type="gramStart"/>
            <w:r w:rsidRPr="003F28D7">
              <w:t>pet“ zamijeniti</w:t>
            </w:r>
            <w:proofErr w:type="gramEnd"/>
            <w:r w:rsidRPr="003F28D7">
              <w:t xml:space="preserve"> sa riječju „dvije“, a u stavu 3 alineja 1 riječ „tri“ zamijeniti sa riječju „jedne“.</w:t>
            </w:r>
          </w:p>
          <w:p w:rsidR="003F28D7" w:rsidRDefault="003F28D7" w:rsidP="003F28D7">
            <w:pPr>
              <w:tabs>
                <w:tab w:val="left" w:pos="1005"/>
              </w:tabs>
              <w:jc w:val="both"/>
              <w:rPr>
                <w:lang w:val="sr-Latn-ME"/>
              </w:rPr>
            </w:pPr>
            <w:r>
              <w:rPr>
                <w:lang w:val="sr-Latn-ME"/>
              </w:rPr>
              <w:t>Rješenje se predlaže u cilju skraćivanja vremenskih rokova za ocjenjivanje rada sudija, jer su postojeći previše dugi i kao takvi ne doprinose utvrđivanju stvarnog stanja i ocjenjivanja (ne)kvaliteta rada sudija u sudovima.</w:t>
            </w:r>
          </w:p>
          <w:p w:rsidR="003F28D7" w:rsidRPr="003F28D7" w:rsidRDefault="003F28D7" w:rsidP="008068C8">
            <w:pPr>
              <w:tabs>
                <w:tab w:val="left" w:pos="1005"/>
              </w:tabs>
              <w:jc w:val="both"/>
            </w:pPr>
          </w:p>
        </w:tc>
      </w:tr>
      <w:tr w:rsidR="003F28D7" w:rsidTr="006D259E">
        <w:trPr>
          <w:trHeight w:val="1079"/>
        </w:trPr>
        <w:tc>
          <w:tcPr>
            <w:tcW w:w="4135" w:type="dxa"/>
          </w:tcPr>
          <w:p w:rsidR="003F28D7" w:rsidRDefault="003F28D7" w:rsidP="00E80D30">
            <w:pPr>
              <w:pStyle w:val="NormalWeb"/>
              <w:jc w:val="center"/>
              <w:rPr>
                <w:rFonts w:asciiTheme="minorHAnsi" w:eastAsiaTheme="minorHAnsi" w:hAnsiTheme="minorHAnsi" w:cstheme="minorBidi"/>
                <w:sz w:val="22"/>
                <w:szCs w:val="22"/>
              </w:rPr>
            </w:pPr>
          </w:p>
          <w:p w:rsidR="003F28D7" w:rsidRDefault="003F28D7" w:rsidP="00E80D30">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104 stav 3</w:t>
            </w:r>
          </w:p>
        </w:tc>
        <w:tc>
          <w:tcPr>
            <w:tcW w:w="4855" w:type="dxa"/>
          </w:tcPr>
          <w:p w:rsidR="003F28D7" w:rsidRDefault="003F28D7" w:rsidP="003F28D7">
            <w:pPr>
              <w:tabs>
                <w:tab w:val="left" w:pos="1005"/>
              </w:tabs>
              <w:jc w:val="both"/>
            </w:pPr>
            <w:r>
              <w:t>U članu 104 u stavu 3 razlomak „1/</w:t>
            </w:r>
            <w:proofErr w:type="gramStart"/>
            <w:r>
              <w:t>3“ zamijeniti</w:t>
            </w:r>
            <w:proofErr w:type="gramEnd"/>
            <w:r>
              <w:t xml:space="preserve"> sa „1/2“.</w:t>
            </w:r>
          </w:p>
          <w:p w:rsidR="003F28D7" w:rsidRDefault="003F28D7" w:rsidP="003F28D7">
            <w:pPr>
              <w:tabs>
                <w:tab w:val="left" w:pos="1005"/>
              </w:tabs>
              <w:jc w:val="both"/>
            </w:pPr>
            <w:r>
              <w:t>Rješenje se predlaže kao pravednije.</w:t>
            </w:r>
          </w:p>
          <w:p w:rsidR="003F28D7" w:rsidRDefault="003F28D7" w:rsidP="003F28D7"/>
          <w:p w:rsidR="003F28D7" w:rsidRPr="003F28D7" w:rsidRDefault="003F28D7" w:rsidP="003F28D7">
            <w:pPr>
              <w:tabs>
                <w:tab w:val="left" w:pos="2986"/>
              </w:tabs>
            </w:pPr>
            <w:r>
              <w:tab/>
            </w:r>
          </w:p>
        </w:tc>
      </w:tr>
      <w:tr w:rsidR="003F28D7" w:rsidTr="006D259E">
        <w:trPr>
          <w:trHeight w:val="1079"/>
        </w:trPr>
        <w:tc>
          <w:tcPr>
            <w:tcW w:w="4135" w:type="dxa"/>
          </w:tcPr>
          <w:p w:rsidR="003F28D7" w:rsidRDefault="003F28D7" w:rsidP="003F28D7">
            <w:pPr>
              <w:pStyle w:val="NormalWeb"/>
              <w:rPr>
                <w:rFonts w:asciiTheme="minorHAnsi" w:eastAsiaTheme="minorHAnsi" w:hAnsiTheme="minorHAnsi" w:cstheme="minorBidi"/>
                <w:sz w:val="22"/>
                <w:szCs w:val="22"/>
              </w:rPr>
            </w:pPr>
          </w:p>
          <w:p w:rsidR="003F28D7" w:rsidRDefault="003F28D7" w:rsidP="00E80D30">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108 stav 4</w:t>
            </w:r>
          </w:p>
        </w:tc>
        <w:tc>
          <w:tcPr>
            <w:tcW w:w="4855" w:type="dxa"/>
          </w:tcPr>
          <w:p w:rsidR="003F28D7" w:rsidRDefault="003F28D7" w:rsidP="003F28D7">
            <w:pPr>
              <w:tabs>
                <w:tab w:val="left" w:pos="1005"/>
              </w:tabs>
              <w:jc w:val="both"/>
            </w:pPr>
            <w:r w:rsidRPr="003F28D7">
              <w:t xml:space="preserve">U članu 108 stav 4 brisati riječi „za koje se goni po službenoj </w:t>
            </w:r>
            <w:proofErr w:type="gramStart"/>
            <w:r w:rsidRPr="003F28D7">
              <w:t>dužnosti“</w:t>
            </w:r>
            <w:r>
              <w:t xml:space="preserve"> </w:t>
            </w:r>
            <w:r w:rsidRPr="003F28D7">
              <w:t>i</w:t>
            </w:r>
            <w:proofErr w:type="gramEnd"/>
            <w:r w:rsidRPr="003F28D7">
              <w:t xml:space="preserve"> riječi „preko jedne godine, a koje je izvršeno sa umišljajem“ brisati.</w:t>
            </w:r>
          </w:p>
          <w:p w:rsidR="003F28D7" w:rsidRDefault="003F28D7" w:rsidP="003F28D7">
            <w:pPr>
              <w:tabs>
                <w:tab w:val="left" w:pos="1005"/>
              </w:tabs>
              <w:jc w:val="both"/>
            </w:pPr>
          </w:p>
          <w:p w:rsidR="003F28D7" w:rsidRDefault="003F28D7" w:rsidP="003F28D7">
            <w:pPr>
              <w:tabs>
                <w:tab w:val="left" w:pos="1005"/>
              </w:tabs>
              <w:jc w:val="both"/>
            </w:pPr>
            <w:r>
              <w:t>P</w:t>
            </w:r>
            <w:r w:rsidRPr="003F28D7">
              <w:t xml:space="preserve">ostojeće rješenje privilegovano za sudije i predlaže se njegovo pooštravanje, </w:t>
            </w:r>
            <w:proofErr w:type="gramStart"/>
            <w:r w:rsidRPr="003F28D7">
              <w:t>a</w:t>
            </w:r>
            <w:proofErr w:type="gramEnd"/>
            <w:r w:rsidRPr="003F28D7">
              <w:t xml:space="preserve"> imajući u vidu značaj i ugled sudijske funkcije.</w:t>
            </w:r>
          </w:p>
        </w:tc>
      </w:tr>
      <w:tr w:rsidR="003F28D7" w:rsidTr="006D259E">
        <w:trPr>
          <w:trHeight w:val="1430"/>
        </w:trPr>
        <w:tc>
          <w:tcPr>
            <w:tcW w:w="4135" w:type="dxa"/>
          </w:tcPr>
          <w:p w:rsidR="00AB18F6" w:rsidRDefault="00AB18F6" w:rsidP="00AB18F6">
            <w:pPr>
              <w:pStyle w:val="NormalWeb"/>
              <w:jc w:val="center"/>
              <w:rPr>
                <w:rFonts w:asciiTheme="minorHAnsi" w:eastAsiaTheme="minorHAnsi" w:hAnsiTheme="minorHAnsi" w:cstheme="minorBidi"/>
                <w:sz w:val="22"/>
                <w:szCs w:val="22"/>
              </w:rPr>
            </w:pPr>
          </w:p>
          <w:p w:rsidR="003F28D7" w:rsidRDefault="003F28D7" w:rsidP="00AB18F6">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108 stav 5</w:t>
            </w:r>
          </w:p>
        </w:tc>
        <w:tc>
          <w:tcPr>
            <w:tcW w:w="4855" w:type="dxa"/>
          </w:tcPr>
          <w:p w:rsidR="00AB18F6" w:rsidRDefault="003F28D7" w:rsidP="00AB18F6">
            <w:pPr>
              <w:tabs>
                <w:tab w:val="left" w:pos="1005"/>
              </w:tabs>
              <w:jc w:val="both"/>
            </w:pPr>
            <w:r w:rsidRPr="003F28D7">
              <w:t>U članu 108 stav 5 alineja 1 broj „60</w:t>
            </w:r>
            <w:proofErr w:type="gramStart"/>
            <w:r w:rsidRPr="003F28D7">
              <w:t>%“ zamijeniti</w:t>
            </w:r>
            <w:proofErr w:type="gramEnd"/>
            <w:r w:rsidRPr="003F28D7">
              <w:t xml:space="preserve"> sa „75%“.</w:t>
            </w:r>
            <w:r w:rsidR="00AB18F6">
              <w:t xml:space="preserve"> </w:t>
            </w:r>
          </w:p>
          <w:p w:rsidR="00AB18F6" w:rsidRDefault="00AB18F6" w:rsidP="00AB18F6">
            <w:pPr>
              <w:tabs>
                <w:tab w:val="left" w:pos="1005"/>
              </w:tabs>
              <w:jc w:val="both"/>
              <w:rPr>
                <w:lang w:val="sr-Latn-ME"/>
              </w:rPr>
            </w:pPr>
            <w:r>
              <w:t xml:space="preserve">Predloženo rješenje bi </w:t>
            </w:r>
            <w:r>
              <w:rPr>
                <w:lang w:val="sr-Latn-ME"/>
              </w:rPr>
              <w:t>kroz zakonsko normiranje, može uticati na efikasniji rad sudija.</w:t>
            </w:r>
          </w:p>
          <w:p w:rsidR="003F28D7" w:rsidRPr="003F28D7" w:rsidRDefault="003F28D7" w:rsidP="003F28D7">
            <w:pPr>
              <w:tabs>
                <w:tab w:val="left" w:pos="1005"/>
              </w:tabs>
              <w:jc w:val="both"/>
            </w:pPr>
          </w:p>
        </w:tc>
      </w:tr>
      <w:tr w:rsidR="00AB18F6" w:rsidTr="006D259E">
        <w:trPr>
          <w:trHeight w:val="1430"/>
        </w:trPr>
        <w:tc>
          <w:tcPr>
            <w:tcW w:w="4135" w:type="dxa"/>
          </w:tcPr>
          <w:p w:rsidR="00AB18F6" w:rsidRDefault="00AB18F6" w:rsidP="00AB18F6">
            <w:pPr>
              <w:pStyle w:val="NormalWeb"/>
              <w:jc w:val="center"/>
              <w:rPr>
                <w:rFonts w:asciiTheme="minorHAnsi" w:eastAsiaTheme="minorHAnsi" w:hAnsiTheme="minorHAnsi" w:cstheme="minorBidi"/>
                <w:sz w:val="22"/>
                <w:szCs w:val="22"/>
              </w:rPr>
            </w:pPr>
          </w:p>
          <w:p w:rsidR="00AB18F6" w:rsidRDefault="00AB18F6" w:rsidP="00AB18F6">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108 stav 5</w:t>
            </w:r>
          </w:p>
        </w:tc>
        <w:tc>
          <w:tcPr>
            <w:tcW w:w="4855" w:type="dxa"/>
          </w:tcPr>
          <w:p w:rsidR="00AB18F6" w:rsidRDefault="00AB18F6" w:rsidP="00AB18F6">
            <w:pPr>
              <w:tabs>
                <w:tab w:val="left" w:pos="1005"/>
              </w:tabs>
              <w:jc w:val="both"/>
            </w:pPr>
            <w:r w:rsidRPr="00AB18F6">
              <w:t>U članu 108 stav 5 dodati alineju tako da glasi:</w:t>
            </w:r>
            <w:r>
              <w:t xml:space="preserve"> </w:t>
            </w:r>
            <w:r w:rsidRPr="00AB18F6">
              <w:t xml:space="preserve">„ukoliko Vrhovni sud po postupanju Vrhovnog državnog tužilaštva za zaštitu zakonitosti protiv pravosnažnih presuda utvrdi da je došlo do povrede </w:t>
            </w:r>
            <w:proofErr w:type="gramStart"/>
            <w:r w:rsidRPr="00AB18F6">
              <w:t>zakona“</w:t>
            </w:r>
            <w:proofErr w:type="gramEnd"/>
            <w:r w:rsidRPr="00AB18F6">
              <w:t>.</w:t>
            </w:r>
          </w:p>
          <w:p w:rsidR="00AB18F6" w:rsidRPr="003F28D7" w:rsidRDefault="00AB18F6" w:rsidP="00AB18F6">
            <w:pPr>
              <w:tabs>
                <w:tab w:val="left" w:pos="1005"/>
              </w:tabs>
              <w:jc w:val="both"/>
            </w:pPr>
            <w:r>
              <w:rPr>
                <w:lang w:val="sr-Latn-ME"/>
              </w:rPr>
              <w:t>Rješenje se predlaže u cilju izbjegavanja situacija da u sudskom sistemu ostanu bez dosciplinske odgovornosti sudije za koje se kroz zahtjeve za zaštitu zakonitosti pravosnažnih presuda utvrdi da su povrijedili zakon.</w:t>
            </w:r>
          </w:p>
        </w:tc>
      </w:tr>
      <w:tr w:rsidR="00AB18F6" w:rsidTr="006D259E">
        <w:trPr>
          <w:trHeight w:val="1430"/>
        </w:trPr>
        <w:tc>
          <w:tcPr>
            <w:tcW w:w="4135" w:type="dxa"/>
          </w:tcPr>
          <w:p w:rsidR="00AB18F6" w:rsidRDefault="00AB18F6" w:rsidP="00AB18F6">
            <w:pPr>
              <w:pStyle w:val="NormalWeb"/>
              <w:jc w:val="center"/>
              <w:rPr>
                <w:rFonts w:asciiTheme="minorHAnsi" w:eastAsiaTheme="minorHAnsi" w:hAnsiTheme="minorHAnsi" w:cstheme="minorBidi"/>
                <w:sz w:val="22"/>
                <w:szCs w:val="22"/>
              </w:rPr>
            </w:pPr>
          </w:p>
          <w:p w:rsidR="00AB18F6" w:rsidRDefault="00AB18F6" w:rsidP="00AB18F6">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130</w:t>
            </w:r>
          </w:p>
        </w:tc>
        <w:tc>
          <w:tcPr>
            <w:tcW w:w="4855" w:type="dxa"/>
          </w:tcPr>
          <w:p w:rsidR="00AB18F6" w:rsidRDefault="00AB18F6" w:rsidP="00AB18F6">
            <w:pPr>
              <w:tabs>
                <w:tab w:val="left" w:pos="1005"/>
              </w:tabs>
              <w:jc w:val="both"/>
            </w:pPr>
            <w:r>
              <w:t xml:space="preserve">U članu 130 dodati stav 4 da glasi: „Evidencije podataka o sudijama čuvaju se </w:t>
            </w:r>
            <w:proofErr w:type="gramStart"/>
            <w:r>
              <w:t>trajno“</w:t>
            </w:r>
            <w:proofErr w:type="gramEnd"/>
            <w:r>
              <w:t>.</w:t>
            </w:r>
          </w:p>
          <w:p w:rsidR="00AB18F6" w:rsidRDefault="00AB18F6" w:rsidP="00AB18F6">
            <w:pPr>
              <w:tabs>
                <w:tab w:val="left" w:pos="1005"/>
              </w:tabs>
              <w:jc w:val="both"/>
            </w:pPr>
          </w:p>
          <w:p w:rsidR="00AB18F6" w:rsidRPr="00AB18F6" w:rsidRDefault="00AB18F6" w:rsidP="00AB18F6">
            <w:pPr>
              <w:tabs>
                <w:tab w:val="left" w:pos="1005"/>
              </w:tabs>
              <w:jc w:val="both"/>
            </w:pPr>
            <w:r>
              <w:t>Rješenje se predlaže u cilju postizanja potpune transprentnosti i izbjegavanja situacija uništenja dokumentacije.</w:t>
            </w:r>
          </w:p>
        </w:tc>
      </w:tr>
    </w:tbl>
    <w:p w:rsidR="00C22444" w:rsidRPr="00D8052C" w:rsidRDefault="00C22444" w:rsidP="00C22444">
      <w:pPr>
        <w:pStyle w:val="NormalWeb"/>
        <w:ind w:left="360"/>
        <w:rPr>
          <w:rFonts w:asciiTheme="minorHAnsi" w:eastAsiaTheme="minorHAnsi" w:hAnsiTheme="minorHAnsi" w:cstheme="minorBidi"/>
          <w:sz w:val="22"/>
          <w:szCs w:val="22"/>
        </w:rPr>
      </w:pPr>
    </w:p>
    <w:p w:rsidR="00D8052C" w:rsidRDefault="00D8052C" w:rsidP="00960012">
      <w:pPr>
        <w:pStyle w:val="NormalWeb"/>
      </w:pPr>
    </w:p>
    <w:p w:rsidR="00D8052C" w:rsidRPr="007232E3" w:rsidRDefault="00D8052C" w:rsidP="00960012">
      <w:pPr>
        <w:pStyle w:val="NormalWeb"/>
        <w:rPr>
          <w:rFonts w:asciiTheme="minorHAnsi" w:eastAsiaTheme="minorHAnsi" w:hAnsiTheme="minorHAnsi" w:cstheme="minorBidi"/>
          <w:sz w:val="22"/>
          <w:szCs w:val="22"/>
        </w:rPr>
      </w:pPr>
    </w:p>
    <w:p w:rsidR="00960012" w:rsidRPr="007232E3" w:rsidRDefault="00C85FA7" w:rsidP="00C85FA7">
      <w:pPr>
        <w:pStyle w:val="NormalWeb"/>
        <w:numPr>
          <w:ilvl w:val="0"/>
          <w:numId w:val="1"/>
        </w:numPr>
        <w:rPr>
          <w:rFonts w:asciiTheme="minorHAnsi" w:eastAsiaTheme="minorHAnsi" w:hAnsiTheme="minorHAnsi" w:cstheme="minorBidi"/>
          <w:sz w:val="22"/>
          <w:szCs w:val="22"/>
        </w:rPr>
      </w:pPr>
      <w:r w:rsidRPr="007232E3">
        <w:rPr>
          <w:rFonts w:asciiTheme="minorHAnsi" w:eastAsiaTheme="minorHAnsi" w:hAnsiTheme="minorHAnsi" w:cstheme="minorBidi"/>
          <w:sz w:val="22"/>
          <w:szCs w:val="22"/>
        </w:rPr>
        <w:t>Predlozi</w:t>
      </w:r>
      <w:r w:rsidR="00960012" w:rsidRPr="007232E3">
        <w:rPr>
          <w:rFonts w:asciiTheme="minorHAnsi" w:eastAsiaTheme="minorHAnsi" w:hAnsiTheme="minorHAnsi" w:cstheme="minorBidi"/>
          <w:sz w:val="22"/>
          <w:szCs w:val="22"/>
        </w:rPr>
        <w:t xml:space="preserve"> sudij</w:t>
      </w:r>
      <w:r w:rsidRPr="007232E3">
        <w:rPr>
          <w:rFonts w:asciiTheme="minorHAnsi" w:eastAsiaTheme="minorHAnsi" w:hAnsiTheme="minorHAnsi" w:cstheme="minorBidi"/>
          <w:sz w:val="22"/>
          <w:szCs w:val="22"/>
        </w:rPr>
        <w:t>a</w:t>
      </w:r>
      <w:r w:rsidR="00960012" w:rsidRPr="007232E3">
        <w:rPr>
          <w:rFonts w:asciiTheme="minorHAnsi" w:eastAsiaTheme="minorHAnsi" w:hAnsiTheme="minorHAnsi" w:cstheme="minorBidi"/>
          <w:sz w:val="22"/>
          <w:szCs w:val="22"/>
        </w:rPr>
        <w:t xml:space="preserve"> </w:t>
      </w:r>
      <w:r w:rsidRPr="007232E3">
        <w:rPr>
          <w:rFonts w:asciiTheme="minorHAnsi" w:eastAsiaTheme="minorHAnsi" w:hAnsiTheme="minorHAnsi" w:cstheme="minorBidi"/>
          <w:sz w:val="22"/>
          <w:szCs w:val="22"/>
        </w:rPr>
        <w:t>krivičnog</w:t>
      </w:r>
      <w:r w:rsidR="00960012" w:rsidRPr="007232E3">
        <w:rPr>
          <w:rFonts w:asciiTheme="minorHAnsi" w:eastAsiaTheme="minorHAnsi" w:hAnsiTheme="minorHAnsi" w:cstheme="minorBidi"/>
          <w:sz w:val="22"/>
          <w:szCs w:val="22"/>
        </w:rPr>
        <w:t xml:space="preserve"> odjeljenja Višeg suda u Podgorici</w:t>
      </w:r>
    </w:p>
    <w:tbl>
      <w:tblPr>
        <w:tblStyle w:val="TableGrid"/>
        <w:tblW w:w="0" w:type="auto"/>
        <w:tblInd w:w="360" w:type="dxa"/>
        <w:tblLook w:val="04A0" w:firstRow="1" w:lastRow="0" w:firstColumn="1" w:lastColumn="0" w:noHBand="0" w:noVBand="1"/>
      </w:tblPr>
      <w:tblGrid>
        <w:gridCol w:w="4225"/>
        <w:gridCol w:w="4765"/>
      </w:tblGrid>
      <w:tr w:rsidR="00C85FA7" w:rsidTr="006D259E">
        <w:tc>
          <w:tcPr>
            <w:tcW w:w="4225" w:type="dxa"/>
          </w:tcPr>
          <w:p w:rsidR="00C85FA7" w:rsidRPr="007232E3" w:rsidRDefault="00C85FA7" w:rsidP="00C85FA7">
            <w:pPr>
              <w:pStyle w:val="NormalWeb"/>
              <w:jc w:val="center"/>
              <w:rPr>
                <w:rFonts w:asciiTheme="minorHAnsi" w:eastAsiaTheme="minorHAnsi" w:hAnsiTheme="minorHAnsi" w:cstheme="minorBidi"/>
                <w:b/>
                <w:sz w:val="22"/>
                <w:szCs w:val="22"/>
              </w:rPr>
            </w:pPr>
            <w:r w:rsidRPr="007232E3">
              <w:rPr>
                <w:rFonts w:asciiTheme="minorHAnsi" w:eastAsiaTheme="minorHAnsi" w:hAnsiTheme="minorHAnsi" w:cstheme="minorBidi"/>
                <w:b/>
                <w:sz w:val="22"/>
                <w:szCs w:val="22"/>
              </w:rPr>
              <w:t>Član zakona</w:t>
            </w:r>
          </w:p>
        </w:tc>
        <w:tc>
          <w:tcPr>
            <w:tcW w:w="4765" w:type="dxa"/>
          </w:tcPr>
          <w:p w:rsidR="00C85FA7" w:rsidRPr="007232E3" w:rsidRDefault="00C85FA7" w:rsidP="00C85FA7">
            <w:pPr>
              <w:pStyle w:val="NormalWeb"/>
              <w:jc w:val="center"/>
              <w:rPr>
                <w:rFonts w:asciiTheme="minorHAnsi" w:eastAsiaTheme="minorHAnsi" w:hAnsiTheme="minorHAnsi" w:cstheme="minorBidi"/>
                <w:b/>
                <w:sz w:val="22"/>
                <w:szCs w:val="22"/>
              </w:rPr>
            </w:pPr>
            <w:r w:rsidRPr="007232E3">
              <w:rPr>
                <w:rFonts w:asciiTheme="minorHAnsi" w:eastAsiaTheme="minorHAnsi" w:hAnsiTheme="minorHAnsi" w:cstheme="minorBidi"/>
                <w:b/>
                <w:sz w:val="22"/>
                <w:szCs w:val="22"/>
              </w:rPr>
              <w:t>Predlog izmjene/dopune i obrazloženje</w:t>
            </w:r>
          </w:p>
        </w:tc>
      </w:tr>
      <w:tr w:rsidR="00C85FA7" w:rsidTr="006D259E">
        <w:tc>
          <w:tcPr>
            <w:tcW w:w="4225" w:type="dxa"/>
          </w:tcPr>
          <w:p w:rsidR="00C85FA7" w:rsidRPr="007232E3" w:rsidRDefault="00C85FA7" w:rsidP="00C85FA7">
            <w:pPr>
              <w:pStyle w:val="NormalWeb"/>
              <w:jc w:val="center"/>
              <w:rPr>
                <w:rFonts w:asciiTheme="minorHAnsi" w:eastAsiaTheme="minorHAnsi" w:hAnsiTheme="minorHAnsi" w:cstheme="minorBidi"/>
                <w:sz w:val="22"/>
                <w:szCs w:val="22"/>
              </w:rPr>
            </w:pPr>
          </w:p>
          <w:p w:rsidR="00C85FA7" w:rsidRDefault="00C85FA7" w:rsidP="00C85FA7">
            <w:pPr>
              <w:pStyle w:val="NormalWeb"/>
              <w:jc w:val="center"/>
              <w:rPr>
                <w:rFonts w:asciiTheme="minorHAnsi" w:eastAsiaTheme="minorHAnsi" w:hAnsiTheme="minorHAnsi" w:cstheme="minorBidi"/>
                <w:sz w:val="22"/>
                <w:szCs w:val="22"/>
              </w:rPr>
            </w:pPr>
          </w:p>
          <w:p w:rsidR="006D259E" w:rsidRDefault="006D259E" w:rsidP="00C85FA7">
            <w:pPr>
              <w:pStyle w:val="NormalWeb"/>
              <w:jc w:val="center"/>
              <w:rPr>
                <w:rFonts w:asciiTheme="minorHAnsi" w:eastAsiaTheme="minorHAnsi" w:hAnsiTheme="minorHAnsi" w:cstheme="minorBidi"/>
                <w:sz w:val="22"/>
                <w:szCs w:val="22"/>
              </w:rPr>
            </w:pPr>
          </w:p>
          <w:p w:rsidR="00C85FA7" w:rsidRPr="00C85FA7" w:rsidRDefault="00C85FA7" w:rsidP="00C85FA7">
            <w:pPr>
              <w:pStyle w:val="NormalWeb"/>
              <w:jc w:val="center"/>
              <w:rPr>
                <w:rFonts w:asciiTheme="minorHAnsi" w:eastAsiaTheme="minorHAnsi" w:hAnsiTheme="minorHAnsi" w:cstheme="minorBidi"/>
                <w:sz w:val="22"/>
                <w:szCs w:val="22"/>
              </w:rPr>
            </w:pPr>
            <w:r w:rsidRPr="00C85FA7">
              <w:rPr>
                <w:rFonts w:asciiTheme="minorHAnsi" w:eastAsiaTheme="minorHAnsi" w:hAnsiTheme="minorHAnsi" w:cstheme="minorBidi"/>
                <w:sz w:val="22"/>
                <w:szCs w:val="22"/>
              </w:rPr>
              <w:t>Član</w:t>
            </w:r>
            <w:r>
              <w:rPr>
                <w:rFonts w:asciiTheme="minorHAnsi" w:eastAsiaTheme="minorHAnsi" w:hAnsiTheme="minorHAnsi" w:cstheme="minorBidi"/>
                <w:sz w:val="22"/>
                <w:szCs w:val="22"/>
              </w:rPr>
              <w:t>ovi</w:t>
            </w:r>
            <w:r w:rsidRPr="00C85FA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89 </w:t>
            </w:r>
          </w:p>
          <w:p w:rsidR="00C85FA7" w:rsidRPr="007232E3" w:rsidRDefault="00C85FA7" w:rsidP="00C85FA7">
            <w:pPr>
              <w:pStyle w:val="NormalWeb"/>
              <w:jc w:val="center"/>
              <w:rPr>
                <w:rFonts w:asciiTheme="minorHAnsi" w:eastAsiaTheme="minorHAnsi" w:hAnsiTheme="minorHAnsi" w:cstheme="minorBidi"/>
                <w:sz w:val="22"/>
                <w:szCs w:val="22"/>
              </w:rPr>
            </w:pPr>
          </w:p>
        </w:tc>
        <w:tc>
          <w:tcPr>
            <w:tcW w:w="4765" w:type="dxa"/>
          </w:tcPr>
          <w:p w:rsidR="0005648D" w:rsidRDefault="0005648D" w:rsidP="00C85FA7">
            <w:pPr>
              <w:pStyle w:val="NormalWeb"/>
              <w:jc w:val="both"/>
              <w:rPr>
                <w:rFonts w:asciiTheme="minorHAnsi" w:eastAsiaTheme="minorHAnsi" w:hAnsiTheme="minorHAnsi" w:cstheme="minorBidi"/>
                <w:sz w:val="22"/>
                <w:szCs w:val="22"/>
              </w:rPr>
            </w:pPr>
            <w:r w:rsidRPr="0005648D">
              <w:rPr>
                <w:rFonts w:asciiTheme="minorHAnsi" w:eastAsiaTheme="minorHAnsi" w:hAnsiTheme="minorHAnsi" w:cstheme="minorBidi"/>
                <w:sz w:val="22"/>
                <w:szCs w:val="22"/>
              </w:rPr>
              <w:t>U okviru ovog člana predl</w:t>
            </w:r>
            <w:r>
              <w:rPr>
                <w:rFonts w:asciiTheme="minorHAnsi" w:eastAsiaTheme="minorHAnsi" w:hAnsiTheme="minorHAnsi" w:cstheme="minorBidi"/>
                <w:sz w:val="22"/>
                <w:szCs w:val="22"/>
              </w:rPr>
              <w:t>og je da</w:t>
            </w:r>
            <w:r w:rsidRPr="0005648D">
              <w:rPr>
                <w:rFonts w:asciiTheme="minorHAnsi" w:eastAsiaTheme="minorHAnsi" w:hAnsiTheme="minorHAnsi" w:cstheme="minorBidi"/>
                <w:sz w:val="22"/>
                <w:szCs w:val="22"/>
              </w:rPr>
              <w:t xml:space="preserve"> se pod stavom 1 tačka 1, poslije riječi “djelotvornost </w:t>
            </w:r>
            <w:proofErr w:type="gramStart"/>
            <w:r w:rsidRPr="0005648D">
              <w:rPr>
                <w:rFonts w:asciiTheme="minorHAnsi" w:eastAsiaTheme="minorHAnsi" w:hAnsiTheme="minorHAnsi" w:cstheme="minorBidi"/>
                <w:sz w:val="22"/>
                <w:szCs w:val="22"/>
              </w:rPr>
              <w:t>rada“ dodaju</w:t>
            </w:r>
            <w:proofErr w:type="gramEnd"/>
            <w:r w:rsidRPr="0005648D">
              <w:rPr>
                <w:rFonts w:asciiTheme="minorHAnsi" w:eastAsiaTheme="minorHAnsi" w:hAnsiTheme="minorHAnsi" w:cstheme="minorBidi"/>
                <w:sz w:val="22"/>
                <w:szCs w:val="22"/>
              </w:rPr>
              <w:t xml:space="preserve"> riječi “pri čemu će se naročito uzeti u obzir uslovi rada, koji se bliže određuju posebnim aktom za ocjenjivanje sudija i predsjednika sudova“.</w:t>
            </w:r>
          </w:p>
          <w:p w:rsidR="00C85FA7" w:rsidRPr="007232E3" w:rsidRDefault="00C85FA7" w:rsidP="00C85FA7">
            <w:pPr>
              <w:pStyle w:val="NormalWeb"/>
              <w:jc w:val="both"/>
              <w:rPr>
                <w:rFonts w:asciiTheme="minorHAnsi" w:eastAsiaTheme="minorHAnsi" w:hAnsiTheme="minorHAnsi" w:cstheme="minorBidi"/>
                <w:sz w:val="22"/>
                <w:szCs w:val="22"/>
              </w:rPr>
            </w:pPr>
            <w:r w:rsidRPr="007232E3">
              <w:rPr>
                <w:rFonts w:asciiTheme="minorHAnsi" w:eastAsiaTheme="minorHAnsi" w:hAnsiTheme="minorHAnsi" w:cstheme="minorBidi"/>
                <w:sz w:val="22"/>
                <w:szCs w:val="22"/>
              </w:rPr>
              <w:t xml:space="preserve">Dostavljeni su predlozi za izmjene kriterijuma za ocjenjivanje rada sudija, uz naglašavanje potrebe da se prilikom ocjenjivanja uzmu u obzir uslovi rada u sudovima, broj sudnica, broj sudijskih savjetnika </w:t>
            </w:r>
            <w:r w:rsidR="0005648D">
              <w:rPr>
                <w:rFonts w:asciiTheme="minorHAnsi" w:eastAsiaTheme="minorHAnsi" w:hAnsiTheme="minorHAnsi" w:cstheme="minorBidi"/>
                <w:sz w:val="22"/>
                <w:szCs w:val="22"/>
              </w:rPr>
              <w:t>i</w:t>
            </w:r>
            <w:r w:rsidRPr="007232E3">
              <w:rPr>
                <w:rFonts w:asciiTheme="minorHAnsi" w:eastAsiaTheme="minorHAnsi" w:hAnsiTheme="minorHAnsi" w:cstheme="minorBidi"/>
                <w:sz w:val="22"/>
                <w:szCs w:val="22"/>
              </w:rPr>
              <w:t xml:space="preserve"> stručnog osoblja, tehnička </w:t>
            </w:r>
            <w:r w:rsidR="0005648D">
              <w:rPr>
                <w:rFonts w:asciiTheme="minorHAnsi" w:eastAsiaTheme="minorHAnsi" w:hAnsiTheme="minorHAnsi" w:cstheme="minorBidi"/>
                <w:sz w:val="22"/>
                <w:szCs w:val="22"/>
              </w:rPr>
              <w:t>i</w:t>
            </w:r>
            <w:r w:rsidRPr="007232E3">
              <w:rPr>
                <w:rFonts w:asciiTheme="minorHAnsi" w:eastAsiaTheme="minorHAnsi" w:hAnsiTheme="minorHAnsi" w:cstheme="minorBidi"/>
                <w:sz w:val="22"/>
                <w:szCs w:val="22"/>
              </w:rPr>
              <w:t xml:space="preserve"> prostorna opremljenost, kao </w:t>
            </w:r>
            <w:r w:rsidR="0005648D">
              <w:rPr>
                <w:rFonts w:asciiTheme="minorHAnsi" w:eastAsiaTheme="minorHAnsi" w:hAnsiTheme="minorHAnsi" w:cstheme="minorBidi"/>
                <w:sz w:val="22"/>
                <w:szCs w:val="22"/>
              </w:rPr>
              <w:t>i</w:t>
            </w:r>
            <w:r w:rsidRPr="007232E3">
              <w:rPr>
                <w:rFonts w:asciiTheme="minorHAnsi" w:eastAsiaTheme="minorHAnsi" w:hAnsiTheme="minorHAnsi" w:cstheme="minorBidi"/>
                <w:sz w:val="22"/>
                <w:szCs w:val="22"/>
              </w:rPr>
              <w:t xml:space="preserve"> preuzimanje dodatnih poslova </w:t>
            </w:r>
            <w:r w:rsidR="0005648D">
              <w:rPr>
                <w:rFonts w:asciiTheme="minorHAnsi" w:eastAsiaTheme="minorHAnsi" w:hAnsiTheme="minorHAnsi" w:cstheme="minorBidi"/>
                <w:sz w:val="22"/>
                <w:szCs w:val="22"/>
              </w:rPr>
              <w:t>i</w:t>
            </w:r>
            <w:r w:rsidRPr="007232E3">
              <w:rPr>
                <w:rFonts w:asciiTheme="minorHAnsi" w:eastAsiaTheme="minorHAnsi" w:hAnsiTheme="minorHAnsi" w:cstheme="minorBidi"/>
                <w:sz w:val="22"/>
                <w:szCs w:val="22"/>
              </w:rPr>
              <w:t xml:space="preserve"> zaduženja.</w:t>
            </w:r>
          </w:p>
        </w:tc>
      </w:tr>
      <w:tr w:rsidR="007232E3" w:rsidTr="006D259E">
        <w:trPr>
          <w:trHeight w:val="332"/>
        </w:trPr>
        <w:tc>
          <w:tcPr>
            <w:tcW w:w="4225" w:type="dxa"/>
          </w:tcPr>
          <w:p w:rsidR="007232E3" w:rsidRDefault="007232E3" w:rsidP="00C85FA7">
            <w:pPr>
              <w:pStyle w:val="NormalWeb"/>
              <w:jc w:val="center"/>
              <w:rPr>
                <w:rFonts w:asciiTheme="minorHAnsi" w:eastAsiaTheme="minorHAnsi" w:hAnsiTheme="minorHAnsi" w:cstheme="minorBidi"/>
                <w:sz w:val="22"/>
                <w:szCs w:val="22"/>
              </w:rPr>
            </w:pPr>
          </w:p>
          <w:p w:rsidR="007232E3" w:rsidRDefault="007232E3" w:rsidP="00C85FA7">
            <w:pPr>
              <w:pStyle w:val="NormalWeb"/>
              <w:jc w:val="center"/>
              <w:rPr>
                <w:rFonts w:asciiTheme="minorHAnsi" w:eastAsiaTheme="minorHAnsi" w:hAnsiTheme="minorHAnsi" w:cstheme="minorBidi"/>
                <w:sz w:val="22"/>
                <w:szCs w:val="22"/>
              </w:rPr>
            </w:pPr>
          </w:p>
          <w:p w:rsidR="006D259E" w:rsidRDefault="006D259E" w:rsidP="00C85FA7">
            <w:pPr>
              <w:pStyle w:val="NormalWeb"/>
              <w:jc w:val="center"/>
              <w:rPr>
                <w:rFonts w:asciiTheme="minorHAnsi" w:eastAsiaTheme="minorHAnsi" w:hAnsiTheme="minorHAnsi" w:cstheme="minorBidi"/>
                <w:sz w:val="22"/>
                <w:szCs w:val="22"/>
              </w:rPr>
            </w:pPr>
          </w:p>
          <w:p w:rsidR="007232E3" w:rsidRDefault="007232E3" w:rsidP="00C85FA7">
            <w:pPr>
              <w:pStyle w:val="NormalWeb"/>
              <w:jc w:val="center"/>
              <w:rPr>
                <w:rFonts w:asciiTheme="minorHAnsi" w:eastAsiaTheme="minorHAnsi" w:hAnsiTheme="minorHAnsi" w:cstheme="minorBidi"/>
                <w:sz w:val="22"/>
                <w:szCs w:val="22"/>
              </w:rPr>
            </w:pPr>
          </w:p>
          <w:p w:rsidR="007232E3" w:rsidRPr="007232E3" w:rsidRDefault="007232E3" w:rsidP="00C85FA7">
            <w:pPr>
              <w:pStyle w:val="NormalWeb"/>
              <w:jc w:val="center"/>
              <w:rPr>
                <w:rFonts w:asciiTheme="minorHAnsi" w:eastAsiaTheme="minorHAnsi" w:hAnsiTheme="minorHAnsi" w:cstheme="minorBidi"/>
                <w:sz w:val="22"/>
                <w:szCs w:val="22"/>
              </w:rPr>
            </w:pPr>
            <w:r w:rsidRPr="007232E3">
              <w:rPr>
                <w:rFonts w:asciiTheme="minorHAnsi" w:eastAsiaTheme="minorHAnsi" w:hAnsiTheme="minorHAnsi" w:cstheme="minorBidi"/>
                <w:sz w:val="22"/>
                <w:szCs w:val="22"/>
              </w:rPr>
              <w:t>Član 90</w:t>
            </w:r>
          </w:p>
        </w:tc>
        <w:tc>
          <w:tcPr>
            <w:tcW w:w="4765" w:type="dxa"/>
          </w:tcPr>
          <w:p w:rsidR="004B51CD" w:rsidRDefault="004B51CD" w:rsidP="00C85FA7">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Predlog</w:t>
            </w:r>
            <w:r w:rsidRPr="004B51CD">
              <w:rPr>
                <w:rFonts w:asciiTheme="minorHAnsi" w:eastAsiaTheme="minorHAnsi" w:hAnsiTheme="minorHAnsi" w:cstheme="minorBidi"/>
                <w:sz w:val="22"/>
                <w:szCs w:val="22"/>
              </w:rPr>
              <w:t xml:space="preserve"> da se pod stavom 1, poslije tačke 4, doda nova tačka 5 koja glasi “preuzimanje dodatnog posla i </w:t>
            </w:r>
            <w:proofErr w:type="gramStart"/>
            <w:r w:rsidRPr="004B51CD">
              <w:rPr>
                <w:rFonts w:asciiTheme="minorHAnsi" w:eastAsiaTheme="minorHAnsi" w:hAnsiTheme="minorHAnsi" w:cstheme="minorBidi"/>
                <w:sz w:val="22"/>
                <w:szCs w:val="22"/>
              </w:rPr>
              <w:t>zaduženja“</w:t>
            </w:r>
            <w:proofErr w:type="gramEnd"/>
            <w:r w:rsidRPr="004B51CD">
              <w:rPr>
                <w:rFonts w:asciiTheme="minorHAnsi" w:eastAsiaTheme="minorHAnsi" w:hAnsiTheme="minorHAnsi" w:cstheme="minorBidi"/>
                <w:sz w:val="22"/>
                <w:szCs w:val="22"/>
              </w:rPr>
              <w:t xml:space="preserve">. </w:t>
            </w:r>
          </w:p>
          <w:p w:rsidR="0005648D" w:rsidRPr="007232E3" w:rsidRDefault="004B51CD" w:rsidP="00C85FA7">
            <w:pPr>
              <w:pStyle w:val="NormalWeb"/>
              <w:jc w:val="both"/>
              <w:rPr>
                <w:rFonts w:asciiTheme="minorHAnsi" w:eastAsiaTheme="minorHAnsi" w:hAnsiTheme="minorHAnsi" w:cstheme="minorBidi"/>
                <w:sz w:val="22"/>
                <w:szCs w:val="22"/>
              </w:rPr>
            </w:pPr>
            <w:r w:rsidRPr="004B51CD">
              <w:rPr>
                <w:rFonts w:asciiTheme="minorHAnsi" w:eastAsiaTheme="minorHAnsi" w:hAnsiTheme="minorHAnsi" w:cstheme="minorBidi"/>
                <w:sz w:val="22"/>
                <w:szCs w:val="22"/>
              </w:rPr>
              <w:t>Takođe, poslije stava 7 istog člana, dodaje se novi stav 8 koji glasi: “Prilikom ocjenjivanja rada sudije uzimaju se u obzir i uslovi rada u sudu, a naročito: broj sudnica u odnosu na broj sudija u odjeljenju i potrebe za održavanjem ročišta, broj sudijskih savjetnika i stručnog osoblja u odnosu na broj sudija, obim, vrsta i struktura poslova konkretne sudije, naročito postupanja u više referata, tehnička i prostorna opremljenost suda, struktura, složenost i priliv predmeta po sudiji u odnosu na prosjek u istoj vrsti suda i preuzimanje dodatnog posla i zaduženja.“</w:t>
            </w:r>
          </w:p>
          <w:p w:rsidR="007232E3" w:rsidRPr="007232E3" w:rsidRDefault="007232E3" w:rsidP="00C85FA7">
            <w:pPr>
              <w:pStyle w:val="NormalWeb"/>
              <w:jc w:val="both"/>
              <w:rPr>
                <w:rFonts w:asciiTheme="minorHAnsi" w:eastAsiaTheme="minorHAnsi" w:hAnsiTheme="minorHAnsi" w:cstheme="minorBidi"/>
                <w:sz w:val="22"/>
                <w:szCs w:val="22"/>
              </w:rPr>
            </w:pPr>
            <w:r w:rsidRPr="007232E3">
              <w:rPr>
                <w:rFonts w:asciiTheme="minorHAnsi" w:eastAsiaTheme="minorHAnsi" w:hAnsiTheme="minorHAnsi" w:cstheme="minorBidi"/>
                <w:sz w:val="22"/>
                <w:szCs w:val="22"/>
              </w:rPr>
              <w:t>Dostavljene su primjedbe koje se odnose na kriterijume za ocjenjivanje rada sudija Specijalnog odjeljenja, uz ukazivanje na specifičnost i složenost predmeta iz oblasti organizovanog kriminala, korupcije i drugih teških krivičnih djela. Predloženo je uvođenje posebnih kriterijuma, snižavanje praga kvantiteta rada, ponderisanje predmeta premasloženosti, kao i drugačiji način ocjenjivanja kvaliteta rada.</w:t>
            </w:r>
          </w:p>
        </w:tc>
      </w:tr>
    </w:tbl>
    <w:p w:rsidR="006620E1" w:rsidRDefault="006620E1" w:rsidP="007232E3">
      <w:pPr>
        <w:jc w:val="both"/>
      </w:pPr>
      <w:r>
        <w:t xml:space="preserve"> </w:t>
      </w:r>
    </w:p>
    <w:p w:rsidR="007F14DD" w:rsidRDefault="007F14DD" w:rsidP="007232E3">
      <w:pPr>
        <w:jc w:val="both"/>
      </w:pPr>
    </w:p>
    <w:p w:rsidR="007F14DD" w:rsidRDefault="007F14DD" w:rsidP="007F14DD">
      <w:pPr>
        <w:pStyle w:val="ListParagraph"/>
        <w:numPr>
          <w:ilvl w:val="0"/>
          <w:numId w:val="1"/>
        </w:numPr>
        <w:jc w:val="both"/>
      </w:pPr>
      <w:r w:rsidRPr="007F14DD">
        <w:lastRenderedPageBreak/>
        <w:t xml:space="preserve">Predlozi </w:t>
      </w:r>
      <w:r>
        <w:t>Mirka Kojovića, sudije Osnovnog suda u Nikšiću</w:t>
      </w:r>
    </w:p>
    <w:tbl>
      <w:tblPr>
        <w:tblStyle w:val="TableGrid"/>
        <w:tblW w:w="0" w:type="auto"/>
        <w:tblInd w:w="360" w:type="dxa"/>
        <w:tblLook w:val="04A0" w:firstRow="1" w:lastRow="0" w:firstColumn="1" w:lastColumn="0" w:noHBand="0" w:noVBand="1"/>
      </w:tblPr>
      <w:tblGrid>
        <w:gridCol w:w="4225"/>
        <w:gridCol w:w="4765"/>
      </w:tblGrid>
      <w:tr w:rsidR="007F14DD" w:rsidTr="00D31718">
        <w:tc>
          <w:tcPr>
            <w:tcW w:w="4225" w:type="dxa"/>
          </w:tcPr>
          <w:p w:rsidR="007F14DD" w:rsidRPr="007232E3" w:rsidRDefault="007F14DD" w:rsidP="00D31718">
            <w:pPr>
              <w:pStyle w:val="NormalWeb"/>
              <w:jc w:val="center"/>
              <w:rPr>
                <w:rFonts w:asciiTheme="minorHAnsi" w:eastAsiaTheme="minorHAnsi" w:hAnsiTheme="minorHAnsi" w:cstheme="minorBidi"/>
                <w:b/>
                <w:sz w:val="22"/>
                <w:szCs w:val="22"/>
              </w:rPr>
            </w:pPr>
            <w:r w:rsidRPr="007232E3">
              <w:rPr>
                <w:rFonts w:asciiTheme="minorHAnsi" w:eastAsiaTheme="minorHAnsi" w:hAnsiTheme="minorHAnsi" w:cstheme="minorBidi"/>
                <w:b/>
                <w:sz w:val="22"/>
                <w:szCs w:val="22"/>
              </w:rPr>
              <w:t>Član zakona</w:t>
            </w:r>
          </w:p>
        </w:tc>
        <w:tc>
          <w:tcPr>
            <w:tcW w:w="4765" w:type="dxa"/>
          </w:tcPr>
          <w:p w:rsidR="007F14DD" w:rsidRPr="007232E3" w:rsidRDefault="007F14DD" w:rsidP="00D31718">
            <w:pPr>
              <w:pStyle w:val="NormalWeb"/>
              <w:jc w:val="center"/>
              <w:rPr>
                <w:rFonts w:asciiTheme="minorHAnsi" w:eastAsiaTheme="minorHAnsi" w:hAnsiTheme="minorHAnsi" w:cstheme="minorBidi"/>
                <w:b/>
                <w:sz w:val="22"/>
                <w:szCs w:val="22"/>
              </w:rPr>
            </w:pPr>
            <w:r w:rsidRPr="007232E3">
              <w:rPr>
                <w:rFonts w:asciiTheme="minorHAnsi" w:eastAsiaTheme="minorHAnsi" w:hAnsiTheme="minorHAnsi" w:cstheme="minorBidi"/>
                <w:b/>
                <w:sz w:val="22"/>
                <w:szCs w:val="22"/>
              </w:rPr>
              <w:t>Predlog izmjene/dopune i obrazloženje</w:t>
            </w:r>
          </w:p>
        </w:tc>
      </w:tr>
      <w:tr w:rsidR="007F14DD" w:rsidTr="00D31718">
        <w:tc>
          <w:tcPr>
            <w:tcW w:w="4225" w:type="dxa"/>
          </w:tcPr>
          <w:p w:rsidR="007F14DD" w:rsidRDefault="007F14DD" w:rsidP="007F14DD">
            <w:pPr>
              <w:pStyle w:val="NormalWeb"/>
              <w:rPr>
                <w:rFonts w:asciiTheme="minorHAnsi" w:eastAsiaTheme="minorHAnsi" w:hAnsiTheme="minorHAnsi" w:cstheme="minorBidi"/>
                <w:sz w:val="22"/>
                <w:szCs w:val="22"/>
              </w:rPr>
            </w:pPr>
          </w:p>
          <w:p w:rsidR="007F14DD" w:rsidRDefault="007F14DD" w:rsidP="007F14DD">
            <w:pPr>
              <w:pStyle w:val="NormalWeb"/>
              <w:rPr>
                <w:rFonts w:asciiTheme="minorHAnsi" w:eastAsiaTheme="minorHAnsi" w:hAnsiTheme="minorHAnsi" w:cstheme="minorBidi"/>
                <w:sz w:val="22"/>
                <w:szCs w:val="22"/>
              </w:rPr>
            </w:pPr>
          </w:p>
          <w:p w:rsidR="007F14DD" w:rsidRDefault="007F14DD" w:rsidP="007F14DD">
            <w:pPr>
              <w:pStyle w:val="NormalWeb"/>
              <w:rPr>
                <w:rFonts w:asciiTheme="minorHAnsi" w:eastAsiaTheme="minorHAnsi" w:hAnsiTheme="minorHAnsi" w:cstheme="minorBidi"/>
                <w:sz w:val="22"/>
                <w:szCs w:val="22"/>
              </w:rPr>
            </w:pPr>
          </w:p>
          <w:p w:rsidR="007F14DD" w:rsidRDefault="007F14DD" w:rsidP="007F14DD">
            <w:pPr>
              <w:pStyle w:val="NormalWeb"/>
              <w:rPr>
                <w:rFonts w:asciiTheme="minorHAnsi" w:eastAsiaTheme="minorHAnsi" w:hAnsiTheme="minorHAnsi" w:cstheme="minorBidi"/>
                <w:sz w:val="22"/>
                <w:szCs w:val="22"/>
              </w:rPr>
            </w:pPr>
          </w:p>
          <w:p w:rsidR="007F14DD" w:rsidRPr="00C85FA7" w:rsidRDefault="007F14DD" w:rsidP="00D31718">
            <w:pPr>
              <w:pStyle w:val="NormalWeb"/>
              <w:jc w:val="center"/>
              <w:rPr>
                <w:rFonts w:asciiTheme="minorHAnsi" w:eastAsiaTheme="minorHAnsi" w:hAnsiTheme="minorHAnsi" w:cstheme="minorBidi"/>
                <w:sz w:val="22"/>
                <w:szCs w:val="22"/>
              </w:rPr>
            </w:pPr>
            <w:r w:rsidRPr="00C85FA7">
              <w:rPr>
                <w:rFonts w:asciiTheme="minorHAnsi" w:eastAsiaTheme="minorHAnsi" w:hAnsiTheme="minorHAnsi" w:cstheme="minorBidi"/>
                <w:sz w:val="22"/>
                <w:szCs w:val="22"/>
              </w:rPr>
              <w:t>Član</w:t>
            </w:r>
            <w:r>
              <w:rPr>
                <w:rFonts w:asciiTheme="minorHAnsi" w:eastAsiaTheme="minorHAnsi" w:hAnsiTheme="minorHAnsi" w:cstheme="minorBidi"/>
                <w:sz w:val="22"/>
                <w:szCs w:val="22"/>
              </w:rPr>
              <w:t>ovi</w:t>
            </w:r>
            <w:r w:rsidRPr="00C85FA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38</w:t>
            </w:r>
          </w:p>
          <w:p w:rsidR="007F14DD" w:rsidRPr="007232E3" w:rsidRDefault="007F14DD" w:rsidP="00D31718">
            <w:pPr>
              <w:pStyle w:val="NormalWeb"/>
              <w:jc w:val="center"/>
              <w:rPr>
                <w:rFonts w:asciiTheme="minorHAnsi" w:eastAsiaTheme="minorHAnsi" w:hAnsiTheme="minorHAnsi" w:cstheme="minorBidi"/>
                <w:sz w:val="22"/>
                <w:szCs w:val="22"/>
              </w:rPr>
            </w:pPr>
          </w:p>
        </w:tc>
        <w:tc>
          <w:tcPr>
            <w:tcW w:w="4765" w:type="dxa"/>
          </w:tcPr>
          <w:p w:rsidR="007F14DD" w:rsidRDefault="007F14DD" w:rsidP="00D31718">
            <w:pPr>
              <w:pStyle w:val="NormalWeb"/>
              <w:jc w:val="both"/>
              <w:rPr>
                <w:rFonts w:asciiTheme="minorHAnsi" w:eastAsiaTheme="minorHAnsi" w:hAnsiTheme="minorHAnsi" w:cstheme="minorBidi"/>
                <w:sz w:val="22"/>
                <w:szCs w:val="22"/>
              </w:rPr>
            </w:pPr>
          </w:p>
          <w:p w:rsidR="007F14DD" w:rsidRDefault="007F14DD" w:rsidP="00D31718">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Dostavljen je predlog da se </w:t>
            </w:r>
            <w:r w:rsidRPr="007F14DD">
              <w:rPr>
                <w:rFonts w:asciiTheme="minorHAnsi" w:eastAsiaTheme="minorHAnsi" w:hAnsiTheme="minorHAnsi" w:cstheme="minorBidi"/>
                <w:sz w:val="22"/>
                <w:szCs w:val="22"/>
              </w:rPr>
              <w:t xml:space="preserve">izmijeni stav 6 ovog člana, tako da umjesto riječi „najmanje šest </w:t>
            </w:r>
            <w:proofErr w:type="gramStart"/>
            <w:r w:rsidRPr="007F14DD">
              <w:rPr>
                <w:rFonts w:asciiTheme="minorHAnsi" w:eastAsiaTheme="minorHAnsi" w:hAnsiTheme="minorHAnsi" w:cstheme="minorBidi"/>
                <w:sz w:val="22"/>
                <w:szCs w:val="22"/>
              </w:rPr>
              <w:t>godina“ treba</w:t>
            </w:r>
            <w:proofErr w:type="gramEnd"/>
            <w:r w:rsidRPr="007F14DD">
              <w:rPr>
                <w:rFonts w:asciiTheme="minorHAnsi" w:eastAsiaTheme="minorHAnsi" w:hAnsiTheme="minorHAnsi" w:cstheme="minorBidi"/>
                <w:sz w:val="22"/>
                <w:szCs w:val="22"/>
              </w:rPr>
              <w:t xml:space="preserve"> da stoje riječi „najmanje 5 godina“.</w:t>
            </w:r>
          </w:p>
          <w:p w:rsidR="007F14DD" w:rsidRP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 xml:space="preserve">Predložena izmjena ima uporište kako u ranijim zakonskim rješenjima, tako i u praktičnim potrebama funkcionisanja sudskog sistema. U prethodnim verzijama zakonodavnog okvira, kraći period potrebnog iskustva za izbor sudija viših sudova je bio prepoznat kao adekvatan balans između zahtjeva za stručnošću i potrebe za obezbjeđivanjem </w:t>
            </w:r>
            <w:r>
              <w:rPr>
                <w:rFonts w:asciiTheme="minorHAnsi" w:eastAsiaTheme="minorHAnsi" w:hAnsiTheme="minorHAnsi" w:cstheme="minorBidi"/>
                <w:sz w:val="22"/>
                <w:szCs w:val="22"/>
              </w:rPr>
              <w:t>kadrovske</w:t>
            </w:r>
            <w:r w:rsidRPr="007F14DD">
              <w:rPr>
                <w:rFonts w:asciiTheme="minorHAnsi" w:eastAsiaTheme="minorHAnsi" w:hAnsiTheme="minorHAnsi" w:cstheme="minorBidi"/>
                <w:sz w:val="22"/>
                <w:szCs w:val="22"/>
              </w:rPr>
              <w:t xml:space="preserve"> održivosti sudova.</w:t>
            </w:r>
          </w:p>
          <w:p w:rsidR="007F14DD" w:rsidRPr="007232E3"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Važeće rješenje, kojim se zahtijeva najmanje šest godina rada u svojstvu sudije ili državnog tužioca, u praksi se pokazalo kao previše restriktivno, naročito u uslovima izraženog nedostatka sudijskog kadra i povećanog obima predmeta. Ovako normativno rješenje sužava krug potencijalnih kandidata, usporava popunjavanje sudijskih mjesta i negativno utiče na efikasnost sudova, posebno u višim sudovima gdje je kontinuitet rada od izuzetne važnosti.</w:t>
            </w:r>
            <w:r>
              <w:rPr>
                <w:rFonts w:asciiTheme="minorHAnsi" w:eastAsiaTheme="minorHAnsi" w:hAnsiTheme="minorHAnsi" w:cstheme="minorBidi"/>
                <w:sz w:val="22"/>
                <w:szCs w:val="22"/>
              </w:rPr>
              <w:t xml:space="preserve"> </w:t>
            </w:r>
            <w:r w:rsidRPr="007F14DD">
              <w:rPr>
                <w:rFonts w:asciiTheme="minorHAnsi" w:eastAsiaTheme="minorHAnsi" w:hAnsiTheme="minorHAnsi" w:cstheme="minorBidi"/>
                <w:sz w:val="22"/>
                <w:szCs w:val="22"/>
              </w:rPr>
              <w:t>Smanjenjem propisanog perioda sa šest na pet godina ne dovodi se u pitanje kvalitet niti stručnost sudija, imajući u vidu da se i dalje radi o licima sa značajnim profesionalnim iskustvom i prethodno stečenim znanjima u oblasti pravosuđa. Istovremeno, predložena izmjena doprinosi većoj fluktuaciji kadrova, omogućava pravovremeno popunjavanje upražnjenih sudijskih mjesta i obezbjeđuje stabilnije funkcionisanje sudskog sistema u cjelini.</w:t>
            </w:r>
            <w:r>
              <w:rPr>
                <w:rFonts w:asciiTheme="minorHAnsi" w:eastAsiaTheme="minorHAnsi" w:hAnsiTheme="minorHAnsi" w:cstheme="minorBidi"/>
                <w:sz w:val="22"/>
                <w:szCs w:val="22"/>
              </w:rPr>
              <w:t xml:space="preserve"> </w:t>
            </w:r>
            <w:r w:rsidRPr="007F14DD">
              <w:rPr>
                <w:rFonts w:asciiTheme="minorHAnsi" w:eastAsiaTheme="minorHAnsi" w:hAnsiTheme="minorHAnsi" w:cstheme="minorBidi"/>
                <w:sz w:val="22"/>
                <w:szCs w:val="22"/>
              </w:rPr>
              <w:t>Na ovaj način postiže se razuman i opravdan balans između zahtjeva za iskustvom i potrebe za efikasnim, dostupnim i funkcionalnim pravosuđem.</w:t>
            </w:r>
          </w:p>
        </w:tc>
      </w:tr>
      <w:tr w:rsidR="007F14DD" w:rsidTr="00D31718">
        <w:trPr>
          <w:trHeight w:val="332"/>
        </w:trPr>
        <w:tc>
          <w:tcPr>
            <w:tcW w:w="4225" w:type="dxa"/>
          </w:tcPr>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55a</w:t>
            </w: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7F14DD">
            <w:pPr>
              <w:pStyle w:val="NormalWeb"/>
              <w:jc w:val="center"/>
              <w:rPr>
                <w:rFonts w:asciiTheme="minorHAnsi" w:eastAsiaTheme="minorHAnsi" w:hAnsiTheme="minorHAnsi" w:cstheme="minorBidi"/>
                <w:sz w:val="22"/>
                <w:szCs w:val="22"/>
              </w:rPr>
            </w:pPr>
          </w:p>
          <w:p w:rsidR="007F14DD" w:rsidRDefault="007F14DD" w:rsidP="007F14DD">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55a</w:t>
            </w: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D31718">
            <w:pPr>
              <w:pStyle w:val="NormalWeb"/>
              <w:jc w:val="center"/>
              <w:rPr>
                <w:rFonts w:asciiTheme="minorHAnsi" w:eastAsiaTheme="minorHAnsi" w:hAnsiTheme="minorHAnsi" w:cstheme="minorBidi"/>
                <w:sz w:val="22"/>
                <w:szCs w:val="22"/>
              </w:rPr>
            </w:pPr>
          </w:p>
          <w:p w:rsidR="007F14DD" w:rsidRDefault="007F14DD" w:rsidP="007F14DD">
            <w:pPr>
              <w:pStyle w:val="NormalWeb"/>
              <w:jc w:val="center"/>
              <w:rPr>
                <w:rFonts w:asciiTheme="minorHAnsi" w:eastAsiaTheme="minorHAnsi" w:hAnsiTheme="minorHAnsi" w:cstheme="minorBidi"/>
                <w:sz w:val="22"/>
                <w:szCs w:val="22"/>
              </w:rPr>
            </w:pPr>
          </w:p>
          <w:p w:rsidR="007F14DD" w:rsidRDefault="007F14DD" w:rsidP="007F14DD">
            <w:pPr>
              <w:pStyle w:val="NormalWeb"/>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Član 55a</w:t>
            </w:r>
          </w:p>
          <w:p w:rsidR="007F14DD" w:rsidRPr="007232E3" w:rsidRDefault="007F14DD" w:rsidP="00D31718">
            <w:pPr>
              <w:pStyle w:val="NormalWeb"/>
              <w:jc w:val="center"/>
              <w:rPr>
                <w:rFonts w:asciiTheme="minorHAnsi" w:eastAsiaTheme="minorHAnsi" w:hAnsiTheme="minorHAnsi" w:cstheme="minorBidi"/>
                <w:sz w:val="22"/>
                <w:szCs w:val="22"/>
              </w:rPr>
            </w:pPr>
          </w:p>
        </w:tc>
        <w:tc>
          <w:tcPr>
            <w:tcW w:w="4765" w:type="dxa"/>
          </w:tcPr>
          <w:p w:rsid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lastRenderedPageBreak/>
              <w:t xml:space="preserve">Potrebno je u cjelosti promijeniti ovaj član, počev od naziva, tako da isti treba da glasi „prava </w:t>
            </w:r>
            <w:proofErr w:type="gramStart"/>
            <w:r w:rsidRPr="007F14DD">
              <w:rPr>
                <w:rFonts w:asciiTheme="minorHAnsi" w:eastAsiaTheme="minorHAnsi" w:hAnsiTheme="minorHAnsi" w:cstheme="minorBidi"/>
                <w:sz w:val="22"/>
                <w:szCs w:val="22"/>
              </w:rPr>
              <w:t>sudija“</w:t>
            </w:r>
            <w:proofErr w:type="gramEnd"/>
            <w:r w:rsidRPr="007F14DD">
              <w:rPr>
                <w:rFonts w:asciiTheme="minorHAnsi" w:eastAsiaTheme="minorHAnsi" w:hAnsiTheme="minorHAnsi" w:cstheme="minorBidi"/>
                <w:sz w:val="22"/>
                <w:szCs w:val="22"/>
              </w:rPr>
              <w:t>, a u nastavku:</w:t>
            </w:r>
          </w:p>
          <w:p w:rsid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Sudijama pripadaju sljedeća prava na:</w:t>
            </w:r>
          </w:p>
          <w:p w:rsidR="007F14DD" w:rsidRPr="007F14DD" w:rsidRDefault="007F14DD" w:rsidP="007F14DD">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Pr="007F14DD">
              <w:rPr>
                <w:rFonts w:asciiTheme="minorHAnsi" w:eastAsiaTheme="minorHAnsi" w:hAnsiTheme="minorHAnsi" w:cstheme="minorBidi"/>
                <w:sz w:val="22"/>
                <w:szCs w:val="22"/>
              </w:rPr>
              <w:t xml:space="preserve">naknadu za odvojeni život od porodice i naknadu troškova putovanja u mjesto stanovanja porodice u </w:t>
            </w:r>
            <w:r w:rsidRPr="007F14DD">
              <w:rPr>
                <w:rFonts w:asciiTheme="minorHAnsi" w:eastAsiaTheme="minorHAnsi" w:hAnsiTheme="minorHAnsi" w:cstheme="minorBidi"/>
                <w:sz w:val="22"/>
                <w:szCs w:val="22"/>
              </w:rPr>
              <w:lastRenderedPageBreak/>
              <w:t>vrijeme nedjeljnog odmora i državnih praznika kada sudija to pravo ostvaruje shodno posebnom zakonu,</w:t>
            </w:r>
          </w:p>
          <w:p w:rsidR="007F14DD" w:rsidRPr="007F14DD" w:rsidRDefault="007F14DD" w:rsidP="007F14DD">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2.</w:t>
            </w:r>
            <w:r w:rsidRPr="007F14DD">
              <w:rPr>
                <w:rFonts w:asciiTheme="minorHAnsi" w:eastAsiaTheme="minorHAnsi" w:hAnsiTheme="minorHAnsi" w:cstheme="minorBidi"/>
                <w:sz w:val="22"/>
                <w:szCs w:val="22"/>
              </w:rPr>
              <w:t>naknadu troškova za službena putovanja i putne troškove u vezi s obavljanjem sudijske dužnosti,</w:t>
            </w:r>
          </w:p>
          <w:p w:rsidR="007F14DD" w:rsidRPr="007F14DD" w:rsidRDefault="007F14DD" w:rsidP="007F14DD">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sidRPr="007F14DD">
              <w:rPr>
                <w:rFonts w:asciiTheme="minorHAnsi" w:eastAsiaTheme="minorHAnsi" w:hAnsiTheme="minorHAnsi" w:cstheme="minorBidi"/>
                <w:sz w:val="22"/>
                <w:szCs w:val="22"/>
              </w:rPr>
              <w:t>naknadu troškova prevoza na posao i s posla,</w:t>
            </w:r>
          </w:p>
          <w:p w:rsidR="007F14DD" w:rsidRDefault="007F14DD" w:rsidP="007F14DD">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4.</w:t>
            </w:r>
            <w:r w:rsidRPr="007F14DD">
              <w:rPr>
                <w:rFonts w:asciiTheme="minorHAnsi" w:eastAsiaTheme="minorHAnsi" w:hAnsiTheme="minorHAnsi" w:cstheme="minorBidi"/>
                <w:sz w:val="22"/>
                <w:szCs w:val="22"/>
              </w:rPr>
              <w:t>sistematski pregled</w:t>
            </w:r>
            <w:r>
              <w:rPr>
                <w:rFonts w:asciiTheme="minorHAnsi" w:eastAsiaTheme="minorHAnsi" w:hAnsiTheme="minorHAnsi" w:cstheme="minorBidi"/>
                <w:sz w:val="22"/>
                <w:szCs w:val="22"/>
              </w:rPr>
              <w:t>.</w:t>
            </w:r>
          </w:p>
          <w:p w:rsidR="007F14DD" w:rsidRP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Važeće rješenje iz člana 55a zakona vezuje ostvarivanje pojedinih prava sudija isključivo za sudije koje su izabrane u sud van mjesta prebivališta, uz dodatna ograničenja u pogledu udaljenosti izražene u kilometrima, kao i u zavisnosti od momenta izbora sudije. Takvo normativno uređenje u praksi dovelo do nejednakog položaja sudija koje obavljaju istu sudijsku funkciju, što je suprotno ustavnom načelu jednakosti i zabrani diskriminacije.</w:t>
            </w:r>
          </w:p>
          <w:p w:rsidR="007F14DD" w:rsidRP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U praksi se javlja situacija da pravo na naknadu za odvojeni život, troškove putovanja i druga pripadajuća prava ostvaruju isključivo sudije izabrane po novom sistemu izbora, dok sudije koje su izabrane po ranijem zakonskom okviru ostaju isključene iz ostvarivanja istih prava, iako se nalaze u identičnom ili čak nepovoljnijem faktičkom položaju.</w:t>
            </w:r>
          </w:p>
          <w:p w:rsidR="007F14DD" w:rsidRPr="007F14DD"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Takođe, sudije koje su napredovale u Viši sud ne ostvaruju navedena prava, iako su faktički dovedene u isti položaj kao i sudije koje se prvi put biraju, čime se uspostavlja neopravdana razlika zasnovana isključivo na formalnom kriterijumu načina izbora, a ne na stvarnim okolnostima u kojima sudije obavljaju sudijsku funkciju.</w:t>
            </w:r>
          </w:p>
          <w:p w:rsidR="007F14DD" w:rsidRPr="007232E3" w:rsidRDefault="007F14DD" w:rsidP="007F14DD">
            <w:pPr>
              <w:pStyle w:val="NormalWeb"/>
              <w:jc w:val="both"/>
              <w:rPr>
                <w:rFonts w:asciiTheme="minorHAnsi" w:eastAsiaTheme="minorHAnsi" w:hAnsiTheme="minorHAnsi" w:cstheme="minorBidi"/>
                <w:sz w:val="22"/>
                <w:szCs w:val="22"/>
              </w:rPr>
            </w:pPr>
            <w:r w:rsidRPr="007F14DD">
              <w:rPr>
                <w:rFonts w:asciiTheme="minorHAnsi" w:eastAsiaTheme="minorHAnsi" w:hAnsiTheme="minorHAnsi" w:cstheme="minorBidi"/>
                <w:sz w:val="22"/>
                <w:szCs w:val="22"/>
              </w:rPr>
              <w:t xml:space="preserve">Dodatno, ograničavanje prava sudija na osnovu udaljenosti mjesta rada od mjesta prebivališta izražene u kilometrima ne odražava realne okolnosti u kojima se sudije nalaze, imajući u vidu stanje putne infrastrukture, konfiguraciju terena i vremensku dostupnost između pojedinih mjesta u Crnoj Gori. Formalni kilometarski kriterijum ne može biti adekvatna mjera stvarnog opterećenja </w:t>
            </w:r>
            <w:r w:rsidRPr="007F14DD">
              <w:rPr>
                <w:rFonts w:asciiTheme="minorHAnsi" w:eastAsiaTheme="minorHAnsi" w:hAnsiTheme="minorHAnsi" w:cstheme="minorBidi"/>
                <w:sz w:val="22"/>
                <w:szCs w:val="22"/>
              </w:rPr>
              <w:lastRenderedPageBreak/>
              <w:t>koje svakodnevno putovanje predstavlja, niti je u skladu sa svrhom zakona da obezbijedi dostojanstvene uslove za obavljanje sudijske funkcije.</w:t>
            </w:r>
            <w:r>
              <w:rPr>
                <w:rFonts w:asciiTheme="minorHAnsi" w:eastAsiaTheme="minorHAnsi" w:hAnsiTheme="minorHAnsi" w:cstheme="minorBidi"/>
                <w:sz w:val="22"/>
                <w:szCs w:val="22"/>
              </w:rPr>
              <w:t xml:space="preserve"> </w:t>
            </w:r>
            <w:r w:rsidRPr="007F14DD">
              <w:rPr>
                <w:rFonts w:asciiTheme="minorHAnsi" w:eastAsiaTheme="minorHAnsi" w:hAnsiTheme="minorHAnsi" w:cstheme="minorBidi"/>
                <w:sz w:val="22"/>
                <w:szCs w:val="22"/>
              </w:rPr>
              <w:t>Iznosi naknada iz ovog člana, kao i bliži uslovi, način i postupak njihovog ostvarivanja, uključujući i ostvarivanje prava na sistematski pregled, uređivali bi se posebnim podzakonskim aktima, čime bi se obezbijedila fleksibilnost u primjeni zakona, istovremeno zadržavanje zakonske garancije prava sudija i poštovanje budžetskih mogućnosti.</w:t>
            </w:r>
            <w:r>
              <w:rPr>
                <w:rFonts w:asciiTheme="minorHAnsi" w:eastAsiaTheme="minorHAnsi" w:hAnsiTheme="minorHAnsi" w:cstheme="minorBidi"/>
                <w:sz w:val="22"/>
                <w:szCs w:val="22"/>
              </w:rPr>
              <w:t xml:space="preserve"> </w:t>
            </w:r>
            <w:r w:rsidRPr="007F14DD">
              <w:rPr>
                <w:rFonts w:asciiTheme="minorHAnsi" w:eastAsiaTheme="minorHAnsi" w:hAnsiTheme="minorHAnsi" w:cstheme="minorBidi"/>
                <w:sz w:val="22"/>
                <w:szCs w:val="22"/>
              </w:rPr>
              <w:t>Predloženim rješenjem prava sudija se uređuju kao opšta prava koja pripadaju svim sudijama pod jednakim uslovima, bez obzira na trenutak izbora, način izbora ili formalnu udaljenost mjesta rada. Time se obezbjeđuje jednak tretman sudija, jača pravna sigurnost, otklanjaju uočene</w:t>
            </w:r>
            <w:r>
              <w:rPr>
                <w:rFonts w:asciiTheme="minorHAnsi" w:eastAsiaTheme="minorHAnsi" w:hAnsiTheme="minorHAnsi" w:cstheme="minorBidi"/>
                <w:sz w:val="22"/>
                <w:szCs w:val="22"/>
              </w:rPr>
              <w:t xml:space="preserve"> </w:t>
            </w:r>
            <w:r w:rsidRPr="007F14DD">
              <w:rPr>
                <w:rFonts w:asciiTheme="minorHAnsi" w:eastAsiaTheme="minorHAnsi" w:hAnsiTheme="minorHAnsi" w:cstheme="minorBidi"/>
                <w:sz w:val="22"/>
                <w:szCs w:val="22"/>
              </w:rPr>
              <w:t>diskriminatorne posljedice važeće norme i postiže dosljednost sa osnovnim principima nezavisnosti sudstva i zaštite dostojanstva sudijske funkcije.</w:t>
            </w:r>
          </w:p>
        </w:tc>
      </w:tr>
    </w:tbl>
    <w:p w:rsidR="007F14DD" w:rsidRDefault="007F14DD" w:rsidP="007232E3">
      <w:pPr>
        <w:jc w:val="both"/>
      </w:pPr>
      <w:bookmarkStart w:id="0" w:name="_GoBack"/>
      <w:bookmarkEnd w:id="0"/>
    </w:p>
    <w:p w:rsidR="007232E3" w:rsidRDefault="007232E3" w:rsidP="007232E3">
      <w:pPr>
        <w:jc w:val="both"/>
      </w:pPr>
      <w:r>
        <w:t xml:space="preserve">Pristigli predlozi i sugestije biće razmotreni </w:t>
      </w:r>
      <w:r w:rsidR="00F90BAE">
        <w:t xml:space="preserve">tokom rada </w:t>
      </w:r>
      <w:r>
        <w:t xml:space="preserve">Radne grupe na izradi Predloga zakona </w:t>
      </w:r>
      <w:r w:rsidRPr="00022028">
        <w:t>o</w:t>
      </w:r>
      <w:r>
        <w:t xml:space="preserve"> izmjenama i dopunama Zakona o Sudskom savjetu i sudijama.</w:t>
      </w:r>
    </w:p>
    <w:p w:rsidR="007232E3" w:rsidRPr="00960012" w:rsidRDefault="007232E3" w:rsidP="007232E3">
      <w:pPr>
        <w:jc w:val="both"/>
        <w:rPr>
          <w:lang w:val="sr-Latn-ME"/>
        </w:rPr>
      </w:pPr>
    </w:p>
    <w:sectPr w:rsidR="007232E3" w:rsidRPr="009600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5686"/>
    <w:multiLevelType w:val="hybridMultilevel"/>
    <w:tmpl w:val="4B26777C"/>
    <w:lvl w:ilvl="0" w:tplc="168A23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2208"/>
    <w:multiLevelType w:val="hybridMultilevel"/>
    <w:tmpl w:val="EA06768C"/>
    <w:lvl w:ilvl="0" w:tplc="0B2C0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27947"/>
    <w:multiLevelType w:val="hybridMultilevel"/>
    <w:tmpl w:val="AFB8A7F0"/>
    <w:lvl w:ilvl="0" w:tplc="E0F6DB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14C65"/>
    <w:multiLevelType w:val="hybridMultilevel"/>
    <w:tmpl w:val="AAC839A0"/>
    <w:lvl w:ilvl="0" w:tplc="ADB447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64E5C"/>
    <w:multiLevelType w:val="hybridMultilevel"/>
    <w:tmpl w:val="5086AF96"/>
    <w:lvl w:ilvl="0" w:tplc="D8B643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81CDA"/>
    <w:multiLevelType w:val="hybridMultilevel"/>
    <w:tmpl w:val="2BDE4930"/>
    <w:lvl w:ilvl="0" w:tplc="E90271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28"/>
    <w:rsid w:val="00022028"/>
    <w:rsid w:val="0005648D"/>
    <w:rsid w:val="0005727C"/>
    <w:rsid w:val="000B0A43"/>
    <w:rsid w:val="0017774B"/>
    <w:rsid w:val="0039118C"/>
    <w:rsid w:val="00391CFB"/>
    <w:rsid w:val="003F28D7"/>
    <w:rsid w:val="00473F77"/>
    <w:rsid w:val="00497E50"/>
    <w:rsid w:val="004B51CD"/>
    <w:rsid w:val="00587666"/>
    <w:rsid w:val="005D5154"/>
    <w:rsid w:val="006620E1"/>
    <w:rsid w:val="006D259E"/>
    <w:rsid w:val="007232E3"/>
    <w:rsid w:val="00782C9B"/>
    <w:rsid w:val="007F14DD"/>
    <w:rsid w:val="008068C8"/>
    <w:rsid w:val="008F6A13"/>
    <w:rsid w:val="00937623"/>
    <w:rsid w:val="00960012"/>
    <w:rsid w:val="00AB18F6"/>
    <w:rsid w:val="00B21C84"/>
    <w:rsid w:val="00C22444"/>
    <w:rsid w:val="00C74D6B"/>
    <w:rsid w:val="00C85FA7"/>
    <w:rsid w:val="00D8052C"/>
    <w:rsid w:val="00E80D30"/>
    <w:rsid w:val="00F9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0426"/>
  <w15:chartTrackingRefBased/>
  <w15:docId w15:val="{88C816DE-8155-42AC-8C28-6F01BE25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028"/>
    <w:rPr>
      <w:color w:val="0563C1" w:themeColor="hyperlink"/>
      <w:u w:val="single"/>
    </w:rPr>
  </w:style>
  <w:style w:type="character" w:styleId="UnresolvedMention">
    <w:name w:val="Unresolved Mention"/>
    <w:basedOn w:val="DefaultParagraphFont"/>
    <w:uiPriority w:val="99"/>
    <w:semiHidden/>
    <w:unhideWhenUsed/>
    <w:rsid w:val="00022028"/>
    <w:rPr>
      <w:color w:val="605E5C"/>
      <w:shd w:val="clear" w:color="auto" w:fill="E1DFDD"/>
    </w:rPr>
  </w:style>
  <w:style w:type="paragraph" w:styleId="NormalWeb">
    <w:name w:val="Normal (Web)"/>
    <w:basedOn w:val="Normal"/>
    <w:uiPriority w:val="99"/>
    <w:unhideWhenUsed/>
    <w:rsid w:val="009600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0867">
      <w:bodyDiv w:val="1"/>
      <w:marLeft w:val="0"/>
      <w:marRight w:val="0"/>
      <w:marTop w:val="0"/>
      <w:marBottom w:val="0"/>
      <w:divBdr>
        <w:top w:val="none" w:sz="0" w:space="0" w:color="auto"/>
        <w:left w:val="none" w:sz="0" w:space="0" w:color="auto"/>
        <w:bottom w:val="none" w:sz="0" w:space="0" w:color="auto"/>
        <w:right w:val="none" w:sz="0" w:space="0" w:color="auto"/>
      </w:divBdr>
    </w:div>
    <w:div w:id="484011496">
      <w:bodyDiv w:val="1"/>
      <w:marLeft w:val="0"/>
      <w:marRight w:val="0"/>
      <w:marTop w:val="0"/>
      <w:marBottom w:val="0"/>
      <w:divBdr>
        <w:top w:val="none" w:sz="0" w:space="0" w:color="auto"/>
        <w:left w:val="none" w:sz="0" w:space="0" w:color="auto"/>
        <w:bottom w:val="none" w:sz="0" w:space="0" w:color="auto"/>
        <w:right w:val="none" w:sz="0" w:space="0" w:color="auto"/>
      </w:divBdr>
    </w:div>
    <w:div w:id="1029066148">
      <w:bodyDiv w:val="1"/>
      <w:marLeft w:val="0"/>
      <w:marRight w:val="0"/>
      <w:marTop w:val="0"/>
      <w:marBottom w:val="0"/>
      <w:divBdr>
        <w:top w:val="none" w:sz="0" w:space="0" w:color="auto"/>
        <w:left w:val="none" w:sz="0" w:space="0" w:color="auto"/>
        <w:bottom w:val="none" w:sz="0" w:space="0" w:color="auto"/>
        <w:right w:val="none" w:sz="0" w:space="0" w:color="auto"/>
      </w:divBdr>
    </w:div>
    <w:div w:id="1203321182">
      <w:bodyDiv w:val="1"/>
      <w:marLeft w:val="0"/>
      <w:marRight w:val="0"/>
      <w:marTop w:val="0"/>
      <w:marBottom w:val="0"/>
      <w:divBdr>
        <w:top w:val="none" w:sz="0" w:space="0" w:color="auto"/>
        <w:left w:val="none" w:sz="0" w:space="0" w:color="auto"/>
        <w:bottom w:val="none" w:sz="0" w:space="0" w:color="auto"/>
        <w:right w:val="none" w:sz="0" w:space="0" w:color="auto"/>
      </w:divBdr>
    </w:div>
    <w:div w:id="1219516585">
      <w:bodyDiv w:val="1"/>
      <w:marLeft w:val="0"/>
      <w:marRight w:val="0"/>
      <w:marTop w:val="0"/>
      <w:marBottom w:val="0"/>
      <w:divBdr>
        <w:top w:val="none" w:sz="0" w:space="0" w:color="auto"/>
        <w:left w:val="none" w:sz="0" w:space="0" w:color="auto"/>
        <w:bottom w:val="none" w:sz="0" w:space="0" w:color="auto"/>
        <w:right w:val="none" w:sz="0" w:space="0" w:color="auto"/>
      </w:divBdr>
    </w:div>
    <w:div w:id="1271552219">
      <w:bodyDiv w:val="1"/>
      <w:marLeft w:val="0"/>
      <w:marRight w:val="0"/>
      <w:marTop w:val="0"/>
      <w:marBottom w:val="0"/>
      <w:divBdr>
        <w:top w:val="none" w:sz="0" w:space="0" w:color="auto"/>
        <w:left w:val="none" w:sz="0" w:space="0" w:color="auto"/>
        <w:bottom w:val="none" w:sz="0" w:space="0" w:color="auto"/>
        <w:right w:val="none" w:sz="0" w:space="0" w:color="auto"/>
      </w:divBdr>
    </w:div>
    <w:div w:id="1815829285">
      <w:bodyDiv w:val="1"/>
      <w:marLeft w:val="0"/>
      <w:marRight w:val="0"/>
      <w:marTop w:val="0"/>
      <w:marBottom w:val="0"/>
      <w:divBdr>
        <w:top w:val="none" w:sz="0" w:space="0" w:color="auto"/>
        <w:left w:val="none" w:sz="0" w:space="0" w:color="auto"/>
        <w:bottom w:val="none" w:sz="0" w:space="0" w:color="auto"/>
        <w:right w:val="none" w:sz="0" w:space="0" w:color="auto"/>
      </w:divBdr>
      <w:divsChild>
        <w:div w:id="230428042">
          <w:marLeft w:val="0"/>
          <w:marRight w:val="0"/>
          <w:marTop w:val="0"/>
          <w:marBottom w:val="0"/>
          <w:divBdr>
            <w:top w:val="none" w:sz="0" w:space="0" w:color="auto"/>
            <w:left w:val="none" w:sz="0" w:space="0" w:color="auto"/>
            <w:bottom w:val="none" w:sz="0" w:space="0" w:color="auto"/>
            <w:right w:val="none" w:sz="0" w:space="0" w:color="auto"/>
          </w:divBdr>
          <w:divsChild>
            <w:div w:id="1500272179">
              <w:marLeft w:val="0"/>
              <w:marRight w:val="0"/>
              <w:marTop w:val="0"/>
              <w:marBottom w:val="0"/>
              <w:divBdr>
                <w:top w:val="none" w:sz="0" w:space="0" w:color="auto"/>
                <w:left w:val="none" w:sz="0" w:space="0" w:color="auto"/>
                <w:bottom w:val="none" w:sz="0" w:space="0" w:color="auto"/>
                <w:right w:val="none" w:sz="0" w:space="0" w:color="auto"/>
              </w:divBdr>
              <w:divsChild>
                <w:div w:id="1757092621">
                  <w:marLeft w:val="0"/>
                  <w:marRight w:val="0"/>
                  <w:marTop w:val="0"/>
                  <w:marBottom w:val="0"/>
                  <w:divBdr>
                    <w:top w:val="none" w:sz="0" w:space="0" w:color="auto"/>
                    <w:left w:val="none" w:sz="0" w:space="0" w:color="auto"/>
                    <w:bottom w:val="none" w:sz="0" w:space="0" w:color="auto"/>
                    <w:right w:val="none" w:sz="0" w:space="0" w:color="auto"/>
                  </w:divBdr>
                  <w:divsChild>
                    <w:div w:id="495075245">
                      <w:marLeft w:val="0"/>
                      <w:marRight w:val="0"/>
                      <w:marTop w:val="0"/>
                      <w:marBottom w:val="0"/>
                      <w:divBdr>
                        <w:top w:val="none" w:sz="0" w:space="0" w:color="auto"/>
                        <w:left w:val="none" w:sz="0" w:space="0" w:color="auto"/>
                        <w:bottom w:val="none" w:sz="0" w:space="0" w:color="auto"/>
                        <w:right w:val="none" w:sz="0" w:space="0" w:color="auto"/>
                      </w:divBdr>
                      <w:divsChild>
                        <w:div w:id="1705134269">
                          <w:marLeft w:val="0"/>
                          <w:marRight w:val="0"/>
                          <w:marTop w:val="0"/>
                          <w:marBottom w:val="0"/>
                          <w:divBdr>
                            <w:top w:val="none" w:sz="0" w:space="0" w:color="auto"/>
                            <w:left w:val="none" w:sz="0" w:space="0" w:color="auto"/>
                            <w:bottom w:val="none" w:sz="0" w:space="0" w:color="auto"/>
                            <w:right w:val="none" w:sz="0" w:space="0" w:color="auto"/>
                          </w:divBdr>
                          <w:divsChild>
                            <w:div w:id="19359123">
                              <w:marLeft w:val="0"/>
                              <w:marRight w:val="0"/>
                              <w:marTop w:val="0"/>
                              <w:marBottom w:val="0"/>
                              <w:divBdr>
                                <w:top w:val="none" w:sz="0" w:space="0" w:color="auto"/>
                                <w:left w:val="none" w:sz="0" w:space="0" w:color="auto"/>
                                <w:bottom w:val="none" w:sz="0" w:space="0" w:color="auto"/>
                                <w:right w:val="none" w:sz="0" w:space="0" w:color="auto"/>
                              </w:divBdr>
                              <w:divsChild>
                                <w:div w:id="11902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adjana.ivanovic@mpa.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Ivanovic</dc:creator>
  <cp:keywords/>
  <dc:description/>
  <cp:lastModifiedBy>Sladjana Ivanovic</cp:lastModifiedBy>
  <cp:revision>11</cp:revision>
  <dcterms:created xsi:type="dcterms:W3CDTF">2026-02-19T09:33:00Z</dcterms:created>
  <dcterms:modified xsi:type="dcterms:W3CDTF">2026-02-26T08:50:00Z</dcterms:modified>
</cp:coreProperties>
</file>