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C5CCF" w14:textId="4611CCFB" w:rsidR="00A876D2" w:rsidRPr="00164869" w:rsidRDefault="00A876D2" w:rsidP="00A876D2">
      <w:pPr>
        <w:pStyle w:val="NoSpacing"/>
        <w:rPr>
          <w:rFonts w:ascii="Arial" w:hAnsi="Arial" w:cs="Arial"/>
          <w:b/>
          <w:lang w:val="sr-Latn-RS"/>
        </w:rPr>
      </w:pPr>
    </w:p>
    <w:p w14:paraId="3D42D4AB" w14:textId="4719E111" w:rsidR="00A876D2" w:rsidRDefault="00A876D2" w:rsidP="00BC53D6">
      <w:pPr>
        <w:pStyle w:val="NoSpacing"/>
        <w:jc w:val="center"/>
        <w:rPr>
          <w:rFonts w:ascii="Arial" w:hAnsi="Arial" w:cs="Arial"/>
          <w:b/>
          <w:lang w:val="sr-Latn-CS"/>
        </w:rPr>
      </w:pPr>
      <w:r w:rsidRPr="00164869">
        <w:rPr>
          <w:rFonts w:ascii="Arial" w:hAnsi="Arial" w:cs="Arial"/>
          <w:b/>
          <w:lang w:val="sr-Latn-CS"/>
        </w:rPr>
        <w:t>PODRUČN</w:t>
      </w:r>
      <w:r w:rsidR="000F64AE">
        <w:rPr>
          <w:rFonts w:ascii="Arial" w:hAnsi="Arial" w:cs="Arial"/>
          <w:b/>
          <w:lang w:val="sr-Latn-CS"/>
        </w:rPr>
        <w:t>IM</w:t>
      </w:r>
      <w:r w:rsidRPr="00164869">
        <w:rPr>
          <w:rFonts w:ascii="Arial" w:hAnsi="Arial" w:cs="Arial"/>
          <w:b/>
          <w:lang w:val="sr-Latn-CS"/>
        </w:rPr>
        <w:t xml:space="preserve"> JEDINICA</w:t>
      </w:r>
      <w:r w:rsidR="000F64AE">
        <w:rPr>
          <w:rFonts w:ascii="Arial" w:hAnsi="Arial" w:cs="Arial"/>
          <w:b/>
          <w:lang w:val="sr-Latn-CS"/>
        </w:rPr>
        <w:t>MA</w:t>
      </w:r>
      <w:r w:rsidRPr="00164869">
        <w:rPr>
          <w:rFonts w:ascii="Arial" w:hAnsi="Arial" w:cs="Arial"/>
          <w:b/>
          <w:lang w:val="sr-Latn-CS"/>
        </w:rPr>
        <w:t xml:space="preserve"> CARINARNIC</w:t>
      </w:r>
      <w:r w:rsidR="000F64AE">
        <w:rPr>
          <w:rFonts w:ascii="Arial" w:hAnsi="Arial" w:cs="Arial"/>
          <w:b/>
          <w:lang w:val="sr-Latn-CS"/>
        </w:rPr>
        <w:t>AMA</w:t>
      </w:r>
    </w:p>
    <w:p w14:paraId="07AC3695" w14:textId="77777777" w:rsidR="000F64AE" w:rsidRDefault="000F64AE" w:rsidP="000F64AE">
      <w:pPr>
        <w:pStyle w:val="NoSpacing"/>
        <w:rPr>
          <w:rFonts w:ascii="Arial" w:hAnsi="Arial" w:cs="Arial"/>
          <w:b/>
          <w:lang w:val="sr-Latn-CS"/>
        </w:rPr>
      </w:pPr>
    </w:p>
    <w:p w14:paraId="28B7F66C" w14:textId="77777777" w:rsidR="00164869" w:rsidRPr="00164869" w:rsidRDefault="00164869" w:rsidP="00A876D2">
      <w:pPr>
        <w:pStyle w:val="NoSpacing"/>
        <w:rPr>
          <w:rFonts w:ascii="Arial" w:hAnsi="Arial" w:cs="Arial"/>
          <w:b/>
          <w:lang w:val="sr-Latn-CS"/>
        </w:rPr>
      </w:pPr>
    </w:p>
    <w:p w14:paraId="4BECE338" w14:textId="77777777" w:rsidR="00A876D2" w:rsidRPr="00164869" w:rsidRDefault="00A876D2" w:rsidP="00A876D2">
      <w:pPr>
        <w:pStyle w:val="NoSpacing"/>
        <w:rPr>
          <w:rFonts w:ascii="Arial" w:hAnsi="Arial" w:cs="Arial"/>
          <w:b/>
          <w:lang w:val="sr-Latn-CS"/>
        </w:rPr>
      </w:pPr>
    </w:p>
    <w:p w14:paraId="59D5A96B" w14:textId="51A8FFB3" w:rsidR="00A876D2" w:rsidRPr="00274F39" w:rsidRDefault="00A876D2" w:rsidP="00A876D2">
      <w:pPr>
        <w:pStyle w:val="NoSpacing"/>
        <w:jc w:val="both"/>
        <w:rPr>
          <w:rStyle w:val="NoSpacingChar"/>
          <w:rFonts w:ascii="Arial" w:hAnsi="Arial" w:cs="Arial"/>
          <w:b/>
          <w:sz w:val="20"/>
          <w:szCs w:val="20"/>
        </w:rPr>
      </w:pPr>
      <w:r w:rsidRPr="00274F39">
        <w:rPr>
          <w:rFonts w:ascii="Arial" w:hAnsi="Arial" w:cs="Arial"/>
          <w:b/>
          <w:sz w:val="20"/>
          <w:szCs w:val="20"/>
        </w:rPr>
        <w:t>Predmet:</w:t>
      </w:r>
      <w:r w:rsidRPr="00274F39">
        <w:rPr>
          <w:rFonts w:ascii="Arial" w:hAnsi="Arial" w:cs="Arial"/>
          <w:sz w:val="20"/>
          <w:szCs w:val="20"/>
        </w:rPr>
        <w:t xml:space="preserve">  </w:t>
      </w:r>
      <w:r w:rsidR="00274F39" w:rsidRPr="00274F39">
        <w:rPr>
          <w:rStyle w:val="NoSpacingChar"/>
          <w:rFonts w:ascii="Arial" w:hAnsi="Arial" w:cs="Arial"/>
          <w:b/>
          <w:sz w:val="20"/>
          <w:szCs w:val="20"/>
        </w:rPr>
        <w:t>Primjena člana 64 Novog</w:t>
      </w:r>
      <w:r w:rsidRPr="00274F39">
        <w:rPr>
          <w:rStyle w:val="NoSpacingChar"/>
          <w:rFonts w:ascii="Arial" w:hAnsi="Arial" w:cs="Arial"/>
          <w:b/>
          <w:sz w:val="20"/>
          <w:szCs w:val="20"/>
        </w:rPr>
        <w:t xml:space="preserve"> Zakon</w:t>
      </w:r>
      <w:r w:rsidR="00274F39" w:rsidRPr="00274F39">
        <w:rPr>
          <w:rStyle w:val="NoSpacingChar"/>
          <w:rFonts w:ascii="Arial" w:hAnsi="Arial" w:cs="Arial"/>
          <w:b/>
          <w:sz w:val="20"/>
          <w:szCs w:val="20"/>
        </w:rPr>
        <w:t>a</w:t>
      </w:r>
      <w:r w:rsidRPr="00274F39">
        <w:rPr>
          <w:rStyle w:val="NoSpacingChar"/>
          <w:rFonts w:ascii="Arial" w:hAnsi="Arial" w:cs="Arial"/>
          <w:b/>
          <w:sz w:val="20"/>
          <w:szCs w:val="20"/>
        </w:rPr>
        <w:t xml:space="preserve"> o upravljanju otpadom</w:t>
      </w:r>
      <w:r w:rsidR="00C06E0E" w:rsidRPr="00274F39">
        <w:rPr>
          <w:rStyle w:val="NoSpacingChar"/>
          <w:rFonts w:ascii="Arial" w:hAnsi="Arial" w:cs="Arial"/>
          <w:b/>
          <w:sz w:val="20"/>
          <w:szCs w:val="20"/>
        </w:rPr>
        <w:t xml:space="preserve"> </w:t>
      </w:r>
      <w:bookmarkStart w:id="0" w:name="_GoBack"/>
      <w:bookmarkEnd w:id="0"/>
    </w:p>
    <w:p w14:paraId="12DE452B" w14:textId="77777777" w:rsidR="00164869" w:rsidRPr="00274F39" w:rsidRDefault="00164869" w:rsidP="00A876D2">
      <w:pPr>
        <w:pStyle w:val="NoSpacing"/>
        <w:jc w:val="both"/>
        <w:rPr>
          <w:rFonts w:ascii="Arial" w:hAnsi="Arial" w:cs="Arial"/>
          <w:color w:val="000000"/>
          <w:sz w:val="20"/>
          <w:szCs w:val="20"/>
          <w:lang w:val="hr-HR"/>
        </w:rPr>
      </w:pPr>
    </w:p>
    <w:p w14:paraId="1D4590F2" w14:textId="77777777" w:rsidR="00A876D2" w:rsidRPr="00274F39" w:rsidRDefault="00A876D2" w:rsidP="00A876D2">
      <w:pPr>
        <w:pStyle w:val="NoSpacing"/>
        <w:jc w:val="both"/>
        <w:rPr>
          <w:rFonts w:ascii="Arial" w:eastAsia="Batang" w:hAnsi="Arial" w:cs="Arial"/>
          <w:color w:val="FF0000"/>
          <w:sz w:val="20"/>
          <w:szCs w:val="20"/>
          <w:lang w:val="hr-HR"/>
        </w:rPr>
      </w:pPr>
    </w:p>
    <w:p w14:paraId="353EB62E" w14:textId="5E9E90F1" w:rsidR="00A876D2" w:rsidRPr="00274F39" w:rsidRDefault="00A876D2" w:rsidP="00C06E0E">
      <w:pPr>
        <w:pStyle w:val="NoSpacing"/>
        <w:jc w:val="both"/>
        <w:rPr>
          <w:rStyle w:val="NoSpacingChar"/>
          <w:rFonts w:ascii="Arial" w:hAnsi="Arial" w:cs="Arial"/>
          <w:b/>
          <w:sz w:val="20"/>
          <w:szCs w:val="20"/>
        </w:rPr>
      </w:pPr>
      <w:r w:rsidRPr="00274F39">
        <w:rPr>
          <w:rFonts w:ascii="Arial" w:hAnsi="Arial" w:cs="Arial"/>
          <w:sz w:val="20"/>
          <w:szCs w:val="20"/>
        </w:rPr>
        <w:t xml:space="preserve">     U </w:t>
      </w:r>
      <w:r w:rsidR="004E287B" w:rsidRPr="00274F39">
        <w:rPr>
          <w:rFonts w:ascii="Arial" w:hAnsi="Arial" w:cs="Arial"/>
          <w:sz w:val="20"/>
          <w:szCs w:val="20"/>
        </w:rPr>
        <w:t>»</w:t>
      </w:r>
      <w:r w:rsidRPr="00274F39">
        <w:rPr>
          <w:rFonts w:ascii="Arial" w:hAnsi="Arial" w:cs="Arial"/>
          <w:sz w:val="20"/>
          <w:szCs w:val="20"/>
        </w:rPr>
        <w:t>Službenom list</w:t>
      </w:r>
      <w:r w:rsidR="004E287B" w:rsidRPr="00274F39">
        <w:rPr>
          <w:rFonts w:ascii="Arial" w:hAnsi="Arial" w:cs="Arial"/>
          <w:sz w:val="20"/>
          <w:szCs w:val="20"/>
        </w:rPr>
        <w:t>u</w:t>
      </w:r>
      <w:r w:rsidRPr="00274F39">
        <w:rPr>
          <w:rFonts w:ascii="Arial" w:hAnsi="Arial" w:cs="Arial"/>
          <w:sz w:val="20"/>
          <w:szCs w:val="20"/>
        </w:rPr>
        <w:t xml:space="preserve"> Crne Gore</w:t>
      </w:r>
      <w:r w:rsidR="004E287B" w:rsidRPr="00274F39">
        <w:rPr>
          <w:rFonts w:ascii="Arial" w:hAnsi="Arial" w:cs="Arial"/>
          <w:sz w:val="20"/>
          <w:szCs w:val="20"/>
        </w:rPr>
        <w:t>«</w:t>
      </w:r>
      <w:r w:rsidRPr="00274F39">
        <w:rPr>
          <w:rFonts w:ascii="Arial" w:hAnsi="Arial" w:cs="Arial"/>
          <w:sz w:val="20"/>
          <w:szCs w:val="20"/>
        </w:rPr>
        <w:t>, br</w:t>
      </w:r>
      <w:r w:rsidR="004E287B" w:rsidRPr="00274F39">
        <w:rPr>
          <w:rFonts w:ascii="Arial" w:hAnsi="Arial" w:cs="Arial"/>
          <w:sz w:val="20"/>
          <w:szCs w:val="20"/>
        </w:rPr>
        <w:t>oj</w:t>
      </w:r>
      <w:r w:rsidRPr="00274F39">
        <w:rPr>
          <w:rFonts w:ascii="Arial" w:hAnsi="Arial" w:cs="Arial"/>
          <w:sz w:val="20"/>
          <w:szCs w:val="20"/>
        </w:rPr>
        <w:t xml:space="preserve"> 034/24 od 12.04.2024, 092/24 objavljen je </w:t>
      </w:r>
      <w:r w:rsidRPr="00274F39">
        <w:rPr>
          <w:rStyle w:val="NoSpacingChar"/>
          <w:rFonts w:ascii="Arial" w:hAnsi="Arial" w:cs="Arial"/>
          <w:b/>
          <w:sz w:val="20"/>
          <w:szCs w:val="20"/>
        </w:rPr>
        <w:t>Novi Zakon o upravljanju otpadom.</w:t>
      </w:r>
    </w:p>
    <w:p w14:paraId="042B5BC6" w14:textId="1045F387" w:rsidR="00274F39" w:rsidRPr="00274F39" w:rsidRDefault="00274F39" w:rsidP="00C06E0E">
      <w:pPr>
        <w:pStyle w:val="NoSpacing"/>
        <w:jc w:val="both"/>
        <w:rPr>
          <w:rStyle w:val="NoSpacingChar"/>
          <w:rFonts w:ascii="Arial" w:hAnsi="Arial" w:cs="Arial"/>
          <w:b/>
          <w:sz w:val="20"/>
          <w:szCs w:val="20"/>
        </w:rPr>
      </w:pPr>
      <w:r w:rsidRPr="00274F39">
        <w:rPr>
          <w:rStyle w:val="NoSpacingChar"/>
          <w:rFonts w:ascii="Arial" w:hAnsi="Arial" w:cs="Arial"/>
          <w:b/>
          <w:sz w:val="20"/>
          <w:szCs w:val="20"/>
        </w:rPr>
        <w:t xml:space="preserve">     </w:t>
      </w:r>
      <w:r w:rsidRPr="00274F39">
        <w:rPr>
          <w:rStyle w:val="NoSpacingChar"/>
          <w:rFonts w:ascii="Arial" w:hAnsi="Arial" w:cs="Arial"/>
          <w:sz w:val="20"/>
          <w:szCs w:val="20"/>
        </w:rPr>
        <w:t>Shodno članu 122 stav 1 ovog Zakona propisano je da  će se</w:t>
      </w:r>
      <w:r w:rsidRPr="00274F39">
        <w:rPr>
          <w:rStyle w:val="NoSpacingChar"/>
          <w:rFonts w:ascii="Arial" w:hAnsi="Arial" w:cs="Arial"/>
          <w:b/>
          <w:sz w:val="20"/>
          <w:szCs w:val="20"/>
        </w:rPr>
        <w:t xml:space="preserve"> član 64 ovog zakona primjenjivati </w:t>
      </w:r>
      <w:r w:rsidRPr="00274F39">
        <w:rPr>
          <w:rFonts w:ascii="Arial" w:hAnsi="Arial" w:cs="Arial"/>
          <w:sz w:val="20"/>
          <w:szCs w:val="20"/>
        </w:rPr>
        <w:t xml:space="preserve"> nakon isteka šest mjeseci od dana stupanja na snagu ovog zakona tj </w:t>
      </w:r>
      <w:r w:rsidRPr="00274F39">
        <w:rPr>
          <w:rFonts w:ascii="Arial" w:hAnsi="Arial" w:cs="Arial"/>
          <w:b/>
          <w:sz w:val="20"/>
          <w:szCs w:val="20"/>
          <w:u w:val="single"/>
        </w:rPr>
        <w:t>počev od 20.10.2024.godine</w:t>
      </w:r>
      <w:r w:rsidRPr="00274F39">
        <w:rPr>
          <w:rFonts w:ascii="Arial" w:hAnsi="Arial" w:cs="Arial"/>
          <w:sz w:val="20"/>
          <w:szCs w:val="20"/>
        </w:rPr>
        <w:t>.</w:t>
      </w:r>
    </w:p>
    <w:p w14:paraId="4BED4617" w14:textId="4C82A7C8" w:rsidR="00A876D2" w:rsidRPr="00274F39" w:rsidRDefault="00A25456" w:rsidP="00164869">
      <w:pPr>
        <w:pStyle w:val="NoSpacing"/>
        <w:jc w:val="both"/>
        <w:rPr>
          <w:rFonts w:ascii="Arial" w:hAnsi="Arial" w:cs="Arial"/>
          <w:b/>
          <w:sz w:val="20"/>
          <w:szCs w:val="20"/>
        </w:rPr>
      </w:pPr>
      <w:r w:rsidRPr="00274F39">
        <w:rPr>
          <w:rFonts w:ascii="Arial" w:hAnsi="Arial" w:cs="Arial"/>
          <w:b/>
          <w:sz w:val="20"/>
          <w:szCs w:val="20"/>
        </w:rPr>
        <w:t xml:space="preserve">     </w:t>
      </w:r>
      <w:r w:rsidR="00A876D2" w:rsidRPr="00274F39">
        <w:rPr>
          <w:rFonts w:ascii="Arial" w:hAnsi="Arial" w:cs="Arial"/>
          <w:b/>
          <w:sz w:val="20"/>
          <w:szCs w:val="20"/>
        </w:rPr>
        <w:t xml:space="preserve">Shodno Članu </w:t>
      </w:r>
      <w:r w:rsidR="004E287B" w:rsidRPr="00274F39">
        <w:rPr>
          <w:rFonts w:ascii="Arial" w:hAnsi="Arial" w:cs="Arial"/>
          <w:b/>
          <w:sz w:val="20"/>
          <w:szCs w:val="20"/>
        </w:rPr>
        <w:t>64</w:t>
      </w:r>
      <w:r w:rsidR="00A876D2" w:rsidRPr="00274F39">
        <w:rPr>
          <w:rFonts w:ascii="Arial" w:hAnsi="Arial" w:cs="Arial"/>
          <w:sz w:val="20"/>
          <w:szCs w:val="20"/>
        </w:rPr>
        <w:t xml:space="preserve"> </w:t>
      </w:r>
      <w:r w:rsidR="00E205EB" w:rsidRPr="00274F39">
        <w:rPr>
          <w:rFonts w:ascii="Arial" w:hAnsi="Arial" w:cs="Arial"/>
          <w:sz w:val="20"/>
          <w:szCs w:val="20"/>
        </w:rPr>
        <w:t>Z</w:t>
      </w:r>
      <w:r w:rsidR="00A876D2" w:rsidRPr="00274F39">
        <w:rPr>
          <w:rFonts w:ascii="Arial" w:hAnsi="Arial" w:cs="Arial"/>
          <w:sz w:val="20"/>
          <w:szCs w:val="20"/>
        </w:rPr>
        <w:t>akona</w:t>
      </w:r>
      <w:r w:rsidRPr="00274F39">
        <w:rPr>
          <w:rFonts w:ascii="Arial" w:hAnsi="Arial" w:cs="Arial"/>
          <w:sz w:val="20"/>
          <w:szCs w:val="20"/>
        </w:rPr>
        <w:t xml:space="preserve"> o upravljanju otpadom</w:t>
      </w:r>
      <w:r w:rsidR="00A876D2" w:rsidRPr="00274F39">
        <w:rPr>
          <w:rFonts w:ascii="Arial" w:hAnsi="Arial" w:cs="Arial"/>
          <w:sz w:val="20"/>
          <w:szCs w:val="20"/>
        </w:rPr>
        <w:t xml:space="preserve"> propisani su posebni zahtjevi za plastične proizvode i</w:t>
      </w:r>
      <w:r w:rsidR="00E205EB" w:rsidRPr="00274F39">
        <w:rPr>
          <w:rFonts w:ascii="Arial" w:hAnsi="Arial" w:cs="Arial"/>
          <w:sz w:val="20"/>
          <w:szCs w:val="20"/>
        </w:rPr>
        <w:t xml:space="preserve"> </w:t>
      </w:r>
      <w:r w:rsidR="00A876D2" w:rsidRPr="00274F39">
        <w:rPr>
          <w:rFonts w:ascii="Arial" w:hAnsi="Arial" w:cs="Arial"/>
          <w:sz w:val="20"/>
          <w:szCs w:val="20"/>
        </w:rPr>
        <w:t>otpad od plastičnih proizvoda</w:t>
      </w:r>
      <w:r w:rsidR="004E287B" w:rsidRPr="00274F39">
        <w:rPr>
          <w:rFonts w:ascii="Arial" w:hAnsi="Arial" w:cs="Arial"/>
          <w:sz w:val="20"/>
          <w:szCs w:val="20"/>
        </w:rPr>
        <w:t xml:space="preserve">. Stav 1 pomenutog </w:t>
      </w:r>
      <w:r w:rsidRPr="00274F39">
        <w:rPr>
          <w:rFonts w:ascii="Arial" w:hAnsi="Arial" w:cs="Arial"/>
          <w:sz w:val="20"/>
          <w:szCs w:val="20"/>
        </w:rPr>
        <w:t>člana</w:t>
      </w:r>
      <w:r w:rsidR="004E287B" w:rsidRPr="00274F39">
        <w:rPr>
          <w:rFonts w:ascii="Arial" w:hAnsi="Arial" w:cs="Arial"/>
          <w:sz w:val="20"/>
          <w:szCs w:val="20"/>
        </w:rPr>
        <w:t xml:space="preserve"> </w:t>
      </w:r>
      <w:r w:rsidR="00E205EB" w:rsidRPr="00274F39">
        <w:rPr>
          <w:rFonts w:ascii="Arial" w:hAnsi="Arial" w:cs="Arial"/>
          <w:sz w:val="20"/>
          <w:szCs w:val="20"/>
        </w:rPr>
        <w:t xml:space="preserve"> </w:t>
      </w:r>
      <w:r w:rsidR="004E287B" w:rsidRPr="00274F39">
        <w:rPr>
          <w:rFonts w:ascii="Arial" w:hAnsi="Arial" w:cs="Arial"/>
          <w:b/>
          <w:i/>
          <w:sz w:val="20"/>
          <w:szCs w:val="20"/>
          <w:u w:val="single"/>
        </w:rPr>
        <w:t>propisuje</w:t>
      </w:r>
      <w:r w:rsidR="00A876D2" w:rsidRPr="00274F39">
        <w:rPr>
          <w:rFonts w:ascii="Arial" w:hAnsi="Arial" w:cs="Arial"/>
          <w:b/>
          <w:i/>
          <w:sz w:val="20"/>
          <w:szCs w:val="20"/>
          <w:u w:val="single"/>
        </w:rPr>
        <w:t xml:space="preserve"> </w:t>
      </w:r>
      <w:r w:rsidR="004E287B" w:rsidRPr="00274F39">
        <w:rPr>
          <w:rFonts w:ascii="Arial" w:hAnsi="Arial" w:cs="Arial"/>
          <w:b/>
          <w:i/>
          <w:sz w:val="20"/>
          <w:szCs w:val="20"/>
          <w:u w:val="single"/>
        </w:rPr>
        <w:t>zabranu</w:t>
      </w:r>
      <w:r w:rsidR="00A876D2" w:rsidRPr="00274F39">
        <w:rPr>
          <w:rFonts w:ascii="Arial" w:hAnsi="Arial" w:cs="Arial"/>
          <w:b/>
          <w:i/>
          <w:sz w:val="20"/>
          <w:szCs w:val="20"/>
          <w:u w:val="single"/>
        </w:rPr>
        <w:t xml:space="preserve"> stavlja</w:t>
      </w:r>
      <w:r w:rsidR="004E287B" w:rsidRPr="00274F39">
        <w:rPr>
          <w:rFonts w:ascii="Arial" w:hAnsi="Arial" w:cs="Arial"/>
          <w:b/>
          <w:i/>
          <w:sz w:val="20"/>
          <w:szCs w:val="20"/>
          <w:u w:val="single"/>
        </w:rPr>
        <w:t>nja</w:t>
      </w:r>
      <w:r w:rsidR="00A876D2" w:rsidRPr="00274F39">
        <w:rPr>
          <w:rFonts w:ascii="Arial" w:hAnsi="Arial" w:cs="Arial"/>
          <w:b/>
          <w:i/>
          <w:sz w:val="20"/>
          <w:szCs w:val="20"/>
          <w:u w:val="single"/>
        </w:rPr>
        <w:t xml:space="preserve"> na tržište</w:t>
      </w:r>
      <w:r w:rsidR="00A876D2" w:rsidRPr="00274F39">
        <w:rPr>
          <w:rFonts w:ascii="Arial" w:hAnsi="Arial" w:cs="Arial"/>
          <w:sz w:val="20"/>
          <w:szCs w:val="20"/>
        </w:rPr>
        <w:t xml:space="preserve"> proizvod</w:t>
      </w:r>
      <w:r w:rsidR="004E287B" w:rsidRPr="00274F39">
        <w:rPr>
          <w:rFonts w:ascii="Arial" w:hAnsi="Arial" w:cs="Arial"/>
          <w:sz w:val="20"/>
          <w:szCs w:val="20"/>
        </w:rPr>
        <w:t>a</w:t>
      </w:r>
      <w:r w:rsidR="00A876D2" w:rsidRPr="00274F39">
        <w:rPr>
          <w:rFonts w:ascii="Arial" w:hAnsi="Arial" w:cs="Arial"/>
          <w:sz w:val="20"/>
          <w:szCs w:val="20"/>
        </w:rPr>
        <w:t xml:space="preserve"> od oksorazgradive plastike </w:t>
      </w:r>
      <w:r w:rsidR="004E287B" w:rsidRPr="00274F39">
        <w:rPr>
          <w:rFonts w:ascii="Arial" w:hAnsi="Arial" w:cs="Arial"/>
          <w:sz w:val="20"/>
          <w:szCs w:val="20"/>
        </w:rPr>
        <w:t>i</w:t>
      </w:r>
      <w:r w:rsidR="00A876D2" w:rsidRPr="00274F39">
        <w:rPr>
          <w:rFonts w:ascii="Arial" w:hAnsi="Arial" w:cs="Arial"/>
          <w:sz w:val="20"/>
          <w:szCs w:val="20"/>
        </w:rPr>
        <w:t xml:space="preserve"> plastičn</w:t>
      </w:r>
      <w:r w:rsidR="004E287B" w:rsidRPr="00274F39">
        <w:rPr>
          <w:rFonts w:ascii="Arial" w:hAnsi="Arial" w:cs="Arial"/>
          <w:sz w:val="20"/>
          <w:szCs w:val="20"/>
        </w:rPr>
        <w:t>ih</w:t>
      </w:r>
      <w:r w:rsidR="00A876D2" w:rsidRPr="00274F39">
        <w:rPr>
          <w:rFonts w:ascii="Arial" w:hAnsi="Arial" w:cs="Arial"/>
          <w:sz w:val="20"/>
          <w:szCs w:val="20"/>
        </w:rPr>
        <w:t xml:space="preserve"> proizvod</w:t>
      </w:r>
      <w:r w:rsidR="004E287B" w:rsidRPr="00274F39">
        <w:rPr>
          <w:rFonts w:ascii="Arial" w:hAnsi="Arial" w:cs="Arial"/>
          <w:sz w:val="20"/>
          <w:szCs w:val="20"/>
        </w:rPr>
        <w:t>a</w:t>
      </w:r>
      <w:r w:rsidR="00A876D2" w:rsidRPr="00274F39">
        <w:rPr>
          <w:rFonts w:ascii="Arial" w:hAnsi="Arial" w:cs="Arial"/>
          <w:sz w:val="20"/>
          <w:szCs w:val="20"/>
        </w:rPr>
        <w:t xml:space="preserve"> za jednokratnu upotrebu</w:t>
      </w:r>
      <w:r w:rsidR="00E205EB" w:rsidRPr="00274F39">
        <w:rPr>
          <w:rFonts w:ascii="Arial" w:hAnsi="Arial" w:cs="Arial"/>
          <w:sz w:val="20"/>
          <w:szCs w:val="20"/>
        </w:rPr>
        <w:t xml:space="preserve"> i to:</w:t>
      </w:r>
    </w:p>
    <w:p w14:paraId="610B23FA" w14:textId="7DD5B629" w:rsidR="004E287B" w:rsidRPr="00274F39" w:rsidRDefault="00374492" w:rsidP="00C06E0E">
      <w:pPr>
        <w:pStyle w:val="T30X"/>
        <w:ind w:left="142" w:hanging="142"/>
        <w:rPr>
          <w:rFonts w:ascii="Arial" w:hAnsi="Arial" w:cs="Arial"/>
          <w:sz w:val="20"/>
          <w:szCs w:val="20"/>
        </w:rPr>
      </w:pPr>
      <w:r w:rsidRPr="00274F39">
        <w:rPr>
          <w:rFonts w:ascii="Arial" w:hAnsi="Arial" w:cs="Arial"/>
          <w:sz w:val="20"/>
          <w:szCs w:val="20"/>
        </w:rPr>
        <w:t xml:space="preserve"> </w:t>
      </w:r>
      <w:r w:rsidR="004E287B" w:rsidRPr="00274F39">
        <w:rPr>
          <w:rFonts w:ascii="Arial" w:hAnsi="Arial" w:cs="Arial"/>
          <w:b/>
          <w:sz w:val="20"/>
          <w:szCs w:val="20"/>
        </w:rPr>
        <w:t>1)</w:t>
      </w:r>
      <w:r w:rsidR="004E287B" w:rsidRPr="00274F39">
        <w:rPr>
          <w:rFonts w:ascii="Arial" w:hAnsi="Arial" w:cs="Arial"/>
          <w:sz w:val="20"/>
          <w:szCs w:val="20"/>
        </w:rPr>
        <w:t xml:space="preserve"> štapiće za uši, osim štapića koji su namijenjeni i upotrebljavaju se u medicinske svrhe za uzimanje brisa;</w:t>
      </w:r>
    </w:p>
    <w:p w14:paraId="03701A52" w14:textId="2887326B" w:rsidR="004E287B" w:rsidRPr="00274F39" w:rsidRDefault="004E287B" w:rsidP="00C06E0E">
      <w:pPr>
        <w:pStyle w:val="T30X"/>
        <w:ind w:left="142" w:hanging="142"/>
        <w:rPr>
          <w:rFonts w:ascii="Arial" w:hAnsi="Arial" w:cs="Arial"/>
          <w:sz w:val="20"/>
          <w:szCs w:val="20"/>
        </w:rPr>
      </w:pPr>
      <w:r w:rsidRPr="00274F39">
        <w:rPr>
          <w:rFonts w:ascii="Arial" w:hAnsi="Arial" w:cs="Arial"/>
          <w:sz w:val="20"/>
          <w:szCs w:val="20"/>
        </w:rPr>
        <w:t xml:space="preserve"> </w:t>
      </w:r>
      <w:r w:rsidRPr="00274F39">
        <w:rPr>
          <w:rFonts w:ascii="Arial" w:hAnsi="Arial" w:cs="Arial"/>
          <w:b/>
          <w:sz w:val="20"/>
          <w:szCs w:val="20"/>
        </w:rPr>
        <w:t>2)</w:t>
      </w:r>
      <w:r w:rsidRPr="00274F39">
        <w:rPr>
          <w:rFonts w:ascii="Arial" w:hAnsi="Arial" w:cs="Arial"/>
          <w:sz w:val="20"/>
          <w:szCs w:val="20"/>
        </w:rPr>
        <w:t xml:space="preserve"> pribor za jelo (viljuške, noževi, kašike, štapići za jelo);</w:t>
      </w:r>
    </w:p>
    <w:p w14:paraId="7EAE6FDC" w14:textId="2A06C48C" w:rsidR="004E287B" w:rsidRPr="00274F39" w:rsidRDefault="004E287B" w:rsidP="00C06E0E">
      <w:pPr>
        <w:pStyle w:val="T30X"/>
        <w:ind w:left="142" w:hanging="142"/>
        <w:rPr>
          <w:rFonts w:ascii="Arial" w:hAnsi="Arial" w:cs="Arial"/>
          <w:sz w:val="20"/>
          <w:szCs w:val="20"/>
        </w:rPr>
      </w:pPr>
      <w:r w:rsidRPr="00274F39">
        <w:rPr>
          <w:rFonts w:ascii="Arial" w:hAnsi="Arial" w:cs="Arial"/>
          <w:sz w:val="20"/>
          <w:szCs w:val="20"/>
        </w:rPr>
        <w:t xml:space="preserve"> </w:t>
      </w:r>
      <w:r w:rsidRPr="00274F39">
        <w:rPr>
          <w:rFonts w:ascii="Arial" w:hAnsi="Arial" w:cs="Arial"/>
          <w:b/>
          <w:sz w:val="20"/>
          <w:szCs w:val="20"/>
        </w:rPr>
        <w:t>3)</w:t>
      </w:r>
      <w:r w:rsidRPr="00274F39">
        <w:rPr>
          <w:rFonts w:ascii="Arial" w:hAnsi="Arial" w:cs="Arial"/>
          <w:sz w:val="20"/>
          <w:szCs w:val="20"/>
        </w:rPr>
        <w:t xml:space="preserve"> tanjire;</w:t>
      </w:r>
    </w:p>
    <w:p w14:paraId="05065458" w14:textId="32F98EB7" w:rsidR="004E287B" w:rsidRPr="00274F39" w:rsidRDefault="004E287B" w:rsidP="00C06E0E">
      <w:pPr>
        <w:pStyle w:val="T30X"/>
        <w:ind w:left="142" w:hanging="142"/>
        <w:rPr>
          <w:rFonts w:ascii="Arial" w:hAnsi="Arial" w:cs="Arial"/>
          <w:sz w:val="20"/>
          <w:szCs w:val="20"/>
        </w:rPr>
      </w:pPr>
      <w:r w:rsidRPr="00274F39">
        <w:rPr>
          <w:rFonts w:ascii="Arial" w:hAnsi="Arial" w:cs="Arial"/>
          <w:sz w:val="20"/>
          <w:szCs w:val="20"/>
        </w:rPr>
        <w:t xml:space="preserve"> </w:t>
      </w:r>
      <w:r w:rsidRPr="00274F39">
        <w:rPr>
          <w:rFonts w:ascii="Arial" w:hAnsi="Arial" w:cs="Arial"/>
          <w:b/>
          <w:sz w:val="20"/>
          <w:szCs w:val="20"/>
        </w:rPr>
        <w:t>4)</w:t>
      </w:r>
      <w:r w:rsidRPr="00274F39">
        <w:rPr>
          <w:rFonts w:ascii="Arial" w:hAnsi="Arial" w:cs="Arial"/>
          <w:sz w:val="20"/>
          <w:szCs w:val="20"/>
        </w:rPr>
        <w:t xml:space="preserve"> slamke, osim slamki koje su namijenjene i upotrebljavaju se u medicinske svrhe;</w:t>
      </w:r>
    </w:p>
    <w:p w14:paraId="5EDE6C8A" w14:textId="2486D9C5" w:rsidR="004E287B" w:rsidRPr="00274F39" w:rsidRDefault="004E287B" w:rsidP="00C06E0E">
      <w:pPr>
        <w:pStyle w:val="T30X"/>
        <w:ind w:left="142" w:hanging="142"/>
        <w:rPr>
          <w:rFonts w:ascii="Arial" w:hAnsi="Arial" w:cs="Arial"/>
          <w:sz w:val="20"/>
          <w:szCs w:val="20"/>
        </w:rPr>
      </w:pPr>
      <w:r w:rsidRPr="00274F39">
        <w:rPr>
          <w:rFonts w:ascii="Arial" w:hAnsi="Arial" w:cs="Arial"/>
          <w:sz w:val="20"/>
          <w:szCs w:val="20"/>
        </w:rPr>
        <w:t xml:space="preserve"> </w:t>
      </w:r>
      <w:r w:rsidRPr="00274F39">
        <w:rPr>
          <w:rFonts w:ascii="Arial" w:hAnsi="Arial" w:cs="Arial"/>
          <w:b/>
          <w:sz w:val="20"/>
          <w:szCs w:val="20"/>
        </w:rPr>
        <w:t>5)</w:t>
      </w:r>
      <w:r w:rsidRPr="00274F39">
        <w:rPr>
          <w:rFonts w:ascii="Arial" w:hAnsi="Arial" w:cs="Arial"/>
          <w:sz w:val="20"/>
          <w:szCs w:val="20"/>
        </w:rPr>
        <w:t xml:space="preserve"> štapiće za miješanje pića;</w:t>
      </w:r>
    </w:p>
    <w:p w14:paraId="15F6C94B" w14:textId="6565BA53" w:rsidR="004E287B" w:rsidRPr="00274F39" w:rsidRDefault="004E287B" w:rsidP="00C06E0E">
      <w:pPr>
        <w:pStyle w:val="T30X"/>
        <w:ind w:left="142" w:hanging="142"/>
        <w:rPr>
          <w:rFonts w:ascii="Arial" w:hAnsi="Arial" w:cs="Arial"/>
          <w:sz w:val="20"/>
          <w:szCs w:val="20"/>
        </w:rPr>
      </w:pPr>
      <w:r w:rsidRPr="00274F39">
        <w:rPr>
          <w:rFonts w:ascii="Arial" w:hAnsi="Arial" w:cs="Arial"/>
          <w:sz w:val="20"/>
          <w:szCs w:val="20"/>
        </w:rPr>
        <w:t xml:space="preserve"> </w:t>
      </w:r>
      <w:r w:rsidRPr="00274F39">
        <w:rPr>
          <w:rFonts w:ascii="Arial" w:hAnsi="Arial" w:cs="Arial"/>
          <w:b/>
          <w:sz w:val="20"/>
          <w:szCs w:val="20"/>
        </w:rPr>
        <w:t>6)</w:t>
      </w:r>
      <w:r w:rsidRPr="00274F39">
        <w:rPr>
          <w:rFonts w:ascii="Arial" w:hAnsi="Arial" w:cs="Arial"/>
          <w:sz w:val="20"/>
          <w:szCs w:val="20"/>
        </w:rPr>
        <w:t xml:space="preserve"> štapiće namijenjene pričvršćivanju na balone i njihovo pridržavanje, osim balona za industrijske ili druge profesionalne namjene i upotrebe, koji se ne dijele potrošačima, uključujući mehanizme takvih štapića;</w:t>
      </w:r>
    </w:p>
    <w:p w14:paraId="01DF3743" w14:textId="33607A50" w:rsidR="004E287B" w:rsidRPr="00274F39" w:rsidRDefault="004E287B" w:rsidP="00C06E0E">
      <w:pPr>
        <w:pStyle w:val="T30X"/>
        <w:ind w:left="142" w:hanging="142"/>
        <w:rPr>
          <w:rFonts w:ascii="Arial" w:hAnsi="Arial" w:cs="Arial"/>
          <w:sz w:val="20"/>
          <w:szCs w:val="20"/>
        </w:rPr>
      </w:pPr>
      <w:r w:rsidRPr="00274F39">
        <w:rPr>
          <w:rFonts w:ascii="Arial" w:hAnsi="Arial" w:cs="Arial"/>
          <w:b/>
          <w:sz w:val="20"/>
          <w:szCs w:val="20"/>
        </w:rPr>
        <w:t xml:space="preserve"> 7)</w:t>
      </w:r>
      <w:r w:rsidRPr="00274F39">
        <w:rPr>
          <w:rFonts w:ascii="Arial" w:hAnsi="Arial" w:cs="Arial"/>
          <w:sz w:val="20"/>
          <w:szCs w:val="20"/>
        </w:rPr>
        <w:t xml:space="preserve"> posude za hranu izrađene od ekspandiranog polistirena, odnosno posude kao što su kutije, s poklopcem ili bez njega, koji se upotrebljavaju za držanje hrane</w:t>
      </w:r>
      <w:r w:rsidR="00374492" w:rsidRPr="00274F39">
        <w:rPr>
          <w:rFonts w:ascii="Arial" w:hAnsi="Arial" w:cs="Arial"/>
          <w:sz w:val="20"/>
          <w:szCs w:val="20"/>
        </w:rPr>
        <w:t xml:space="preserve"> </w:t>
      </w:r>
      <w:r w:rsidRPr="00274F39">
        <w:rPr>
          <w:rFonts w:ascii="Arial" w:hAnsi="Arial" w:cs="Arial"/>
          <w:sz w:val="20"/>
          <w:szCs w:val="20"/>
        </w:rPr>
        <w:t>koja je namijenjena neposrednoj konzumaciji na licu mjesta ili kasnije;</w:t>
      </w:r>
      <w:r w:rsidR="00374492" w:rsidRPr="00274F39">
        <w:rPr>
          <w:rFonts w:ascii="Arial" w:hAnsi="Arial" w:cs="Arial"/>
          <w:sz w:val="20"/>
          <w:szCs w:val="20"/>
        </w:rPr>
        <w:t xml:space="preserve"> </w:t>
      </w:r>
      <w:r w:rsidRPr="00274F39">
        <w:rPr>
          <w:rFonts w:ascii="Arial" w:hAnsi="Arial" w:cs="Arial"/>
          <w:sz w:val="20"/>
          <w:szCs w:val="20"/>
        </w:rPr>
        <w:t>koja se obično konzumira iz posude i</w:t>
      </w:r>
      <w:r w:rsidR="00374492" w:rsidRPr="00274F39">
        <w:rPr>
          <w:rFonts w:ascii="Arial" w:hAnsi="Arial" w:cs="Arial"/>
          <w:sz w:val="20"/>
          <w:szCs w:val="20"/>
        </w:rPr>
        <w:t xml:space="preserve"> </w:t>
      </w:r>
      <w:r w:rsidRPr="00274F39">
        <w:rPr>
          <w:rFonts w:ascii="Arial" w:hAnsi="Arial" w:cs="Arial"/>
          <w:sz w:val="20"/>
          <w:szCs w:val="20"/>
        </w:rPr>
        <w:t>koja je spremna za konzumaciju bez ikakve daljnje pripreme, na primjer pečenja, kuvanja ili zagrijavanja, uključujući posude za hranu koje se upotrebljavaju za brzu hranu ili druge obroke spremne za neposrednu konzumaciju, osim posuda za napitke, tanjire i vrećice i omote u kojima je hrana;</w:t>
      </w:r>
    </w:p>
    <w:p w14:paraId="6B57ACC0" w14:textId="3AE1CB0C" w:rsidR="004E287B" w:rsidRPr="00274F39" w:rsidRDefault="004E287B" w:rsidP="00C06E0E">
      <w:pPr>
        <w:pStyle w:val="T30X"/>
        <w:ind w:left="142" w:hanging="142"/>
        <w:rPr>
          <w:rFonts w:ascii="Arial" w:hAnsi="Arial" w:cs="Arial"/>
          <w:sz w:val="20"/>
          <w:szCs w:val="20"/>
        </w:rPr>
      </w:pPr>
      <w:r w:rsidRPr="00274F39">
        <w:rPr>
          <w:rFonts w:ascii="Arial" w:hAnsi="Arial" w:cs="Arial"/>
          <w:sz w:val="20"/>
          <w:szCs w:val="20"/>
        </w:rPr>
        <w:t xml:space="preserve"> </w:t>
      </w:r>
      <w:r w:rsidRPr="00274F39">
        <w:rPr>
          <w:rFonts w:ascii="Arial" w:hAnsi="Arial" w:cs="Arial"/>
          <w:b/>
          <w:sz w:val="20"/>
          <w:szCs w:val="20"/>
        </w:rPr>
        <w:t>8)</w:t>
      </w:r>
      <w:r w:rsidRPr="00274F39">
        <w:rPr>
          <w:rFonts w:ascii="Arial" w:hAnsi="Arial" w:cs="Arial"/>
          <w:sz w:val="20"/>
          <w:szCs w:val="20"/>
        </w:rPr>
        <w:t xml:space="preserve"> posude za napitke izrađene od ekspandiranog polistirena, uključujući njihove čepove i poklopce;</w:t>
      </w:r>
    </w:p>
    <w:p w14:paraId="1D8B306D" w14:textId="7CB6E3C7" w:rsidR="004E287B" w:rsidRPr="00274F39" w:rsidRDefault="004E287B" w:rsidP="00C06E0E">
      <w:pPr>
        <w:pStyle w:val="T30X"/>
        <w:ind w:left="142" w:hanging="142"/>
        <w:rPr>
          <w:rFonts w:ascii="Arial" w:hAnsi="Arial" w:cs="Arial"/>
          <w:sz w:val="20"/>
          <w:szCs w:val="20"/>
        </w:rPr>
      </w:pPr>
      <w:r w:rsidRPr="00274F39">
        <w:rPr>
          <w:rFonts w:ascii="Arial" w:hAnsi="Arial" w:cs="Arial"/>
          <w:b/>
          <w:sz w:val="20"/>
          <w:szCs w:val="20"/>
        </w:rPr>
        <w:t xml:space="preserve"> 9)</w:t>
      </w:r>
      <w:r w:rsidRPr="00274F39">
        <w:rPr>
          <w:rFonts w:ascii="Arial" w:hAnsi="Arial" w:cs="Arial"/>
          <w:sz w:val="20"/>
          <w:szCs w:val="20"/>
        </w:rPr>
        <w:t xml:space="preserve"> čaše za napitke izrađene od ekspandiranog polistirena, uključujući njihove čepove i poklopce.</w:t>
      </w:r>
    </w:p>
    <w:p w14:paraId="78DF1E98" w14:textId="77777777" w:rsidR="00A25456" w:rsidRPr="00274F39" w:rsidRDefault="00C06E0E" w:rsidP="00C06E0E">
      <w:pPr>
        <w:pStyle w:val="T30X"/>
        <w:ind w:firstLine="0"/>
        <w:rPr>
          <w:rFonts w:ascii="Arial" w:hAnsi="Arial" w:cs="Arial"/>
          <w:sz w:val="20"/>
          <w:szCs w:val="20"/>
        </w:rPr>
      </w:pPr>
      <w:r w:rsidRPr="00274F39">
        <w:rPr>
          <w:rFonts w:ascii="Arial" w:hAnsi="Arial" w:cs="Arial"/>
          <w:sz w:val="20"/>
          <w:szCs w:val="20"/>
        </w:rPr>
        <w:t xml:space="preserve">     Shodno ovom članu </w:t>
      </w:r>
      <w:r w:rsidRPr="00274F39">
        <w:rPr>
          <w:rFonts w:ascii="Arial" w:hAnsi="Arial" w:cs="Arial"/>
          <w:b/>
          <w:sz w:val="20"/>
          <w:szCs w:val="20"/>
        </w:rPr>
        <w:t>d</w:t>
      </w:r>
      <w:r w:rsidR="00A876D2" w:rsidRPr="00274F39">
        <w:rPr>
          <w:rFonts w:ascii="Arial" w:hAnsi="Arial" w:cs="Arial"/>
          <w:b/>
          <w:sz w:val="20"/>
          <w:szCs w:val="20"/>
        </w:rPr>
        <w:t>ozvoljeno je staviti na tržište</w:t>
      </w:r>
      <w:r w:rsidR="00A876D2" w:rsidRPr="00274F39">
        <w:rPr>
          <w:rFonts w:ascii="Arial" w:hAnsi="Arial" w:cs="Arial"/>
          <w:sz w:val="20"/>
          <w:szCs w:val="20"/>
        </w:rPr>
        <w:t xml:space="preserve"> plastične proizvode za jednokratnu upotrebu koji imaju čepove i poklopce koji su znatnim dijelom napravljeni od plastike samo ako čepovi i poklopci ostaju pričvršćeni na flašu tokom predviđene faze upotrebe proizvoda.</w:t>
      </w:r>
      <w:r w:rsidR="00E205EB" w:rsidRPr="00274F39">
        <w:rPr>
          <w:rFonts w:ascii="Arial" w:hAnsi="Arial" w:cs="Arial"/>
          <w:sz w:val="20"/>
          <w:szCs w:val="20"/>
        </w:rPr>
        <w:t xml:space="preserve"> </w:t>
      </w:r>
    </w:p>
    <w:p w14:paraId="38164427" w14:textId="2D2C9B77" w:rsidR="00164869" w:rsidRPr="00274F39" w:rsidRDefault="00A25456" w:rsidP="00164869">
      <w:pPr>
        <w:pStyle w:val="NoSpacing"/>
        <w:jc w:val="both"/>
        <w:rPr>
          <w:rFonts w:ascii="Arial" w:hAnsi="Arial" w:cs="Arial"/>
          <w:sz w:val="20"/>
          <w:szCs w:val="20"/>
        </w:rPr>
      </w:pPr>
      <w:r w:rsidRPr="00274F39">
        <w:rPr>
          <w:rFonts w:ascii="Arial" w:hAnsi="Arial" w:cs="Arial"/>
          <w:sz w:val="20"/>
          <w:szCs w:val="20"/>
        </w:rPr>
        <w:t xml:space="preserve">     </w:t>
      </w:r>
      <w:r w:rsidR="00A876D2" w:rsidRPr="00274F39">
        <w:rPr>
          <w:rFonts w:ascii="Arial" w:hAnsi="Arial" w:cs="Arial"/>
          <w:sz w:val="20"/>
          <w:szCs w:val="20"/>
        </w:rPr>
        <w:t xml:space="preserve">Za metalne čepove ili metalne poklopce sa plastičnim </w:t>
      </w:r>
      <w:r w:rsidRPr="00274F39">
        <w:rPr>
          <w:rFonts w:ascii="Arial" w:hAnsi="Arial" w:cs="Arial"/>
          <w:sz w:val="20"/>
          <w:szCs w:val="20"/>
        </w:rPr>
        <w:t>otvaračem/zatvaračem</w:t>
      </w:r>
      <w:r w:rsidR="00A876D2" w:rsidRPr="00274F39">
        <w:rPr>
          <w:rFonts w:ascii="Arial" w:hAnsi="Arial" w:cs="Arial"/>
          <w:sz w:val="20"/>
          <w:szCs w:val="20"/>
        </w:rPr>
        <w:t xml:space="preserve"> </w:t>
      </w:r>
      <w:r w:rsidR="00A876D2" w:rsidRPr="00274F39">
        <w:rPr>
          <w:rFonts w:ascii="Arial" w:hAnsi="Arial" w:cs="Arial"/>
          <w:b/>
          <w:sz w:val="20"/>
          <w:szCs w:val="20"/>
        </w:rPr>
        <w:t>ne smatra se</w:t>
      </w:r>
      <w:r w:rsidR="00A876D2" w:rsidRPr="00274F39">
        <w:rPr>
          <w:rFonts w:ascii="Arial" w:hAnsi="Arial" w:cs="Arial"/>
          <w:sz w:val="20"/>
          <w:szCs w:val="20"/>
        </w:rPr>
        <w:t xml:space="preserve"> da su čepovi i poklopci koji su znatnim dijelom napravljeni iz plastike.   </w:t>
      </w:r>
    </w:p>
    <w:p w14:paraId="5E57A365" w14:textId="78691C9D" w:rsidR="008D500A" w:rsidRPr="00274F39" w:rsidRDefault="008D500A" w:rsidP="00164869">
      <w:pPr>
        <w:pStyle w:val="NoSpacing"/>
        <w:jc w:val="both"/>
        <w:rPr>
          <w:rFonts w:ascii="Arial" w:hAnsi="Arial" w:cs="Arial"/>
          <w:sz w:val="20"/>
          <w:szCs w:val="20"/>
          <w:u w:val="single"/>
        </w:rPr>
      </w:pPr>
      <w:r w:rsidRPr="00274F39">
        <w:rPr>
          <w:rFonts w:ascii="Arial" w:hAnsi="Arial" w:cs="Arial"/>
          <w:sz w:val="20"/>
          <w:szCs w:val="20"/>
        </w:rPr>
        <w:t>Shodno članu 123 propisano je da</w:t>
      </w:r>
      <w:r w:rsidR="00C06E0E" w:rsidRPr="00274F39">
        <w:rPr>
          <w:rFonts w:ascii="Arial" w:hAnsi="Arial" w:cs="Arial"/>
          <w:sz w:val="20"/>
          <w:szCs w:val="20"/>
        </w:rPr>
        <w:t xml:space="preserve"> </w:t>
      </w:r>
      <w:r w:rsidR="00C06E0E" w:rsidRPr="00274F39">
        <w:rPr>
          <w:rFonts w:ascii="Arial" w:hAnsi="Arial" w:cs="Arial"/>
          <w:b/>
          <w:sz w:val="20"/>
          <w:szCs w:val="20"/>
          <w:u w:val="single"/>
        </w:rPr>
        <w:t>p</w:t>
      </w:r>
      <w:r w:rsidR="00A876D2" w:rsidRPr="00274F39">
        <w:rPr>
          <w:rFonts w:ascii="Arial" w:hAnsi="Arial" w:cs="Arial"/>
          <w:b/>
          <w:sz w:val="20"/>
          <w:szCs w:val="20"/>
          <w:u w:val="single"/>
        </w:rPr>
        <w:t>ostupci koji su započeti prije stupanja na snagu ovog zakona okončaće se po propisima koji su važili do stupanju na snagu ovog zakona.</w:t>
      </w:r>
    </w:p>
    <w:p w14:paraId="55CE9C4C" w14:textId="74B6AAC6" w:rsidR="004D5702" w:rsidRDefault="004D5702">
      <w:pPr>
        <w:rPr>
          <w:rFonts w:ascii="Arial" w:hAnsi="Arial" w:cs="Arial"/>
          <w:sz w:val="20"/>
          <w:szCs w:val="20"/>
        </w:rPr>
      </w:pPr>
    </w:p>
    <w:p w14:paraId="1EC2540F" w14:textId="201F8D1B" w:rsidR="000F64AE" w:rsidRDefault="000F64AE" w:rsidP="007F5434">
      <w:pPr>
        <w:jc w:val="center"/>
        <w:rPr>
          <w:rFonts w:ascii="Arial" w:hAnsi="Arial" w:cs="Arial"/>
          <w:sz w:val="20"/>
          <w:szCs w:val="20"/>
        </w:rPr>
      </w:pPr>
    </w:p>
    <w:p w14:paraId="75750D7C" w14:textId="3D5504D9" w:rsidR="000F64AE" w:rsidRPr="000F64AE" w:rsidRDefault="000F64AE" w:rsidP="007F5434">
      <w:pPr>
        <w:jc w:val="center"/>
        <w:rPr>
          <w:rFonts w:ascii="Arial" w:hAnsi="Arial" w:cs="Arial"/>
          <w:b/>
          <w:sz w:val="20"/>
          <w:szCs w:val="20"/>
        </w:rPr>
      </w:pPr>
      <w:r w:rsidRPr="000F64AE">
        <w:rPr>
          <w:rFonts w:ascii="Arial" w:hAnsi="Arial" w:cs="Arial"/>
          <w:b/>
          <w:sz w:val="20"/>
          <w:szCs w:val="20"/>
        </w:rPr>
        <w:t>Akt Uprave carina 11963/1-24 od 11.10.2024.godine</w:t>
      </w:r>
    </w:p>
    <w:sectPr w:rsidR="000F64AE" w:rsidRPr="000F64AE" w:rsidSect="00E76A2C">
      <w:pgSz w:w="11906" w:h="16838"/>
      <w:pgMar w:top="426" w:right="127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A464E"/>
    <w:multiLevelType w:val="hybridMultilevel"/>
    <w:tmpl w:val="0CF438FC"/>
    <w:lvl w:ilvl="0" w:tplc="973EC626">
      <w:start w:val="1"/>
      <w:numFmt w:val="decimal"/>
      <w:lvlText w:val="%1)"/>
      <w:lvlJc w:val="left"/>
      <w:pPr>
        <w:ind w:left="809" w:hanging="360"/>
      </w:pPr>
      <w:rPr>
        <w:rFonts w:hint="default"/>
        <w:b/>
      </w:rPr>
    </w:lvl>
    <w:lvl w:ilvl="1" w:tplc="04240019" w:tentative="1">
      <w:start w:val="1"/>
      <w:numFmt w:val="lowerLetter"/>
      <w:lvlText w:val="%2."/>
      <w:lvlJc w:val="left"/>
      <w:pPr>
        <w:ind w:left="1529" w:hanging="360"/>
      </w:pPr>
    </w:lvl>
    <w:lvl w:ilvl="2" w:tplc="0424001B" w:tentative="1">
      <w:start w:val="1"/>
      <w:numFmt w:val="lowerRoman"/>
      <w:lvlText w:val="%3."/>
      <w:lvlJc w:val="right"/>
      <w:pPr>
        <w:ind w:left="2249" w:hanging="180"/>
      </w:pPr>
    </w:lvl>
    <w:lvl w:ilvl="3" w:tplc="0424000F" w:tentative="1">
      <w:start w:val="1"/>
      <w:numFmt w:val="decimal"/>
      <w:lvlText w:val="%4."/>
      <w:lvlJc w:val="left"/>
      <w:pPr>
        <w:ind w:left="2969" w:hanging="360"/>
      </w:pPr>
    </w:lvl>
    <w:lvl w:ilvl="4" w:tplc="04240019" w:tentative="1">
      <w:start w:val="1"/>
      <w:numFmt w:val="lowerLetter"/>
      <w:lvlText w:val="%5."/>
      <w:lvlJc w:val="left"/>
      <w:pPr>
        <w:ind w:left="3689" w:hanging="360"/>
      </w:pPr>
    </w:lvl>
    <w:lvl w:ilvl="5" w:tplc="0424001B" w:tentative="1">
      <w:start w:val="1"/>
      <w:numFmt w:val="lowerRoman"/>
      <w:lvlText w:val="%6."/>
      <w:lvlJc w:val="right"/>
      <w:pPr>
        <w:ind w:left="4409" w:hanging="180"/>
      </w:pPr>
    </w:lvl>
    <w:lvl w:ilvl="6" w:tplc="0424000F" w:tentative="1">
      <w:start w:val="1"/>
      <w:numFmt w:val="decimal"/>
      <w:lvlText w:val="%7."/>
      <w:lvlJc w:val="left"/>
      <w:pPr>
        <w:ind w:left="5129" w:hanging="360"/>
      </w:pPr>
    </w:lvl>
    <w:lvl w:ilvl="7" w:tplc="04240019" w:tentative="1">
      <w:start w:val="1"/>
      <w:numFmt w:val="lowerLetter"/>
      <w:lvlText w:val="%8."/>
      <w:lvlJc w:val="left"/>
      <w:pPr>
        <w:ind w:left="5849" w:hanging="360"/>
      </w:pPr>
    </w:lvl>
    <w:lvl w:ilvl="8" w:tplc="0424001B" w:tentative="1">
      <w:start w:val="1"/>
      <w:numFmt w:val="lowerRoman"/>
      <w:lvlText w:val="%9."/>
      <w:lvlJc w:val="right"/>
      <w:pPr>
        <w:ind w:left="65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02"/>
    <w:rsid w:val="000F64AE"/>
    <w:rsid w:val="00164869"/>
    <w:rsid w:val="00274F39"/>
    <w:rsid w:val="00374492"/>
    <w:rsid w:val="004D5702"/>
    <w:rsid w:val="004E287B"/>
    <w:rsid w:val="007F5434"/>
    <w:rsid w:val="008D500A"/>
    <w:rsid w:val="00A25456"/>
    <w:rsid w:val="00A53D2D"/>
    <w:rsid w:val="00A876D2"/>
    <w:rsid w:val="00BC53D6"/>
    <w:rsid w:val="00BD2A8F"/>
    <w:rsid w:val="00C06E0E"/>
    <w:rsid w:val="00E205EB"/>
    <w:rsid w:val="00E76A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7F920"/>
  <w15:chartTrackingRefBased/>
  <w15:docId w15:val="{0F1A6FE2-9BC8-4E9C-AF57-99862436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76D2"/>
    <w:pPr>
      <w:spacing w:line="256" w:lineRule="auto"/>
    </w:pPr>
  </w:style>
  <w:style w:type="paragraph" w:styleId="Heading1">
    <w:name w:val="heading 1"/>
    <w:basedOn w:val="Normal"/>
    <w:next w:val="Normal"/>
    <w:link w:val="Heading1Char"/>
    <w:uiPriority w:val="9"/>
    <w:qFormat/>
    <w:rsid w:val="00A876D2"/>
    <w:pPr>
      <w:spacing w:after="0" w:line="240" w:lineRule="auto"/>
      <w:ind w:left="1134"/>
      <w:jc w:val="both"/>
      <w:outlineLvl w:val="0"/>
    </w:pPr>
    <w:rPr>
      <w:rFonts w:ascii="Arial" w:eastAsia="Calibri" w:hAnsi="Arial" w:cs="Arial"/>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A876D2"/>
  </w:style>
  <w:style w:type="paragraph" w:styleId="NoSpacing">
    <w:name w:val="No Spacing"/>
    <w:link w:val="NoSpacingChar"/>
    <w:uiPriority w:val="1"/>
    <w:qFormat/>
    <w:rsid w:val="00A876D2"/>
    <w:pPr>
      <w:spacing w:after="0" w:line="240" w:lineRule="auto"/>
    </w:pPr>
  </w:style>
  <w:style w:type="character" w:customStyle="1" w:styleId="Heading1Char">
    <w:name w:val="Heading 1 Char"/>
    <w:basedOn w:val="DefaultParagraphFont"/>
    <w:link w:val="Heading1"/>
    <w:uiPriority w:val="9"/>
    <w:rsid w:val="00A876D2"/>
    <w:rPr>
      <w:rFonts w:ascii="Arial" w:eastAsia="Calibri" w:hAnsi="Arial" w:cs="Arial"/>
      <w:bCs/>
      <w:sz w:val="24"/>
      <w:lang w:val="hr-HR"/>
    </w:rPr>
  </w:style>
  <w:style w:type="paragraph" w:styleId="Title">
    <w:name w:val="Title"/>
    <w:basedOn w:val="Normal"/>
    <w:next w:val="Normal"/>
    <w:link w:val="TitleChar"/>
    <w:uiPriority w:val="10"/>
    <w:qFormat/>
    <w:rsid w:val="00A876D2"/>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A876D2"/>
    <w:rPr>
      <w:rFonts w:ascii="Calibri" w:eastAsia="Times New Roman" w:hAnsi="Calibri" w:cs="Times New Roman"/>
      <w:noProof/>
      <w:spacing w:val="-10"/>
      <w:kern w:val="28"/>
      <w:sz w:val="28"/>
      <w:szCs w:val="40"/>
      <w:lang w:val="en-US"/>
    </w:rPr>
  </w:style>
  <w:style w:type="character" w:styleId="Hyperlink">
    <w:name w:val="Hyperlink"/>
    <w:basedOn w:val="DefaultParagraphFont"/>
    <w:uiPriority w:val="99"/>
    <w:semiHidden/>
    <w:unhideWhenUsed/>
    <w:rsid w:val="00A876D2"/>
    <w:rPr>
      <w:color w:val="0563C1" w:themeColor="hyperlink"/>
      <w:u w:val="single"/>
    </w:rPr>
  </w:style>
  <w:style w:type="paragraph" w:customStyle="1" w:styleId="N05Y">
    <w:name w:val="N05Y"/>
    <w:basedOn w:val="Normal"/>
    <w:uiPriority w:val="99"/>
    <w:rsid w:val="00A876D2"/>
    <w:pPr>
      <w:autoSpaceDE w:val="0"/>
      <w:autoSpaceDN w:val="0"/>
      <w:adjustRightInd w:val="0"/>
      <w:spacing w:before="60" w:after="200" w:line="240" w:lineRule="auto"/>
      <w:jc w:val="center"/>
    </w:pPr>
    <w:rPr>
      <w:rFonts w:ascii="Times New Roman" w:eastAsiaTheme="minorEastAsia" w:hAnsi="Times New Roman" w:cs="Times New Roman"/>
      <w:b/>
      <w:bCs/>
      <w:color w:val="000000"/>
      <w:sz w:val="24"/>
      <w:szCs w:val="24"/>
      <w:lang w:eastAsia="sl-SI"/>
    </w:rPr>
  </w:style>
  <w:style w:type="paragraph" w:customStyle="1" w:styleId="N01X">
    <w:name w:val="N01X"/>
    <w:basedOn w:val="Normal"/>
    <w:uiPriority w:val="99"/>
    <w:rsid w:val="00A876D2"/>
    <w:pPr>
      <w:autoSpaceDE w:val="0"/>
      <w:autoSpaceDN w:val="0"/>
      <w:adjustRightInd w:val="0"/>
      <w:spacing w:before="200" w:after="200" w:line="240" w:lineRule="auto"/>
      <w:jc w:val="center"/>
    </w:pPr>
    <w:rPr>
      <w:rFonts w:ascii="Times New Roman" w:eastAsiaTheme="minorEastAsia" w:hAnsi="Times New Roman" w:cs="Times New Roman"/>
      <w:b/>
      <w:bCs/>
      <w:color w:val="000000"/>
      <w:sz w:val="24"/>
      <w:szCs w:val="24"/>
      <w:lang w:eastAsia="sl-SI"/>
    </w:rPr>
  </w:style>
  <w:style w:type="paragraph" w:customStyle="1" w:styleId="C30X">
    <w:name w:val="C30X"/>
    <w:basedOn w:val="Normal"/>
    <w:uiPriority w:val="99"/>
    <w:rsid w:val="00A876D2"/>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l-SI"/>
    </w:rPr>
  </w:style>
  <w:style w:type="paragraph" w:customStyle="1" w:styleId="T30X">
    <w:name w:val="T30X"/>
    <w:basedOn w:val="Normal"/>
    <w:uiPriority w:val="99"/>
    <w:rsid w:val="00A876D2"/>
    <w:pPr>
      <w:autoSpaceDE w:val="0"/>
      <w:autoSpaceDN w:val="0"/>
      <w:adjustRightInd w:val="0"/>
      <w:spacing w:before="60" w:after="60" w:line="240" w:lineRule="auto"/>
      <w:ind w:firstLine="283"/>
      <w:jc w:val="both"/>
    </w:pPr>
    <w:rPr>
      <w:rFonts w:ascii="Times New Roman" w:eastAsiaTheme="minorEastAsia" w:hAnsi="Times New Roman" w:cs="Times New Roman"/>
      <w:color w:val="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Ostojić</dc:creator>
  <cp:keywords/>
  <dc:description/>
  <cp:lastModifiedBy>Stefan Ostojić</cp:lastModifiedBy>
  <cp:revision>8</cp:revision>
  <cp:lastPrinted>2024-10-11T11:06:00Z</cp:lastPrinted>
  <dcterms:created xsi:type="dcterms:W3CDTF">2024-10-10T06:05:00Z</dcterms:created>
  <dcterms:modified xsi:type="dcterms:W3CDTF">2025-10-08T12:31:00Z</dcterms:modified>
</cp:coreProperties>
</file>