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5109C946" w:rsidR="00C54B26" w:rsidRDefault="007C7605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b w:val="0"/>
                <w:bCs w:val="0"/>
                <w:smallCaps/>
              </w:rPr>
              <w:t xml:space="preserve"> </w:t>
            </w:r>
            <w:r w:rsidR="008C576E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1C4780B2" w:rsidR="00C54B26" w:rsidRDefault="00DE56C1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DECEMBAR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1C4780B2" w:rsidR="00C54B26" w:rsidRDefault="00DE56C1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DECEMBAR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366FE9">
          <w:pPr>
            <w:spacing w:after="200"/>
            <w:rPr>
              <w:b/>
            </w:rPr>
          </w:pPr>
        </w:p>
      </w:sdtContent>
    </w:sdt>
    <w:p w14:paraId="21765EB5" w14:textId="7881B563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DE56C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Pr="00DE56C1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1C401363" w14:textId="114135C1" w:rsidR="009C653F" w:rsidRPr="009C653F" w:rsidRDefault="009C653F" w:rsidP="00EC4128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bookmarkStart w:id="0" w:name="_Hlk171580505"/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Prema preliminarnim podacima, u 2025. godini prihodi budžeta iznosili su 2.873,1 mil. € ili 35,4% projektovanog BDP-a (8.124,7 mil. €), što je za značajnih 117,4 mil. € ili 4,3% veće u odnosu na isti period prethodne godine</w:t>
      </w:r>
      <w:bookmarkEnd w:id="0"/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. Godišnji plan realizovan je na nivou od 99,</w:t>
      </w:r>
      <w:r w:rsidR="005C341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6</w:t>
      </w:r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% plana. </w:t>
      </w:r>
    </w:p>
    <w:p w14:paraId="61348AF7" w14:textId="77777777" w:rsidR="009C653F" w:rsidRPr="009C653F" w:rsidRDefault="009C653F" w:rsidP="009C653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sz w:val="24"/>
          <w:szCs w:val="24"/>
          <w:lang w:val="sr-Latn-ME" w:eastAsia="en-GB"/>
        </w:rPr>
        <w:t>Rast naplate prihoda budžeta u 2025. godini potvrđuje snažnu ekonomsku aktivnost, smanjenje sive ekonomije i unaprijeđenu poresku disciplinu, što Crnoj Gori obezbjeđuje stabilnu i povoljnu sliku javnih finansija, a samim tim i jača povjerenje u fiskalnu održivost. Konkretni rezultati već u prvoj godini primjene Fiskalne strategije Vlade, kroz mjere poput otpisa kamata, proširenja akciznih proizvoda, uvođenja nove stope PDV-a u turizmu i jačanja naplate poreza na dohodak, stvaraju čvrst temelj za dalji ekonomski rast.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3345"/>
        <w:gridCol w:w="1556"/>
        <w:gridCol w:w="1569"/>
        <w:gridCol w:w="1587"/>
        <w:gridCol w:w="1303"/>
      </w:tblGrid>
      <w:tr w:rsidR="009C653F" w:rsidRPr="00FE28CE" w14:paraId="30AA0335" w14:textId="77777777" w:rsidTr="00EC4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  <w:noWrap/>
            <w:hideMark/>
          </w:tcPr>
          <w:p w14:paraId="4588EAF1" w14:textId="77777777" w:rsidR="009C653F" w:rsidRPr="00FE28CE" w:rsidRDefault="009C653F" w:rsidP="00EC4128">
            <w:pPr>
              <w:jc w:val="center"/>
              <w:rPr>
                <w:rFonts w:eastAsia="Times New Roman"/>
                <w:b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sz w:val="20"/>
                <w:szCs w:val="20"/>
                <w:lang w:val="sr-Latn-ME"/>
              </w:rPr>
              <w:t>Izvorni prihodi budžeta 01/01/2025 - 31/12/2025</w:t>
            </w:r>
          </w:p>
        </w:tc>
      </w:tr>
      <w:tr w:rsidR="009C653F" w:rsidRPr="00FE28CE" w14:paraId="7FBC67A1" w14:textId="77777777" w:rsidTr="00EC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0549D210" w14:textId="77777777" w:rsidR="009C653F" w:rsidRPr="00FE28CE" w:rsidRDefault="009C653F" w:rsidP="00EC4128">
            <w:pPr>
              <w:jc w:val="center"/>
              <w:rPr>
                <w:rFonts w:eastAsia="Times New Roman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sz w:val="20"/>
                <w:szCs w:val="20"/>
                <w:lang w:val="sr-Latn-ME"/>
              </w:rPr>
              <w:t>Kategorija prihoda budžeta</w:t>
            </w:r>
          </w:p>
        </w:tc>
        <w:tc>
          <w:tcPr>
            <w:tcW w:w="831" w:type="pct"/>
            <w:shd w:val="clear" w:color="auto" w:fill="auto"/>
            <w:hideMark/>
          </w:tcPr>
          <w:p w14:paraId="7C0C6010" w14:textId="77777777" w:rsidR="009C653F" w:rsidRPr="00FE28CE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Ostvarenje za period 2024</w:t>
            </w:r>
          </w:p>
        </w:tc>
        <w:tc>
          <w:tcPr>
            <w:tcW w:w="838" w:type="pct"/>
            <w:shd w:val="clear" w:color="auto" w:fill="auto"/>
            <w:hideMark/>
          </w:tcPr>
          <w:p w14:paraId="01CE451F" w14:textId="77777777" w:rsidR="009C653F" w:rsidRPr="00FE28CE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Ostvarenje za period 2025</w:t>
            </w:r>
          </w:p>
        </w:tc>
        <w:tc>
          <w:tcPr>
            <w:tcW w:w="848" w:type="pct"/>
            <w:shd w:val="clear" w:color="auto" w:fill="auto"/>
            <w:hideMark/>
          </w:tcPr>
          <w:p w14:paraId="613E5AC0" w14:textId="77777777" w:rsidR="009C653F" w:rsidRPr="00FE28CE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 xml:space="preserve">Apsolutno odstupanje </w:t>
            </w:r>
          </w:p>
          <w:p w14:paraId="302C6333" w14:textId="77777777" w:rsidR="009C653F" w:rsidRPr="00FE28CE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(u mil. €)</w:t>
            </w:r>
          </w:p>
        </w:tc>
        <w:tc>
          <w:tcPr>
            <w:tcW w:w="696" w:type="pct"/>
            <w:shd w:val="clear" w:color="auto" w:fill="auto"/>
            <w:hideMark/>
          </w:tcPr>
          <w:p w14:paraId="31E67824" w14:textId="77777777" w:rsidR="009C653F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 xml:space="preserve">Stopa promjene </w:t>
            </w:r>
          </w:p>
          <w:p w14:paraId="719BC408" w14:textId="77777777" w:rsidR="009C653F" w:rsidRPr="00FE28CE" w:rsidRDefault="009C653F" w:rsidP="00EC4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(u %)</w:t>
            </w:r>
          </w:p>
        </w:tc>
      </w:tr>
      <w:tr w:rsidR="009C653F" w:rsidRPr="00FE28CE" w14:paraId="12D6C886" w14:textId="77777777" w:rsidTr="00EC412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79E08E16" w14:textId="77777777" w:rsidR="009C653F" w:rsidRPr="00FE28CE" w:rsidRDefault="009C653F" w:rsidP="00EC4128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sz w:val="20"/>
                <w:szCs w:val="20"/>
                <w:lang w:val="sr-Latn-ME"/>
              </w:rPr>
              <w:t>Porez na dohodak fizičkih lica</w:t>
            </w:r>
          </w:p>
        </w:tc>
        <w:tc>
          <w:tcPr>
            <w:tcW w:w="831" w:type="pct"/>
            <w:shd w:val="clear" w:color="auto" w:fill="auto"/>
            <w:noWrap/>
            <w:hideMark/>
          </w:tcPr>
          <w:p w14:paraId="36B7D2E9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88.2</w:t>
            </w:r>
          </w:p>
        </w:tc>
        <w:tc>
          <w:tcPr>
            <w:tcW w:w="838" w:type="pct"/>
            <w:shd w:val="clear" w:color="auto" w:fill="auto"/>
            <w:noWrap/>
            <w:hideMark/>
          </w:tcPr>
          <w:p w14:paraId="4523044B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112.0</w:t>
            </w:r>
          </w:p>
        </w:tc>
        <w:tc>
          <w:tcPr>
            <w:tcW w:w="848" w:type="pct"/>
            <w:shd w:val="clear" w:color="auto" w:fill="auto"/>
            <w:noWrap/>
            <w:hideMark/>
          </w:tcPr>
          <w:p w14:paraId="6B688E4E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23.9</w:t>
            </w:r>
          </w:p>
        </w:tc>
        <w:tc>
          <w:tcPr>
            <w:tcW w:w="696" w:type="pct"/>
            <w:shd w:val="clear" w:color="auto" w:fill="auto"/>
            <w:noWrap/>
            <w:hideMark/>
          </w:tcPr>
          <w:p w14:paraId="2528371B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27.1</w:t>
            </w:r>
          </w:p>
        </w:tc>
      </w:tr>
      <w:tr w:rsidR="009C653F" w:rsidRPr="00FE28CE" w14:paraId="477A26B9" w14:textId="77777777" w:rsidTr="00EC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54D77B9E" w14:textId="77777777" w:rsidR="009C653F" w:rsidRPr="00FE28CE" w:rsidRDefault="009C653F" w:rsidP="00EC4128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sz w:val="20"/>
                <w:szCs w:val="20"/>
                <w:lang w:val="sr-Latn-ME"/>
              </w:rPr>
              <w:t>Porez na dobit pravnih lica</w:t>
            </w:r>
          </w:p>
        </w:tc>
        <w:tc>
          <w:tcPr>
            <w:tcW w:w="831" w:type="pct"/>
            <w:shd w:val="clear" w:color="auto" w:fill="auto"/>
            <w:noWrap/>
            <w:hideMark/>
          </w:tcPr>
          <w:p w14:paraId="69AE4C6A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214.0</w:t>
            </w:r>
          </w:p>
        </w:tc>
        <w:tc>
          <w:tcPr>
            <w:tcW w:w="838" w:type="pct"/>
            <w:shd w:val="clear" w:color="auto" w:fill="auto"/>
            <w:noWrap/>
            <w:hideMark/>
          </w:tcPr>
          <w:p w14:paraId="5EB66D8D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233.4</w:t>
            </w:r>
          </w:p>
        </w:tc>
        <w:tc>
          <w:tcPr>
            <w:tcW w:w="848" w:type="pct"/>
            <w:shd w:val="clear" w:color="auto" w:fill="auto"/>
            <w:noWrap/>
            <w:hideMark/>
          </w:tcPr>
          <w:p w14:paraId="17959B68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19.5</w:t>
            </w:r>
          </w:p>
        </w:tc>
        <w:tc>
          <w:tcPr>
            <w:tcW w:w="696" w:type="pct"/>
            <w:shd w:val="clear" w:color="auto" w:fill="auto"/>
            <w:noWrap/>
            <w:hideMark/>
          </w:tcPr>
          <w:p w14:paraId="6177AECF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9.1</w:t>
            </w:r>
          </w:p>
        </w:tc>
      </w:tr>
      <w:tr w:rsidR="009C653F" w:rsidRPr="00FE28CE" w14:paraId="352D3A8C" w14:textId="77777777" w:rsidTr="00EC412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342C53C9" w14:textId="77777777" w:rsidR="009C653F" w:rsidRPr="00FE28CE" w:rsidRDefault="009C653F" w:rsidP="00EC4128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sz w:val="20"/>
                <w:szCs w:val="20"/>
                <w:lang w:val="sr-Latn-ME"/>
              </w:rPr>
              <w:t>Porez na dodatu vrijednost</w:t>
            </w:r>
          </w:p>
        </w:tc>
        <w:tc>
          <w:tcPr>
            <w:tcW w:w="831" w:type="pct"/>
            <w:shd w:val="clear" w:color="auto" w:fill="auto"/>
            <w:noWrap/>
            <w:hideMark/>
          </w:tcPr>
          <w:p w14:paraId="239711ED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1222.6</w:t>
            </w:r>
          </w:p>
        </w:tc>
        <w:tc>
          <w:tcPr>
            <w:tcW w:w="838" w:type="pct"/>
            <w:shd w:val="clear" w:color="auto" w:fill="auto"/>
            <w:noWrap/>
            <w:hideMark/>
          </w:tcPr>
          <w:p w14:paraId="759764A5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1403.7</w:t>
            </w:r>
          </w:p>
        </w:tc>
        <w:tc>
          <w:tcPr>
            <w:tcW w:w="848" w:type="pct"/>
            <w:shd w:val="clear" w:color="auto" w:fill="auto"/>
            <w:noWrap/>
            <w:hideMark/>
          </w:tcPr>
          <w:p w14:paraId="4BFD0CF2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181.1</w:t>
            </w:r>
          </w:p>
        </w:tc>
        <w:tc>
          <w:tcPr>
            <w:tcW w:w="696" w:type="pct"/>
            <w:shd w:val="clear" w:color="auto" w:fill="auto"/>
            <w:noWrap/>
            <w:hideMark/>
          </w:tcPr>
          <w:p w14:paraId="45E67542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14.8</w:t>
            </w:r>
          </w:p>
        </w:tc>
      </w:tr>
      <w:tr w:rsidR="009C653F" w:rsidRPr="00FE28CE" w14:paraId="673E31D9" w14:textId="77777777" w:rsidTr="00EC4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232BD0F9" w14:textId="77777777" w:rsidR="009C653F" w:rsidRPr="00FE28CE" w:rsidRDefault="009C653F" w:rsidP="00EC4128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sz w:val="20"/>
                <w:szCs w:val="20"/>
                <w:lang w:val="sr-Latn-ME"/>
              </w:rPr>
              <w:t xml:space="preserve">Akcize </w:t>
            </w:r>
          </w:p>
        </w:tc>
        <w:tc>
          <w:tcPr>
            <w:tcW w:w="831" w:type="pct"/>
            <w:shd w:val="clear" w:color="auto" w:fill="auto"/>
            <w:noWrap/>
            <w:hideMark/>
          </w:tcPr>
          <w:p w14:paraId="62FC9834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368.6</w:t>
            </w:r>
          </w:p>
        </w:tc>
        <w:tc>
          <w:tcPr>
            <w:tcW w:w="838" w:type="pct"/>
            <w:shd w:val="clear" w:color="auto" w:fill="auto"/>
            <w:noWrap/>
            <w:hideMark/>
          </w:tcPr>
          <w:p w14:paraId="0F67E221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i/>
                <w:sz w:val="20"/>
                <w:szCs w:val="20"/>
                <w:lang w:val="sr-Latn-ME"/>
              </w:rPr>
              <w:t>403.2</w:t>
            </w:r>
          </w:p>
        </w:tc>
        <w:tc>
          <w:tcPr>
            <w:tcW w:w="848" w:type="pct"/>
            <w:shd w:val="clear" w:color="auto" w:fill="auto"/>
            <w:noWrap/>
            <w:hideMark/>
          </w:tcPr>
          <w:p w14:paraId="1F5ABA4C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34.6</w:t>
            </w:r>
          </w:p>
        </w:tc>
        <w:tc>
          <w:tcPr>
            <w:tcW w:w="696" w:type="pct"/>
            <w:shd w:val="clear" w:color="auto" w:fill="auto"/>
            <w:noWrap/>
            <w:hideMark/>
          </w:tcPr>
          <w:p w14:paraId="76A9B2D3" w14:textId="77777777" w:rsidR="009C653F" w:rsidRPr="00FE28CE" w:rsidRDefault="009C653F" w:rsidP="00EC41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9.4</w:t>
            </w:r>
          </w:p>
        </w:tc>
      </w:tr>
      <w:tr w:rsidR="009C653F" w:rsidRPr="00FE28CE" w14:paraId="1FFEA637" w14:textId="77777777" w:rsidTr="00EC41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shd w:val="clear" w:color="auto" w:fill="auto"/>
            <w:noWrap/>
            <w:hideMark/>
          </w:tcPr>
          <w:p w14:paraId="580B52EF" w14:textId="77777777" w:rsidR="009C653F" w:rsidRPr="00FE28CE" w:rsidRDefault="009C653F" w:rsidP="00EC4128">
            <w:pPr>
              <w:rPr>
                <w:rFonts w:eastAsia="Times New Roman"/>
                <w:b/>
                <w:bCs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bCs/>
                <w:sz w:val="20"/>
                <w:szCs w:val="20"/>
                <w:lang w:val="sr-Latn-ME"/>
              </w:rPr>
              <w:t>Porezi ukupno</w:t>
            </w:r>
            <w:r>
              <w:rPr>
                <w:rStyle w:val="FootnoteReference"/>
                <w:rFonts w:eastAsia="Times New Roman"/>
                <w:b/>
                <w:bCs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831" w:type="pct"/>
            <w:shd w:val="clear" w:color="auto" w:fill="auto"/>
            <w:noWrap/>
            <w:hideMark/>
          </w:tcPr>
          <w:p w14:paraId="45797364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bCs/>
                <w:i/>
                <w:sz w:val="20"/>
                <w:szCs w:val="20"/>
                <w:lang w:val="sr-Latn-ME"/>
              </w:rPr>
              <w:t>1968.6</w:t>
            </w:r>
          </w:p>
        </w:tc>
        <w:tc>
          <w:tcPr>
            <w:tcW w:w="838" w:type="pct"/>
            <w:shd w:val="clear" w:color="auto" w:fill="auto"/>
            <w:noWrap/>
            <w:hideMark/>
          </w:tcPr>
          <w:p w14:paraId="5F4C91A0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bCs/>
                <w:i/>
                <w:sz w:val="20"/>
                <w:szCs w:val="20"/>
                <w:lang w:val="sr-Latn-ME"/>
              </w:rPr>
              <w:t>2238.6</w:t>
            </w:r>
          </w:p>
        </w:tc>
        <w:tc>
          <w:tcPr>
            <w:tcW w:w="848" w:type="pct"/>
            <w:shd w:val="clear" w:color="auto" w:fill="auto"/>
            <w:noWrap/>
            <w:hideMark/>
          </w:tcPr>
          <w:p w14:paraId="177BA036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270.0</w:t>
            </w:r>
          </w:p>
        </w:tc>
        <w:tc>
          <w:tcPr>
            <w:tcW w:w="696" w:type="pct"/>
            <w:shd w:val="clear" w:color="auto" w:fill="auto"/>
            <w:noWrap/>
            <w:hideMark/>
          </w:tcPr>
          <w:p w14:paraId="7CBDFF78" w14:textId="77777777" w:rsidR="009C653F" w:rsidRPr="00FE28CE" w:rsidRDefault="009C653F" w:rsidP="00EC41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</w:pPr>
            <w:r w:rsidRPr="00FE28CE">
              <w:rPr>
                <w:rFonts w:eastAsia="Times New Roman"/>
                <w:b/>
                <w:i/>
                <w:color w:val="006100"/>
                <w:sz w:val="20"/>
                <w:szCs w:val="20"/>
                <w:lang w:val="sr-Latn-ME"/>
              </w:rPr>
              <w:t>13.7</w:t>
            </w:r>
          </w:p>
        </w:tc>
      </w:tr>
    </w:tbl>
    <w:p w14:paraId="073B5D22" w14:textId="77777777" w:rsidR="009C653F" w:rsidRPr="00693885" w:rsidRDefault="009C653F" w:rsidP="009C653F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0B7089F7" w14:textId="77777777" w:rsidR="009C653F" w:rsidRDefault="009C653F" w:rsidP="009C653F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  <w:r>
        <w:rPr>
          <w:rFonts w:eastAsia="Times New Roman" w:cstheme="minorHAnsi"/>
          <w:b/>
          <w:noProof/>
          <w:lang w:val="sr-Latn-ME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51F45" wp14:editId="1C0D87D7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760720" cy="472440"/>
                <wp:effectExtent l="0" t="0" r="1143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3C03B31" w14:textId="77777777" w:rsidR="009C653F" w:rsidRDefault="009C653F" w:rsidP="009C653F">
                            <w:pPr>
                              <w:spacing w:line="256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lang w:val="sr-Latn-ME"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lang w:val="sr-Latn-ME" w:eastAsia="en-GB"/>
                              </w:rPr>
                              <w:t>Ukupan rast naplate poreskih kategorija iznosio je 55,0 mil. € ili 2,5% u odnosu na plan, kao i 270,0 ili 13,7% u odnosu na prošlu godinu.</w:t>
                            </w:r>
                          </w:p>
                          <w:p w14:paraId="30ABAFED" w14:textId="77777777" w:rsidR="009C653F" w:rsidRDefault="009C653F" w:rsidP="009C6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1F45" id="Text Box 6" o:spid="_x0000_s1029" type="#_x0000_t202" style="position:absolute;left:0;text-align:left;margin-left:0;margin-top:7.2pt;width:453.6pt;height:37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" fillcolor="white [3201]" strokecolor="#00656b [2404]" strokeweight=".5pt">
                <v:textbox>
                  <w:txbxContent>
                    <w:p w14:paraId="73C03B31" w14:textId="77777777" w:rsidR="009C653F" w:rsidRDefault="009C653F" w:rsidP="009C653F">
                      <w:pPr>
                        <w:spacing w:line="256" w:lineRule="auto"/>
                        <w:jc w:val="center"/>
                        <w:rPr>
                          <w:rFonts w:eastAsia="Times New Roman" w:cstheme="minorHAnsi"/>
                          <w:b/>
                          <w:lang w:val="sr-Latn-ME"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lang w:val="sr-Latn-ME" w:eastAsia="en-GB"/>
                        </w:rPr>
                        <w:t>Ukupan rast naplate poreskih kategorija iznosio je 55,0 mil. € ili 2,5% u odnosu na plan, kao i 270,0 ili 13,7% u odnosu na prošlu godinu.</w:t>
                      </w:r>
                    </w:p>
                    <w:p w14:paraId="30ABAFED" w14:textId="77777777" w:rsidR="009C653F" w:rsidRDefault="009C653F" w:rsidP="009C653F"/>
                  </w:txbxContent>
                </v:textbox>
                <w10:wrap anchorx="margin"/>
              </v:shape>
            </w:pict>
          </mc:Fallback>
        </mc:AlternateContent>
      </w:r>
    </w:p>
    <w:p w14:paraId="77698D70" w14:textId="77777777" w:rsidR="009C653F" w:rsidRDefault="009C653F" w:rsidP="009C653F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2763F12F" w14:textId="77777777" w:rsidR="009C653F" w:rsidRDefault="009C653F" w:rsidP="009C653F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40285657" w14:textId="77777777" w:rsidR="009C653F" w:rsidRDefault="009C653F" w:rsidP="009C653F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7354AF87" w14:textId="77777777" w:rsidR="00DE56C1" w:rsidRPr="00DE56C1" w:rsidRDefault="00DE56C1" w:rsidP="00DE56C1">
      <w:pPr>
        <w:spacing w:line="256" w:lineRule="auto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</w:p>
    <w:p w14:paraId="3EF61FBB" w14:textId="77777777" w:rsidR="00DE56C1" w:rsidRDefault="00DE56C1" w:rsidP="00DE56C1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14:paraId="084788A1" w14:textId="170C559B" w:rsidR="009C653F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sz w:val="24"/>
          <w:szCs w:val="24"/>
          <w:lang w:val="sr-Latn-ME" w:eastAsia="en-GB"/>
        </w:rPr>
        <w:lastRenderedPageBreak/>
        <w:t xml:space="preserve">U tom smislu, </w:t>
      </w: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233,4 mil. €, što predstavlja snažan rast, i to za 19,5 mil. € ili 9,1% u odnosu na 2024. godinu, što je i za 13,6 mil. € ili 6,2% više u odnosu na plan.</w:t>
      </w:r>
    </w:p>
    <w:p w14:paraId="389B4BB4" w14:textId="3C86B64C" w:rsidR="009C653F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112,0 mil. €, što je za 23,9 mil. € ili 27,1% veće u odnosu na isti 2024. godinu. Navedena kategorija prihoda budžeta realizovana je i iznad plana, i to  u iznosu od 3,7 mil. € ili 3,4%.</w:t>
      </w:r>
    </w:p>
    <w:p w14:paraId="6C213626" w14:textId="30DA29EA" w:rsidR="009C653F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1.403,7 mil. €, što predstavlja značajan rast u odnosu na posmatrani period 2024. godine i to za 181,1 mil. € ili 14,8%, što je i za značajnih 31,1 mil. € ili 2,3% veće u odnosu na plan za 2025. godinu. Samo povraćaj PDV-a (bez transfera) u istom periodu iznosio je 105,6 mil. €, odnosno veći je u poređenju sa prethodnom godinom za 12,8 mil. € ili 13,8%.</w:t>
      </w:r>
    </w:p>
    <w:p w14:paraId="6FAE063D" w14:textId="44DAAE5B" w:rsidR="00DE56C1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403,2 mil. €, što je za 34,6 mil. € ili 9,4% veće u odnosu na dvanaest mjeseci 2024. godine, i na nivou su plana za 2025. godinu. Posmatrano po strukturi akciza, najveći rast bilježe akcize na mineralna ulja i njihove derivate, i to za 11,1 mil. € ili 5,6% u odnosu na 2024. godinu i akcize na duvan i duvanske proizvode, za čak 20,5 mil. € ili 17,2% u odnosu na prethodnu godinu. </w:t>
      </w:r>
    </w:p>
    <w:p w14:paraId="08787C90" w14:textId="40E666FF" w:rsidR="009C653F" w:rsidRPr="009C653F" w:rsidRDefault="009C653F" w:rsidP="009C653F">
      <w:pPr>
        <w:shd w:val="clear" w:color="auto" w:fill="FFFFFF"/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54,7 mil. €, što je za 2,</w:t>
      </w:r>
      <w:r w:rsidR="00F0107F">
        <w:rPr>
          <w:rFonts w:eastAsia="Times New Roman" w:cstheme="minorHAnsi"/>
          <w:sz w:val="24"/>
          <w:szCs w:val="24"/>
          <w:lang w:val="sr-Latn-ME" w:eastAsia="en-GB"/>
        </w:rPr>
        <w:t>4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mil. € ili 4,7% veće u odnosu na plan, dok je ova kategorija prihoda budžeta manja u odnosu na 2024. godinu za 37,</w:t>
      </w:r>
      <w:r w:rsidR="00F0107F">
        <w:rPr>
          <w:rFonts w:eastAsia="Times New Roman" w:cstheme="minorHAnsi"/>
          <w:sz w:val="24"/>
          <w:szCs w:val="24"/>
          <w:lang w:val="sr-Latn-ME" w:eastAsia="en-GB"/>
        </w:rPr>
        <w:t>5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mil. € ili 40,6%. Razlog odstupanja je prvenstveno izvršenje ove kategorije prihoda budžeta kada su u  pitanju jednokratni prihodi. </w:t>
      </w:r>
    </w:p>
    <w:p w14:paraId="2BE97713" w14:textId="37420903" w:rsidR="009C653F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Sa druge strane, u 2025. godini </w:t>
      </w: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420,4 mil. € što je za 164,3 mil. € ili 28,1% manje posmatrano u odnosu na 2024. godini i 28,7 mil. € ili 6,4% manje u odnosu na plan.  </w:t>
      </w:r>
    </w:p>
    <w:p w14:paraId="5FC6997E" w14:textId="7B607ED2" w:rsidR="009C653F" w:rsidRPr="009C653F" w:rsidRDefault="009C653F" w:rsidP="009C653F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sz w:val="24"/>
          <w:szCs w:val="24"/>
          <w:lang w:val="sr-Latn-ME" w:eastAsia="en-GB"/>
        </w:rPr>
        <w:t xml:space="preserve">Takođe, negativno odstupanje u odnosu na plan bilježi i kategorija </w:t>
      </w:r>
      <w:r w:rsidRPr="009C653F">
        <w:rPr>
          <w:rFonts w:eastAsia="Times New Roman" w:cstheme="minorHAnsi"/>
          <w:b/>
          <w:sz w:val="24"/>
          <w:szCs w:val="24"/>
          <w:lang w:val="sr-Latn-ME" w:eastAsia="en-GB"/>
        </w:rPr>
        <w:t>donacija</w:t>
      </w:r>
      <w:r w:rsidRPr="009C653F">
        <w:rPr>
          <w:rFonts w:eastAsia="Times New Roman" w:cstheme="minorHAnsi"/>
          <w:sz w:val="24"/>
          <w:szCs w:val="24"/>
          <w:lang w:val="sr-Latn-ME" w:eastAsia="en-GB"/>
        </w:rPr>
        <w:t>, što je ujedno i glavni razlog nižeg ostvarenja prihoda budžeta u odnosu na plan. Donacije su realizovane na nižem nivou dominantno kao rezultat priliva sredstava u okviru Plana rasta, koja su isplaćena drugim mehanizmom Crnoj Gori, kao i po osnovu sredstava granta za drugu dionicu autoputa koja su prenesena za 2026. godinu.</w:t>
      </w:r>
    </w:p>
    <w:p w14:paraId="60FB6A89" w14:textId="31C7A1D9" w:rsidR="009C653F" w:rsidRPr="009C653F" w:rsidRDefault="009C653F" w:rsidP="009C653F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decembru 2025. godine naplata prihoda budžeta ostvarena je na značajno većem nivou, kako u odnosu na prethodnu godinu, tako i u odnosu na plan. Naime, samo u decembru mjesecu 2025. godine naplaćeno je ukupno 329,7 mil. € prihoda budžeta, što je veće u poređenju sa istim mjesecom prethodne godine za 71,</w:t>
      </w:r>
      <w:r w:rsidR="00F0107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7</w:t>
      </w:r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27,</w:t>
      </w:r>
      <w:r w:rsidR="00F0107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8</w:t>
      </w:r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%, i ujedno predstavlja značajan rast u poređenju sa planom za decembar i to za 66,</w:t>
      </w:r>
      <w:r w:rsidR="00F0107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7</w:t>
      </w:r>
      <w:r w:rsidRPr="009C653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25,3%.  </w:t>
      </w:r>
    </w:p>
    <w:p w14:paraId="612DED84" w14:textId="032C0C86" w:rsidR="00AF5E50" w:rsidRDefault="00AF5E50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4BE91E03" w14:textId="3FEE2A1C" w:rsidR="00DE56C1" w:rsidRDefault="00DE56C1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2ED25CB3" w14:textId="77777777" w:rsidR="009C653F" w:rsidRPr="00037F7A" w:rsidRDefault="009C653F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0C08A0CD" w14:textId="2E2EBED3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DE56C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77777777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C3C81" w14:textId="05782CD0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>Izdaci budžeta</w:t>
      </w:r>
      <w:r w:rsidR="000D0E64">
        <w:rPr>
          <w:rFonts w:cstheme="minorHAnsi"/>
          <w:b/>
          <w:sz w:val="24"/>
          <w:szCs w:val="24"/>
          <w:lang w:val="sr-Latn-ME"/>
        </w:rPr>
        <w:t xml:space="preserve"> prema preliminarnim podacima</w:t>
      </w:r>
      <w:r w:rsidRPr="0017603A">
        <w:rPr>
          <w:rFonts w:cstheme="minorHAnsi"/>
          <w:b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sz w:val="24"/>
          <w:szCs w:val="24"/>
          <w:lang w:val="sr-Latn-ME"/>
        </w:rPr>
        <w:t xml:space="preserve">za </w:t>
      </w:r>
      <w:r w:rsidR="003D0637">
        <w:rPr>
          <w:rFonts w:cstheme="minorHAnsi"/>
          <w:sz w:val="24"/>
          <w:szCs w:val="24"/>
          <w:lang w:val="sr-Latn-ME"/>
        </w:rPr>
        <w:t>period januar-</w:t>
      </w:r>
      <w:r w:rsidR="00481A5F">
        <w:rPr>
          <w:rFonts w:cstheme="minorHAnsi"/>
          <w:sz w:val="24"/>
          <w:szCs w:val="24"/>
          <w:lang w:val="sr-Latn-ME"/>
        </w:rPr>
        <w:t>decembar</w:t>
      </w:r>
      <w:r w:rsidRPr="0017603A">
        <w:rPr>
          <w:rFonts w:cstheme="minorHAnsi"/>
          <w:sz w:val="24"/>
          <w:szCs w:val="24"/>
          <w:lang w:val="sr-Latn-ME"/>
        </w:rPr>
        <w:t xml:space="preserve"> 2025. godine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481A5F">
        <w:rPr>
          <w:rFonts w:cstheme="minorHAnsi"/>
          <w:bCs/>
          <w:sz w:val="24"/>
          <w:szCs w:val="24"/>
          <w:lang w:val="sr-Latn-ME"/>
        </w:rPr>
        <w:t>3.</w:t>
      </w:r>
      <w:r w:rsidR="0065332E">
        <w:rPr>
          <w:rFonts w:cstheme="minorHAnsi"/>
          <w:bCs/>
          <w:sz w:val="24"/>
          <w:szCs w:val="24"/>
          <w:lang w:val="sr-Latn-ME"/>
        </w:rPr>
        <w:t>194,8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A7715">
        <w:rPr>
          <w:rFonts w:cstheme="minorHAnsi"/>
          <w:bCs/>
          <w:sz w:val="24"/>
          <w:szCs w:val="24"/>
          <w:lang w:val="sr-Latn-ME"/>
        </w:rPr>
        <w:t>3</w:t>
      </w:r>
      <w:r w:rsidR="00481A5F">
        <w:rPr>
          <w:rFonts w:cstheme="minorHAnsi"/>
          <w:bCs/>
          <w:sz w:val="24"/>
          <w:szCs w:val="24"/>
          <w:lang w:val="sr-Latn-ME"/>
        </w:rPr>
        <w:t>9</w:t>
      </w:r>
      <w:r w:rsidRPr="0017603A">
        <w:rPr>
          <w:rFonts w:cstheme="minorHAnsi"/>
          <w:bCs/>
          <w:sz w:val="24"/>
          <w:szCs w:val="24"/>
          <w:lang w:val="sr-Latn-ME"/>
        </w:rPr>
        <w:t>,</w:t>
      </w:r>
      <w:r w:rsidR="0065332E">
        <w:rPr>
          <w:rFonts w:cstheme="minorHAnsi"/>
          <w:bCs/>
          <w:sz w:val="24"/>
          <w:szCs w:val="24"/>
          <w:lang w:val="sr-Latn-ME"/>
        </w:rPr>
        <w:t>3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14:paraId="3DEA4ED8" w14:textId="1191E943" w:rsidR="001850C1" w:rsidRPr="003410AB" w:rsidRDefault="00D93A18" w:rsidP="003410AB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periodu ostvareni su u iznosu od </w:t>
      </w:r>
      <w:r w:rsidR="005B3EA9">
        <w:rPr>
          <w:rFonts w:ascii="Arial" w:hAnsi="Arial" w:cs="Arial"/>
          <w:bCs/>
          <w:lang w:val="sr-Latn-ME"/>
        </w:rPr>
        <w:t>1.</w:t>
      </w:r>
      <w:r w:rsidR="00481A5F">
        <w:rPr>
          <w:rFonts w:ascii="Arial" w:hAnsi="Arial" w:cs="Arial"/>
          <w:bCs/>
          <w:lang w:val="sr-Latn-ME"/>
        </w:rPr>
        <w:t>250,2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predstavlja </w:t>
      </w:r>
      <w:r w:rsidR="005B3EA9">
        <w:rPr>
          <w:rFonts w:ascii="Arial" w:hAnsi="Arial" w:cs="Arial"/>
          <w:bCs/>
          <w:lang w:val="sr-Latn-ME"/>
        </w:rPr>
        <w:t>9</w:t>
      </w:r>
      <w:r w:rsidR="00481A5F">
        <w:rPr>
          <w:rFonts w:ascii="Arial" w:hAnsi="Arial" w:cs="Arial"/>
          <w:bCs/>
          <w:lang w:val="sr-Latn-ME"/>
        </w:rPr>
        <w:t>9</w:t>
      </w:r>
      <w:r w:rsidR="005B3EA9">
        <w:rPr>
          <w:rFonts w:ascii="Arial" w:hAnsi="Arial" w:cs="Arial"/>
          <w:bCs/>
          <w:lang w:val="sr-Latn-ME"/>
        </w:rPr>
        <w:t>,</w:t>
      </w:r>
      <w:r w:rsidR="00481A5F">
        <w:rPr>
          <w:rFonts w:ascii="Arial" w:hAnsi="Arial" w:cs="Arial"/>
          <w:bCs/>
          <w:lang w:val="sr-Latn-ME"/>
        </w:rPr>
        <w:t>1</w:t>
      </w:r>
      <w:r w:rsidRPr="00D93A18">
        <w:rPr>
          <w:rFonts w:ascii="Arial" w:hAnsi="Arial" w:cs="Arial"/>
          <w:bCs/>
          <w:lang w:val="sr-Latn-ME"/>
        </w:rPr>
        <w:t>% plana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>na poziciji</w:t>
      </w:r>
      <w:r w:rsidR="008C191B">
        <w:rPr>
          <w:rFonts w:ascii="Arial" w:hAnsi="Arial" w:cs="Arial"/>
          <w:bCs/>
          <w:lang w:val="sr-Latn-ME"/>
        </w:rPr>
        <w:t>ma</w:t>
      </w:r>
      <w:r w:rsidR="00721BF3">
        <w:rPr>
          <w:rFonts w:ascii="Arial" w:hAnsi="Arial" w:cs="Arial"/>
          <w:bCs/>
          <w:lang w:val="sr-Latn-ME"/>
        </w:rPr>
        <w:t xml:space="preserve"> Rashoda </w:t>
      </w:r>
      <w:r w:rsidR="008C191B">
        <w:rPr>
          <w:rFonts w:ascii="Arial" w:hAnsi="Arial" w:cs="Arial"/>
          <w:bCs/>
          <w:lang w:val="sr-Latn-ME"/>
        </w:rPr>
        <w:t>za tekuće održavanje i</w:t>
      </w:r>
      <w:r w:rsidR="00643B3B">
        <w:rPr>
          <w:rFonts w:ascii="Arial" w:hAnsi="Arial" w:cs="Arial"/>
          <w:bCs/>
          <w:lang w:val="sr-Latn-ME"/>
        </w:rPr>
        <w:t xml:space="preserve"> </w:t>
      </w:r>
      <w:r w:rsidR="00481A5F">
        <w:rPr>
          <w:rFonts w:ascii="Arial" w:hAnsi="Arial" w:cs="Arial"/>
          <w:bCs/>
          <w:lang w:val="sr-Latn-ME"/>
        </w:rPr>
        <w:t>Rashoda za materijal</w:t>
      </w:r>
      <w:r w:rsidR="00CD5C65" w:rsidRPr="00585798">
        <w:rPr>
          <w:rFonts w:ascii="Arial" w:hAnsi="Arial" w:cs="Arial"/>
          <w:bCs/>
          <w:lang w:val="sr-Latn-ME"/>
        </w:rPr>
        <w:t>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481A5F">
        <w:rPr>
          <w:rFonts w:ascii="Arial" w:hAnsi="Arial" w:cs="Arial"/>
          <w:bCs/>
          <w:lang w:val="sr-Latn-ME"/>
        </w:rPr>
        <w:t>27</w:t>
      </w:r>
      <w:r w:rsidR="008C191B">
        <w:rPr>
          <w:rFonts w:ascii="Arial" w:hAnsi="Arial" w:cs="Arial"/>
          <w:bCs/>
          <w:lang w:val="sr-Latn-ME"/>
        </w:rPr>
        <w:t>,3</w:t>
      </w:r>
      <w:r w:rsidR="00BA4AD6" w:rsidRPr="00585798">
        <w:rPr>
          <w:rFonts w:ascii="Arial" w:hAnsi="Arial" w:cs="Arial"/>
          <w:bCs/>
          <w:lang w:val="sr-Latn-ME"/>
        </w:rPr>
        <w:t xml:space="preserve"> mil. € ili </w:t>
      </w:r>
      <w:r w:rsidR="00481A5F">
        <w:rPr>
          <w:rFonts w:ascii="Arial" w:hAnsi="Arial" w:cs="Arial"/>
          <w:bCs/>
          <w:lang w:val="sr-Latn-ME"/>
        </w:rPr>
        <w:t>3,8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8C191B">
        <w:rPr>
          <w:rFonts w:ascii="Arial" w:hAnsi="Arial" w:cs="Arial"/>
          <w:bCs/>
          <w:lang w:val="sr-Latn-ME"/>
        </w:rPr>
        <w:t>6</w:t>
      </w:r>
      <w:r w:rsidR="00481A5F">
        <w:rPr>
          <w:rFonts w:ascii="Arial" w:hAnsi="Arial" w:cs="Arial"/>
          <w:bCs/>
          <w:lang w:val="sr-Latn-ME"/>
        </w:rPr>
        <w:t>8</w:t>
      </w:r>
      <w:r w:rsidR="008C191B">
        <w:rPr>
          <w:rFonts w:ascii="Arial" w:hAnsi="Arial" w:cs="Arial"/>
          <w:bCs/>
          <w:lang w:val="sr-Latn-ME"/>
        </w:rPr>
        <w:t>7</w:t>
      </w:r>
      <w:r w:rsidR="00BA4AD6" w:rsidRPr="00BA4AD6">
        <w:rPr>
          <w:rFonts w:ascii="Arial" w:hAnsi="Arial" w:cs="Arial"/>
          <w:bCs/>
          <w:lang w:val="sr-Latn-ME"/>
        </w:rPr>
        <w:t xml:space="preserve"> mil. € </w:t>
      </w:r>
      <w:r w:rsidR="000A7715">
        <w:rPr>
          <w:rFonts w:ascii="Arial" w:hAnsi="Arial" w:cs="Arial"/>
          <w:bCs/>
          <w:lang w:val="sr-Latn-ME"/>
        </w:rPr>
        <w:t>što predstavlja</w:t>
      </w:r>
      <w:r w:rsidR="00BA4AD6" w:rsidRPr="00BA4AD6">
        <w:rPr>
          <w:rFonts w:ascii="Arial" w:hAnsi="Arial" w:cs="Arial"/>
          <w:bCs/>
          <w:lang w:val="sr-Latn-ME"/>
        </w:rPr>
        <w:t xml:space="preserve"> 9</w:t>
      </w:r>
      <w:r w:rsidR="00481A5F">
        <w:rPr>
          <w:rFonts w:ascii="Arial" w:hAnsi="Arial" w:cs="Arial"/>
          <w:bCs/>
          <w:lang w:val="sr-Latn-ME"/>
        </w:rPr>
        <w:t>6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481A5F">
        <w:rPr>
          <w:rFonts w:ascii="Arial" w:hAnsi="Arial" w:cs="Arial"/>
          <w:bCs/>
          <w:lang w:val="sr-Latn-ME"/>
        </w:rPr>
        <w:t>2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0A7715">
        <w:rPr>
          <w:rFonts w:ascii="Arial" w:hAnsi="Arial" w:cs="Arial"/>
          <w:bCs/>
          <w:lang w:val="sr-Latn-ME"/>
        </w:rPr>
        <w:t xml:space="preserve"> plana</w:t>
      </w:r>
      <w:r w:rsidR="004803CB">
        <w:rPr>
          <w:rFonts w:ascii="Arial" w:hAnsi="Arial" w:cs="Arial"/>
          <w:bCs/>
          <w:lang w:val="sr-Latn-ME"/>
        </w:rPr>
        <w:t xml:space="preserve"> i</w:t>
      </w:r>
      <w:r w:rsidR="00CB3DFB">
        <w:rPr>
          <w:rFonts w:ascii="Arial" w:hAnsi="Arial" w:cs="Arial"/>
          <w:bCs/>
          <w:lang w:val="sr-Latn-ME"/>
        </w:rPr>
        <w:t xml:space="preserve"> kod Subvencija koja se ostvarene u iznosu od 91,1 mil. </w:t>
      </w:r>
      <w:r w:rsidR="00CB3DFB" w:rsidRPr="00CB3DFB">
        <w:rPr>
          <w:rFonts w:ascii="Arial" w:hAnsi="Arial" w:cs="Arial"/>
          <w:bCs/>
          <w:lang w:val="sr-Latn-ME"/>
        </w:rPr>
        <w:t>€</w:t>
      </w:r>
      <w:r w:rsidR="00CB3DFB">
        <w:rPr>
          <w:rFonts w:ascii="Arial" w:hAnsi="Arial" w:cs="Arial"/>
          <w:bCs/>
          <w:lang w:val="sr-Latn-ME"/>
        </w:rPr>
        <w:t xml:space="preserve"> što predstavlja 128,9% plana dominantno kod Zavoda za zapošljavanje za </w:t>
      </w:r>
      <w:r w:rsidR="00CB3DFB" w:rsidRPr="00CB3DFB">
        <w:rPr>
          <w:rFonts w:ascii="Arial" w:hAnsi="Arial" w:cs="Arial"/>
          <w:bCs/>
          <w:lang w:val="sr-Latn-ME"/>
        </w:rPr>
        <w:t>Subvencije poslodavcima koji zaposle lica sa invaliditetom</w:t>
      </w:r>
      <w:r w:rsidR="00CB3DFB">
        <w:rPr>
          <w:rFonts w:ascii="Arial" w:hAnsi="Arial" w:cs="Arial"/>
          <w:bCs/>
          <w:lang w:val="sr-Latn-ME"/>
        </w:rPr>
        <w:t>.</w:t>
      </w:r>
    </w:p>
    <w:p w14:paraId="038B469E" w14:textId="0EEF2631" w:rsidR="00B64692" w:rsidRDefault="005B6393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529F87B4" wp14:editId="18584F83">
            <wp:extent cx="4633595" cy="37064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FED69" w14:textId="77777777" w:rsidR="00B64692" w:rsidRDefault="00B64692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640BD617" w14:textId="64431828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27810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497872">
        <w:rPr>
          <w:rFonts w:cstheme="minorHAnsi"/>
          <w:bCs/>
          <w:sz w:val="24"/>
          <w:szCs w:val="24"/>
          <w:lang w:val="sr-Latn-ME"/>
        </w:rPr>
        <w:t>1.</w:t>
      </w:r>
      <w:r w:rsidR="00D234DC">
        <w:rPr>
          <w:rFonts w:cstheme="minorHAnsi"/>
          <w:bCs/>
          <w:sz w:val="24"/>
          <w:szCs w:val="24"/>
          <w:lang w:val="sr-Latn-ME"/>
        </w:rPr>
        <w:t>1</w:t>
      </w:r>
      <w:r w:rsidR="0065332E">
        <w:rPr>
          <w:rFonts w:cstheme="minorHAnsi"/>
          <w:bCs/>
          <w:sz w:val="24"/>
          <w:szCs w:val="24"/>
          <w:lang w:val="sr-Latn-ME"/>
        </w:rPr>
        <w:t>07</w:t>
      </w:r>
      <w:r w:rsidR="00D234DC">
        <w:rPr>
          <w:rFonts w:cstheme="minorHAnsi"/>
          <w:bCs/>
          <w:sz w:val="24"/>
          <w:szCs w:val="24"/>
          <w:lang w:val="sr-Latn-ME"/>
        </w:rPr>
        <w:t>,6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što predstavlja</w:t>
      </w:r>
      <w:r w:rsidR="00421805" w:rsidRPr="00627810">
        <w:rPr>
          <w:rFonts w:cstheme="minorHAnsi"/>
          <w:bCs/>
          <w:sz w:val="24"/>
          <w:szCs w:val="24"/>
          <w:lang w:val="sr-Latn-ME"/>
        </w:rPr>
        <w:t xml:space="preserve"> 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10</w:t>
      </w:r>
      <w:r w:rsidR="0065332E">
        <w:rPr>
          <w:rFonts w:cstheme="minorHAnsi"/>
          <w:bCs/>
          <w:sz w:val="24"/>
          <w:szCs w:val="24"/>
          <w:lang w:val="sr-Latn-ME"/>
        </w:rPr>
        <w:t>3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,</w:t>
      </w:r>
      <w:r w:rsidR="0065332E">
        <w:rPr>
          <w:rFonts w:cstheme="minorHAnsi"/>
          <w:bCs/>
          <w:sz w:val="24"/>
          <w:szCs w:val="24"/>
          <w:lang w:val="sr-Latn-ME"/>
        </w:rPr>
        <w:t>9</w:t>
      </w:r>
      <w:r w:rsidRPr="00627810">
        <w:rPr>
          <w:rFonts w:cstheme="minorHAnsi"/>
          <w:bCs/>
          <w:sz w:val="24"/>
          <w:szCs w:val="24"/>
          <w:lang w:val="sr-Latn-ME"/>
        </w:rPr>
        <w:t>% plana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 xml:space="preserve">, odnosno za </w:t>
      </w:r>
      <w:r w:rsidR="0086478E">
        <w:rPr>
          <w:rFonts w:cstheme="minorHAnsi"/>
          <w:bCs/>
          <w:sz w:val="24"/>
          <w:szCs w:val="24"/>
          <w:lang w:val="sr-Latn-ME"/>
        </w:rPr>
        <w:t>4</w:t>
      </w:r>
      <w:r w:rsidR="0065332E">
        <w:rPr>
          <w:rFonts w:cstheme="minorHAnsi"/>
          <w:bCs/>
          <w:sz w:val="24"/>
          <w:szCs w:val="24"/>
          <w:lang w:val="sr-Latn-ME"/>
        </w:rPr>
        <w:t>1</w:t>
      </w:r>
      <w:r w:rsidR="00497872">
        <w:rPr>
          <w:rFonts w:cstheme="minorHAnsi"/>
          <w:bCs/>
          <w:sz w:val="24"/>
          <w:szCs w:val="24"/>
          <w:lang w:val="sr-Latn-ME"/>
        </w:rPr>
        <w:t>,</w:t>
      </w:r>
      <w:r w:rsidR="0086478E">
        <w:rPr>
          <w:rFonts w:cstheme="minorHAnsi"/>
          <w:bCs/>
          <w:sz w:val="24"/>
          <w:szCs w:val="24"/>
          <w:lang w:val="sr-Latn-ME"/>
        </w:rPr>
        <w:t>9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 xml:space="preserve"> mil.€ više od planiranog.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 xml:space="preserve"> 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odnosu na isti period prethodne godine 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 xml:space="preserve">ostvarenje je </w:t>
      </w:r>
      <w:r w:rsidRPr="00627810">
        <w:rPr>
          <w:rFonts w:cstheme="minorHAnsi"/>
          <w:bCs/>
          <w:sz w:val="24"/>
          <w:szCs w:val="24"/>
          <w:lang w:val="sr-Latn-ME"/>
        </w:rPr>
        <w:t>već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>e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za </w:t>
      </w:r>
      <w:r w:rsidR="0065332E">
        <w:rPr>
          <w:rFonts w:cstheme="minorHAnsi"/>
          <w:bCs/>
          <w:sz w:val="24"/>
          <w:szCs w:val="24"/>
          <w:lang w:val="sr-Latn-ME"/>
        </w:rPr>
        <w:t>99,4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65332E">
        <w:rPr>
          <w:rFonts w:cstheme="minorHAnsi"/>
          <w:bCs/>
          <w:sz w:val="24"/>
          <w:szCs w:val="24"/>
          <w:lang w:val="sr-Latn-ME"/>
        </w:rPr>
        <w:t>9,9</w:t>
      </w:r>
      <w:r w:rsidRPr="00627810">
        <w:rPr>
          <w:rFonts w:cstheme="minorHAnsi"/>
          <w:bCs/>
          <w:sz w:val="24"/>
          <w:szCs w:val="24"/>
          <w:lang w:val="sr-Latn-ME"/>
        </w:rPr>
        <w:t>%.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 w:rsidR="00C64DD4">
        <w:rPr>
          <w:rFonts w:cstheme="minorHAnsi"/>
          <w:bCs/>
          <w:sz w:val="24"/>
          <w:szCs w:val="24"/>
          <w:lang w:val="sr-Latn-ME"/>
        </w:rPr>
        <w:t>za period januar</w:t>
      </w:r>
      <w:r w:rsidR="0032493D">
        <w:rPr>
          <w:rFonts w:cstheme="minorHAnsi"/>
          <w:bCs/>
          <w:sz w:val="24"/>
          <w:szCs w:val="24"/>
          <w:lang w:val="sr-Latn-ME"/>
        </w:rPr>
        <w:t>-</w:t>
      </w:r>
      <w:r w:rsidR="0086478E">
        <w:rPr>
          <w:rFonts w:cstheme="minorHAnsi"/>
          <w:bCs/>
          <w:sz w:val="24"/>
          <w:szCs w:val="24"/>
          <w:lang w:val="sr-Latn-ME"/>
        </w:rPr>
        <w:t>decembar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 iznosili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su </w:t>
      </w:r>
      <w:r w:rsidR="0086478E">
        <w:rPr>
          <w:rFonts w:cstheme="minorHAnsi"/>
          <w:bCs/>
          <w:sz w:val="24"/>
          <w:szCs w:val="24"/>
          <w:lang w:val="sr-Latn-ME"/>
        </w:rPr>
        <w:t>46</w:t>
      </w:r>
      <w:r w:rsidR="003C6073">
        <w:rPr>
          <w:rFonts w:cstheme="minorHAnsi"/>
          <w:bCs/>
          <w:sz w:val="24"/>
          <w:szCs w:val="24"/>
          <w:lang w:val="sr-Latn-ME"/>
        </w:rPr>
        <w:t>7</w:t>
      </w:r>
      <w:r w:rsidR="009702BE">
        <w:rPr>
          <w:rFonts w:cstheme="minorHAnsi"/>
          <w:bCs/>
          <w:sz w:val="24"/>
          <w:szCs w:val="24"/>
          <w:lang w:val="sr-Latn-ME"/>
        </w:rPr>
        <w:t>,</w:t>
      </w:r>
      <w:r w:rsidR="003C6073">
        <w:rPr>
          <w:rFonts w:cstheme="minorHAnsi"/>
          <w:bCs/>
          <w:sz w:val="24"/>
          <w:szCs w:val="24"/>
          <w:lang w:val="sr-Latn-ME"/>
        </w:rPr>
        <w:t>9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3C6073">
        <w:rPr>
          <w:rFonts w:cstheme="minorHAnsi"/>
          <w:bCs/>
          <w:sz w:val="24"/>
          <w:szCs w:val="24"/>
          <w:lang w:val="sr-Latn-ME"/>
        </w:rPr>
        <w:t>12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86478E">
        <w:rPr>
          <w:rFonts w:cstheme="minorHAnsi"/>
          <w:bCs/>
          <w:sz w:val="24"/>
          <w:szCs w:val="24"/>
          <w:lang w:val="sr-Latn-ME"/>
        </w:rPr>
        <w:t>2,</w:t>
      </w:r>
      <w:r w:rsidR="003C6073">
        <w:rPr>
          <w:rFonts w:cstheme="minorHAnsi"/>
          <w:bCs/>
          <w:sz w:val="24"/>
          <w:szCs w:val="24"/>
          <w:lang w:val="sr-Latn-ME"/>
        </w:rPr>
        <w:t>6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14:paraId="5AE8D2A2" w14:textId="77777777" w:rsidR="00EA7C40" w:rsidRPr="006853B8" w:rsidRDefault="00EA7C40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53064A01" w14:textId="259036C1"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lastRenderedPageBreak/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u 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86478E">
        <w:rPr>
          <w:rFonts w:cstheme="minorHAnsi"/>
          <w:bCs/>
          <w:sz w:val="24"/>
          <w:szCs w:val="24"/>
        </w:rPr>
        <w:t>331,2</w:t>
      </w:r>
      <w:r w:rsidR="00497872">
        <w:rPr>
          <w:rFonts w:cstheme="minorHAnsi"/>
          <w:bCs/>
          <w:sz w:val="24"/>
          <w:szCs w:val="24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>mil. € što predstavlja ostvarenje</w:t>
      </w:r>
      <w:r w:rsidR="006774B4" w:rsidRPr="006774B4">
        <w:rPr>
          <w:rFonts w:cstheme="minorHAnsi"/>
          <w:bCs/>
          <w:sz w:val="24"/>
          <w:szCs w:val="24"/>
        </w:rPr>
        <w:t xml:space="preserve"> </w:t>
      </w:r>
      <w:r w:rsidR="00F121EB">
        <w:rPr>
          <w:rFonts w:cstheme="minorHAnsi"/>
          <w:bCs/>
          <w:sz w:val="24"/>
          <w:szCs w:val="24"/>
        </w:rPr>
        <w:t>9</w:t>
      </w:r>
      <w:r w:rsidR="0086478E">
        <w:rPr>
          <w:rFonts w:cstheme="minorHAnsi"/>
          <w:bCs/>
          <w:sz w:val="24"/>
          <w:szCs w:val="24"/>
        </w:rPr>
        <w:t>7</w:t>
      </w:r>
      <w:r w:rsidR="00497872">
        <w:rPr>
          <w:rFonts w:cstheme="minorHAnsi"/>
          <w:bCs/>
          <w:sz w:val="24"/>
          <w:szCs w:val="24"/>
        </w:rPr>
        <w:t>,</w:t>
      </w:r>
      <w:r w:rsidR="0086478E">
        <w:rPr>
          <w:rFonts w:cstheme="minorHAnsi"/>
          <w:bCs/>
          <w:sz w:val="24"/>
          <w:szCs w:val="24"/>
        </w:rPr>
        <w:t>5</w:t>
      </w:r>
      <w:r w:rsidRPr="006774B4">
        <w:rPr>
          <w:rFonts w:cstheme="minorHAnsi"/>
          <w:bCs/>
          <w:sz w:val="24"/>
          <w:szCs w:val="24"/>
          <w:lang w:val="sr-Latn-ME"/>
        </w:rPr>
        <w:t>%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plana</w:t>
      </w:r>
      <w:r w:rsidR="006774B4" w:rsidRPr="00D400A6">
        <w:rPr>
          <w:rFonts w:cstheme="minorHAnsi"/>
          <w:bCs/>
          <w:sz w:val="24"/>
          <w:szCs w:val="24"/>
        </w:rPr>
        <w:t>.</w:t>
      </w:r>
      <w:r w:rsidR="00544EEB" w:rsidRPr="00D400A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na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isti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period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kapit</w:t>
      </w:r>
      <w:r w:rsidR="00CF1DC9">
        <w:rPr>
          <w:rFonts w:cstheme="minorHAnsi"/>
          <w:bCs/>
          <w:sz w:val="24"/>
          <w:szCs w:val="24"/>
        </w:rPr>
        <w:t>al</w:t>
      </w:r>
      <w:r w:rsidR="00EE0C37" w:rsidRPr="00D400A6">
        <w:rPr>
          <w:rFonts w:cstheme="minorHAnsi"/>
          <w:bCs/>
          <w:sz w:val="24"/>
          <w:szCs w:val="24"/>
        </w:rPr>
        <w:t>nih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već</w:t>
      </w:r>
      <w:r w:rsidR="00EE0C37" w:rsidRPr="00D400A6">
        <w:rPr>
          <w:rFonts w:cstheme="minorHAnsi"/>
          <w:bCs/>
          <w:sz w:val="24"/>
          <w:szCs w:val="24"/>
        </w:rPr>
        <w:t>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je</w:t>
      </w:r>
      <w:r w:rsidR="00544EEB" w:rsidRPr="00D400A6">
        <w:rPr>
          <w:rFonts w:cstheme="minorHAnsi"/>
          <w:bCs/>
          <w:sz w:val="24"/>
          <w:szCs w:val="24"/>
        </w:rPr>
        <w:t xml:space="preserve"> za </w:t>
      </w:r>
      <w:r w:rsidR="0086478E">
        <w:rPr>
          <w:rFonts w:cstheme="minorHAnsi"/>
          <w:bCs/>
          <w:sz w:val="24"/>
          <w:szCs w:val="24"/>
        </w:rPr>
        <w:t>32</w:t>
      </w:r>
      <w:r w:rsidR="00DC5893" w:rsidRPr="00D400A6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86478E">
        <w:rPr>
          <w:rFonts w:cstheme="minorHAnsi"/>
          <w:bCs/>
          <w:sz w:val="24"/>
          <w:szCs w:val="24"/>
          <w:lang w:val="sr-Latn-ME"/>
        </w:rPr>
        <w:t>10,7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%.</w:t>
      </w:r>
      <w:r w:rsidR="00FA6320">
        <w:rPr>
          <w:rFonts w:cstheme="minorHAnsi"/>
          <w:bCs/>
          <w:sz w:val="24"/>
          <w:szCs w:val="24"/>
          <w:lang w:val="sr-Latn-ME"/>
        </w:rPr>
        <w:t xml:space="preserve"> Takođe,</w:t>
      </w:r>
      <w:r w:rsidR="006B71E0">
        <w:rPr>
          <w:rFonts w:cstheme="minorHAnsi"/>
          <w:bCs/>
          <w:sz w:val="24"/>
          <w:szCs w:val="24"/>
          <w:lang w:val="sr-Latn-ME"/>
        </w:rPr>
        <w:t xml:space="preserve"> </w:t>
      </w:r>
      <w:r w:rsidR="00FA6320">
        <w:rPr>
          <w:rFonts w:cstheme="minorHAnsi"/>
          <w:bCs/>
          <w:sz w:val="24"/>
          <w:szCs w:val="24"/>
          <w:lang w:val="sr-Latn-ME"/>
        </w:rPr>
        <w:t xml:space="preserve">samo u decembru kapitalni izdaci su ostvareni na nivou 90,8 mil. </w:t>
      </w:r>
      <w:r w:rsidR="00FA6320" w:rsidRPr="00D400A6">
        <w:rPr>
          <w:rFonts w:cstheme="minorHAnsi"/>
          <w:bCs/>
          <w:sz w:val="24"/>
          <w:szCs w:val="24"/>
          <w:lang w:val="sr-Latn-ME"/>
        </w:rPr>
        <w:t>€</w:t>
      </w:r>
      <w:r w:rsidR="00FA6320">
        <w:rPr>
          <w:rFonts w:cstheme="minorHAnsi"/>
          <w:bCs/>
          <w:sz w:val="24"/>
          <w:szCs w:val="24"/>
          <w:lang w:val="sr-Latn-ME"/>
        </w:rPr>
        <w:t xml:space="preserve"> što je za 14,7 mil. </w:t>
      </w:r>
      <w:r w:rsidR="00FA6320" w:rsidRPr="00D400A6">
        <w:rPr>
          <w:rFonts w:cstheme="minorHAnsi"/>
          <w:bCs/>
          <w:sz w:val="24"/>
          <w:szCs w:val="24"/>
          <w:lang w:val="sr-Latn-ME"/>
        </w:rPr>
        <w:t>€</w:t>
      </w:r>
      <w:r w:rsidR="00FA6320">
        <w:rPr>
          <w:rFonts w:cstheme="minorHAnsi"/>
          <w:bCs/>
          <w:sz w:val="24"/>
          <w:szCs w:val="24"/>
          <w:lang w:val="sr-Latn-ME"/>
        </w:rPr>
        <w:t xml:space="preserve"> veće u odnosu na plan </w:t>
      </w:r>
      <w:r w:rsidR="00FA6320" w:rsidRPr="00D400A6">
        <w:rPr>
          <w:rFonts w:cstheme="minorHAnsi"/>
          <w:bCs/>
          <w:sz w:val="24"/>
          <w:szCs w:val="24"/>
          <w:lang w:val="sr-Latn-ME"/>
        </w:rPr>
        <w:t xml:space="preserve">ili </w:t>
      </w:r>
      <w:r w:rsidR="00FA6320">
        <w:rPr>
          <w:rFonts w:cstheme="minorHAnsi"/>
          <w:bCs/>
          <w:sz w:val="24"/>
          <w:szCs w:val="24"/>
          <w:lang w:val="sr-Latn-ME"/>
        </w:rPr>
        <w:t>19,4</w:t>
      </w:r>
      <w:r w:rsidR="00FA6320" w:rsidRPr="00D400A6">
        <w:rPr>
          <w:rFonts w:cstheme="minorHAnsi"/>
          <w:bCs/>
          <w:sz w:val="24"/>
          <w:szCs w:val="24"/>
          <w:lang w:val="sr-Latn-ME"/>
        </w:rPr>
        <w:t>%.</w:t>
      </w:r>
      <w:r w:rsidR="00FA6320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Kapitalni budžet u iznosu od </w:t>
      </w:r>
      <w:r w:rsidR="005049B5">
        <w:rPr>
          <w:rFonts w:cstheme="minorHAnsi"/>
          <w:bCs/>
          <w:sz w:val="24"/>
          <w:szCs w:val="24"/>
          <w:lang w:val="sr-Latn-ME"/>
        </w:rPr>
        <w:t>223,43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>
        <w:rPr>
          <w:rFonts w:cstheme="minorHAnsi"/>
          <w:bCs/>
          <w:sz w:val="24"/>
          <w:szCs w:val="24"/>
          <w:lang w:val="sr-Latn-ME"/>
        </w:rPr>
        <w:t>mil. €, dok se preostali iznos odnosi na kapitalne izdatke u okviru Tekućeg budžeta i budžeta fondova.</w:t>
      </w:r>
    </w:p>
    <w:p w14:paraId="7F353748" w14:textId="77777777" w:rsidR="00C647C7" w:rsidRDefault="00C647C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Hlk204325138"/>
    </w:p>
    <w:p w14:paraId="66CFFD07" w14:textId="15729EF6"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F5DE0">
        <w:rPr>
          <w:rFonts w:cstheme="minorHAnsi"/>
          <w:sz w:val="24"/>
          <w:szCs w:val="24"/>
          <w:lang w:val="sr-Latn-ME"/>
        </w:rPr>
        <w:t xml:space="preserve">Posmatrajući </w:t>
      </w:r>
      <w:r w:rsidR="0050330A">
        <w:rPr>
          <w:rFonts w:cstheme="minorHAnsi"/>
          <w:b/>
          <w:sz w:val="24"/>
          <w:szCs w:val="24"/>
          <w:lang w:val="sr-Latn-ME"/>
        </w:rPr>
        <w:t>decembar</w:t>
      </w:r>
      <w:r w:rsidRPr="000F5DE0">
        <w:rPr>
          <w:rFonts w:cstheme="minorHAnsi"/>
          <w:sz w:val="24"/>
          <w:szCs w:val="24"/>
          <w:lang w:val="sr-Latn-ME"/>
        </w:rPr>
        <w:t xml:space="preserve">, 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ukupni </w:t>
      </w:r>
      <w:r w:rsidRPr="000F5DE0">
        <w:rPr>
          <w:rFonts w:cstheme="minorHAnsi"/>
          <w:sz w:val="24"/>
          <w:szCs w:val="24"/>
          <w:lang w:val="sr-Latn-ME"/>
        </w:rPr>
        <w:t>izdaci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 budžeta</w:t>
      </w:r>
      <w:r w:rsidRPr="000F5DE0">
        <w:rPr>
          <w:rFonts w:cstheme="minorHAnsi"/>
          <w:sz w:val="24"/>
          <w:szCs w:val="24"/>
          <w:lang w:val="sr-Latn-ME"/>
        </w:rPr>
        <w:t xml:space="preserve"> iznose </w:t>
      </w:r>
      <w:r w:rsidR="0050330A">
        <w:rPr>
          <w:rFonts w:cstheme="minorHAnsi"/>
          <w:sz w:val="24"/>
          <w:szCs w:val="24"/>
          <w:lang w:val="sr-Latn-ME"/>
        </w:rPr>
        <w:t>480,4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 u odnosu na posmatrani period prethodne godine </w:t>
      </w:r>
      <w:r w:rsidR="00086D4E">
        <w:rPr>
          <w:rFonts w:cstheme="minorHAnsi"/>
          <w:sz w:val="24"/>
          <w:szCs w:val="24"/>
          <w:lang w:val="sr-Latn-ME"/>
        </w:rPr>
        <w:t>manji su za 26,</w:t>
      </w:r>
      <w:r w:rsidR="009702BE">
        <w:rPr>
          <w:rFonts w:cstheme="minorHAnsi"/>
          <w:sz w:val="24"/>
          <w:szCs w:val="24"/>
          <w:lang w:val="sr-Latn-ME"/>
        </w:rPr>
        <w:t>1</w:t>
      </w:r>
      <w:r w:rsidR="00086D4E">
        <w:rPr>
          <w:rFonts w:cstheme="minorHAnsi"/>
          <w:sz w:val="24"/>
          <w:szCs w:val="24"/>
          <w:lang w:val="sr-Latn-ME"/>
        </w:rPr>
        <w:t xml:space="preserve"> mil.</w:t>
      </w:r>
      <w:r w:rsidR="00086D4E" w:rsidRPr="00086D4E">
        <w:t xml:space="preserve"> </w:t>
      </w:r>
      <w:r w:rsidR="00086D4E" w:rsidRPr="00086D4E">
        <w:rPr>
          <w:rFonts w:cstheme="minorHAnsi"/>
          <w:sz w:val="24"/>
          <w:szCs w:val="24"/>
          <w:lang w:val="sr-Latn-ME"/>
        </w:rPr>
        <w:t>€</w:t>
      </w:r>
      <w:r w:rsidR="00086D4E">
        <w:rPr>
          <w:rFonts w:cstheme="minorHAnsi"/>
          <w:sz w:val="24"/>
          <w:szCs w:val="24"/>
          <w:lang w:val="sr-Latn-ME"/>
        </w:rPr>
        <w:t xml:space="preserve"> ili 5,2%</w:t>
      </w:r>
      <w:r w:rsidRPr="000F5DE0">
        <w:rPr>
          <w:rFonts w:cstheme="minorHAnsi"/>
          <w:sz w:val="24"/>
          <w:szCs w:val="24"/>
          <w:lang w:val="sr-Latn-ME"/>
        </w:rPr>
        <w:t>.</w:t>
      </w:r>
    </w:p>
    <w:p w14:paraId="542ADD2B" w14:textId="77777777" w:rsidR="00EE0C37" w:rsidRPr="000F5DE0" w:rsidRDefault="00EE0C3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1CBFBD71" w14:textId="123AD025" w:rsidR="00D53265" w:rsidRDefault="008C576E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Odstupanje od plana </w:t>
      </w:r>
      <w:r w:rsidR="005B3A7F">
        <w:rPr>
          <w:rFonts w:cstheme="minorHAnsi"/>
          <w:sz w:val="24"/>
          <w:szCs w:val="24"/>
          <w:lang w:val="sr-Latn-ME"/>
        </w:rPr>
        <w:t>je</w:t>
      </w:r>
      <w:r w:rsidR="0068426E">
        <w:rPr>
          <w:rFonts w:cstheme="minorHAnsi"/>
          <w:sz w:val="24"/>
          <w:szCs w:val="24"/>
          <w:lang w:val="sr-Latn-ME"/>
        </w:rPr>
        <w:t xml:space="preserve"> kod</w:t>
      </w:r>
      <w:r w:rsidR="00DD3BE9">
        <w:rPr>
          <w:rFonts w:cstheme="minorHAnsi"/>
          <w:sz w:val="24"/>
          <w:szCs w:val="24"/>
          <w:lang w:val="sr-Latn-ME"/>
        </w:rPr>
        <w:t xml:space="preserve"> svih</w:t>
      </w:r>
      <w:r w:rsidR="0068426E">
        <w:rPr>
          <w:rFonts w:cstheme="minorHAnsi"/>
          <w:sz w:val="24"/>
          <w:szCs w:val="24"/>
          <w:lang w:val="sr-Latn-ME"/>
        </w:rPr>
        <w:t xml:space="preserve"> Tekućih izdataka</w:t>
      </w:r>
      <w:r w:rsidR="00BC0270">
        <w:rPr>
          <w:rFonts w:cstheme="minorHAnsi"/>
          <w:sz w:val="24"/>
          <w:szCs w:val="24"/>
          <w:lang w:val="sr-Latn-ME"/>
        </w:rPr>
        <w:t xml:space="preserve"> </w:t>
      </w:r>
      <w:r w:rsidR="007C787E">
        <w:rPr>
          <w:rFonts w:cstheme="minorHAnsi"/>
          <w:sz w:val="24"/>
          <w:szCs w:val="24"/>
          <w:lang w:val="sr-Latn-ME"/>
        </w:rPr>
        <w:t xml:space="preserve">i </w:t>
      </w:r>
      <w:r w:rsidRPr="006774B4">
        <w:rPr>
          <w:rFonts w:cstheme="minorHAnsi"/>
          <w:sz w:val="24"/>
          <w:szCs w:val="24"/>
          <w:lang w:val="sr-Latn-ME"/>
        </w:rPr>
        <w:t xml:space="preserve">odnosi </w:t>
      </w:r>
      <w:r w:rsidR="0068426E">
        <w:rPr>
          <w:rFonts w:cstheme="minorHAnsi"/>
          <w:sz w:val="24"/>
          <w:szCs w:val="24"/>
          <w:lang w:val="sr-Latn-ME"/>
        </w:rPr>
        <w:t xml:space="preserve">se </w:t>
      </w:r>
      <w:r w:rsidRPr="006774B4">
        <w:rPr>
          <w:rFonts w:cstheme="minorHAnsi"/>
          <w:sz w:val="24"/>
          <w:szCs w:val="24"/>
          <w:lang w:val="sr-Latn-ME"/>
        </w:rPr>
        <w:t xml:space="preserve">na </w:t>
      </w:r>
      <w:r w:rsidR="007E4684">
        <w:rPr>
          <w:rFonts w:cstheme="minorHAnsi"/>
          <w:sz w:val="24"/>
          <w:szCs w:val="24"/>
          <w:lang w:val="sr-Latn-ME"/>
        </w:rPr>
        <w:t xml:space="preserve">dominantno </w:t>
      </w:r>
      <w:r w:rsidR="00DD3BE9">
        <w:rPr>
          <w:rFonts w:cstheme="minorHAnsi"/>
          <w:sz w:val="24"/>
          <w:szCs w:val="24"/>
          <w:lang w:val="sr-Latn-ME"/>
        </w:rPr>
        <w:t>na</w:t>
      </w:r>
      <w:r w:rsidR="00BC0270">
        <w:rPr>
          <w:rFonts w:cstheme="minorHAnsi"/>
          <w:sz w:val="24"/>
          <w:szCs w:val="24"/>
          <w:lang w:val="sr-Latn-ME"/>
        </w:rPr>
        <w:t>: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0543FA" w:rsidRPr="000543FA">
        <w:rPr>
          <w:rFonts w:cstheme="minorHAnsi"/>
          <w:sz w:val="24"/>
          <w:szCs w:val="24"/>
          <w:lang w:val="sr-Latn-ME"/>
        </w:rPr>
        <w:t>Bruto zarad</w:t>
      </w:r>
      <w:r w:rsidR="00DD3BE9">
        <w:rPr>
          <w:rFonts w:cstheme="minorHAnsi"/>
          <w:sz w:val="24"/>
          <w:szCs w:val="24"/>
          <w:lang w:val="sr-Latn-ME"/>
        </w:rPr>
        <w:t>e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i doprinos</w:t>
      </w:r>
      <w:r w:rsidR="00DD3BE9">
        <w:rPr>
          <w:rFonts w:cstheme="minorHAnsi"/>
          <w:sz w:val="24"/>
          <w:szCs w:val="24"/>
          <w:lang w:val="sr-Latn-ME"/>
        </w:rPr>
        <w:t>e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na teret poslodavca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</w:t>
      </w:r>
      <w:r w:rsidR="007E4684">
        <w:rPr>
          <w:rFonts w:cstheme="minorHAnsi"/>
          <w:sz w:val="24"/>
          <w:szCs w:val="24"/>
          <w:lang w:val="sr-Latn-ME"/>
        </w:rPr>
        <w:t xml:space="preserve">koji su </w:t>
      </w:r>
      <w:r w:rsidR="0068426E" w:rsidRPr="0068426E">
        <w:rPr>
          <w:rFonts w:cstheme="minorHAnsi"/>
          <w:sz w:val="24"/>
          <w:szCs w:val="24"/>
          <w:lang w:val="sr-Latn-ME"/>
        </w:rPr>
        <w:t>ostvaren</w:t>
      </w:r>
      <w:r w:rsidR="007E4684">
        <w:rPr>
          <w:rFonts w:cstheme="minorHAnsi"/>
          <w:sz w:val="24"/>
          <w:szCs w:val="24"/>
          <w:lang w:val="sr-Latn-ME"/>
        </w:rPr>
        <w:t xml:space="preserve">i 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u iznosu od </w:t>
      </w:r>
      <w:r w:rsidR="00DD3BE9">
        <w:rPr>
          <w:rFonts w:cstheme="minorHAnsi"/>
          <w:sz w:val="24"/>
          <w:szCs w:val="24"/>
          <w:lang w:val="sr-Latn-ME"/>
        </w:rPr>
        <w:t>60</w:t>
      </w:r>
      <w:r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68426E">
        <w:rPr>
          <w:rFonts w:cstheme="minorHAnsi"/>
          <w:sz w:val="24"/>
          <w:szCs w:val="24"/>
          <w:lang w:val="sr-Latn-ME"/>
        </w:rPr>
        <w:t xml:space="preserve">što je za </w:t>
      </w:r>
      <w:r w:rsidR="00DD3BE9">
        <w:rPr>
          <w:rFonts w:cstheme="minorHAnsi"/>
          <w:sz w:val="24"/>
          <w:szCs w:val="24"/>
          <w:lang w:val="sr-Latn-ME"/>
        </w:rPr>
        <w:t>11,9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DD3BE9">
        <w:rPr>
          <w:rFonts w:cstheme="minorHAnsi"/>
          <w:sz w:val="24"/>
          <w:szCs w:val="24"/>
          <w:lang w:val="sr-Latn-ME"/>
        </w:rPr>
        <w:t>24,8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970231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>više</w:t>
      </w:r>
      <w:r w:rsidR="00BC0270">
        <w:rPr>
          <w:rFonts w:cstheme="minorHAnsi"/>
          <w:sz w:val="24"/>
          <w:szCs w:val="24"/>
          <w:lang w:val="sr-Latn-ME"/>
        </w:rPr>
        <w:t xml:space="preserve"> od plana;</w:t>
      </w:r>
      <w:r w:rsidR="00A845BA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 xml:space="preserve">Rashode za usluge </w:t>
      </w:r>
      <w:r w:rsidR="007E4684">
        <w:rPr>
          <w:rFonts w:cstheme="minorHAnsi"/>
          <w:sz w:val="24"/>
          <w:szCs w:val="24"/>
          <w:lang w:val="sr-Latn-ME"/>
        </w:rPr>
        <w:t>koje su</w:t>
      </w:r>
      <w:r w:rsidR="00342BAA">
        <w:rPr>
          <w:rFonts w:cstheme="minorHAnsi"/>
          <w:sz w:val="24"/>
          <w:szCs w:val="24"/>
          <w:lang w:val="sr-Latn-ME"/>
        </w:rPr>
        <w:t xml:space="preserve"> ostvaren</w:t>
      </w:r>
      <w:r w:rsidR="007E4684">
        <w:rPr>
          <w:rFonts w:cstheme="minorHAnsi"/>
          <w:sz w:val="24"/>
          <w:szCs w:val="24"/>
          <w:lang w:val="sr-Latn-ME"/>
        </w:rPr>
        <w:t>e</w:t>
      </w:r>
      <w:r w:rsidR="00342BAA">
        <w:rPr>
          <w:rFonts w:cstheme="minorHAnsi"/>
          <w:sz w:val="24"/>
          <w:szCs w:val="24"/>
          <w:lang w:val="sr-Latn-ME"/>
        </w:rPr>
        <w:t xml:space="preserve"> u iznosu od </w:t>
      </w:r>
      <w:r w:rsidR="00DD3BE9">
        <w:rPr>
          <w:rFonts w:cstheme="minorHAnsi"/>
          <w:sz w:val="24"/>
          <w:szCs w:val="24"/>
          <w:lang w:val="sr-Latn-ME"/>
        </w:rPr>
        <w:t>29,9</w:t>
      </w:r>
      <w:r w:rsidR="00342BAA">
        <w:rPr>
          <w:rFonts w:cstheme="minorHAnsi"/>
          <w:sz w:val="24"/>
          <w:szCs w:val="24"/>
          <w:lang w:val="sr-Latn-ME"/>
        </w:rPr>
        <w:t xml:space="preserve"> mil.€ </w:t>
      </w:r>
      <w:r w:rsidR="00BC0270">
        <w:rPr>
          <w:rFonts w:cstheme="minorHAnsi"/>
          <w:sz w:val="24"/>
          <w:szCs w:val="24"/>
          <w:lang w:val="sr-Latn-ME"/>
        </w:rPr>
        <w:t>što je</w:t>
      </w:r>
      <w:r w:rsidR="00342BAA">
        <w:rPr>
          <w:rFonts w:cstheme="minorHAnsi"/>
          <w:sz w:val="24"/>
          <w:szCs w:val="24"/>
          <w:lang w:val="sr-Latn-ME"/>
        </w:rPr>
        <w:t xml:space="preserve"> za </w:t>
      </w:r>
      <w:r w:rsidR="00DD3BE9">
        <w:rPr>
          <w:rFonts w:cstheme="minorHAnsi"/>
          <w:sz w:val="24"/>
          <w:szCs w:val="24"/>
          <w:lang w:val="sr-Latn-ME"/>
        </w:rPr>
        <w:t>1</w:t>
      </w:r>
      <w:r w:rsidR="007E4684">
        <w:rPr>
          <w:rFonts w:cstheme="minorHAnsi"/>
          <w:sz w:val="24"/>
          <w:szCs w:val="24"/>
          <w:lang w:val="sr-Latn-ME"/>
        </w:rPr>
        <w:t>6,</w:t>
      </w:r>
      <w:r w:rsidR="00DD3BE9">
        <w:rPr>
          <w:rFonts w:cstheme="minorHAnsi"/>
          <w:sz w:val="24"/>
          <w:szCs w:val="24"/>
          <w:lang w:val="sr-Latn-ME"/>
        </w:rPr>
        <w:t>8</w:t>
      </w:r>
      <w:r w:rsidR="00342BAA">
        <w:rPr>
          <w:rFonts w:cstheme="minorHAnsi"/>
          <w:sz w:val="24"/>
          <w:szCs w:val="24"/>
          <w:lang w:val="sr-Latn-ME"/>
        </w:rPr>
        <w:t xml:space="preserve"> mil.€</w:t>
      </w:r>
      <w:r w:rsidR="00BC0270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>više</w:t>
      </w:r>
      <w:r w:rsidR="00BC0270">
        <w:rPr>
          <w:rFonts w:cstheme="minorHAnsi"/>
          <w:sz w:val="24"/>
          <w:szCs w:val="24"/>
          <w:lang w:val="sr-Latn-ME"/>
        </w:rPr>
        <w:t xml:space="preserve"> od plana</w:t>
      </w:r>
      <w:r w:rsidR="00F16CE8">
        <w:rPr>
          <w:rFonts w:cstheme="minorHAnsi"/>
          <w:sz w:val="24"/>
          <w:szCs w:val="24"/>
          <w:lang w:val="sr-Latn-ME"/>
        </w:rPr>
        <w:t xml:space="preserve"> dominantno na poziciji Bankarskih usluga i negativnih kursnih razlika</w:t>
      </w:r>
      <w:r w:rsidR="00AB39F9">
        <w:rPr>
          <w:rFonts w:cstheme="minorHAnsi"/>
          <w:sz w:val="24"/>
          <w:szCs w:val="24"/>
          <w:lang w:val="sr-Latn-ME"/>
        </w:rPr>
        <w:t xml:space="preserve"> za Servisiranje javnog duga</w:t>
      </w:r>
      <w:r w:rsidR="00F16CE8">
        <w:rPr>
          <w:rFonts w:cstheme="minorHAnsi"/>
          <w:sz w:val="24"/>
          <w:szCs w:val="24"/>
          <w:lang w:val="sr-Latn-ME"/>
        </w:rPr>
        <w:t xml:space="preserve"> kod Ministarstva finansija</w:t>
      </w:r>
      <w:r w:rsidR="00DD3BE9">
        <w:rPr>
          <w:rFonts w:cstheme="minorHAnsi"/>
          <w:sz w:val="24"/>
          <w:szCs w:val="24"/>
          <w:lang w:val="sr-Latn-ME"/>
        </w:rPr>
        <w:t>; Kamate</w:t>
      </w:r>
      <w:r w:rsidR="007E4684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>koje su ostvarene u iznosu od 26,2 mil.€ što je za 11,7 mil.€ više od plana</w:t>
      </w:r>
      <w:r w:rsidR="00960765">
        <w:rPr>
          <w:rFonts w:cstheme="minorHAnsi"/>
          <w:sz w:val="24"/>
          <w:szCs w:val="24"/>
          <w:lang w:val="sr-Latn-ME"/>
        </w:rPr>
        <w:t xml:space="preserve"> na poziciji Kamate nerezidentima kod Ministarstva finansija takođe za Servisiranje javnog duga</w:t>
      </w:r>
      <w:r w:rsidR="00DD3BE9">
        <w:rPr>
          <w:rFonts w:cstheme="minorHAnsi"/>
          <w:sz w:val="24"/>
          <w:szCs w:val="24"/>
          <w:lang w:val="sr-Latn-ME"/>
        </w:rPr>
        <w:t>;</w:t>
      </w:r>
      <w:r w:rsidR="007E4684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>Subvencije</w:t>
      </w:r>
      <w:r w:rsidR="007E4684">
        <w:rPr>
          <w:rFonts w:cstheme="minorHAnsi"/>
          <w:sz w:val="24"/>
          <w:szCs w:val="24"/>
          <w:lang w:val="sr-Latn-ME"/>
        </w:rPr>
        <w:t xml:space="preserve"> koj</w:t>
      </w:r>
      <w:r w:rsidR="00DD3BE9">
        <w:rPr>
          <w:rFonts w:cstheme="minorHAnsi"/>
          <w:sz w:val="24"/>
          <w:szCs w:val="24"/>
          <w:lang w:val="sr-Latn-ME"/>
        </w:rPr>
        <w:t xml:space="preserve">e </w:t>
      </w:r>
      <w:r w:rsidR="007E4684">
        <w:rPr>
          <w:rFonts w:cstheme="minorHAnsi"/>
          <w:sz w:val="24"/>
          <w:szCs w:val="24"/>
          <w:lang w:val="sr-Latn-ME"/>
        </w:rPr>
        <w:t xml:space="preserve">su </w:t>
      </w:r>
      <w:r w:rsidR="007E4684" w:rsidRPr="0068426E">
        <w:rPr>
          <w:rFonts w:cstheme="minorHAnsi"/>
          <w:sz w:val="24"/>
          <w:szCs w:val="24"/>
          <w:lang w:val="sr-Latn-ME"/>
        </w:rPr>
        <w:t>ostvaren</w:t>
      </w:r>
      <w:r w:rsidR="00DD3BE9">
        <w:rPr>
          <w:rFonts w:cstheme="minorHAnsi"/>
          <w:sz w:val="24"/>
          <w:szCs w:val="24"/>
          <w:lang w:val="sr-Latn-ME"/>
        </w:rPr>
        <w:t>e</w:t>
      </w:r>
      <w:r w:rsidR="007E4684">
        <w:rPr>
          <w:rFonts w:cstheme="minorHAnsi"/>
          <w:sz w:val="24"/>
          <w:szCs w:val="24"/>
          <w:lang w:val="sr-Latn-ME"/>
        </w:rPr>
        <w:t xml:space="preserve"> </w:t>
      </w:r>
      <w:r w:rsidR="007E4684" w:rsidRPr="0068426E">
        <w:rPr>
          <w:rFonts w:cstheme="minorHAnsi"/>
          <w:sz w:val="24"/>
          <w:szCs w:val="24"/>
          <w:lang w:val="sr-Latn-ME"/>
        </w:rPr>
        <w:t xml:space="preserve">u iznosu od </w:t>
      </w:r>
      <w:r w:rsidR="00DD3BE9">
        <w:rPr>
          <w:rFonts w:cstheme="minorHAnsi"/>
          <w:sz w:val="24"/>
          <w:szCs w:val="24"/>
          <w:lang w:val="sr-Latn-ME"/>
        </w:rPr>
        <w:t>3</w:t>
      </w:r>
      <w:r w:rsidR="007E4684">
        <w:rPr>
          <w:rFonts w:cstheme="minorHAnsi"/>
          <w:sz w:val="24"/>
          <w:szCs w:val="24"/>
          <w:lang w:val="sr-Latn-ME"/>
        </w:rPr>
        <w:t>4,</w:t>
      </w:r>
      <w:r w:rsidR="00DD3BE9">
        <w:rPr>
          <w:rFonts w:cstheme="minorHAnsi"/>
          <w:sz w:val="24"/>
          <w:szCs w:val="24"/>
          <w:lang w:val="sr-Latn-ME"/>
        </w:rPr>
        <w:t>7</w:t>
      </w:r>
      <w:r w:rsidR="007E4684"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7E4684">
        <w:rPr>
          <w:rFonts w:cstheme="minorHAnsi"/>
          <w:sz w:val="24"/>
          <w:szCs w:val="24"/>
          <w:lang w:val="sr-Latn-ME"/>
        </w:rPr>
        <w:t xml:space="preserve">što je za </w:t>
      </w:r>
      <w:r w:rsidR="00DD3BE9">
        <w:rPr>
          <w:rFonts w:cstheme="minorHAnsi"/>
          <w:sz w:val="24"/>
          <w:szCs w:val="24"/>
          <w:lang w:val="sr-Latn-ME"/>
        </w:rPr>
        <w:t>28</w:t>
      </w:r>
      <w:r w:rsidR="007E4684">
        <w:rPr>
          <w:rFonts w:cstheme="minorHAnsi"/>
          <w:sz w:val="24"/>
          <w:szCs w:val="24"/>
          <w:lang w:val="sr-Latn-ME"/>
        </w:rPr>
        <w:t xml:space="preserve"> mil. € </w:t>
      </w:r>
      <w:r w:rsidR="00DD3BE9">
        <w:rPr>
          <w:rFonts w:cstheme="minorHAnsi"/>
          <w:sz w:val="24"/>
          <w:szCs w:val="24"/>
          <w:lang w:val="sr-Latn-ME"/>
        </w:rPr>
        <w:t>više</w:t>
      </w:r>
      <w:r w:rsidR="007E4684">
        <w:rPr>
          <w:rFonts w:cstheme="minorHAnsi"/>
          <w:sz w:val="24"/>
          <w:szCs w:val="24"/>
          <w:lang w:val="sr-Latn-ME"/>
        </w:rPr>
        <w:t xml:space="preserve"> od plana</w:t>
      </w:r>
      <w:r w:rsidR="00DD3BE9">
        <w:rPr>
          <w:rFonts w:cstheme="minorHAnsi"/>
          <w:sz w:val="24"/>
          <w:szCs w:val="24"/>
          <w:lang w:val="sr-Latn-ME"/>
        </w:rPr>
        <w:t xml:space="preserve"> </w:t>
      </w:r>
      <w:r w:rsidR="00606A4E">
        <w:rPr>
          <w:rFonts w:cstheme="minorHAnsi"/>
          <w:sz w:val="24"/>
          <w:szCs w:val="24"/>
          <w:lang w:val="sr-Latn-ME"/>
        </w:rPr>
        <w:t xml:space="preserve">dominantno kod Zavoda za zapošljavanje za </w:t>
      </w:r>
      <w:r w:rsidR="00606A4E" w:rsidRPr="00606A4E">
        <w:rPr>
          <w:rFonts w:cstheme="minorHAnsi"/>
          <w:sz w:val="24"/>
          <w:szCs w:val="24"/>
          <w:lang w:val="sr-Latn-ME"/>
        </w:rPr>
        <w:t>Subvencije poslodavcima koji zaposle lica sa invaliditetom</w:t>
      </w:r>
      <w:r w:rsidR="002D2EF1">
        <w:rPr>
          <w:rFonts w:cstheme="minorHAnsi"/>
          <w:sz w:val="24"/>
          <w:szCs w:val="24"/>
          <w:lang w:val="sr-Latn-ME"/>
        </w:rPr>
        <w:t xml:space="preserve"> i kod Ministarstva poljoprivrede, šumarstva i vodoprivrede za </w:t>
      </w:r>
      <w:r w:rsidR="00FC3481">
        <w:rPr>
          <w:rFonts w:cstheme="minorHAnsi"/>
          <w:sz w:val="24"/>
          <w:szCs w:val="24"/>
          <w:lang w:val="sr-Latn-ME"/>
        </w:rPr>
        <w:t>Podršku poljoprivredi i Podršku Agenciji za plaćanje</w:t>
      </w:r>
      <w:r w:rsidR="00606A4E" w:rsidRPr="00606A4E">
        <w:rPr>
          <w:rFonts w:cstheme="minorHAnsi"/>
          <w:sz w:val="24"/>
          <w:szCs w:val="24"/>
          <w:lang w:val="sr-Latn-ME"/>
        </w:rPr>
        <w:t xml:space="preserve"> </w:t>
      </w:r>
      <w:r w:rsidR="00DD3BE9">
        <w:rPr>
          <w:rFonts w:cstheme="minorHAnsi"/>
          <w:sz w:val="24"/>
          <w:szCs w:val="24"/>
          <w:lang w:val="sr-Latn-ME"/>
        </w:rPr>
        <w:t xml:space="preserve">i Ostale izdatke koji su ostvareni u </w:t>
      </w:r>
      <w:r w:rsidR="00DD3BE9" w:rsidRPr="0068426E">
        <w:rPr>
          <w:rFonts w:cstheme="minorHAnsi"/>
          <w:sz w:val="24"/>
          <w:szCs w:val="24"/>
          <w:lang w:val="sr-Latn-ME"/>
        </w:rPr>
        <w:t xml:space="preserve">iznosu od </w:t>
      </w:r>
      <w:r w:rsidR="00DD3BE9">
        <w:rPr>
          <w:rFonts w:cstheme="minorHAnsi"/>
          <w:sz w:val="24"/>
          <w:szCs w:val="24"/>
          <w:lang w:val="sr-Latn-ME"/>
        </w:rPr>
        <w:t>24</w:t>
      </w:r>
      <w:r w:rsidR="00DD3BE9"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DD3BE9">
        <w:rPr>
          <w:rFonts w:cstheme="minorHAnsi"/>
          <w:sz w:val="24"/>
          <w:szCs w:val="24"/>
          <w:lang w:val="sr-Latn-ME"/>
        </w:rPr>
        <w:t>što je za 16,2 mil. € više od plana</w:t>
      </w:r>
      <w:r w:rsidR="00FC3481">
        <w:rPr>
          <w:rFonts w:cstheme="minorHAnsi"/>
          <w:sz w:val="24"/>
          <w:szCs w:val="24"/>
          <w:lang w:val="sr-Latn-ME"/>
        </w:rPr>
        <w:t xml:space="preserve"> dominantno na pozicijama Izrada i održavanje softvera i </w:t>
      </w:r>
      <w:r w:rsidR="00FC3481" w:rsidRPr="00FC3481">
        <w:rPr>
          <w:rFonts w:cstheme="minorHAnsi"/>
          <w:sz w:val="24"/>
          <w:szCs w:val="24"/>
          <w:lang w:val="sr-Latn-ME"/>
        </w:rPr>
        <w:t>Kontribucije za članstvo u domaćim i međunarodnim organizacijama</w:t>
      </w:r>
      <w:r w:rsidR="007E4684">
        <w:rPr>
          <w:rFonts w:cstheme="minorHAnsi"/>
          <w:sz w:val="24"/>
          <w:szCs w:val="24"/>
          <w:lang w:val="sr-Latn-ME"/>
        </w:rPr>
        <w:t>.</w:t>
      </w:r>
    </w:p>
    <w:p w14:paraId="59DE25FD" w14:textId="77777777" w:rsidR="00AD3204" w:rsidRDefault="00AD320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614FD660" w14:textId="1A2550B5" w:rsidR="0068426E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Kod </w:t>
      </w:r>
      <w:r w:rsidR="0068426E">
        <w:rPr>
          <w:rFonts w:cstheme="minorHAnsi"/>
          <w:sz w:val="24"/>
          <w:szCs w:val="24"/>
          <w:lang w:val="sr-Latn-ME"/>
        </w:rPr>
        <w:t>Transfera institucijama, pojedincima, nevladinom i javnom sektoru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AD3204">
        <w:rPr>
          <w:rFonts w:cstheme="minorHAnsi"/>
          <w:sz w:val="24"/>
          <w:szCs w:val="24"/>
          <w:lang w:val="sr-Latn-ME"/>
        </w:rPr>
        <w:t>veće</w:t>
      </w:r>
      <w:r w:rsidR="0068426E">
        <w:rPr>
          <w:rFonts w:cstheme="minorHAnsi"/>
          <w:sz w:val="24"/>
          <w:szCs w:val="24"/>
          <w:lang w:val="sr-Latn-ME"/>
        </w:rPr>
        <w:t xml:space="preserve"> je ostvarenje u odnosu na plan za </w:t>
      </w:r>
      <w:r w:rsidR="00AD3204">
        <w:rPr>
          <w:rFonts w:cstheme="minorHAnsi"/>
          <w:sz w:val="24"/>
          <w:szCs w:val="24"/>
          <w:lang w:val="sr-Latn-ME"/>
        </w:rPr>
        <w:t>57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AD3204">
        <w:rPr>
          <w:rFonts w:cstheme="minorHAnsi"/>
          <w:sz w:val="24"/>
          <w:szCs w:val="24"/>
          <w:lang w:val="sr-Latn-ME"/>
        </w:rPr>
        <w:t>335,54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B012ED">
        <w:rPr>
          <w:rFonts w:cstheme="minorHAnsi"/>
          <w:sz w:val="24"/>
          <w:szCs w:val="24"/>
          <w:lang w:val="sr-Latn-ME"/>
        </w:rPr>
        <w:t xml:space="preserve"> dominantno </w:t>
      </w:r>
      <w:r w:rsidR="004803CB">
        <w:rPr>
          <w:rFonts w:cstheme="minorHAnsi"/>
          <w:sz w:val="24"/>
          <w:szCs w:val="24"/>
          <w:lang w:val="sr-Latn-ME"/>
        </w:rPr>
        <w:t>kod</w:t>
      </w:r>
      <w:r w:rsidR="00B012ED">
        <w:rPr>
          <w:rFonts w:cstheme="minorHAnsi"/>
          <w:sz w:val="24"/>
          <w:szCs w:val="24"/>
          <w:lang w:val="sr-Latn-ME"/>
        </w:rPr>
        <w:t xml:space="preserve"> Fonda za zdravstveno osiguranje </w:t>
      </w:r>
      <w:r w:rsidR="004803CB">
        <w:rPr>
          <w:rFonts w:cstheme="minorHAnsi"/>
          <w:sz w:val="24"/>
          <w:szCs w:val="24"/>
          <w:lang w:val="sr-Latn-ME"/>
        </w:rPr>
        <w:t>za</w:t>
      </w:r>
      <w:r w:rsidR="00B012ED">
        <w:rPr>
          <w:rFonts w:cstheme="minorHAnsi"/>
          <w:sz w:val="24"/>
          <w:szCs w:val="24"/>
          <w:lang w:val="sr-Latn-ME"/>
        </w:rPr>
        <w:t xml:space="preserve"> </w:t>
      </w:r>
      <w:r w:rsidR="00B012ED" w:rsidRPr="00B012ED">
        <w:rPr>
          <w:rFonts w:cstheme="minorHAnsi"/>
          <w:sz w:val="24"/>
          <w:szCs w:val="24"/>
          <w:lang w:val="sr-Latn-ME"/>
        </w:rPr>
        <w:t xml:space="preserve">Djelatnost uvoza, nabavke, skladištenja i distribucije ljekova, medicinskih sredstava i opreme javnim zdravstvenim ustanovama </w:t>
      </w:r>
      <w:r w:rsidR="00B012ED">
        <w:rPr>
          <w:rFonts w:cstheme="minorHAnsi"/>
          <w:sz w:val="24"/>
          <w:szCs w:val="24"/>
          <w:lang w:val="sr-Latn-ME"/>
        </w:rPr>
        <w:t>–</w:t>
      </w:r>
      <w:r w:rsidR="00B012ED" w:rsidRPr="00B012ED">
        <w:rPr>
          <w:rFonts w:cstheme="minorHAnsi"/>
          <w:sz w:val="24"/>
          <w:szCs w:val="24"/>
          <w:lang w:val="sr-Latn-ME"/>
        </w:rPr>
        <w:t xml:space="preserve"> Montefarm</w:t>
      </w:r>
      <w:r w:rsidR="00B012ED">
        <w:rPr>
          <w:rFonts w:cstheme="minorHAnsi"/>
          <w:sz w:val="24"/>
          <w:szCs w:val="24"/>
          <w:lang w:val="sr-Latn-ME"/>
        </w:rPr>
        <w:t>.</w:t>
      </w:r>
      <w:r w:rsidR="00717565" w:rsidRPr="00717565">
        <w:t xml:space="preserve"> </w:t>
      </w:r>
      <w:r w:rsidR="00717565" w:rsidRPr="00717565">
        <w:rPr>
          <w:rFonts w:cstheme="minorHAnsi"/>
          <w:sz w:val="24"/>
          <w:szCs w:val="24"/>
          <w:lang w:val="sr-Latn-ME"/>
        </w:rPr>
        <w:t>Transferi za socijalnu zaštitu</w:t>
      </w:r>
      <w:r w:rsidR="00717565">
        <w:rPr>
          <w:rFonts w:cstheme="minorHAnsi"/>
          <w:sz w:val="24"/>
          <w:szCs w:val="24"/>
          <w:lang w:val="sr-Latn-ME"/>
        </w:rPr>
        <w:t xml:space="preserve"> u </w:t>
      </w:r>
      <w:r w:rsidR="00AD3204">
        <w:rPr>
          <w:rFonts w:cstheme="minorHAnsi"/>
          <w:sz w:val="24"/>
          <w:szCs w:val="24"/>
          <w:lang w:val="sr-Latn-ME"/>
        </w:rPr>
        <w:t>decembru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ostvareni su u iznosu od </w:t>
      </w:r>
      <w:r w:rsidR="00AE4DBA">
        <w:rPr>
          <w:rFonts w:cstheme="minorHAnsi"/>
          <w:sz w:val="24"/>
          <w:szCs w:val="24"/>
          <w:lang w:val="sr-Latn-ME"/>
        </w:rPr>
        <w:t>9</w:t>
      </w:r>
      <w:r w:rsidR="00AD3204">
        <w:rPr>
          <w:rFonts w:cstheme="minorHAnsi"/>
          <w:sz w:val="24"/>
          <w:szCs w:val="24"/>
          <w:lang w:val="sr-Latn-ME"/>
        </w:rPr>
        <w:t>9</w:t>
      </w:r>
      <w:r w:rsidR="00AE4DBA">
        <w:rPr>
          <w:rFonts w:cstheme="minorHAnsi"/>
          <w:sz w:val="24"/>
          <w:szCs w:val="24"/>
          <w:lang w:val="sr-Latn-ME"/>
        </w:rPr>
        <w:t>,</w:t>
      </w:r>
      <w:r w:rsidR="00AD3204">
        <w:rPr>
          <w:rFonts w:cstheme="minorHAnsi"/>
          <w:sz w:val="24"/>
          <w:szCs w:val="24"/>
          <w:lang w:val="sr-Latn-ME"/>
        </w:rPr>
        <w:t>9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</w:t>
      </w:r>
      <w:r w:rsidR="00717565">
        <w:rPr>
          <w:rFonts w:cstheme="minorHAnsi"/>
          <w:sz w:val="24"/>
          <w:szCs w:val="24"/>
          <w:lang w:val="sr-Latn-ME"/>
        </w:rPr>
        <w:t xml:space="preserve"> što je </w:t>
      </w:r>
      <w:r w:rsidR="00717565" w:rsidRPr="00717565">
        <w:rPr>
          <w:rFonts w:cstheme="minorHAnsi"/>
          <w:sz w:val="24"/>
          <w:szCs w:val="24"/>
          <w:lang w:val="sr-Latn-ME"/>
        </w:rPr>
        <w:t>za</w:t>
      </w:r>
      <w:r w:rsidR="00717565">
        <w:rPr>
          <w:rFonts w:cstheme="minorHAnsi"/>
          <w:sz w:val="24"/>
          <w:szCs w:val="24"/>
          <w:lang w:val="sr-Latn-ME"/>
        </w:rPr>
        <w:t xml:space="preserve"> </w:t>
      </w:r>
      <w:r w:rsidR="002F1BFD">
        <w:rPr>
          <w:rFonts w:cstheme="minorHAnsi"/>
          <w:sz w:val="24"/>
          <w:szCs w:val="24"/>
          <w:lang w:val="sr-Latn-ME"/>
        </w:rPr>
        <w:t>6,</w:t>
      </w:r>
      <w:r w:rsidR="00AD3204">
        <w:rPr>
          <w:rFonts w:cstheme="minorHAnsi"/>
          <w:sz w:val="24"/>
          <w:szCs w:val="24"/>
          <w:lang w:val="sr-Latn-ME"/>
        </w:rPr>
        <w:t>7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 ili </w:t>
      </w:r>
      <w:r w:rsidR="002F1BFD">
        <w:rPr>
          <w:rFonts w:cstheme="minorHAnsi"/>
          <w:sz w:val="24"/>
          <w:szCs w:val="24"/>
          <w:lang w:val="sr-Latn-ME"/>
        </w:rPr>
        <w:t>7</w:t>
      </w:r>
      <w:r w:rsidR="00AD3204">
        <w:rPr>
          <w:rFonts w:cstheme="minorHAnsi"/>
          <w:sz w:val="24"/>
          <w:szCs w:val="24"/>
          <w:lang w:val="sr-Latn-ME"/>
        </w:rPr>
        <w:t>,2</w:t>
      </w:r>
      <w:r w:rsidR="00717565" w:rsidRPr="00717565">
        <w:rPr>
          <w:rFonts w:cstheme="minorHAnsi"/>
          <w:sz w:val="24"/>
          <w:szCs w:val="24"/>
          <w:lang w:val="sr-Latn-ME"/>
        </w:rPr>
        <w:t>%</w:t>
      </w:r>
      <w:r w:rsidR="00717565">
        <w:rPr>
          <w:rFonts w:cstheme="minorHAnsi"/>
          <w:sz w:val="24"/>
          <w:szCs w:val="24"/>
          <w:lang w:val="sr-Latn-ME"/>
        </w:rPr>
        <w:t xml:space="preserve"> veće u odnosu na isti mjesec prošle godine.</w:t>
      </w:r>
    </w:p>
    <w:bookmarkEnd w:id="1"/>
    <w:p w14:paraId="2180FFCB" w14:textId="77777777" w:rsidR="001850C1" w:rsidRDefault="001850C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3B2C053F" w14:textId="45D05B5C" w:rsidR="00452B3B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 za period januar-</w:t>
      </w:r>
      <w:r w:rsidR="00DF3A39">
        <w:rPr>
          <w:rFonts w:cstheme="minorHAnsi"/>
          <w:b/>
          <w:sz w:val="24"/>
          <w:szCs w:val="24"/>
          <w:lang w:val="sr-Latn-ME"/>
        </w:rPr>
        <w:t>decembar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2025. godine ostvaren je deficit budžeta u iznosu od </w:t>
      </w:r>
      <w:r w:rsidR="00DF3A39">
        <w:rPr>
          <w:rFonts w:cstheme="minorHAnsi"/>
          <w:b/>
          <w:sz w:val="24"/>
          <w:szCs w:val="24"/>
          <w:lang w:val="sr-Latn-ME"/>
        </w:rPr>
        <w:t>3</w:t>
      </w:r>
      <w:r w:rsidR="009702BE">
        <w:rPr>
          <w:rFonts w:cstheme="minorHAnsi"/>
          <w:b/>
          <w:sz w:val="24"/>
          <w:szCs w:val="24"/>
          <w:lang w:val="sr-Latn-ME"/>
        </w:rPr>
        <w:t>2</w:t>
      </w:r>
      <w:r w:rsidR="004D5824">
        <w:rPr>
          <w:rFonts w:cstheme="minorHAnsi"/>
          <w:b/>
          <w:sz w:val="24"/>
          <w:szCs w:val="24"/>
          <w:lang w:val="sr-Latn-ME"/>
        </w:rPr>
        <w:t>1</w:t>
      </w:r>
      <w:r w:rsidR="00DF3A39">
        <w:rPr>
          <w:rFonts w:cstheme="minorHAnsi"/>
          <w:b/>
          <w:sz w:val="24"/>
          <w:szCs w:val="24"/>
          <w:lang w:val="sr-Latn-ME"/>
        </w:rPr>
        <w:t>,</w:t>
      </w:r>
      <w:r w:rsidR="002713A0">
        <w:rPr>
          <w:rFonts w:cstheme="minorHAnsi"/>
          <w:b/>
          <w:sz w:val="24"/>
          <w:szCs w:val="24"/>
          <w:lang w:val="sr-Latn-ME"/>
        </w:rPr>
        <w:t>6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F510CA">
        <w:rPr>
          <w:rFonts w:cstheme="minorHAnsi"/>
          <w:b/>
          <w:sz w:val="24"/>
          <w:szCs w:val="24"/>
          <w:lang w:val="sr-Latn-ME"/>
        </w:rPr>
        <w:t>3,96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AE6490">
        <w:rPr>
          <w:rFonts w:cstheme="minorHAnsi"/>
          <w:b/>
          <w:sz w:val="24"/>
          <w:szCs w:val="24"/>
          <w:lang w:val="sr-Latn-ME"/>
        </w:rPr>
        <w:t xml:space="preserve">, dok je suficit tekuće potrošnje </w:t>
      </w:r>
      <w:r w:rsidR="00AE6490" w:rsidRPr="00162109">
        <w:rPr>
          <w:rFonts w:cstheme="minorHAnsi"/>
          <w:b/>
          <w:sz w:val="24"/>
          <w:szCs w:val="24"/>
          <w:lang w:val="sr-Latn-ME"/>
        </w:rPr>
        <w:t xml:space="preserve">u ostvaren u iznosu od </w:t>
      </w:r>
      <w:r w:rsidR="00AE6490" w:rsidRPr="00D977FA">
        <w:rPr>
          <w:rFonts w:cstheme="minorHAnsi"/>
          <w:b/>
          <w:sz w:val="24"/>
          <w:szCs w:val="24"/>
          <w:lang w:val="sr-Latn-ME"/>
        </w:rPr>
        <w:t>9,</w:t>
      </w:r>
      <w:r w:rsidR="00816945">
        <w:rPr>
          <w:rFonts w:cstheme="minorHAnsi"/>
          <w:b/>
          <w:sz w:val="24"/>
          <w:szCs w:val="24"/>
          <w:lang w:val="sr-Latn-ME"/>
        </w:rPr>
        <w:t>54</w:t>
      </w:r>
      <w:r w:rsidR="00AE6490" w:rsidRPr="00D977FA">
        <w:rPr>
          <w:rFonts w:cstheme="minorHAnsi"/>
          <w:b/>
          <w:sz w:val="24"/>
          <w:szCs w:val="24"/>
          <w:lang w:val="sr-Latn-ME"/>
        </w:rPr>
        <w:t xml:space="preserve"> mil. €.</w:t>
      </w:r>
    </w:p>
    <w:p w14:paraId="73530B29" w14:textId="77777777"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3AF10769" w14:textId="342BE225" w:rsidR="00645FF5" w:rsidRDefault="00645FF5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04092031" w14:textId="7F3394E8" w:rsidR="005A0FD4" w:rsidRDefault="005A0FD4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78E47839" w14:textId="1C587DC0" w:rsidR="00B64692" w:rsidRDefault="00B64692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09DCFB08" w14:textId="7D9711EF" w:rsidR="00B64692" w:rsidRDefault="00B64692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2797E839" w14:textId="77777777" w:rsidR="00B64692" w:rsidRDefault="00B64692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5214E41A" w14:textId="067F9A2E" w:rsidR="00EE583A" w:rsidRDefault="00EE583A" w:rsidP="0032104D">
      <w:pPr>
        <w:rPr>
          <w:rFonts w:cstheme="minorHAnsi"/>
          <w:sz w:val="24"/>
          <w:szCs w:val="24"/>
          <w:lang w:val="sr-Latn-ME"/>
        </w:rPr>
      </w:pPr>
      <w:bookmarkStart w:id="2" w:name="_GoBack"/>
      <w:bookmarkEnd w:id="2"/>
    </w:p>
    <w:sectPr w:rsidR="00EE583A" w:rsidSect="00C647C7">
      <w:headerReference w:type="even" r:id="rId13"/>
      <w:headerReference w:type="default" r:id="rId14"/>
      <w:footerReference w:type="default" r:id="rId15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DCAB" w14:textId="77777777" w:rsidR="00366FE9" w:rsidRDefault="00366FE9">
      <w:pPr>
        <w:spacing w:line="240" w:lineRule="auto"/>
      </w:pPr>
      <w:r>
        <w:separator/>
      </w:r>
    </w:p>
  </w:endnote>
  <w:endnote w:type="continuationSeparator" w:id="0">
    <w:p w14:paraId="04D5B0E9" w14:textId="77777777" w:rsidR="00366FE9" w:rsidRDefault="00366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2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2463A" w14:textId="77777777" w:rsidR="00366FE9" w:rsidRDefault="00366FE9">
      <w:pPr>
        <w:spacing w:after="0"/>
      </w:pPr>
      <w:r>
        <w:separator/>
      </w:r>
    </w:p>
  </w:footnote>
  <w:footnote w:type="continuationSeparator" w:id="0">
    <w:p w14:paraId="6E1637A3" w14:textId="77777777" w:rsidR="00366FE9" w:rsidRDefault="00366FE9">
      <w:pPr>
        <w:spacing w:after="0"/>
      </w:pPr>
      <w:r>
        <w:continuationSeparator/>
      </w:r>
    </w:p>
  </w:footnote>
  <w:footnote w:id="1">
    <w:p w14:paraId="4E20FA8D" w14:textId="77777777" w:rsidR="009C653F" w:rsidRPr="00853225" w:rsidRDefault="009C653F" w:rsidP="009C653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853225">
        <w:rPr>
          <w:sz w:val="16"/>
          <w:szCs w:val="16"/>
          <w:lang w:val="sr-Latn-ME"/>
        </w:rPr>
        <w:t>Porez na dohodak fizičkih lica, porez na dobit pravnih lica, porez na dodatu vrijednost, akcize, porez na međunarodnu trgovinu i transakcije, ostali državnni porezi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30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4CCE0810" w:rsidR="00C54B26" w:rsidRDefault="00DE56C1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DECEMBAR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1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4CCE0810" w:rsidR="00C54B26" w:rsidRDefault="00DE56C1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DECEMBAR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319F7"/>
    <w:rsid w:val="00035AD9"/>
    <w:rsid w:val="00037F19"/>
    <w:rsid w:val="0004051D"/>
    <w:rsid w:val="000413FD"/>
    <w:rsid w:val="00046924"/>
    <w:rsid w:val="00054237"/>
    <w:rsid w:val="000543FA"/>
    <w:rsid w:val="000549DD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44E4"/>
    <w:rsid w:val="000C51B0"/>
    <w:rsid w:val="000C54CF"/>
    <w:rsid w:val="000C585B"/>
    <w:rsid w:val="000D0E64"/>
    <w:rsid w:val="000D40FD"/>
    <w:rsid w:val="000D64A2"/>
    <w:rsid w:val="000F1291"/>
    <w:rsid w:val="000F1DCE"/>
    <w:rsid w:val="000F249B"/>
    <w:rsid w:val="000F4149"/>
    <w:rsid w:val="000F4671"/>
    <w:rsid w:val="000F5DE0"/>
    <w:rsid w:val="00101F8F"/>
    <w:rsid w:val="00106166"/>
    <w:rsid w:val="00114F1F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4402"/>
    <w:rsid w:val="001705A9"/>
    <w:rsid w:val="001707D3"/>
    <w:rsid w:val="001734F0"/>
    <w:rsid w:val="001739F9"/>
    <w:rsid w:val="0017523B"/>
    <w:rsid w:val="0017603A"/>
    <w:rsid w:val="00184B29"/>
    <w:rsid w:val="001850C1"/>
    <w:rsid w:val="001867A0"/>
    <w:rsid w:val="00190438"/>
    <w:rsid w:val="00195CFE"/>
    <w:rsid w:val="001A03FF"/>
    <w:rsid w:val="001A482B"/>
    <w:rsid w:val="001B0742"/>
    <w:rsid w:val="001B3337"/>
    <w:rsid w:val="001D047E"/>
    <w:rsid w:val="001D1B11"/>
    <w:rsid w:val="001F43A0"/>
    <w:rsid w:val="00203C63"/>
    <w:rsid w:val="002144AC"/>
    <w:rsid w:val="00216841"/>
    <w:rsid w:val="00230695"/>
    <w:rsid w:val="00231300"/>
    <w:rsid w:val="002370A6"/>
    <w:rsid w:val="0024104B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0AB"/>
    <w:rsid w:val="003417D5"/>
    <w:rsid w:val="003427D9"/>
    <w:rsid w:val="00342BAA"/>
    <w:rsid w:val="00345A42"/>
    <w:rsid w:val="00352C50"/>
    <w:rsid w:val="00352C96"/>
    <w:rsid w:val="00366FE9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DB2"/>
    <w:rsid w:val="003B3056"/>
    <w:rsid w:val="003B30B2"/>
    <w:rsid w:val="003C0235"/>
    <w:rsid w:val="003C2FD0"/>
    <w:rsid w:val="003C6073"/>
    <w:rsid w:val="003D0637"/>
    <w:rsid w:val="003D2F00"/>
    <w:rsid w:val="003D63D7"/>
    <w:rsid w:val="003D75FC"/>
    <w:rsid w:val="003E4AD7"/>
    <w:rsid w:val="003E5564"/>
    <w:rsid w:val="003F1D58"/>
    <w:rsid w:val="00400CB3"/>
    <w:rsid w:val="00400D66"/>
    <w:rsid w:val="00403B65"/>
    <w:rsid w:val="004041F5"/>
    <w:rsid w:val="00406A55"/>
    <w:rsid w:val="004076C8"/>
    <w:rsid w:val="004154B5"/>
    <w:rsid w:val="00421805"/>
    <w:rsid w:val="00425990"/>
    <w:rsid w:val="00432129"/>
    <w:rsid w:val="00432DAB"/>
    <w:rsid w:val="00446B28"/>
    <w:rsid w:val="004517F1"/>
    <w:rsid w:val="004529A1"/>
    <w:rsid w:val="00452B3B"/>
    <w:rsid w:val="00454B19"/>
    <w:rsid w:val="00455EB7"/>
    <w:rsid w:val="00460B3F"/>
    <w:rsid w:val="00471E47"/>
    <w:rsid w:val="00475CD6"/>
    <w:rsid w:val="004771F7"/>
    <w:rsid w:val="004803CB"/>
    <w:rsid w:val="00481A5F"/>
    <w:rsid w:val="00497872"/>
    <w:rsid w:val="004A547E"/>
    <w:rsid w:val="004B55DA"/>
    <w:rsid w:val="004C1C5C"/>
    <w:rsid w:val="004C48A4"/>
    <w:rsid w:val="004D5303"/>
    <w:rsid w:val="004D5824"/>
    <w:rsid w:val="004E0C6B"/>
    <w:rsid w:val="004E2F2E"/>
    <w:rsid w:val="004E4D8D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6E7F"/>
    <w:rsid w:val="00547978"/>
    <w:rsid w:val="00557C32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D46FD"/>
    <w:rsid w:val="005D5F51"/>
    <w:rsid w:val="005D6185"/>
    <w:rsid w:val="005D6AE7"/>
    <w:rsid w:val="005E2410"/>
    <w:rsid w:val="005E31E4"/>
    <w:rsid w:val="005F4724"/>
    <w:rsid w:val="005F4A5E"/>
    <w:rsid w:val="00600602"/>
    <w:rsid w:val="006009DE"/>
    <w:rsid w:val="00604FB4"/>
    <w:rsid w:val="006066FA"/>
    <w:rsid w:val="00606A4E"/>
    <w:rsid w:val="006129B0"/>
    <w:rsid w:val="00616989"/>
    <w:rsid w:val="006248DC"/>
    <w:rsid w:val="006260ED"/>
    <w:rsid w:val="00627810"/>
    <w:rsid w:val="006312C8"/>
    <w:rsid w:val="006410EE"/>
    <w:rsid w:val="00643B3B"/>
    <w:rsid w:val="006443A3"/>
    <w:rsid w:val="00645FF5"/>
    <w:rsid w:val="006465BA"/>
    <w:rsid w:val="00652295"/>
    <w:rsid w:val="0065332E"/>
    <w:rsid w:val="0065363A"/>
    <w:rsid w:val="006542DB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B71E0"/>
    <w:rsid w:val="006C44A8"/>
    <w:rsid w:val="006C4C59"/>
    <w:rsid w:val="006D0D8E"/>
    <w:rsid w:val="006D14B9"/>
    <w:rsid w:val="006E1B84"/>
    <w:rsid w:val="006E2C89"/>
    <w:rsid w:val="006F05F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44DBB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A3EA4"/>
    <w:rsid w:val="007A6075"/>
    <w:rsid w:val="007B346A"/>
    <w:rsid w:val="007C75C6"/>
    <w:rsid w:val="007C7605"/>
    <w:rsid w:val="007C787E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5737"/>
    <w:rsid w:val="008101BC"/>
    <w:rsid w:val="00816945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478E"/>
    <w:rsid w:val="00866932"/>
    <w:rsid w:val="00871498"/>
    <w:rsid w:val="00877911"/>
    <w:rsid w:val="00880A3E"/>
    <w:rsid w:val="0089200B"/>
    <w:rsid w:val="008B33AC"/>
    <w:rsid w:val="008C0452"/>
    <w:rsid w:val="008C1303"/>
    <w:rsid w:val="008C191B"/>
    <w:rsid w:val="008C576E"/>
    <w:rsid w:val="008C717A"/>
    <w:rsid w:val="008D03EF"/>
    <w:rsid w:val="008D1786"/>
    <w:rsid w:val="008D3D29"/>
    <w:rsid w:val="008D638C"/>
    <w:rsid w:val="008E2A16"/>
    <w:rsid w:val="008E6939"/>
    <w:rsid w:val="008F7A35"/>
    <w:rsid w:val="009041EE"/>
    <w:rsid w:val="00906B2C"/>
    <w:rsid w:val="009168BB"/>
    <w:rsid w:val="00926429"/>
    <w:rsid w:val="00932CBA"/>
    <w:rsid w:val="0093329C"/>
    <w:rsid w:val="00942CE0"/>
    <w:rsid w:val="0095115D"/>
    <w:rsid w:val="0095315D"/>
    <w:rsid w:val="0095581E"/>
    <w:rsid w:val="0096001E"/>
    <w:rsid w:val="00960765"/>
    <w:rsid w:val="00962160"/>
    <w:rsid w:val="00963A77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A00EB5"/>
    <w:rsid w:val="00A044F7"/>
    <w:rsid w:val="00A04707"/>
    <w:rsid w:val="00A10E49"/>
    <w:rsid w:val="00A12B6E"/>
    <w:rsid w:val="00A1451B"/>
    <w:rsid w:val="00A20EAB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94911"/>
    <w:rsid w:val="00AA18D3"/>
    <w:rsid w:val="00AA1F13"/>
    <w:rsid w:val="00AA77F2"/>
    <w:rsid w:val="00AB39F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E6490"/>
    <w:rsid w:val="00AF5E50"/>
    <w:rsid w:val="00AF6A8A"/>
    <w:rsid w:val="00B012ED"/>
    <w:rsid w:val="00B07B13"/>
    <w:rsid w:val="00B13597"/>
    <w:rsid w:val="00B147B3"/>
    <w:rsid w:val="00B15613"/>
    <w:rsid w:val="00B21CA6"/>
    <w:rsid w:val="00B30D61"/>
    <w:rsid w:val="00B5097D"/>
    <w:rsid w:val="00B55B25"/>
    <w:rsid w:val="00B64692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B0743"/>
    <w:rsid w:val="00BB4D5B"/>
    <w:rsid w:val="00BB4EA3"/>
    <w:rsid w:val="00BC0146"/>
    <w:rsid w:val="00BC0270"/>
    <w:rsid w:val="00BC5723"/>
    <w:rsid w:val="00BD274F"/>
    <w:rsid w:val="00BD6CDF"/>
    <w:rsid w:val="00BD7685"/>
    <w:rsid w:val="00BE7E82"/>
    <w:rsid w:val="00BF0492"/>
    <w:rsid w:val="00BF7E8E"/>
    <w:rsid w:val="00C05F4E"/>
    <w:rsid w:val="00C12B4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A325F"/>
    <w:rsid w:val="00CA4B4A"/>
    <w:rsid w:val="00CB1D57"/>
    <w:rsid w:val="00CB3DFB"/>
    <w:rsid w:val="00CB4A4D"/>
    <w:rsid w:val="00CB5E12"/>
    <w:rsid w:val="00CC1FA4"/>
    <w:rsid w:val="00CC601A"/>
    <w:rsid w:val="00CC6C38"/>
    <w:rsid w:val="00CC7A96"/>
    <w:rsid w:val="00CD08E1"/>
    <w:rsid w:val="00CD5C65"/>
    <w:rsid w:val="00CE321A"/>
    <w:rsid w:val="00CF0EAB"/>
    <w:rsid w:val="00CF1DC9"/>
    <w:rsid w:val="00CF45DE"/>
    <w:rsid w:val="00D000CB"/>
    <w:rsid w:val="00D01166"/>
    <w:rsid w:val="00D0423D"/>
    <w:rsid w:val="00D10217"/>
    <w:rsid w:val="00D135CF"/>
    <w:rsid w:val="00D15D40"/>
    <w:rsid w:val="00D161F4"/>
    <w:rsid w:val="00D219FA"/>
    <w:rsid w:val="00D234DC"/>
    <w:rsid w:val="00D26C67"/>
    <w:rsid w:val="00D35104"/>
    <w:rsid w:val="00D400A6"/>
    <w:rsid w:val="00D403E8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58C8"/>
    <w:rsid w:val="00DA7C93"/>
    <w:rsid w:val="00DB75FE"/>
    <w:rsid w:val="00DB7E8C"/>
    <w:rsid w:val="00DC3A5D"/>
    <w:rsid w:val="00DC5893"/>
    <w:rsid w:val="00DD09D7"/>
    <w:rsid w:val="00DD3BE9"/>
    <w:rsid w:val="00DE4A8F"/>
    <w:rsid w:val="00DE56C1"/>
    <w:rsid w:val="00DE6F3F"/>
    <w:rsid w:val="00DE7FDF"/>
    <w:rsid w:val="00DF3A39"/>
    <w:rsid w:val="00DF4546"/>
    <w:rsid w:val="00E02595"/>
    <w:rsid w:val="00E06CBF"/>
    <w:rsid w:val="00E0736E"/>
    <w:rsid w:val="00E1379F"/>
    <w:rsid w:val="00E16ECA"/>
    <w:rsid w:val="00E17338"/>
    <w:rsid w:val="00E218DF"/>
    <w:rsid w:val="00E21E42"/>
    <w:rsid w:val="00E27616"/>
    <w:rsid w:val="00E36089"/>
    <w:rsid w:val="00E3725A"/>
    <w:rsid w:val="00E46E47"/>
    <w:rsid w:val="00E47EAD"/>
    <w:rsid w:val="00E5768B"/>
    <w:rsid w:val="00E61143"/>
    <w:rsid w:val="00E6400B"/>
    <w:rsid w:val="00E707C0"/>
    <w:rsid w:val="00E82B50"/>
    <w:rsid w:val="00E85EDA"/>
    <w:rsid w:val="00EA2BE8"/>
    <w:rsid w:val="00EA6AE7"/>
    <w:rsid w:val="00EA7C40"/>
    <w:rsid w:val="00EB339F"/>
    <w:rsid w:val="00EB348B"/>
    <w:rsid w:val="00EC31F1"/>
    <w:rsid w:val="00EC5127"/>
    <w:rsid w:val="00EE0C37"/>
    <w:rsid w:val="00EE583A"/>
    <w:rsid w:val="00EF0E81"/>
    <w:rsid w:val="00EF4975"/>
    <w:rsid w:val="00F0107F"/>
    <w:rsid w:val="00F0184E"/>
    <w:rsid w:val="00F03D88"/>
    <w:rsid w:val="00F07B0B"/>
    <w:rsid w:val="00F07EB5"/>
    <w:rsid w:val="00F121EB"/>
    <w:rsid w:val="00F14201"/>
    <w:rsid w:val="00F16CE8"/>
    <w:rsid w:val="00F1740C"/>
    <w:rsid w:val="00F202E2"/>
    <w:rsid w:val="00F25B79"/>
    <w:rsid w:val="00F30758"/>
    <w:rsid w:val="00F30ADC"/>
    <w:rsid w:val="00F358B2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EFC"/>
    <w:rsid w:val="00FB2EA1"/>
    <w:rsid w:val="00FB44D6"/>
    <w:rsid w:val="00FB583F"/>
    <w:rsid w:val="00FC097D"/>
    <w:rsid w:val="00FC2D01"/>
    <w:rsid w:val="00FC348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E56C1"/>
    <w:pPr>
      <w:spacing w:after="0" w:line="240" w:lineRule="auto"/>
    </w:pPr>
    <w:rPr>
      <w:rFonts w:ascii="Calibri" w:hAnsi="Calibri" w:cs="Calibri"/>
      <w:color w:val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6C1"/>
    <w:rPr>
      <w:rFonts w:ascii="Calibri" w:eastAsiaTheme="minorHAnsi" w:hAnsi="Calibri" w:cs="Calibr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157F2-5C79-430A-B8F5-28FF9F90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6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001_MIF</cp:lastModifiedBy>
  <cp:revision>9</cp:revision>
  <cp:lastPrinted>2025-11-21T08:14:00Z</cp:lastPrinted>
  <dcterms:created xsi:type="dcterms:W3CDTF">2026-01-30T06:23:00Z</dcterms:created>
  <dcterms:modified xsi:type="dcterms:W3CDTF">2026-01-31T21:21:00Z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