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6E3999" w14:textId="77777777" w:rsidR="006C4ADB" w:rsidRPr="009F39C5" w:rsidRDefault="0001089B" w:rsidP="00082621">
      <w:pPr>
        <w:spacing w:after="120"/>
        <w:jc w:val="center"/>
        <w:rPr>
          <w:rFonts w:ascii="Times New Roman" w:hAnsi="Times New Roman"/>
          <w:b/>
          <w:sz w:val="24"/>
          <w:szCs w:val="24"/>
          <w:lang w:val="en-GB"/>
        </w:rPr>
      </w:pPr>
      <w:bookmarkStart w:id="0" w:name="_GoBack"/>
      <w:bookmarkEnd w:id="0"/>
      <w:r w:rsidRPr="009F39C5">
        <w:rPr>
          <w:rFonts w:ascii="Times New Roman" w:hAnsi="Times New Roman"/>
          <w:b/>
          <w:noProof/>
          <w:sz w:val="24"/>
          <w:szCs w:val="24"/>
          <w:lang w:val="en-GB" w:eastAsia="en-GB"/>
        </w:rPr>
        <w:drawing>
          <wp:anchor distT="0" distB="0" distL="114300" distR="114300" simplePos="0" relativeHeight="251657728" behindDoc="0" locked="0" layoutInCell="0" allowOverlap="1" wp14:anchorId="4A0CF004" wp14:editId="6D60B738">
            <wp:simplePos x="0" y="0"/>
            <wp:positionH relativeFrom="column">
              <wp:posOffset>2466975</wp:posOffset>
            </wp:positionH>
            <wp:positionV relativeFrom="paragraph">
              <wp:posOffset>-704850</wp:posOffset>
            </wp:positionV>
            <wp:extent cx="838200" cy="895350"/>
            <wp:effectExtent l="19050" t="0" r="0" b="0"/>
            <wp:wrapNone/>
            <wp:docPr id="2" name="Picture 1" descr="../../Administrator/Desktop/1095339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ministrator/Desktop/1095339371.jpg"/>
                    <pic:cNvPicPr>
                      <a:picLocks noChangeAspect="1" noChangeArrowheads="1"/>
                    </pic:cNvPicPr>
                  </pic:nvPicPr>
                  <pic:blipFill>
                    <a:blip r:embed="rId9" r:link="rId10"/>
                    <a:srcRect/>
                    <a:stretch>
                      <a:fillRect/>
                    </a:stretch>
                  </pic:blipFill>
                  <pic:spPr bwMode="auto">
                    <a:xfrm>
                      <a:off x="0" y="0"/>
                      <a:ext cx="838200" cy="895350"/>
                    </a:xfrm>
                    <a:prstGeom prst="rect">
                      <a:avLst/>
                    </a:prstGeom>
                    <a:noFill/>
                    <a:ln w="9525">
                      <a:noFill/>
                      <a:miter lim="800000"/>
                      <a:headEnd/>
                      <a:tailEnd/>
                    </a:ln>
                  </pic:spPr>
                </pic:pic>
              </a:graphicData>
            </a:graphic>
          </wp:anchor>
        </w:drawing>
      </w:r>
    </w:p>
    <w:p w14:paraId="15A482DE" w14:textId="77777777" w:rsidR="006C4ADB" w:rsidRPr="009F39C5" w:rsidRDefault="006C4ADB" w:rsidP="00F75709">
      <w:pPr>
        <w:spacing w:after="120"/>
        <w:jc w:val="center"/>
        <w:rPr>
          <w:rFonts w:ascii="Times New Roman" w:hAnsi="Times New Roman"/>
          <w:b/>
          <w:sz w:val="24"/>
          <w:szCs w:val="24"/>
          <w:lang w:val="en-GB"/>
        </w:rPr>
      </w:pPr>
      <w:r w:rsidRPr="009F39C5">
        <w:rPr>
          <w:rFonts w:ascii="Times New Roman" w:hAnsi="Times New Roman"/>
          <w:b/>
          <w:sz w:val="24"/>
          <w:szCs w:val="24"/>
          <w:lang w:val="en-GB"/>
        </w:rPr>
        <w:t>MINISTRY OF FINANCE</w:t>
      </w:r>
    </w:p>
    <w:p w14:paraId="633D41DB" w14:textId="77777777" w:rsidR="006C4ADB" w:rsidRPr="009F39C5" w:rsidRDefault="006C4ADB" w:rsidP="00F75709">
      <w:pPr>
        <w:spacing w:after="120" w:line="240" w:lineRule="auto"/>
        <w:jc w:val="center"/>
        <w:rPr>
          <w:rFonts w:ascii="Times New Roman" w:hAnsi="Times New Roman"/>
          <w:b/>
          <w:sz w:val="24"/>
          <w:szCs w:val="24"/>
          <w:lang w:val="en-GB"/>
        </w:rPr>
      </w:pPr>
      <w:r w:rsidRPr="009F39C5">
        <w:rPr>
          <w:rFonts w:ascii="Times New Roman" w:hAnsi="Times New Roman"/>
          <w:b/>
          <w:sz w:val="24"/>
          <w:szCs w:val="24"/>
          <w:lang w:val="en-GB"/>
        </w:rPr>
        <w:t>Directorate for Finance and Contracting of the EU Assistance Funds</w:t>
      </w:r>
    </w:p>
    <w:p w14:paraId="40146C24" w14:textId="77777777" w:rsidR="006C4ADB" w:rsidRPr="009F39C5" w:rsidRDefault="003D5A87" w:rsidP="00F75709">
      <w:pPr>
        <w:pStyle w:val="Default"/>
        <w:jc w:val="center"/>
        <w:rPr>
          <w:b/>
        </w:rPr>
      </w:pPr>
      <w:r w:rsidRPr="009F39C5">
        <w:rPr>
          <w:b/>
        </w:rPr>
        <w:t>(CFCU)</w:t>
      </w:r>
    </w:p>
    <w:p w14:paraId="6A856509" w14:textId="77777777" w:rsidR="00F75709" w:rsidRPr="009F39C5" w:rsidRDefault="00F75709" w:rsidP="00F75709">
      <w:pPr>
        <w:pStyle w:val="Default"/>
        <w:jc w:val="center"/>
      </w:pPr>
    </w:p>
    <w:p w14:paraId="1A8200CF" w14:textId="77777777" w:rsidR="007302D5" w:rsidRPr="009F39C5" w:rsidRDefault="006C4ADB" w:rsidP="00F75709">
      <w:pPr>
        <w:jc w:val="center"/>
        <w:rPr>
          <w:rFonts w:ascii="Times New Roman" w:hAnsi="Times New Roman"/>
          <w:b/>
          <w:bCs/>
          <w:sz w:val="24"/>
          <w:szCs w:val="24"/>
          <w:lang w:val="en-GB"/>
        </w:rPr>
      </w:pPr>
      <w:r w:rsidRPr="009F39C5">
        <w:rPr>
          <w:rFonts w:ascii="Times New Roman" w:hAnsi="Times New Roman"/>
          <w:b/>
          <w:bCs/>
          <w:sz w:val="24"/>
          <w:szCs w:val="24"/>
          <w:lang w:val="en-GB"/>
        </w:rPr>
        <w:t>Contracting Authority's Clarifications</w:t>
      </w:r>
    </w:p>
    <w:p w14:paraId="0865C651" w14:textId="77777777" w:rsidR="004C50DC" w:rsidRPr="009F39C5" w:rsidRDefault="00AE18CE" w:rsidP="00D50EE6">
      <w:pPr>
        <w:spacing w:after="0"/>
        <w:jc w:val="center"/>
        <w:outlineLvl w:val="0"/>
        <w:rPr>
          <w:rFonts w:ascii="Times New Roman" w:hAnsi="Times New Roman"/>
          <w:b/>
          <w:sz w:val="24"/>
          <w:szCs w:val="24"/>
        </w:rPr>
      </w:pPr>
      <w:r w:rsidRPr="009F39C5">
        <w:rPr>
          <w:rFonts w:ascii="Times New Roman" w:hAnsi="Times New Roman"/>
          <w:b/>
          <w:sz w:val="24"/>
          <w:szCs w:val="24"/>
        </w:rPr>
        <w:t>1st Call for Proposals for the Cross-Border Cooperation Programme Montenegro-Kosovo</w:t>
      </w:r>
      <w:r w:rsidR="00425E19" w:rsidRPr="009F39C5">
        <w:rPr>
          <w:rFonts w:ascii="Times New Roman" w:hAnsi="Times New Roman"/>
          <w:b/>
          <w:sz w:val="24"/>
          <w:szCs w:val="24"/>
        </w:rPr>
        <w:t>*</w:t>
      </w:r>
      <w:r w:rsidRPr="009F39C5">
        <w:rPr>
          <w:rFonts w:ascii="Times New Roman" w:hAnsi="Times New Roman"/>
          <w:b/>
          <w:sz w:val="24"/>
          <w:szCs w:val="24"/>
        </w:rPr>
        <w:t xml:space="preserve"> for years 2014 and 2015</w:t>
      </w:r>
      <w:r w:rsidR="00691899" w:rsidRPr="009F39C5">
        <w:rPr>
          <w:rFonts w:ascii="Times New Roman" w:hAnsi="Times New Roman"/>
          <w:b/>
          <w:sz w:val="24"/>
          <w:szCs w:val="24"/>
        </w:rPr>
        <w:t>, Reference: EuropeAid/138-710/ID/ACT/MULTI</w:t>
      </w:r>
    </w:p>
    <w:p w14:paraId="4375BEFB" w14:textId="77777777" w:rsidR="00D50EE6" w:rsidRPr="009F39C5" w:rsidRDefault="00D50EE6" w:rsidP="00691899">
      <w:pPr>
        <w:spacing w:after="0"/>
        <w:jc w:val="center"/>
        <w:outlineLvl w:val="0"/>
        <w:rPr>
          <w:rFonts w:ascii="Times New Roman" w:hAnsi="Times New Roman"/>
          <w:b/>
          <w:sz w:val="24"/>
          <w:szCs w:val="24"/>
        </w:rPr>
      </w:pPr>
    </w:p>
    <w:p w14:paraId="172C8DCF" w14:textId="77777777" w:rsidR="006C4ADB" w:rsidRPr="009F39C5" w:rsidRDefault="005D271B" w:rsidP="00691899">
      <w:pPr>
        <w:pStyle w:val="Default"/>
        <w:jc w:val="center"/>
        <w:rPr>
          <w:b/>
          <w:lang w:val="en-US"/>
        </w:rPr>
      </w:pPr>
      <w:r w:rsidRPr="009F39C5">
        <w:rPr>
          <w:b/>
        </w:rPr>
        <w:t xml:space="preserve">The answers on questions </w:t>
      </w:r>
      <w:r w:rsidR="00AE18CE" w:rsidRPr="009F39C5">
        <w:rPr>
          <w:b/>
        </w:rPr>
        <w:t xml:space="preserve">raised </w:t>
      </w:r>
      <w:r w:rsidRPr="009F39C5">
        <w:rPr>
          <w:b/>
        </w:rPr>
        <w:t xml:space="preserve">by the potential </w:t>
      </w:r>
      <w:r w:rsidR="00AE18CE" w:rsidRPr="009F39C5">
        <w:rPr>
          <w:b/>
        </w:rPr>
        <w:t>grant applicants during the Information Sessions held in: Podgorica and Bijelo Polje (20</w:t>
      </w:r>
      <w:r w:rsidR="00AE18CE" w:rsidRPr="009F39C5">
        <w:rPr>
          <w:b/>
          <w:vertAlign w:val="superscript"/>
        </w:rPr>
        <w:t>th</w:t>
      </w:r>
      <w:r w:rsidR="00AE18CE" w:rsidRPr="009F39C5">
        <w:rPr>
          <w:b/>
        </w:rPr>
        <w:t xml:space="preserve"> and 21</w:t>
      </w:r>
      <w:r w:rsidR="00AE18CE" w:rsidRPr="009F39C5">
        <w:rPr>
          <w:b/>
          <w:vertAlign w:val="superscript"/>
        </w:rPr>
        <w:t>st</w:t>
      </w:r>
      <w:r w:rsidR="00AE18CE" w:rsidRPr="009F39C5">
        <w:rPr>
          <w:b/>
        </w:rPr>
        <w:t xml:space="preserve"> March 2017) and Djakovica</w:t>
      </w:r>
      <w:r w:rsidR="000D784A" w:rsidRPr="009F39C5">
        <w:rPr>
          <w:b/>
        </w:rPr>
        <w:t>/</w:t>
      </w:r>
      <w:r w:rsidR="00691899" w:rsidRPr="009F39C5">
        <w:rPr>
          <w:b/>
        </w:rPr>
        <w:t xml:space="preserve">Gjakovë </w:t>
      </w:r>
      <w:r w:rsidR="00AE18CE" w:rsidRPr="009F39C5">
        <w:rPr>
          <w:b/>
        </w:rPr>
        <w:t>and Pe</w:t>
      </w:r>
      <w:r w:rsidR="00AE18CE" w:rsidRPr="009F39C5">
        <w:rPr>
          <w:b/>
          <w:lang w:val="sr-Latn-ME"/>
        </w:rPr>
        <w:t>ć</w:t>
      </w:r>
      <w:r w:rsidR="00691899" w:rsidRPr="009F39C5">
        <w:rPr>
          <w:b/>
          <w:lang w:val="sr-Latn-ME"/>
        </w:rPr>
        <w:t xml:space="preserve">/Pejë </w:t>
      </w:r>
      <w:r w:rsidR="00AE18CE" w:rsidRPr="009F39C5">
        <w:rPr>
          <w:b/>
          <w:lang w:val="sr-Latn-ME"/>
        </w:rPr>
        <w:t>(22</w:t>
      </w:r>
      <w:r w:rsidR="00AE18CE" w:rsidRPr="009F39C5">
        <w:rPr>
          <w:b/>
          <w:vertAlign w:val="superscript"/>
          <w:lang w:val="en-US"/>
        </w:rPr>
        <w:t>nd</w:t>
      </w:r>
      <w:r w:rsidR="00AE18CE" w:rsidRPr="009F39C5">
        <w:rPr>
          <w:b/>
          <w:lang w:val="en-US"/>
        </w:rPr>
        <w:t xml:space="preserve"> and 23</w:t>
      </w:r>
      <w:r w:rsidR="00AE18CE" w:rsidRPr="009F39C5">
        <w:rPr>
          <w:b/>
          <w:vertAlign w:val="superscript"/>
          <w:lang w:val="en-US"/>
        </w:rPr>
        <w:t>rd</w:t>
      </w:r>
      <w:r w:rsidR="00AE18CE" w:rsidRPr="009F39C5">
        <w:rPr>
          <w:b/>
          <w:lang w:val="en-US"/>
        </w:rPr>
        <w:t xml:space="preserve"> March 2017)</w:t>
      </w:r>
    </w:p>
    <w:p w14:paraId="6C8EE99A" w14:textId="77777777" w:rsidR="008204FB" w:rsidRPr="009F39C5" w:rsidRDefault="008204FB" w:rsidP="00691899">
      <w:pPr>
        <w:pStyle w:val="Default"/>
        <w:jc w:val="center"/>
        <w:rPr>
          <w:b/>
          <w:lang w:val="en-US"/>
        </w:rPr>
      </w:pPr>
    </w:p>
    <w:p w14:paraId="41A49AA7" w14:textId="16E042C7" w:rsidR="008204FB" w:rsidRPr="009F39C5" w:rsidRDefault="008204FB" w:rsidP="00D95172">
      <w:pPr>
        <w:pStyle w:val="Default"/>
        <w:jc w:val="both"/>
        <w:rPr>
          <w:b/>
          <w:lang w:val="sr-Latn-ME"/>
        </w:rPr>
      </w:pPr>
      <w:r w:rsidRPr="009F39C5">
        <w:rPr>
          <w:b/>
          <w:lang w:val="en-US"/>
        </w:rPr>
        <w:t xml:space="preserve">Also, the table contains the answers to </w:t>
      </w:r>
      <w:r w:rsidR="00D95172" w:rsidRPr="009F39C5">
        <w:rPr>
          <w:b/>
          <w:lang w:val="en-US"/>
        </w:rPr>
        <w:t>questions</w:t>
      </w:r>
      <w:r w:rsidRPr="009F39C5">
        <w:rPr>
          <w:b/>
          <w:lang w:val="en-US"/>
        </w:rPr>
        <w:t xml:space="preserve"> received on the functional e-mail address </w:t>
      </w:r>
      <w:hyperlink r:id="rId11" w:history="1">
        <w:r w:rsidRPr="009F39C5">
          <w:rPr>
            <w:rStyle w:val="Hyperlink"/>
            <w:b/>
            <w:lang w:val="en-US"/>
          </w:rPr>
          <w:t>cfpmne.kos@mif.gov.me</w:t>
        </w:r>
      </w:hyperlink>
      <w:r w:rsidRPr="009F39C5">
        <w:rPr>
          <w:b/>
          <w:lang w:val="en-US"/>
        </w:rPr>
        <w:t xml:space="preserve"> until 4</w:t>
      </w:r>
      <w:r w:rsidRPr="009F39C5">
        <w:rPr>
          <w:b/>
          <w:vertAlign w:val="superscript"/>
          <w:lang w:val="en-US"/>
        </w:rPr>
        <w:t>th</w:t>
      </w:r>
      <w:r w:rsidRPr="009F39C5">
        <w:rPr>
          <w:b/>
          <w:lang w:val="en-US"/>
        </w:rPr>
        <w:t xml:space="preserve"> April, 15</w:t>
      </w:r>
      <w:r w:rsidRPr="009F39C5">
        <w:rPr>
          <w:b/>
          <w:lang w:val="sr-Latn-ME"/>
        </w:rPr>
        <w:t>:00</w:t>
      </w:r>
      <w:r w:rsidR="00D95172" w:rsidRPr="009F39C5">
        <w:rPr>
          <w:b/>
          <w:lang w:val="sr-Latn-ME"/>
        </w:rPr>
        <w:t>h.</w:t>
      </w:r>
    </w:p>
    <w:p w14:paraId="234903E2" w14:textId="77777777" w:rsidR="00691899" w:rsidRPr="009F39C5" w:rsidRDefault="00691899" w:rsidP="00691899">
      <w:pPr>
        <w:pStyle w:val="Default"/>
        <w:jc w:val="center"/>
        <w:rPr>
          <w:b/>
        </w:rPr>
      </w:pPr>
    </w:p>
    <w:tbl>
      <w:tblPr>
        <w:tblpPr w:leftFromText="180" w:rightFromText="180" w:vertAnchor="text" w:horzAnchor="margin" w:tblpXSpec="right" w:tblpY="105"/>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0"/>
        <w:gridCol w:w="8626"/>
      </w:tblGrid>
      <w:tr w:rsidR="00305CAF" w:rsidRPr="009F39C5" w14:paraId="72703D40" w14:textId="77777777" w:rsidTr="00F33AA6">
        <w:trPr>
          <w:trHeight w:val="172"/>
        </w:trPr>
        <w:tc>
          <w:tcPr>
            <w:tcW w:w="980" w:type="dxa"/>
            <w:vAlign w:val="center"/>
          </w:tcPr>
          <w:p w14:paraId="4326CC18" w14:textId="77777777" w:rsidR="00305CAF" w:rsidRPr="009F39C5" w:rsidRDefault="00305CAF" w:rsidP="00B67E83">
            <w:pPr>
              <w:spacing w:after="0" w:line="240" w:lineRule="auto"/>
              <w:jc w:val="center"/>
              <w:rPr>
                <w:rFonts w:ascii="Times New Roman" w:hAnsi="Times New Roman"/>
                <w:sz w:val="24"/>
                <w:szCs w:val="24"/>
                <w:lang w:val="en-GB"/>
              </w:rPr>
            </w:pPr>
            <w:r w:rsidRPr="009F39C5">
              <w:rPr>
                <w:rFonts w:ascii="Times New Roman" w:hAnsi="Times New Roman"/>
                <w:sz w:val="24"/>
                <w:szCs w:val="24"/>
                <w:lang w:val="en-GB"/>
              </w:rPr>
              <w:t>Q1</w:t>
            </w:r>
          </w:p>
        </w:tc>
        <w:tc>
          <w:tcPr>
            <w:tcW w:w="8626" w:type="dxa"/>
          </w:tcPr>
          <w:p w14:paraId="42708A23" w14:textId="77777777" w:rsidR="00662122" w:rsidRPr="009F39C5" w:rsidRDefault="00AE18CE" w:rsidP="00691899">
            <w:pPr>
              <w:spacing w:after="0" w:line="240" w:lineRule="auto"/>
              <w:jc w:val="both"/>
              <w:rPr>
                <w:rFonts w:ascii="Times New Roman" w:eastAsia="Calibri" w:hAnsi="Times New Roman"/>
                <w:color w:val="000000"/>
                <w:sz w:val="24"/>
                <w:szCs w:val="24"/>
              </w:rPr>
            </w:pPr>
            <w:r w:rsidRPr="009F39C5">
              <w:rPr>
                <w:rFonts w:ascii="Times New Roman" w:hAnsi="Times New Roman"/>
                <w:sz w:val="24"/>
                <w:szCs w:val="24"/>
              </w:rPr>
              <w:t>Do the same eligibility criteria for applicants (lea</w:t>
            </w:r>
            <w:r w:rsidR="00691899" w:rsidRPr="009F39C5">
              <w:rPr>
                <w:rFonts w:ascii="Times New Roman" w:hAnsi="Times New Roman"/>
                <w:sz w:val="24"/>
                <w:szCs w:val="24"/>
              </w:rPr>
              <w:t xml:space="preserve">d-applicant and co-applicant(s)) </w:t>
            </w:r>
            <w:r w:rsidRPr="009F39C5">
              <w:rPr>
                <w:rFonts w:ascii="Times New Roman" w:hAnsi="Times New Roman"/>
                <w:sz w:val="24"/>
                <w:szCs w:val="24"/>
              </w:rPr>
              <w:t>apply for the associates?</w:t>
            </w:r>
          </w:p>
        </w:tc>
      </w:tr>
      <w:tr w:rsidR="00084E8B" w:rsidRPr="009F39C5" w14:paraId="696E5BB1" w14:textId="77777777" w:rsidTr="00F33AA6">
        <w:trPr>
          <w:trHeight w:val="172"/>
        </w:trPr>
        <w:tc>
          <w:tcPr>
            <w:tcW w:w="980" w:type="dxa"/>
            <w:vAlign w:val="center"/>
          </w:tcPr>
          <w:p w14:paraId="56EAA69A" w14:textId="77777777" w:rsidR="00084E8B" w:rsidRPr="009F39C5" w:rsidRDefault="00084E8B" w:rsidP="00B67E83">
            <w:pPr>
              <w:spacing w:after="0" w:line="240" w:lineRule="auto"/>
              <w:jc w:val="center"/>
              <w:rPr>
                <w:rFonts w:ascii="Times New Roman" w:hAnsi="Times New Roman"/>
                <w:sz w:val="24"/>
                <w:szCs w:val="24"/>
                <w:lang w:val="en-GB"/>
              </w:rPr>
            </w:pPr>
            <w:r w:rsidRPr="009F39C5">
              <w:rPr>
                <w:rFonts w:ascii="Times New Roman" w:hAnsi="Times New Roman"/>
                <w:sz w:val="24"/>
                <w:szCs w:val="24"/>
                <w:lang w:val="en-GB"/>
              </w:rPr>
              <w:t>A1</w:t>
            </w:r>
          </w:p>
        </w:tc>
        <w:tc>
          <w:tcPr>
            <w:tcW w:w="8626" w:type="dxa"/>
          </w:tcPr>
          <w:p w14:paraId="03064095" w14:textId="77777777" w:rsidR="00691899" w:rsidRPr="009F39C5" w:rsidRDefault="00691899" w:rsidP="00691899">
            <w:pPr>
              <w:pStyle w:val="Blockquote"/>
              <w:tabs>
                <w:tab w:val="num" w:pos="1701"/>
              </w:tabs>
              <w:ind w:left="0" w:right="0"/>
              <w:jc w:val="both"/>
              <w:rPr>
                <w:szCs w:val="24"/>
                <w:lang w:val="sr-Latn-ME"/>
              </w:rPr>
            </w:pPr>
            <w:r w:rsidRPr="009F39C5">
              <w:rPr>
                <w:szCs w:val="24"/>
              </w:rPr>
              <w:t xml:space="preserve">Please refer to section </w:t>
            </w:r>
            <w:r w:rsidR="00AE18CE" w:rsidRPr="009F39C5">
              <w:rPr>
                <w:szCs w:val="24"/>
              </w:rPr>
              <w:t xml:space="preserve">2.1.3 of the Guidelines for </w:t>
            </w:r>
            <w:r w:rsidRPr="009F39C5">
              <w:rPr>
                <w:szCs w:val="24"/>
              </w:rPr>
              <w:t xml:space="preserve">Grant </w:t>
            </w:r>
            <w:r w:rsidR="00AE18CE" w:rsidRPr="009F39C5">
              <w:rPr>
                <w:szCs w:val="24"/>
              </w:rPr>
              <w:t>Applicants (</w:t>
            </w:r>
            <w:r w:rsidR="00AE18CE" w:rsidRPr="009F39C5">
              <w:rPr>
                <w:szCs w:val="24"/>
                <w:lang w:val="sr-Latn-ME"/>
              </w:rPr>
              <w:t xml:space="preserve">„Associates and Contractors“), </w:t>
            </w:r>
            <w:r w:rsidRPr="009F39C5">
              <w:rPr>
                <w:szCs w:val="24"/>
                <w:lang w:val="sr-Latn-ME"/>
              </w:rPr>
              <w:t>stating the following:</w:t>
            </w:r>
          </w:p>
          <w:p w14:paraId="21E8576B" w14:textId="77777777" w:rsidR="00B8051B" w:rsidRPr="009F39C5" w:rsidRDefault="00691899" w:rsidP="00691899">
            <w:pPr>
              <w:pStyle w:val="Blockquote"/>
              <w:tabs>
                <w:tab w:val="num" w:pos="1701"/>
              </w:tabs>
              <w:ind w:left="0" w:right="0"/>
              <w:jc w:val="both"/>
              <w:rPr>
                <w:szCs w:val="24"/>
                <w:lang w:val="en-GB"/>
              </w:rPr>
            </w:pPr>
            <w:r w:rsidRPr="009F39C5">
              <w:rPr>
                <w:szCs w:val="24"/>
                <w:lang w:val="sr-Latn-ME"/>
              </w:rPr>
              <w:t>„T</w:t>
            </w:r>
            <w:r w:rsidR="00AE18CE" w:rsidRPr="009F39C5">
              <w:rPr>
                <w:szCs w:val="24"/>
                <w:lang w:val="sr-Latn-ME"/>
              </w:rPr>
              <w:t>he associates do not have to meet the eligibility criteria referred to in section 2.1.1.</w:t>
            </w:r>
            <w:r w:rsidR="00AE18CE" w:rsidRPr="009F39C5">
              <w:rPr>
                <w:szCs w:val="24"/>
                <w:lang w:val="en-GB"/>
              </w:rPr>
              <w:t>”.</w:t>
            </w:r>
          </w:p>
        </w:tc>
      </w:tr>
      <w:tr w:rsidR="00305CAF" w:rsidRPr="009F39C5" w14:paraId="41A8A088" w14:textId="77777777" w:rsidTr="00F33AA6">
        <w:trPr>
          <w:trHeight w:val="278"/>
        </w:trPr>
        <w:tc>
          <w:tcPr>
            <w:tcW w:w="980" w:type="dxa"/>
            <w:vAlign w:val="center"/>
          </w:tcPr>
          <w:p w14:paraId="49C09281" w14:textId="77777777" w:rsidR="00305CAF" w:rsidRPr="009F39C5" w:rsidRDefault="00084E8B" w:rsidP="00B67E83">
            <w:pPr>
              <w:spacing w:after="0" w:line="240" w:lineRule="auto"/>
              <w:jc w:val="center"/>
              <w:rPr>
                <w:rFonts w:ascii="Times New Roman" w:hAnsi="Times New Roman"/>
                <w:sz w:val="24"/>
                <w:szCs w:val="24"/>
                <w:lang w:val="en-GB"/>
              </w:rPr>
            </w:pPr>
            <w:r w:rsidRPr="009F39C5">
              <w:rPr>
                <w:rFonts w:ascii="Times New Roman" w:hAnsi="Times New Roman"/>
                <w:sz w:val="24"/>
                <w:szCs w:val="24"/>
                <w:lang w:val="en-GB"/>
              </w:rPr>
              <w:t>Q2</w:t>
            </w:r>
          </w:p>
        </w:tc>
        <w:tc>
          <w:tcPr>
            <w:tcW w:w="8626" w:type="dxa"/>
          </w:tcPr>
          <w:p w14:paraId="7BC14CB4" w14:textId="77777777" w:rsidR="00691899" w:rsidRPr="009F39C5" w:rsidRDefault="00B63958" w:rsidP="00691899">
            <w:pPr>
              <w:shd w:val="clear" w:color="auto" w:fill="FFFFFF"/>
              <w:jc w:val="both"/>
              <w:rPr>
                <w:rFonts w:ascii="Times New Roman" w:hAnsi="Times New Roman"/>
                <w:color w:val="000000"/>
                <w:sz w:val="24"/>
                <w:szCs w:val="24"/>
              </w:rPr>
            </w:pPr>
            <w:r w:rsidRPr="009F39C5">
              <w:rPr>
                <w:rFonts w:ascii="Times New Roman" w:hAnsi="Times New Roman"/>
                <w:color w:val="000000"/>
                <w:sz w:val="24"/>
                <w:szCs w:val="24"/>
              </w:rPr>
              <w:t xml:space="preserve">Is </w:t>
            </w:r>
            <w:r w:rsidR="00691899" w:rsidRPr="009F39C5">
              <w:rPr>
                <w:rFonts w:ascii="Times New Roman" w:hAnsi="Times New Roman"/>
                <w:color w:val="000000"/>
                <w:sz w:val="24"/>
                <w:szCs w:val="24"/>
              </w:rPr>
              <w:t>registration in PADOR required?</w:t>
            </w:r>
          </w:p>
        </w:tc>
      </w:tr>
      <w:tr w:rsidR="00BE0E3D" w:rsidRPr="009F39C5" w14:paraId="192DBBDF" w14:textId="77777777" w:rsidTr="00F33AA6">
        <w:trPr>
          <w:trHeight w:val="638"/>
        </w:trPr>
        <w:tc>
          <w:tcPr>
            <w:tcW w:w="980" w:type="dxa"/>
            <w:vAlign w:val="center"/>
          </w:tcPr>
          <w:p w14:paraId="7D236715" w14:textId="77777777" w:rsidR="00BE0E3D" w:rsidRPr="009F39C5" w:rsidRDefault="00BE0E3D" w:rsidP="00B67E83">
            <w:pPr>
              <w:spacing w:after="0" w:line="240" w:lineRule="auto"/>
              <w:jc w:val="center"/>
              <w:rPr>
                <w:rFonts w:ascii="Times New Roman" w:hAnsi="Times New Roman"/>
                <w:sz w:val="24"/>
                <w:szCs w:val="24"/>
                <w:lang w:val="en-GB"/>
              </w:rPr>
            </w:pPr>
            <w:r w:rsidRPr="009F39C5">
              <w:rPr>
                <w:rFonts w:ascii="Times New Roman" w:hAnsi="Times New Roman"/>
                <w:sz w:val="24"/>
                <w:szCs w:val="24"/>
                <w:lang w:val="en-GB"/>
              </w:rPr>
              <w:t>A2</w:t>
            </w:r>
          </w:p>
        </w:tc>
        <w:tc>
          <w:tcPr>
            <w:tcW w:w="8626" w:type="dxa"/>
          </w:tcPr>
          <w:p w14:paraId="52367D20" w14:textId="4EFD96B0" w:rsidR="00B63958" w:rsidRPr="009F39C5" w:rsidRDefault="00357E58" w:rsidP="00691899">
            <w:pPr>
              <w:jc w:val="both"/>
              <w:rPr>
                <w:rFonts w:ascii="Times New Roman" w:hAnsi="Times New Roman"/>
                <w:sz w:val="24"/>
                <w:szCs w:val="24"/>
                <w:lang w:val="en-GB"/>
              </w:rPr>
            </w:pPr>
            <w:r w:rsidRPr="009F39C5">
              <w:rPr>
                <w:rFonts w:ascii="Times New Roman" w:hAnsi="Times New Roman"/>
                <w:sz w:val="24"/>
                <w:szCs w:val="24"/>
                <w:lang w:val="en-GB"/>
              </w:rPr>
              <w:t>Please refer to s</w:t>
            </w:r>
            <w:r w:rsidR="00B63958" w:rsidRPr="009F39C5">
              <w:rPr>
                <w:rFonts w:ascii="Times New Roman" w:hAnsi="Times New Roman"/>
                <w:sz w:val="24"/>
                <w:szCs w:val="24"/>
                <w:lang w:val="en-GB"/>
              </w:rPr>
              <w:t>ection 2.2</w:t>
            </w:r>
            <w:r w:rsidR="00082621" w:rsidRPr="009F39C5">
              <w:rPr>
                <w:rFonts w:ascii="Times New Roman" w:hAnsi="Times New Roman"/>
                <w:sz w:val="24"/>
                <w:szCs w:val="24"/>
                <w:lang w:val="en-GB"/>
              </w:rPr>
              <w:t xml:space="preserve"> of the Guidelines for Grant Applicants</w:t>
            </w:r>
            <w:r w:rsidR="00B63958" w:rsidRPr="009F39C5">
              <w:rPr>
                <w:rFonts w:ascii="Times New Roman" w:hAnsi="Times New Roman"/>
                <w:sz w:val="24"/>
                <w:szCs w:val="24"/>
                <w:lang w:val="en-GB"/>
              </w:rPr>
              <w:t xml:space="preserve"> (</w:t>
            </w:r>
            <w:r w:rsidR="00B63958" w:rsidRPr="009F39C5">
              <w:rPr>
                <w:rFonts w:ascii="Times New Roman" w:hAnsi="Times New Roman"/>
                <w:sz w:val="24"/>
                <w:szCs w:val="24"/>
              </w:rPr>
              <w:t>“</w:t>
            </w:r>
            <w:r w:rsidR="00B63958" w:rsidRPr="009F39C5">
              <w:rPr>
                <w:rFonts w:ascii="Times New Roman" w:hAnsi="Times New Roman"/>
                <w:sz w:val="24"/>
                <w:szCs w:val="24"/>
                <w:lang w:val="en-GB"/>
              </w:rPr>
              <w:t>How to apply and the procedures to follow”) of the Gu</w:t>
            </w:r>
            <w:r w:rsidR="00691899" w:rsidRPr="009F39C5">
              <w:rPr>
                <w:rFonts w:ascii="Times New Roman" w:hAnsi="Times New Roman"/>
                <w:sz w:val="24"/>
                <w:szCs w:val="24"/>
                <w:lang w:val="en-GB"/>
              </w:rPr>
              <w:t xml:space="preserve">idelines for Grant Applicants, </w:t>
            </w:r>
            <w:r w:rsidR="00B63958" w:rsidRPr="009F39C5">
              <w:rPr>
                <w:rFonts w:ascii="Times New Roman" w:hAnsi="Times New Roman"/>
                <w:sz w:val="24"/>
                <w:szCs w:val="24"/>
                <w:lang w:val="en-GB"/>
              </w:rPr>
              <w:t>stating the following:</w:t>
            </w:r>
          </w:p>
          <w:p w14:paraId="0F6B0F11" w14:textId="77777777" w:rsidR="009679CF" w:rsidRPr="009F39C5" w:rsidRDefault="00B63958" w:rsidP="00691899">
            <w:pPr>
              <w:jc w:val="both"/>
              <w:rPr>
                <w:rFonts w:ascii="Times New Roman" w:hAnsi="Times New Roman"/>
                <w:sz w:val="24"/>
                <w:szCs w:val="24"/>
                <w:lang w:val="en-GB"/>
              </w:rPr>
            </w:pPr>
            <w:r w:rsidRPr="009F39C5">
              <w:rPr>
                <w:rFonts w:ascii="Times New Roman" w:hAnsi="Times New Roman"/>
                <w:sz w:val="24"/>
                <w:szCs w:val="24"/>
                <w:lang w:val="en-GB"/>
              </w:rPr>
              <w:t xml:space="preserve">“Information in PADOR will not be drawn upon in the present Call”. </w:t>
            </w:r>
            <w:r w:rsidR="00B8051B" w:rsidRPr="009F39C5">
              <w:rPr>
                <w:rFonts w:ascii="Times New Roman" w:hAnsi="Times New Roman"/>
                <w:sz w:val="24"/>
                <w:szCs w:val="24"/>
                <w:lang w:val="en-GB"/>
              </w:rPr>
              <w:t xml:space="preserve"> </w:t>
            </w:r>
          </w:p>
        </w:tc>
      </w:tr>
      <w:tr w:rsidR="00AE18CE" w:rsidRPr="009F39C5" w14:paraId="30F3B9CE" w14:textId="77777777" w:rsidTr="00F33AA6">
        <w:trPr>
          <w:trHeight w:val="458"/>
        </w:trPr>
        <w:tc>
          <w:tcPr>
            <w:tcW w:w="980" w:type="dxa"/>
            <w:vAlign w:val="center"/>
          </w:tcPr>
          <w:p w14:paraId="0A8D1270" w14:textId="77777777" w:rsidR="00AE18CE" w:rsidRPr="009F39C5" w:rsidRDefault="00AE18CE" w:rsidP="00B67E83">
            <w:pPr>
              <w:jc w:val="center"/>
              <w:rPr>
                <w:rFonts w:ascii="Times New Roman" w:hAnsi="Times New Roman"/>
                <w:sz w:val="24"/>
                <w:szCs w:val="24"/>
                <w:lang w:val="en-GB"/>
              </w:rPr>
            </w:pPr>
            <w:r w:rsidRPr="009F39C5">
              <w:rPr>
                <w:rFonts w:ascii="Times New Roman" w:hAnsi="Times New Roman"/>
                <w:sz w:val="24"/>
                <w:szCs w:val="24"/>
                <w:lang w:val="en-GB"/>
              </w:rPr>
              <w:t>Q3</w:t>
            </w:r>
          </w:p>
        </w:tc>
        <w:tc>
          <w:tcPr>
            <w:tcW w:w="8626" w:type="dxa"/>
          </w:tcPr>
          <w:p w14:paraId="6108FD8B" w14:textId="77777777" w:rsidR="00AE18CE" w:rsidRPr="009F39C5" w:rsidRDefault="00BA7971" w:rsidP="00B63958">
            <w:pPr>
              <w:jc w:val="both"/>
              <w:rPr>
                <w:rFonts w:ascii="Times New Roman" w:hAnsi="Times New Roman"/>
                <w:sz w:val="24"/>
                <w:szCs w:val="24"/>
              </w:rPr>
            </w:pPr>
            <w:r w:rsidRPr="009F39C5">
              <w:rPr>
                <w:rFonts w:ascii="Times New Roman" w:hAnsi="Times New Roman"/>
                <w:sz w:val="24"/>
                <w:szCs w:val="24"/>
              </w:rPr>
              <w:t xml:space="preserve">Do </w:t>
            </w:r>
            <w:r w:rsidR="00AE18CE" w:rsidRPr="009F39C5">
              <w:rPr>
                <w:rFonts w:ascii="Times New Roman" w:hAnsi="Times New Roman"/>
                <w:sz w:val="24"/>
                <w:szCs w:val="24"/>
              </w:rPr>
              <w:t xml:space="preserve">Concept Notes need to be submitted only </w:t>
            </w:r>
            <w:r w:rsidR="00B63958" w:rsidRPr="009F39C5">
              <w:rPr>
                <w:rFonts w:ascii="Times New Roman" w:hAnsi="Times New Roman"/>
                <w:sz w:val="24"/>
                <w:szCs w:val="24"/>
              </w:rPr>
              <w:t>to</w:t>
            </w:r>
            <w:r w:rsidR="00AE18CE" w:rsidRPr="009F39C5">
              <w:rPr>
                <w:rFonts w:ascii="Times New Roman" w:hAnsi="Times New Roman"/>
                <w:sz w:val="24"/>
                <w:szCs w:val="24"/>
              </w:rPr>
              <w:t xml:space="preserve"> Montenegro?</w:t>
            </w:r>
          </w:p>
        </w:tc>
      </w:tr>
      <w:tr w:rsidR="00AE18CE" w:rsidRPr="009F39C5" w14:paraId="27D973A6" w14:textId="77777777" w:rsidTr="00F33AA6">
        <w:trPr>
          <w:trHeight w:val="638"/>
        </w:trPr>
        <w:tc>
          <w:tcPr>
            <w:tcW w:w="980" w:type="dxa"/>
            <w:vAlign w:val="center"/>
          </w:tcPr>
          <w:p w14:paraId="112BD46D" w14:textId="77777777" w:rsidR="00AE18CE" w:rsidRPr="009F39C5" w:rsidRDefault="00AE18CE" w:rsidP="00B67E83">
            <w:pPr>
              <w:jc w:val="center"/>
              <w:rPr>
                <w:rFonts w:ascii="Times New Roman" w:hAnsi="Times New Roman"/>
                <w:sz w:val="24"/>
                <w:szCs w:val="24"/>
                <w:lang w:val="en-GB"/>
              </w:rPr>
            </w:pPr>
            <w:r w:rsidRPr="009F39C5">
              <w:rPr>
                <w:rFonts w:ascii="Times New Roman" w:hAnsi="Times New Roman"/>
                <w:sz w:val="24"/>
                <w:szCs w:val="24"/>
                <w:lang w:val="en-GB"/>
              </w:rPr>
              <w:t>A3</w:t>
            </w:r>
          </w:p>
        </w:tc>
        <w:tc>
          <w:tcPr>
            <w:tcW w:w="8626" w:type="dxa"/>
          </w:tcPr>
          <w:p w14:paraId="5981231A" w14:textId="77777777" w:rsidR="00AE18CE" w:rsidRPr="009F39C5" w:rsidRDefault="00082621" w:rsidP="00082621">
            <w:pPr>
              <w:jc w:val="both"/>
              <w:rPr>
                <w:rFonts w:ascii="Times New Roman" w:hAnsi="Times New Roman"/>
                <w:sz w:val="24"/>
                <w:szCs w:val="24"/>
                <w:lang w:val="en-GB"/>
              </w:rPr>
            </w:pPr>
            <w:r w:rsidRPr="009F39C5">
              <w:rPr>
                <w:rFonts w:ascii="Times New Roman" w:hAnsi="Times New Roman"/>
                <w:sz w:val="24"/>
                <w:szCs w:val="24"/>
                <w:lang w:val="en-GB"/>
              </w:rPr>
              <w:t>Please refer to section 2.2.2 of the Guidelines for Grant Applicants („Where and how to send concept notes“), stating the address of the Ministry of Finance in Montenegro where the concept notes has to be sent.</w:t>
            </w:r>
          </w:p>
          <w:p w14:paraId="4A2C7D8D" w14:textId="478F167C" w:rsidR="00082621" w:rsidRPr="009F39C5" w:rsidRDefault="00D95172" w:rsidP="00082621">
            <w:pPr>
              <w:jc w:val="both"/>
              <w:rPr>
                <w:rFonts w:ascii="Times New Roman" w:hAnsi="Times New Roman"/>
                <w:sz w:val="24"/>
                <w:szCs w:val="24"/>
                <w:lang w:val="en-GB"/>
              </w:rPr>
            </w:pPr>
            <w:r w:rsidRPr="009F39C5">
              <w:rPr>
                <w:rFonts w:ascii="Times New Roman" w:hAnsi="Times New Roman"/>
                <w:sz w:val="24"/>
                <w:szCs w:val="24"/>
                <w:lang w:val="en-GB"/>
              </w:rPr>
              <w:t>For this</w:t>
            </w:r>
            <w:r w:rsidR="00082621" w:rsidRPr="009F39C5">
              <w:rPr>
                <w:rFonts w:ascii="Times New Roman" w:hAnsi="Times New Roman"/>
                <w:sz w:val="24"/>
                <w:szCs w:val="24"/>
                <w:lang w:val="en-GB"/>
              </w:rPr>
              <w:t xml:space="preserve"> Cross-Border Cooperation Programme Montenegro - Kosovo, the Contracting Authority is the Ministry of Finance - Directorate for Financing </w:t>
            </w:r>
            <w:r w:rsidR="002D666C" w:rsidRPr="009F39C5">
              <w:rPr>
                <w:rFonts w:ascii="Times New Roman" w:hAnsi="Times New Roman"/>
                <w:sz w:val="24"/>
                <w:szCs w:val="24"/>
                <w:lang w:val="en-GB"/>
              </w:rPr>
              <w:t>and Contracting of the EU Assistance Funds (CFCU) which is located in Montenegro. The Concept Notes must be submitted only to the Contracting Authority.</w:t>
            </w:r>
          </w:p>
        </w:tc>
      </w:tr>
      <w:tr w:rsidR="00AE18CE" w:rsidRPr="009F39C5" w14:paraId="5AC9DA16" w14:textId="77777777" w:rsidTr="00F33AA6">
        <w:trPr>
          <w:trHeight w:val="332"/>
        </w:trPr>
        <w:tc>
          <w:tcPr>
            <w:tcW w:w="980" w:type="dxa"/>
            <w:vAlign w:val="center"/>
          </w:tcPr>
          <w:p w14:paraId="5C367095" w14:textId="77777777" w:rsidR="00AE18CE" w:rsidRPr="009F39C5" w:rsidRDefault="00AE18CE" w:rsidP="00B67E83">
            <w:pPr>
              <w:jc w:val="center"/>
              <w:rPr>
                <w:rFonts w:ascii="Times New Roman" w:hAnsi="Times New Roman"/>
                <w:sz w:val="24"/>
                <w:szCs w:val="24"/>
                <w:lang w:val="en-GB"/>
              </w:rPr>
            </w:pPr>
            <w:r w:rsidRPr="009F39C5">
              <w:rPr>
                <w:rFonts w:ascii="Times New Roman" w:hAnsi="Times New Roman"/>
                <w:sz w:val="24"/>
                <w:szCs w:val="24"/>
                <w:lang w:val="en-GB"/>
              </w:rPr>
              <w:t>Q4</w:t>
            </w:r>
          </w:p>
        </w:tc>
        <w:tc>
          <w:tcPr>
            <w:tcW w:w="8626" w:type="dxa"/>
          </w:tcPr>
          <w:p w14:paraId="2F89F6B2" w14:textId="77777777" w:rsidR="00AE18CE" w:rsidRPr="009F39C5" w:rsidRDefault="00D52FBA" w:rsidP="00AE18CE">
            <w:pPr>
              <w:jc w:val="both"/>
              <w:rPr>
                <w:rFonts w:ascii="Times New Roman" w:hAnsi="Times New Roman"/>
                <w:sz w:val="24"/>
                <w:szCs w:val="24"/>
              </w:rPr>
            </w:pPr>
            <w:r w:rsidRPr="009F39C5">
              <w:rPr>
                <w:rFonts w:ascii="Times New Roman" w:hAnsi="Times New Roman"/>
                <w:sz w:val="24"/>
                <w:szCs w:val="24"/>
              </w:rPr>
              <w:t>In which phase are co-applicants in obligation to submit statements?</w:t>
            </w:r>
          </w:p>
        </w:tc>
      </w:tr>
      <w:tr w:rsidR="00AE18CE" w:rsidRPr="009F39C5" w14:paraId="6E86EDEF" w14:textId="77777777" w:rsidTr="00F33AA6">
        <w:trPr>
          <w:trHeight w:val="638"/>
        </w:trPr>
        <w:tc>
          <w:tcPr>
            <w:tcW w:w="980" w:type="dxa"/>
            <w:vAlign w:val="center"/>
          </w:tcPr>
          <w:p w14:paraId="0CC06C84" w14:textId="77777777" w:rsidR="00AE18CE" w:rsidRPr="009F39C5" w:rsidRDefault="00AE18CE" w:rsidP="00B67E83">
            <w:pPr>
              <w:jc w:val="center"/>
              <w:rPr>
                <w:rFonts w:ascii="Times New Roman" w:hAnsi="Times New Roman"/>
                <w:sz w:val="24"/>
                <w:szCs w:val="24"/>
                <w:lang w:val="en-GB"/>
              </w:rPr>
            </w:pPr>
            <w:r w:rsidRPr="009F39C5">
              <w:rPr>
                <w:rFonts w:ascii="Times New Roman" w:hAnsi="Times New Roman"/>
                <w:sz w:val="24"/>
                <w:szCs w:val="24"/>
                <w:lang w:val="en-GB"/>
              </w:rPr>
              <w:t>A4</w:t>
            </w:r>
          </w:p>
        </w:tc>
        <w:tc>
          <w:tcPr>
            <w:tcW w:w="8626" w:type="dxa"/>
          </w:tcPr>
          <w:p w14:paraId="4D0FB45B" w14:textId="77777777" w:rsidR="00AE18CE" w:rsidRPr="009F39C5" w:rsidRDefault="002D666C" w:rsidP="00357E58">
            <w:pPr>
              <w:jc w:val="both"/>
              <w:rPr>
                <w:rFonts w:ascii="Times New Roman" w:hAnsi="Times New Roman"/>
                <w:sz w:val="24"/>
                <w:szCs w:val="24"/>
                <w:lang w:val="en-GB"/>
              </w:rPr>
            </w:pPr>
            <w:r w:rsidRPr="009F39C5">
              <w:rPr>
                <w:rFonts w:ascii="Times New Roman" w:hAnsi="Times New Roman"/>
                <w:sz w:val="24"/>
                <w:szCs w:val="24"/>
                <w:lang w:val="en-GB"/>
              </w:rPr>
              <w:t xml:space="preserve">Please refer to part B section 4 of the Grant Application Form (“The Co-applicants), where the mandate for co-applicants is provided. This mandate has to be filled in and signed for the purpose of submission of the full application in those cases when the </w:t>
            </w:r>
            <w:r w:rsidRPr="009F39C5">
              <w:rPr>
                <w:rFonts w:ascii="Times New Roman" w:hAnsi="Times New Roman"/>
                <w:sz w:val="24"/>
                <w:szCs w:val="24"/>
                <w:lang w:val="en-GB"/>
              </w:rPr>
              <w:lastRenderedPageBreak/>
              <w:t>concept note is pre-selected for step 2.</w:t>
            </w:r>
          </w:p>
        </w:tc>
      </w:tr>
      <w:tr w:rsidR="00357E58" w:rsidRPr="009F39C5" w14:paraId="41F3D360" w14:textId="77777777" w:rsidTr="00F33AA6">
        <w:trPr>
          <w:trHeight w:val="638"/>
        </w:trPr>
        <w:tc>
          <w:tcPr>
            <w:tcW w:w="980" w:type="dxa"/>
            <w:vAlign w:val="center"/>
          </w:tcPr>
          <w:p w14:paraId="4962D2B9" w14:textId="77777777" w:rsidR="00357E58" w:rsidRPr="009F39C5" w:rsidRDefault="00357E58" w:rsidP="00B67E83">
            <w:pPr>
              <w:jc w:val="center"/>
              <w:rPr>
                <w:rFonts w:ascii="Times New Roman" w:hAnsi="Times New Roman"/>
                <w:sz w:val="24"/>
                <w:szCs w:val="24"/>
                <w:lang w:val="en-GB"/>
              </w:rPr>
            </w:pPr>
            <w:r w:rsidRPr="009F39C5">
              <w:rPr>
                <w:rFonts w:ascii="Times New Roman" w:hAnsi="Times New Roman"/>
                <w:sz w:val="24"/>
                <w:szCs w:val="24"/>
                <w:lang w:val="en-GB"/>
              </w:rPr>
              <w:lastRenderedPageBreak/>
              <w:t>Q5</w:t>
            </w:r>
          </w:p>
        </w:tc>
        <w:tc>
          <w:tcPr>
            <w:tcW w:w="8626" w:type="dxa"/>
          </w:tcPr>
          <w:p w14:paraId="6F3AE86F" w14:textId="77777777" w:rsidR="00357E58" w:rsidRPr="009F39C5" w:rsidRDefault="00BA7971" w:rsidP="00357E58">
            <w:pPr>
              <w:jc w:val="both"/>
              <w:rPr>
                <w:rFonts w:ascii="Times New Roman" w:hAnsi="Times New Roman"/>
                <w:sz w:val="24"/>
                <w:szCs w:val="24"/>
                <w:lang w:val="en-GB"/>
              </w:rPr>
            </w:pPr>
            <w:r w:rsidRPr="009F39C5">
              <w:rPr>
                <w:rFonts w:ascii="Times New Roman" w:hAnsi="Times New Roman"/>
                <w:sz w:val="24"/>
                <w:szCs w:val="24"/>
              </w:rPr>
              <w:t xml:space="preserve">Do </w:t>
            </w:r>
            <w:r w:rsidR="00357E58" w:rsidRPr="009F39C5">
              <w:rPr>
                <w:rFonts w:ascii="Times New Roman" w:hAnsi="Times New Roman"/>
                <w:sz w:val="24"/>
                <w:szCs w:val="24"/>
              </w:rPr>
              <w:t>co-applicants need to submit the same supporting documentation for the purpose of the “eligibility</w:t>
            </w:r>
            <w:r w:rsidRPr="009F39C5">
              <w:rPr>
                <w:rFonts w:ascii="Times New Roman" w:hAnsi="Times New Roman"/>
                <w:sz w:val="24"/>
                <w:szCs w:val="24"/>
              </w:rPr>
              <w:t xml:space="preserve"> check” </w:t>
            </w:r>
            <w:r w:rsidR="00357E58" w:rsidRPr="009F39C5">
              <w:rPr>
                <w:rFonts w:ascii="Times New Roman" w:hAnsi="Times New Roman"/>
                <w:sz w:val="24"/>
                <w:szCs w:val="24"/>
              </w:rPr>
              <w:t>as the lead-applicants?</w:t>
            </w:r>
          </w:p>
        </w:tc>
      </w:tr>
      <w:tr w:rsidR="00357E58" w:rsidRPr="009F39C5" w14:paraId="5EA7C34C" w14:textId="77777777" w:rsidTr="00F33AA6">
        <w:trPr>
          <w:trHeight w:val="638"/>
        </w:trPr>
        <w:tc>
          <w:tcPr>
            <w:tcW w:w="980" w:type="dxa"/>
            <w:vAlign w:val="center"/>
          </w:tcPr>
          <w:p w14:paraId="4200D6D4" w14:textId="77777777" w:rsidR="00357E58" w:rsidRPr="009F39C5" w:rsidRDefault="00357E58" w:rsidP="00B67E83">
            <w:pPr>
              <w:jc w:val="center"/>
              <w:rPr>
                <w:rFonts w:ascii="Times New Roman" w:hAnsi="Times New Roman"/>
                <w:sz w:val="24"/>
                <w:szCs w:val="24"/>
                <w:lang w:val="en-GB"/>
              </w:rPr>
            </w:pPr>
            <w:r w:rsidRPr="009F39C5">
              <w:rPr>
                <w:rFonts w:ascii="Times New Roman" w:hAnsi="Times New Roman"/>
                <w:sz w:val="24"/>
                <w:szCs w:val="24"/>
                <w:lang w:val="en-GB"/>
              </w:rPr>
              <w:t>A5</w:t>
            </w:r>
          </w:p>
        </w:tc>
        <w:tc>
          <w:tcPr>
            <w:tcW w:w="8626" w:type="dxa"/>
          </w:tcPr>
          <w:p w14:paraId="353E4B66" w14:textId="77777777" w:rsidR="00357E58" w:rsidRPr="009F39C5" w:rsidRDefault="00357E58" w:rsidP="00357E58">
            <w:pPr>
              <w:jc w:val="both"/>
              <w:rPr>
                <w:rFonts w:ascii="Times New Roman" w:hAnsi="Times New Roman"/>
                <w:sz w:val="24"/>
                <w:szCs w:val="24"/>
                <w:lang w:val="en-GB"/>
              </w:rPr>
            </w:pPr>
            <w:r w:rsidRPr="009F39C5">
              <w:rPr>
                <w:rFonts w:ascii="Times New Roman" w:hAnsi="Times New Roman"/>
                <w:sz w:val="24"/>
                <w:szCs w:val="24"/>
                <w:lang w:val="en-GB"/>
              </w:rPr>
              <w:t>Please refer to the section 2.4  of the G</w:t>
            </w:r>
            <w:r w:rsidR="00DA3439" w:rsidRPr="009F39C5">
              <w:rPr>
                <w:rFonts w:ascii="Times New Roman" w:hAnsi="Times New Roman"/>
                <w:sz w:val="24"/>
                <w:szCs w:val="24"/>
                <w:lang w:val="en-GB"/>
              </w:rPr>
              <w:t>uidelines for Grant Applicants (</w:t>
            </w:r>
            <w:r w:rsidRPr="009F39C5">
              <w:rPr>
                <w:rFonts w:ascii="Times New Roman" w:hAnsi="Times New Roman"/>
                <w:sz w:val="24"/>
                <w:szCs w:val="24"/>
                <w:lang w:val="en-GB"/>
              </w:rPr>
              <w:t>“</w:t>
            </w:r>
            <w:bookmarkStart w:id="1" w:name="_Toc437893860"/>
            <w:r w:rsidRPr="009F39C5">
              <w:rPr>
                <w:rFonts w:ascii="Times New Roman" w:hAnsi="Times New Roman"/>
                <w:snapToGrid w:val="0"/>
                <w:sz w:val="24"/>
                <w:szCs w:val="24"/>
                <w:lang w:val="en-GB"/>
              </w:rPr>
              <w:t xml:space="preserve"> </w:t>
            </w:r>
            <w:r w:rsidRPr="009F39C5">
              <w:rPr>
                <w:rFonts w:ascii="Times New Roman" w:hAnsi="Times New Roman"/>
                <w:sz w:val="24"/>
                <w:szCs w:val="24"/>
                <w:lang w:val="en-GB"/>
              </w:rPr>
              <w:t>Submission of supporting documents for provisionally selected applications</w:t>
            </w:r>
            <w:bookmarkEnd w:id="1"/>
            <w:r w:rsidRPr="009F39C5">
              <w:rPr>
                <w:rFonts w:ascii="Times New Roman" w:hAnsi="Times New Roman"/>
                <w:sz w:val="24"/>
                <w:szCs w:val="24"/>
                <w:lang w:val="en-GB"/>
              </w:rPr>
              <w:t>”</w:t>
            </w:r>
            <w:r w:rsidR="00DA3439" w:rsidRPr="009F39C5">
              <w:rPr>
                <w:rFonts w:ascii="Times New Roman" w:hAnsi="Times New Roman"/>
                <w:sz w:val="24"/>
                <w:szCs w:val="24"/>
                <w:lang w:val="en-GB"/>
              </w:rPr>
              <w:t>)</w:t>
            </w:r>
            <w:r w:rsidRPr="009F39C5">
              <w:rPr>
                <w:rFonts w:ascii="Times New Roman" w:hAnsi="Times New Roman"/>
                <w:sz w:val="24"/>
                <w:szCs w:val="24"/>
                <w:lang w:val="en-GB"/>
              </w:rPr>
              <w:t>, stating the following:</w:t>
            </w:r>
          </w:p>
          <w:p w14:paraId="31DF4D5D" w14:textId="77777777" w:rsidR="00357E58" w:rsidRPr="009F39C5" w:rsidRDefault="00357E58" w:rsidP="00357E58">
            <w:pPr>
              <w:jc w:val="both"/>
              <w:rPr>
                <w:rFonts w:ascii="Times New Roman" w:hAnsi="Times New Roman"/>
                <w:sz w:val="24"/>
                <w:szCs w:val="24"/>
                <w:lang w:val="en-GB"/>
              </w:rPr>
            </w:pPr>
            <w:r w:rsidRPr="009F39C5">
              <w:rPr>
                <w:rFonts w:ascii="Times New Roman" w:hAnsi="Times New Roman"/>
                <w:sz w:val="24"/>
                <w:szCs w:val="24"/>
                <w:lang w:val="en-GB"/>
              </w:rPr>
              <w:t xml:space="preserve">“A lead applicant whose application has been provisionally selected or placed on the reserve list will be informed in writing by the Contracting Authority. It will be requested to supply the following documents in order to allow the Contracting Authority to verify the </w:t>
            </w:r>
            <w:r w:rsidRPr="002F1C8D">
              <w:rPr>
                <w:rFonts w:ascii="Times New Roman" w:hAnsi="Times New Roman"/>
                <w:sz w:val="24"/>
                <w:szCs w:val="24"/>
                <w:lang w:val="en-GB"/>
              </w:rPr>
              <w:t>eligibility of the lead applicant, (if any) of the co-applicant(s) and (if any)of their affiliated entity(ies)”.</w:t>
            </w:r>
          </w:p>
        </w:tc>
      </w:tr>
      <w:tr w:rsidR="00AE18CE" w:rsidRPr="009F39C5" w14:paraId="470FDA8D" w14:textId="77777777" w:rsidTr="00F33AA6">
        <w:trPr>
          <w:trHeight w:val="242"/>
        </w:trPr>
        <w:tc>
          <w:tcPr>
            <w:tcW w:w="980" w:type="dxa"/>
            <w:vAlign w:val="center"/>
          </w:tcPr>
          <w:p w14:paraId="64FC24A2" w14:textId="2107501E" w:rsidR="00AE18CE" w:rsidRPr="009F39C5" w:rsidRDefault="00AE18CE" w:rsidP="009F39C5">
            <w:pPr>
              <w:jc w:val="center"/>
              <w:rPr>
                <w:rFonts w:ascii="Times New Roman" w:hAnsi="Times New Roman"/>
                <w:sz w:val="24"/>
                <w:szCs w:val="24"/>
                <w:lang w:val="en-GB"/>
              </w:rPr>
            </w:pPr>
            <w:r w:rsidRPr="009F39C5">
              <w:rPr>
                <w:rFonts w:ascii="Times New Roman" w:hAnsi="Times New Roman"/>
                <w:sz w:val="24"/>
                <w:szCs w:val="24"/>
                <w:lang w:val="en-GB"/>
              </w:rPr>
              <w:t>Q</w:t>
            </w:r>
            <w:r w:rsidR="009F39C5">
              <w:rPr>
                <w:rFonts w:ascii="Times New Roman" w:hAnsi="Times New Roman"/>
                <w:sz w:val="24"/>
                <w:szCs w:val="24"/>
                <w:lang w:val="en-GB"/>
              </w:rPr>
              <w:t>6</w:t>
            </w:r>
          </w:p>
        </w:tc>
        <w:tc>
          <w:tcPr>
            <w:tcW w:w="8626" w:type="dxa"/>
          </w:tcPr>
          <w:p w14:paraId="38163584" w14:textId="77777777" w:rsidR="00AE18CE" w:rsidRPr="009F39C5" w:rsidRDefault="00D52FBA" w:rsidP="00AE18CE">
            <w:pPr>
              <w:jc w:val="both"/>
              <w:rPr>
                <w:rFonts w:ascii="Times New Roman" w:hAnsi="Times New Roman"/>
                <w:sz w:val="24"/>
                <w:szCs w:val="24"/>
              </w:rPr>
            </w:pPr>
            <w:r w:rsidRPr="009F39C5">
              <w:rPr>
                <w:rFonts w:ascii="Times New Roman" w:hAnsi="Times New Roman"/>
                <w:sz w:val="24"/>
                <w:szCs w:val="24"/>
              </w:rPr>
              <w:t>What is the percentage of co-financing under this Call for Proposals?</w:t>
            </w:r>
          </w:p>
        </w:tc>
      </w:tr>
      <w:tr w:rsidR="00AE18CE" w:rsidRPr="009F39C5" w14:paraId="66A73F3A" w14:textId="77777777" w:rsidTr="00F33AA6">
        <w:trPr>
          <w:trHeight w:val="638"/>
        </w:trPr>
        <w:tc>
          <w:tcPr>
            <w:tcW w:w="980" w:type="dxa"/>
            <w:vAlign w:val="center"/>
          </w:tcPr>
          <w:p w14:paraId="464025A5" w14:textId="048B37EB" w:rsidR="00AE18CE" w:rsidRPr="009F39C5" w:rsidRDefault="00AE18CE" w:rsidP="009F39C5">
            <w:pPr>
              <w:jc w:val="center"/>
              <w:rPr>
                <w:rFonts w:ascii="Times New Roman" w:hAnsi="Times New Roman"/>
                <w:sz w:val="24"/>
                <w:szCs w:val="24"/>
                <w:lang w:val="en-GB"/>
              </w:rPr>
            </w:pPr>
            <w:r w:rsidRPr="009F39C5">
              <w:rPr>
                <w:rFonts w:ascii="Times New Roman" w:hAnsi="Times New Roman"/>
                <w:sz w:val="24"/>
                <w:szCs w:val="24"/>
                <w:lang w:val="en-GB"/>
              </w:rPr>
              <w:t>A</w:t>
            </w:r>
            <w:r w:rsidR="009F39C5">
              <w:rPr>
                <w:rFonts w:ascii="Times New Roman" w:hAnsi="Times New Roman"/>
                <w:sz w:val="24"/>
                <w:szCs w:val="24"/>
                <w:lang w:val="en-GB"/>
              </w:rPr>
              <w:t>6</w:t>
            </w:r>
          </w:p>
        </w:tc>
        <w:tc>
          <w:tcPr>
            <w:tcW w:w="8626" w:type="dxa"/>
          </w:tcPr>
          <w:p w14:paraId="25F0FD4A" w14:textId="77777777" w:rsidR="00AE18CE" w:rsidRPr="009F39C5" w:rsidRDefault="00D52FBA" w:rsidP="00AE18CE">
            <w:pPr>
              <w:jc w:val="both"/>
              <w:rPr>
                <w:rFonts w:ascii="Times New Roman" w:hAnsi="Times New Roman"/>
                <w:sz w:val="24"/>
                <w:szCs w:val="24"/>
                <w:lang w:val="en-GB"/>
              </w:rPr>
            </w:pPr>
            <w:r w:rsidRPr="009F39C5">
              <w:rPr>
                <w:rFonts w:ascii="Times New Roman" w:hAnsi="Times New Roman"/>
                <w:sz w:val="24"/>
                <w:szCs w:val="24"/>
                <w:lang w:val="en-GB"/>
              </w:rPr>
              <w:t xml:space="preserve">The percentage of co-financing under this Call for Proposals is </w:t>
            </w:r>
            <w:r w:rsidR="00DA3439" w:rsidRPr="009F39C5">
              <w:rPr>
                <w:rFonts w:ascii="Times New Roman" w:hAnsi="Times New Roman"/>
                <w:sz w:val="24"/>
                <w:szCs w:val="24"/>
                <w:lang w:val="en-GB"/>
              </w:rPr>
              <w:t>stated in the Section 1.3 of the Guidelines for</w:t>
            </w:r>
            <w:r w:rsidR="002634AA" w:rsidRPr="009F39C5">
              <w:rPr>
                <w:rFonts w:ascii="Times New Roman" w:hAnsi="Times New Roman"/>
                <w:sz w:val="24"/>
                <w:szCs w:val="24"/>
                <w:lang w:val="en-GB"/>
              </w:rPr>
              <w:t xml:space="preserve"> Grant</w:t>
            </w:r>
            <w:r w:rsidR="00DA3439" w:rsidRPr="009F39C5">
              <w:rPr>
                <w:rFonts w:ascii="Times New Roman" w:hAnsi="Times New Roman"/>
                <w:sz w:val="24"/>
                <w:szCs w:val="24"/>
                <w:lang w:val="en-GB"/>
              </w:rPr>
              <w:t xml:space="preserve"> Applicants (“Financial allocation provided by the Contracting Authority”)</w:t>
            </w:r>
            <w:r w:rsidR="00425E19" w:rsidRPr="009F39C5">
              <w:rPr>
                <w:rFonts w:ascii="Times New Roman" w:hAnsi="Times New Roman"/>
                <w:sz w:val="24"/>
                <w:szCs w:val="24"/>
                <w:lang w:val="en-GB"/>
              </w:rPr>
              <w:t>, sub-section “Size of Grants”</w:t>
            </w:r>
            <w:r w:rsidR="00DA3439" w:rsidRPr="009F39C5">
              <w:rPr>
                <w:rFonts w:ascii="Times New Roman" w:hAnsi="Times New Roman"/>
                <w:sz w:val="24"/>
                <w:szCs w:val="24"/>
                <w:lang w:val="en-GB"/>
              </w:rPr>
              <w:t xml:space="preserve"> and is </w:t>
            </w:r>
            <w:r w:rsidRPr="009F39C5">
              <w:rPr>
                <w:rFonts w:ascii="Times New Roman" w:hAnsi="Times New Roman"/>
                <w:sz w:val="24"/>
                <w:szCs w:val="24"/>
                <w:lang w:val="en-GB"/>
              </w:rPr>
              <w:t>as follows:</w:t>
            </w:r>
          </w:p>
          <w:p w14:paraId="2931CB43" w14:textId="77777777" w:rsidR="00D52FBA" w:rsidRPr="009F39C5" w:rsidRDefault="00D52FBA" w:rsidP="00357E58">
            <w:pPr>
              <w:pStyle w:val="ListParagraph"/>
              <w:numPr>
                <w:ilvl w:val="0"/>
                <w:numId w:val="31"/>
              </w:numPr>
              <w:jc w:val="both"/>
              <w:rPr>
                <w:rFonts w:ascii="Times New Roman" w:hAnsi="Times New Roman"/>
                <w:sz w:val="24"/>
                <w:szCs w:val="24"/>
                <w:lang w:val="en-GB"/>
              </w:rPr>
            </w:pPr>
            <w:r w:rsidRPr="009F39C5">
              <w:rPr>
                <w:rFonts w:ascii="Times New Roman" w:hAnsi="Times New Roman"/>
                <w:sz w:val="24"/>
                <w:szCs w:val="24"/>
                <w:lang w:val="en-GB"/>
              </w:rPr>
              <w:t>Minimum co-financing percentage: 15%,</w:t>
            </w:r>
          </w:p>
          <w:p w14:paraId="764F98D6" w14:textId="77777777" w:rsidR="00D52FBA" w:rsidRPr="009F39C5" w:rsidRDefault="00D52FBA" w:rsidP="00357E58">
            <w:pPr>
              <w:pStyle w:val="ListParagraph"/>
              <w:numPr>
                <w:ilvl w:val="0"/>
                <w:numId w:val="31"/>
              </w:numPr>
              <w:jc w:val="both"/>
              <w:rPr>
                <w:rFonts w:ascii="Times New Roman" w:hAnsi="Times New Roman"/>
                <w:sz w:val="24"/>
                <w:szCs w:val="24"/>
                <w:lang w:val="en-GB"/>
              </w:rPr>
            </w:pPr>
            <w:r w:rsidRPr="009F39C5">
              <w:rPr>
                <w:rFonts w:ascii="Times New Roman" w:hAnsi="Times New Roman"/>
                <w:sz w:val="24"/>
                <w:szCs w:val="24"/>
                <w:lang w:val="en-GB"/>
              </w:rPr>
              <w:t>Maximum co-financing percentage: 50%.</w:t>
            </w:r>
          </w:p>
        </w:tc>
      </w:tr>
      <w:tr w:rsidR="00D61609" w:rsidRPr="009F39C5" w14:paraId="7C0BF054" w14:textId="77777777" w:rsidTr="00F33AA6">
        <w:trPr>
          <w:trHeight w:val="638"/>
        </w:trPr>
        <w:tc>
          <w:tcPr>
            <w:tcW w:w="980" w:type="dxa"/>
            <w:vAlign w:val="center"/>
          </w:tcPr>
          <w:p w14:paraId="39318D15" w14:textId="7B515AF5" w:rsidR="00D61609" w:rsidRPr="009F39C5" w:rsidRDefault="00357E58" w:rsidP="009F39C5">
            <w:pPr>
              <w:jc w:val="center"/>
              <w:rPr>
                <w:rFonts w:ascii="Times New Roman" w:hAnsi="Times New Roman"/>
                <w:sz w:val="24"/>
                <w:szCs w:val="24"/>
                <w:lang w:val="en-GB"/>
              </w:rPr>
            </w:pPr>
            <w:r w:rsidRPr="009F39C5">
              <w:rPr>
                <w:rFonts w:ascii="Times New Roman" w:hAnsi="Times New Roman"/>
                <w:sz w:val="24"/>
                <w:szCs w:val="24"/>
                <w:lang w:val="en-GB"/>
              </w:rPr>
              <w:t>Q</w:t>
            </w:r>
            <w:r w:rsidR="009F39C5">
              <w:rPr>
                <w:rFonts w:ascii="Times New Roman" w:hAnsi="Times New Roman"/>
                <w:sz w:val="24"/>
                <w:szCs w:val="24"/>
                <w:lang w:val="en-GB"/>
              </w:rPr>
              <w:t>7</w:t>
            </w:r>
          </w:p>
        </w:tc>
        <w:tc>
          <w:tcPr>
            <w:tcW w:w="8626" w:type="dxa"/>
          </w:tcPr>
          <w:p w14:paraId="3CFE1F84" w14:textId="77777777" w:rsidR="00D61609" w:rsidRPr="009F39C5" w:rsidRDefault="00D61609">
            <w:pPr>
              <w:rPr>
                <w:rFonts w:ascii="Times New Roman" w:hAnsi="Times New Roman"/>
                <w:sz w:val="24"/>
                <w:szCs w:val="24"/>
                <w:lang w:val="en-GB"/>
              </w:rPr>
            </w:pPr>
            <w:r w:rsidRPr="009F39C5">
              <w:rPr>
                <w:rFonts w:ascii="Times New Roman" w:hAnsi="Times New Roman"/>
                <w:sz w:val="24"/>
                <w:szCs w:val="24"/>
              </w:rPr>
              <w:t xml:space="preserve">Is it necessary to submit only one budget for the action or separate budgets for each </w:t>
            </w:r>
            <w:r w:rsidR="006A6FD3" w:rsidRPr="009F39C5">
              <w:rPr>
                <w:rFonts w:ascii="Times New Roman" w:hAnsi="Times New Roman"/>
                <w:sz w:val="24"/>
                <w:szCs w:val="24"/>
              </w:rPr>
              <w:t xml:space="preserve">grant </w:t>
            </w:r>
            <w:r w:rsidRPr="009F39C5">
              <w:rPr>
                <w:rFonts w:ascii="Times New Roman" w:hAnsi="Times New Roman"/>
                <w:sz w:val="24"/>
                <w:szCs w:val="24"/>
              </w:rPr>
              <w:t>actor should be submitted?</w:t>
            </w:r>
          </w:p>
        </w:tc>
      </w:tr>
      <w:tr w:rsidR="00D61609" w:rsidRPr="009F39C5" w14:paraId="22203810" w14:textId="77777777" w:rsidTr="00F33AA6">
        <w:trPr>
          <w:trHeight w:val="638"/>
        </w:trPr>
        <w:tc>
          <w:tcPr>
            <w:tcW w:w="980" w:type="dxa"/>
            <w:vAlign w:val="center"/>
          </w:tcPr>
          <w:p w14:paraId="710FBD80" w14:textId="7E11287C" w:rsidR="00D61609" w:rsidRPr="009F39C5" w:rsidRDefault="009F39C5" w:rsidP="00B67E83">
            <w:pPr>
              <w:jc w:val="center"/>
              <w:rPr>
                <w:rFonts w:ascii="Times New Roman" w:hAnsi="Times New Roman"/>
                <w:sz w:val="24"/>
                <w:szCs w:val="24"/>
                <w:lang w:val="en-GB"/>
              </w:rPr>
            </w:pPr>
            <w:r>
              <w:rPr>
                <w:rFonts w:ascii="Times New Roman" w:hAnsi="Times New Roman"/>
                <w:sz w:val="24"/>
                <w:szCs w:val="24"/>
                <w:lang w:val="en-GB"/>
              </w:rPr>
              <w:t>A7</w:t>
            </w:r>
          </w:p>
        </w:tc>
        <w:tc>
          <w:tcPr>
            <w:tcW w:w="8626" w:type="dxa"/>
          </w:tcPr>
          <w:p w14:paraId="42226F06" w14:textId="77777777" w:rsidR="002F1C8D" w:rsidRDefault="00D61609" w:rsidP="002F1C8D">
            <w:pPr>
              <w:jc w:val="both"/>
              <w:rPr>
                <w:rFonts w:ascii="Times New Roman" w:hAnsi="Times New Roman"/>
                <w:sz w:val="24"/>
                <w:szCs w:val="24"/>
              </w:rPr>
            </w:pPr>
            <w:r w:rsidRPr="002F1C8D">
              <w:rPr>
                <w:rFonts w:ascii="Times New Roman" w:hAnsi="Times New Roman"/>
                <w:sz w:val="24"/>
                <w:szCs w:val="24"/>
              </w:rPr>
              <w:t xml:space="preserve">The applicants whose applications are provisionally selected must submit one joint budget </w:t>
            </w:r>
            <w:r w:rsidR="00535720" w:rsidRPr="002F1C8D">
              <w:rPr>
                <w:rFonts w:ascii="Times New Roman" w:hAnsi="Times New Roman"/>
                <w:sz w:val="24"/>
                <w:szCs w:val="24"/>
              </w:rPr>
              <w:t xml:space="preserve">(Annex B in the Application package) </w:t>
            </w:r>
            <w:r w:rsidRPr="002F1C8D">
              <w:rPr>
                <w:rFonts w:ascii="Times New Roman" w:hAnsi="Times New Roman"/>
                <w:sz w:val="24"/>
                <w:szCs w:val="24"/>
              </w:rPr>
              <w:t xml:space="preserve">for the action together with the Full Application. In addition, please refer to the Section 2.1.4. of the Guidelines for Grant Applicants </w:t>
            </w:r>
            <w:r w:rsidR="00DA3439" w:rsidRPr="002F1C8D">
              <w:rPr>
                <w:rFonts w:ascii="Times New Roman" w:hAnsi="Times New Roman"/>
                <w:sz w:val="24"/>
                <w:szCs w:val="24"/>
              </w:rPr>
              <w:t>(“</w:t>
            </w:r>
            <w:r w:rsidRPr="002F1C8D">
              <w:rPr>
                <w:rFonts w:ascii="Times New Roman" w:hAnsi="Times New Roman"/>
                <w:sz w:val="24"/>
                <w:szCs w:val="24"/>
              </w:rPr>
              <w:t>Eligible actions: actions for which an application may be made</w:t>
            </w:r>
            <w:r w:rsidR="00DA3439" w:rsidRPr="002F1C8D">
              <w:rPr>
                <w:rFonts w:ascii="Times New Roman" w:hAnsi="Times New Roman"/>
                <w:sz w:val="24"/>
                <w:szCs w:val="24"/>
              </w:rPr>
              <w:t>”)</w:t>
            </w:r>
            <w:r w:rsidRPr="002F1C8D">
              <w:rPr>
                <w:rFonts w:ascii="Times New Roman" w:hAnsi="Times New Roman"/>
                <w:sz w:val="24"/>
                <w:szCs w:val="24"/>
              </w:rPr>
              <w:t xml:space="preserve">, stating that: </w:t>
            </w:r>
          </w:p>
          <w:p w14:paraId="229FA2F7" w14:textId="77777777" w:rsidR="002F1C8D" w:rsidRDefault="00D61609" w:rsidP="002F1C8D">
            <w:pPr>
              <w:jc w:val="both"/>
              <w:rPr>
                <w:rFonts w:ascii="Times New Roman" w:hAnsi="Times New Roman"/>
                <w:sz w:val="24"/>
                <w:szCs w:val="24"/>
              </w:rPr>
            </w:pPr>
            <w:r w:rsidRPr="002F1C8D">
              <w:rPr>
                <w:rFonts w:ascii="Times New Roman" w:hAnsi="Times New Roman"/>
                <w:sz w:val="24"/>
                <w:szCs w:val="24"/>
              </w:rPr>
              <w:t xml:space="preserve">“The action must involve cross-border cooperation in order to be eligible, i.e. it shall foresee cooperation of the cross-border lead applicant and its co-applicants in the development and </w:t>
            </w:r>
            <w:r w:rsidR="00DA3439" w:rsidRPr="002F1C8D">
              <w:rPr>
                <w:rFonts w:ascii="Times New Roman" w:hAnsi="Times New Roman"/>
                <w:sz w:val="24"/>
                <w:szCs w:val="24"/>
              </w:rPr>
              <w:t>implementation of the action:</w:t>
            </w:r>
          </w:p>
          <w:p w14:paraId="20608ADE" w14:textId="613BABA7" w:rsidR="00D61609" w:rsidRPr="002F1C8D" w:rsidRDefault="00D61609" w:rsidP="002F1C8D">
            <w:pPr>
              <w:pStyle w:val="ListParagraph"/>
              <w:numPr>
                <w:ilvl w:val="0"/>
                <w:numId w:val="36"/>
              </w:numPr>
              <w:jc w:val="both"/>
              <w:rPr>
                <w:rFonts w:ascii="Times New Roman" w:hAnsi="Times New Roman"/>
                <w:sz w:val="24"/>
                <w:szCs w:val="24"/>
                <w:lang w:val="en-GB"/>
              </w:rPr>
            </w:pPr>
            <w:r w:rsidRPr="002F1C8D">
              <w:rPr>
                <w:rFonts w:ascii="Times New Roman" w:hAnsi="Times New Roman"/>
                <w:sz w:val="24"/>
                <w:szCs w:val="24"/>
              </w:rPr>
              <w:t>Joint development: applicants and co-applicants cooperate in designing the 5 action, filling in a joint Grant Application Form and drawing up the respective budget.”</w:t>
            </w:r>
          </w:p>
          <w:p w14:paraId="32BC3420" w14:textId="02620F03" w:rsidR="00535720" w:rsidRPr="009F39C5" w:rsidRDefault="00535720" w:rsidP="00535720">
            <w:pPr>
              <w:jc w:val="both"/>
              <w:rPr>
                <w:rFonts w:ascii="Times New Roman" w:hAnsi="Times New Roman"/>
                <w:sz w:val="24"/>
                <w:szCs w:val="24"/>
                <w:lang w:val="en-GB"/>
              </w:rPr>
            </w:pPr>
            <w:r w:rsidRPr="009F39C5">
              <w:rPr>
                <w:rFonts w:ascii="Times New Roman" w:hAnsi="Times New Roman"/>
                <w:sz w:val="24"/>
                <w:szCs w:val="24"/>
                <w:lang w:val="en-GB"/>
              </w:rPr>
              <w:t xml:space="preserve">“In addition, they shall cooperate in either the staffing or the financing of the </w:t>
            </w:r>
            <w:r w:rsidR="008013DF" w:rsidRPr="009F39C5">
              <w:rPr>
                <w:rFonts w:ascii="Times New Roman" w:hAnsi="Times New Roman"/>
                <w:sz w:val="24"/>
                <w:szCs w:val="24"/>
                <w:lang w:val="en-GB"/>
              </w:rPr>
              <w:t xml:space="preserve">       </w:t>
            </w:r>
            <w:r w:rsidRPr="009F39C5">
              <w:rPr>
                <w:rFonts w:ascii="Times New Roman" w:hAnsi="Times New Roman"/>
                <w:sz w:val="24"/>
                <w:szCs w:val="24"/>
                <w:lang w:val="en-GB"/>
              </w:rPr>
              <w:t>action or both.</w:t>
            </w:r>
          </w:p>
          <w:p w14:paraId="7928826B" w14:textId="7FBE81B8" w:rsidR="00535720" w:rsidRPr="009F39C5" w:rsidRDefault="00535720" w:rsidP="00535720">
            <w:pPr>
              <w:pStyle w:val="ListParagraph"/>
              <w:numPr>
                <w:ilvl w:val="0"/>
                <w:numId w:val="34"/>
              </w:numPr>
              <w:jc w:val="both"/>
              <w:rPr>
                <w:rFonts w:ascii="Times New Roman" w:hAnsi="Times New Roman"/>
                <w:sz w:val="24"/>
                <w:szCs w:val="24"/>
                <w:lang w:val="en-GB"/>
              </w:rPr>
            </w:pPr>
            <w:r w:rsidRPr="009F39C5">
              <w:rPr>
                <w:rFonts w:ascii="Times New Roman" w:hAnsi="Times New Roman"/>
                <w:sz w:val="24"/>
                <w:szCs w:val="24"/>
                <w:lang w:val="en-GB"/>
              </w:rPr>
              <w:t>Joint financing: activities are financed by bot</w:t>
            </w:r>
            <w:r w:rsidR="002F1C8D">
              <w:rPr>
                <w:rFonts w:ascii="Times New Roman" w:hAnsi="Times New Roman"/>
                <w:sz w:val="24"/>
                <w:szCs w:val="24"/>
                <w:lang w:val="en-GB"/>
              </w:rPr>
              <w:t>h applicants’ and co-applicants.</w:t>
            </w:r>
            <w:r w:rsidRPr="009F39C5">
              <w:rPr>
                <w:rFonts w:ascii="Times New Roman" w:hAnsi="Times New Roman"/>
                <w:sz w:val="24"/>
                <w:szCs w:val="24"/>
                <w:lang w:val="en-GB"/>
              </w:rPr>
              <w:t>”</w:t>
            </w:r>
          </w:p>
        </w:tc>
      </w:tr>
      <w:tr w:rsidR="00D61609" w:rsidRPr="009F39C5" w14:paraId="7D0C5529" w14:textId="77777777" w:rsidTr="00F33AA6">
        <w:trPr>
          <w:trHeight w:val="638"/>
        </w:trPr>
        <w:tc>
          <w:tcPr>
            <w:tcW w:w="980" w:type="dxa"/>
            <w:vAlign w:val="center"/>
          </w:tcPr>
          <w:p w14:paraId="49137496" w14:textId="21832B09" w:rsidR="00D61609" w:rsidRPr="009F39C5" w:rsidRDefault="00357E58" w:rsidP="009F39C5">
            <w:pPr>
              <w:jc w:val="center"/>
              <w:rPr>
                <w:rFonts w:ascii="Times New Roman" w:hAnsi="Times New Roman"/>
                <w:sz w:val="24"/>
                <w:szCs w:val="24"/>
                <w:lang w:val="en-GB"/>
              </w:rPr>
            </w:pPr>
            <w:r w:rsidRPr="009F39C5">
              <w:rPr>
                <w:rFonts w:ascii="Times New Roman" w:hAnsi="Times New Roman"/>
                <w:sz w:val="24"/>
                <w:szCs w:val="24"/>
                <w:lang w:val="en-GB"/>
              </w:rPr>
              <w:t>Q</w:t>
            </w:r>
            <w:r w:rsidR="009F39C5">
              <w:rPr>
                <w:rFonts w:ascii="Times New Roman" w:hAnsi="Times New Roman"/>
                <w:sz w:val="24"/>
                <w:szCs w:val="24"/>
                <w:lang w:val="en-GB"/>
              </w:rPr>
              <w:t>8</w:t>
            </w:r>
          </w:p>
        </w:tc>
        <w:tc>
          <w:tcPr>
            <w:tcW w:w="8626" w:type="dxa"/>
          </w:tcPr>
          <w:p w14:paraId="0A6C6FDE" w14:textId="77777777" w:rsidR="00D61609" w:rsidRPr="009F39C5" w:rsidRDefault="00D61609" w:rsidP="00357E58">
            <w:pPr>
              <w:jc w:val="both"/>
              <w:rPr>
                <w:rFonts w:ascii="Times New Roman" w:hAnsi="Times New Roman"/>
                <w:sz w:val="24"/>
                <w:szCs w:val="24"/>
              </w:rPr>
            </w:pPr>
            <w:r w:rsidRPr="009F39C5">
              <w:rPr>
                <w:rFonts w:ascii="Times New Roman" w:hAnsi="Times New Roman"/>
                <w:sz w:val="24"/>
                <w:szCs w:val="24"/>
              </w:rPr>
              <w:t>Is sub-granting allowed?</w:t>
            </w:r>
          </w:p>
        </w:tc>
      </w:tr>
      <w:tr w:rsidR="00D61609" w:rsidRPr="009F39C5" w14:paraId="15C83F6C" w14:textId="77777777" w:rsidTr="00F33AA6">
        <w:trPr>
          <w:trHeight w:val="1817"/>
        </w:trPr>
        <w:tc>
          <w:tcPr>
            <w:tcW w:w="980" w:type="dxa"/>
            <w:vAlign w:val="center"/>
          </w:tcPr>
          <w:p w14:paraId="5D2C0AF7" w14:textId="41460A5E" w:rsidR="00D61609" w:rsidRPr="009F39C5" w:rsidRDefault="00357E58" w:rsidP="009F39C5">
            <w:pPr>
              <w:jc w:val="center"/>
              <w:rPr>
                <w:rFonts w:ascii="Times New Roman" w:hAnsi="Times New Roman"/>
                <w:sz w:val="24"/>
                <w:szCs w:val="24"/>
                <w:lang w:val="en-GB"/>
              </w:rPr>
            </w:pPr>
            <w:r w:rsidRPr="009F39C5">
              <w:rPr>
                <w:rFonts w:ascii="Times New Roman" w:hAnsi="Times New Roman"/>
                <w:sz w:val="24"/>
                <w:szCs w:val="24"/>
                <w:lang w:val="en-GB"/>
              </w:rPr>
              <w:lastRenderedPageBreak/>
              <w:t>A</w:t>
            </w:r>
            <w:r w:rsidR="009F39C5">
              <w:rPr>
                <w:rFonts w:ascii="Times New Roman" w:hAnsi="Times New Roman"/>
                <w:sz w:val="24"/>
                <w:szCs w:val="24"/>
                <w:lang w:val="en-GB"/>
              </w:rPr>
              <w:t>8</w:t>
            </w:r>
          </w:p>
        </w:tc>
        <w:tc>
          <w:tcPr>
            <w:tcW w:w="8626" w:type="dxa"/>
          </w:tcPr>
          <w:p w14:paraId="7DAD9658" w14:textId="77777777" w:rsidR="00D61609" w:rsidRPr="009F39C5" w:rsidRDefault="00D61609" w:rsidP="00357E58">
            <w:pPr>
              <w:jc w:val="both"/>
              <w:rPr>
                <w:rFonts w:ascii="Times New Roman" w:hAnsi="Times New Roman"/>
                <w:sz w:val="24"/>
                <w:szCs w:val="24"/>
              </w:rPr>
            </w:pPr>
            <w:r w:rsidRPr="009F39C5">
              <w:rPr>
                <w:rFonts w:ascii="Times New Roman" w:hAnsi="Times New Roman"/>
                <w:sz w:val="24"/>
                <w:szCs w:val="24"/>
              </w:rPr>
              <w:t>Please refer to section 2.1.4. of the Guidelines for Grant Applicants (</w:t>
            </w:r>
            <w:r w:rsidRPr="009F39C5">
              <w:rPr>
                <w:rFonts w:ascii="Times New Roman" w:hAnsi="Times New Roman"/>
                <w:sz w:val="24"/>
                <w:szCs w:val="24"/>
                <w:lang w:val="sr-Latn-ME"/>
              </w:rPr>
              <w:t>„Eligible Actions: actions for which an application may be made“), sub-section „Financial support to third parties“</w:t>
            </w:r>
            <w:r w:rsidRPr="009F39C5">
              <w:rPr>
                <w:rFonts w:ascii="Times New Roman" w:hAnsi="Times New Roman"/>
                <w:sz w:val="24"/>
                <w:szCs w:val="24"/>
              </w:rPr>
              <w:t>, stating the following:</w:t>
            </w:r>
          </w:p>
          <w:p w14:paraId="076DAE66" w14:textId="77777777" w:rsidR="00D61609" w:rsidRPr="009F39C5" w:rsidRDefault="00D61609" w:rsidP="00357E58">
            <w:pPr>
              <w:jc w:val="both"/>
              <w:rPr>
                <w:rFonts w:ascii="Times New Roman" w:hAnsi="Times New Roman"/>
                <w:sz w:val="24"/>
                <w:szCs w:val="24"/>
              </w:rPr>
            </w:pPr>
            <w:r w:rsidRPr="009F39C5">
              <w:rPr>
                <w:rFonts w:ascii="Times New Roman" w:hAnsi="Times New Roman"/>
                <w:sz w:val="24"/>
                <w:szCs w:val="24"/>
              </w:rPr>
              <w:t>“Applicants may not propose financial support to third parties. In other words, sub-granting is not allowed under this call for proposals”.</w:t>
            </w:r>
          </w:p>
        </w:tc>
      </w:tr>
      <w:tr w:rsidR="00D61609" w:rsidRPr="009F39C5" w14:paraId="67EE5B21" w14:textId="77777777" w:rsidTr="00F33AA6">
        <w:trPr>
          <w:trHeight w:val="638"/>
        </w:trPr>
        <w:tc>
          <w:tcPr>
            <w:tcW w:w="980" w:type="dxa"/>
            <w:vAlign w:val="center"/>
          </w:tcPr>
          <w:p w14:paraId="3E35C6D6" w14:textId="60569740" w:rsidR="00D61609" w:rsidRPr="009F39C5" w:rsidRDefault="00357E58" w:rsidP="009F39C5">
            <w:pPr>
              <w:jc w:val="center"/>
              <w:rPr>
                <w:rFonts w:ascii="Times New Roman" w:hAnsi="Times New Roman"/>
                <w:sz w:val="24"/>
                <w:szCs w:val="24"/>
                <w:lang w:val="en-GB"/>
              </w:rPr>
            </w:pPr>
            <w:r w:rsidRPr="009F39C5">
              <w:rPr>
                <w:rFonts w:ascii="Times New Roman" w:hAnsi="Times New Roman"/>
                <w:sz w:val="24"/>
                <w:szCs w:val="24"/>
                <w:lang w:val="en-GB"/>
              </w:rPr>
              <w:t>Q</w:t>
            </w:r>
            <w:r w:rsidR="009F39C5">
              <w:rPr>
                <w:rFonts w:ascii="Times New Roman" w:hAnsi="Times New Roman"/>
                <w:sz w:val="24"/>
                <w:szCs w:val="24"/>
                <w:lang w:val="en-GB"/>
              </w:rPr>
              <w:t>9</w:t>
            </w:r>
          </w:p>
        </w:tc>
        <w:tc>
          <w:tcPr>
            <w:tcW w:w="8626" w:type="dxa"/>
          </w:tcPr>
          <w:p w14:paraId="3019C6DA" w14:textId="77777777" w:rsidR="00D61609" w:rsidRPr="009F39C5" w:rsidRDefault="00691899" w:rsidP="00357E58">
            <w:pPr>
              <w:jc w:val="both"/>
              <w:rPr>
                <w:rFonts w:ascii="Times New Roman" w:hAnsi="Times New Roman"/>
                <w:sz w:val="24"/>
                <w:szCs w:val="24"/>
              </w:rPr>
            </w:pPr>
            <w:r w:rsidRPr="009F39C5">
              <w:rPr>
                <w:rFonts w:ascii="Times New Roman" w:hAnsi="Times New Roman"/>
                <w:sz w:val="24"/>
                <w:szCs w:val="24"/>
              </w:rPr>
              <w:t>Can an organization/institution from Nikšić app</w:t>
            </w:r>
            <w:r w:rsidR="000D784A" w:rsidRPr="009F39C5">
              <w:rPr>
                <w:rFonts w:ascii="Times New Roman" w:hAnsi="Times New Roman"/>
                <w:sz w:val="24"/>
                <w:szCs w:val="24"/>
              </w:rPr>
              <w:t>ly for this Call for Proposals?</w:t>
            </w:r>
          </w:p>
        </w:tc>
      </w:tr>
      <w:tr w:rsidR="00D61609" w:rsidRPr="009F39C5" w14:paraId="206522DB" w14:textId="77777777" w:rsidTr="00F33AA6">
        <w:trPr>
          <w:trHeight w:val="638"/>
        </w:trPr>
        <w:tc>
          <w:tcPr>
            <w:tcW w:w="980" w:type="dxa"/>
            <w:vAlign w:val="center"/>
          </w:tcPr>
          <w:p w14:paraId="3E2AFB32" w14:textId="04DEB8B7" w:rsidR="00D61609" w:rsidRPr="009F39C5" w:rsidRDefault="00357E58" w:rsidP="009F39C5">
            <w:pPr>
              <w:jc w:val="center"/>
              <w:rPr>
                <w:rFonts w:ascii="Times New Roman" w:hAnsi="Times New Roman"/>
                <w:sz w:val="24"/>
                <w:szCs w:val="24"/>
                <w:lang w:val="en-GB"/>
              </w:rPr>
            </w:pPr>
            <w:r w:rsidRPr="009F39C5">
              <w:rPr>
                <w:rFonts w:ascii="Times New Roman" w:hAnsi="Times New Roman"/>
                <w:sz w:val="24"/>
                <w:szCs w:val="24"/>
                <w:lang w:val="en-GB"/>
              </w:rPr>
              <w:t>A</w:t>
            </w:r>
            <w:r w:rsidR="009F39C5">
              <w:rPr>
                <w:rFonts w:ascii="Times New Roman" w:hAnsi="Times New Roman"/>
                <w:sz w:val="24"/>
                <w:szCs w:val="24"/>
                <w:lang w:val="en-GB"/>
              </w:rPr>
              <w:t>9</w:t>
            </w:r>
          </w:p>
        </w:tc>
        <w:tc>
          <w:tcPr>
            <w:tcW w:w="8626" w:type="dxa"/>
          </w:tcPr>
          <w:p w14:paraId="11F390D2" w14:textId="77777777" w:rsidR="00D61609" w:rsidRPr="009F39C5" w:rsidRDefault="008E650B" w:rsidP="00425E19">
            <w:pPr>
              <w:jc w:val="both"/>
              <w:rPr>
                <w:rFonts w:ascii="Times New Roman" w:hAnsi="Times New Roman"/>
                <w:sz w:val="24"/>
                <w:szCs w:val="24"/>
              </w:rPr>
            </w:pPr>
            <w:r w:rsidRPr="009F39C5">
              <w:rPr>
                <w:rFonts w:ascii="Times New Roman" w:hAnsi="Times New Roman"/>
                <w:sz w:val="24"/>
                <w:szCs w:val="24"/>
              </w:rPr>
              <w:t>Actions must have as final beneficiaries the population of the programme area and their activities must take place in this area.</w:t>
            </w:r>
          </w:p>
          <w:p w14:paraId="48079218" w14:textId="2D6045B3" w:rsidR="008E650B" w:rsidRPr="009F39C5" w:rsidRDefault="008E650B" w:rsidP="00425E19">
            <w:pPr>
              <w:jc w:val="both"/>
              <w:rPr>
                <w:rFonts w:ascii="Times New Roman" w:hAnsi="Times New Roman"/>
                <w:sz w:val="24"/>
                <w:szCs w:val="24"/>
              </w:rPr>
            </w:pPr>
            <w:r w:rsidRPr="009F39C5">
              <w:rPr>
                <w:rFonts w:ascii="Times New Roman" w:hAnsi="Times New Roman"/>
                <w:sz w:val="24"/>
                <w:szCs w:val="24"/>
              </w:rPr>
              <w:t>Also refer to section 2.1.1</w:t>
            </w:r>
            <w:r w:rsidR="002F1C8D">
              <w:rPr>
                <w:rFonts w:ascii="Times New Roman" w:hAnsi="Times New Roman"/>
                <w:sz w:val="24"/>
                <w:szCs w:val="24"/>
              </w:rPr>
              <w:t xml:space="preserve"> </w:t>
            </w:r>
            <w:r w:rsidRPr="009F39C5">
              <w:rPr>
                <w:rFonts w:ascii="Times New Roman" w:hAnsi="Times New Roman"/>
                <w:sz w:val="24"/>
                <w:szCs w:val="24"/>
              </w:rPr>
              <w:t>(“Eligibility of applicants (i.e. lead applicant and co-applicant(s)”) stating the following:</w:t>
            </w:r>
          </w:p>
          <w:p w14:paraId="657C7955" w14:textId="615EB04D" w:rsidR="008E650B" w:rsidRPr="009F39C5" w:rsidRDefault="002F1C8D" w:rsidP="008E650B">
            <w:pPr>
              <w:jc w:val="both"/>
              <w:rPr>
                <w:rFonts w:ascii="Times New Roman" w:hAnsi="Times New Roman"/>
                <w:sz w:val="24"/>
                <w:szCs w:val="24"/>
              </w:rPr>
            </w:pPr>
            <w:r>
              <w:rPr>
                <w:rFonts w:ascii="Times New Roman" w:hAnsi="Times New Roman"/>
                <w:sz w:val="24"/>
                <w:szCs w:val="24"/>
              </w:rPr>
              <w:t>"</w:t>
            </w:r>
            <w:r w:rsidR="008E650B" w:rsidRPr="009F39C5">
              <w:rPr>
                <w:rFonts w:ascii="Times New Roman" w:hAnsi="Times New Roman"/>
                <w:sz w:val="24"/>
                <w:szCs w:val="24"/>
              </w:rPr>
              <w:t>In order to be eligible for a grant, the lead applicant must:</w:t>
            </w:r>
          </w:p>
          <w:p w14:paraId="7347B12E" w14:textId="08195D28" w:rsidR="008E650B" w:rsidRPr="009F39C5" w:rsidRDefault="008E650B" w:rsidP="008E650B">
            <w:pPr>
              <w:pStyle w:val="ListParagraph"/>
              <w:numPr>
                <w:ilvl w:val="0"/>
                <w:numId w:val="34"/>
              </w:numPr>
              <w:jc w:val="both"/>
              <w:rPr>
                <w:rFonts w:ascii="Times New Roman" w:hAnsi="Times New Roman"/>
                <w:sz w:val="24"/>
                <w:szCs w:val="24"/>
              </w:rPr>
            </w:pPr>
            <w:r w:rsidRPr="009F39C5">
              <w:rPr>
                <w:rFonts w:ascii="Times New Roman" w:hAnsi="Times New Roman"/>
                <w:sz w:val="24"/>
                <w:szCs w:val="24"/>
              </w:rPr>
              <w:t>be established in Montenegro and/or Kosovo;</w:t>
            </w:r>
            <w:r w:rsidR="002F1C8D">
              <w:rPr>
                <w:rFonts w:ascii="Times New Roman" w:hAnsi="Times New Roman"/>
                <w:sz w:val="24"/>
                <w:szCs w:val="24"/>
              </w:rPr>
              <w:t>…"</w:t>
            </w:r>
          </w:p>
        </w:tc>
      </w:tr>
      <w:tr w:rsidR="00357E58" w:rsidRPr="009F39C5" w14:paraId="68A5E032" w14:textId="77777777" w:rsidTr="00F33AA6">
        <w:trPr>
          <w:trHeight w:val="710"/>
        </w:trPr>
        <w:tc>
          <w:tcPr>
            <w:tcW w:w="980" w:type="dxa"/>
            <w:vAlign w:val="center"/>
          </w:tcPr>
          <w:p w14:paraId="62F6E9D2" w14:textId="7803AD6E" w:rsidR="00357E58" w:rsidRPr="009F39C5" w:rsidRDefault="00357E58" w:rsidP="009F39C5">
            <w:pPr>
              <w:jc w:val="center"/>
              <w:rPr>
                <w:rFonts w:ascii="Times New Roman" w:hAnsi="Times New Roman"/>
                <w:sz w:val="24"/>
                <w:szCs w:val="24"/>
                <w:lang w:val="en-GB"/>
              </w:rPr>
            </w:pPr>
            <w:r w:rsidRPr="009F39C5">
              <w:rPr>
                <w:rFonts w:ascii="Times New Roman" w:hAnsi="Times New Roman"/>
                <w:sz w:val="24"/>
                <w:szCs w:val="24"/>
                <w:lang w:val="en-GB"/>
              </w:rPr>
              <w:t>Q</w:t>
            </w:r>
            <w:r w:rsidR="009F39C5">
              <w:rPr>
                <w:rFonts w:ascii="Times New Roman" w:hAnsi="Times New Roman"/>
                <w:sz w:val="24"/>
                <w:szCs w:val="24"/>
                <w:lang w:val="en-GB"/>
              </w:rPr>
              <w:t>10</w:t>
            </w:r>
          </w:p>
        </w:tc>
        <w:tc>
          <w:tcPr>
            <w:tcW w:w="8626" w:type="dxa"/>
          </w:tcPr>
          <w:p w14:paraId="35751B52" w14:textId="77777777" w:rsidR="00357E58" w:rsidRPr="009F39C5" w:rsidRDefault="005B2865" w:rsidP="005B2865">
            <w:pPr>
              <w:jc w:val="both"/>
              <w:rPr>
                <w:rFonts w:ascii="Times New Roman" w:hAnsi="Times New Roman"/>
                <w:sz w:val="24"/>
                <w:szCs w:val="24"/>
              </w:rPr>
            </w:pPr>
            <w:r w:rsidRPr="009F39C5">
              <w:rPr>
                <w:rFonts w:ascii="Times New Roman" w:hAnsi="Times New Roman"/>
                <w:sz w:val="24"/>
                <w:szCs w:val="24"/>
              </w:rPr>
              <w:t>Would you be kind to give us a precise answer? Is a Faculty, which will be a part of one Private University in the forthcoming period, eligible for grant under this Call for Proposals?</w:t>
            </w:r>
          </w:p>
        </w:tc>
      </w:tr>
      <w:tr w:rsidR="00357E58" w:rsidRPr="009F39C5" w14:paraId="55558512" w14:textId="77777777" w:rsidTr="00F33AA6">
        <w:trPr>
          <w:trHeight w:val="638"/>
        </w:trPr>
        <w:tc>
          <w:tcPr>
            <w:tcW w:w="980" w:type="dxa"/>
            <w:vAlign w:val="center"/>
          </w:tcPr>
          <w:p w14:paraId="3E96BBFA" w14:textId="5402B7D6" w:rsidR="00357E58" w:rsidRPr="009F39C5" w:rsidRDefault="009F39C5" w:rsidP="00B67E83">
            <w:pPr>
              <w:jc w:val="center"/>
              <w:rPr>
                <w:rFonts w:ascii="Times New Roman" w:hAnsi="Times New Roman"/>
                <w:sz w:val="24"/>
                <w:szCs w:val="24"/>
                <w:lang w:val="en-GB"/>
              </w:rPr>
            </w:pPr>
            <w:r>
              <w:rPr>
                <w:rFonts w:ascii="Times New Roman" w:hAnsi="Times New Roman"/>
                <w:sz w:val="24"/>
                <w:szCs w:val="24"/>
                <w:lang w:val="en-GB"/>
              </w:rPr>
              <w:t>A10</w:t>
            </w:r>
          </w:p>
        </w:tc>
        <w:tc>
          <w:tcPr>
            <w:tcW w:w="8626" w:type="dxa"/>
          </w:tcPr>
          <w:p w14:paraId="37B6292F" w14:textId="2F0216F8" w:rsidR="005B2865" w:rsidRPr="009F39C5" w:rsidRDefault="005B2865" w:rsidP="005B2865">
            <w:pPr>
              <w:jc w:val="both"/>
              <w:rPr>
                <w:rFonts w:ascii="Times New Roman" w:hAnsi="Times New Roman"/>
                <w:sz w:val="24"/>
                <w:szCs w:val="24"/>
              </w:rPr>
            </w:pPr>
            <w:r w:rsidRPr="009F39C5">
              <w:rPr>
                <w:rFonts w:ascii="Times New Roman" w:hAnsi="Times New Roman"/>
                <w:sz w:val="24"/>
                <w:szCs w:val="24"/>
              </w:rPr>
              <w:t xml:space="preserve">Please refer to the Section 2.2.4 of the Guidelines for Grant Applicants </w:t>
            </w:r>
            <w:r w:rsidR="002F1C8D">
              <w:rPr>
                <w:rFonts w:ascii="Times New Roman" w:hAnsi="Times New Roman"/>
                <w:sz w:val="24"/>
                <w:szCs w:val="24"/>
              </w:rPr>
              <w:t>(</w:t>
            </w:r>
            <w:r w:rsidRPr="009F39C5">
              <w:rPr>
                <w:rFonts w:ascii="Times New Roman" w:hAnsi="Times New Roman"/>
                <w:sz w:val="24"/>
                <w:szCs w:val="24"/>
                <w:lang w:val="sr-Latn-ME"/>
              </w:rPr>
              <w:t>„</w:t>
            </w:r>
            <w:r w:rsidRPr="009F39C5">
              <w:rPr>
                <w:rFonts w:ascii="Times New Roman" w:hAnsi="Times New Roman"/>
                <w:sz w:val="24"/>
                <w:szCs w:val="24"/>
              </w:rPr>
              <w:t>Further information about concept notes”</w:t>
            </w:r>
            <w:r w:rsidR="002F1C8D">
              <w:rPr>
                <w:rFonts w:ascii="Times New Roman" w:hAnsi="Times New Roman"/>
                <w:sz w:val="24"/>
                <w:szCs w:val="24"/>
              </w:rPr>
              <w:t>)</w:t>
            </w:r>
            <w:r w:rsidRPr="009F39C5">
              <w:rPr>
                <w:rFonts w:ascii="Times New Roman" w:hAnsi="Times New Roman"/>
                <w:sz w:val="24"/>
                <w:szCs w:val="24"/>
              </w:rPr>
              <w:t>, stating the following:</w:t>
            </w:r>
          </w:p>
          <w:p w14:paraId="6256AEDD" w14:textId="77777777" w:rsidR="005B2865" w:rsidRPr="009F39C5" w:rsidRDefault="005B2865" w:rsidP="005B2865">
            <w:pPr>
              <w:jc w:val="both"/>
              <w:rPr>
                <w:rFonts w:ascii="Times New Roman" w:hAnsi="Times New Roman"/>
                <w:sz w:val="24"/>
                <w:szCs w:val="24"/>
              </w:rPr>
            </w:pPr>
            <w:r w:rsidRPr="009F39C5">
              <w:rPr>
                <w:rFonts w:ascii="Times New Roman" w:hAnsi="Times New Roman"/>
                <w:sz w:val="24"/>
                <w:szCs w:val="24"/>
              </w:rPr>
              <w:t>“To ensure equal treatment of applicants, the Contracting Authority cannot give a prior opinion on the eligibility of lead applicants, co-applicants, affiliated entity(ies), or an action.”</w:t>
            </w:r>
          </w:p>
          <w:p w14:paraId="327F365E" w14:textId="77777777" w:rsidR="00357E58" w:rsidRPr="009F39C5" w:rsidRDefault="005B2865" w:rsidP="005B2865">
            <w:pPr>
              <w:jc w:val="both"/>
              <w:rPr>
                <w:rFonts w:ascii="Times New Roman" w:hAnsi="Times New Roman"/>
                <w:sz w:val="24"/>
                <w:szCs w:val="24"/>
              </w:rPr>
            </w:pPr>
            <w:r w:rsidRPr="009F39C5">
              <w:rPr>
                <w:rFonts w:ascii="Times New Roman" w:hAnsi="Times New Roman"/>
                <w:sz w:val="24"/>
                <w:szCs w:val="24"/>
              </w:rPr>
              <w:t>Please note that, to be eligible, an applicant has to fulfil all eligibility criteria as defined in the Section 2.1.1 of the Guidelines for Grant Applicants.</w:t>
            </w:r>
          </w:p>
        </w:tc>
      </w:tr>
      <w:tr w:rsidR="005B2865" w:rsidRPr="009F39C5" w14:paraId="32D4616A" w14:textId="77777777" w:rsidTr="00F33AA6">
        <w:trPr>
          <w:trHeight w:val="638"/>
        </w:trPr>
        <w:tc>
          <w:tcPr>
            <w:tcW w:w="980" w:type="dxa"/>
            <w:vAlign w:val="center"/>
          </w:tcPr>
          <w:p w14:paraId="4CDEE3F9" w14:textId="26DEAB76" w:rsidR="005B2865" w:rsidRPr="009F39C5" w:rsidRDefault="009F39C5" w:rsidP="00B67E83">
            <w:pPr>
              <w:jc w:val="center"/>
              <w:rPr>
                <w:rFonts w:ascii="Times New Roman" w:hAnsi="Times New Roman"/>
                <w:sz w:val="24"/>
                <w:szCs w:val="24"/>
                <w:lang w:val="en-GB"/>
              </w:rPr>
            </w:pPr>
            <w:r>
              <w:rPr>
                <w:rFonts w:ascii="Times New Roman" w:hAnsi="Times New Roman"/>
                <w:sz w:val="24"/>
                <w:szCs w:val="24"/>
                <w:lang w:val="en-GB"/>
              </w:rPr>
              <w:t>Q11</w:t>
            </w:r>
          </w:p>
        </w:tc>
        <w:tc>
          <w:tcPr>
            <w:tcW w:w="8626" w:type="dxa"/>
          </w:tcPr>
          <w:p w14:paraId="1DDC9888" w14:textId="455303A2" w:rsidR="007207E6" w:rsidRPr="009F39C5" w:rsidRDefault="007207E6" w:rsidP="002F1C8D">
            <w:pPr>
              <w:jc w:val="both"/>
              <w:rPr>
                <w:rFonts w:ascii="Times New Roman" w:hAnsi="Times New Roman"/>
                <w:sz w:val="24"/>
                <w:szCs w:val="24"/>
              </w:rPr>
            </w:pPr>
            <w:r w:rsidRPr="009F39C5">
              <w:rPr>
                <w:rFonts w:ascii="Times New Roman" w:hAnsi="Times New Roman"/>
                <w:sz w:val="24"/>
                <w:szCs w:val="24"/>
              </w:rPr>
              <w:t xml:space="preserve">What rules prevail if there are different law principles between Montenegro and Kosovo? </w:t>
            </w:r>
            <w:r w:rsidR="006A6FD3" w:rsidRPr="009F39C5">
              <w:rPr>
                <w:rFonts w:ascii="Times New Roman" w:hAnsi="Times New Roman"/>
                <w:sz w:val="24"/>
                <w:szCs w:val="24"/>
              </w:rPr>
              <w:t>For example</w:t>
            </w:r>
            <w:r w:rsidRPr="009F39C5">
              <w:rPr>
                <w:rFonts w:ascii="Times New Roman" w:hAnsi="Times New Roman"/>
                <w:sz w:val="24"/>
                <w:szCs w:val="24"/>
              </w:rPr>
              <w:t>, the law principles in Kosovo do not stipulate the obligation for provision of expenditure verification report (audit report) in case the incurred costs are below 50,000.00 EUR?</w:t>
            </w:r>
          </w:p>
        </w:tc>
      </w:tr>
      <w:tr w:rsidR="005B2865" w:rsidRPr="009F39C5" w14:paraId="5FFC844F" w14:textId="77777777" w:rsidTr="00F33AA6">
        <w:trPr>
          <w:trHeight w:val="638"/>
        </w:trPr>
        <w:tc>
          <w:tcPr>
            <w:tcW w:w="980" w:type="dxa"/>
            <w:vAlign w:val="center"/>
          </w:tcPr>
          <w:p w14:paraId="18A9E857" w14:textId="4587D2E6" w:rsidR="005B2865" w:rsidRPr="009F39C5" w:rsidRDefault="009F39C5" w:rsidP="00B67E83">
            <w:pPr>
              <w:jc w:val="center"/>
              <w:rPr>
                <w:rFonts w:ascii="Times New Roman" w:hAnsi="Times New Roman"/>
                <w:sz w:val="24"/>
                <w:szCs w:val="24"/>
                <w:lang w:val="en-GB"/>
              </w:rPr>
            </w:pPr>
            <w:r>
              <w:rPr>
                <w:rFonts w:ascii="Times New Roman" w:hAnsi="Times New Roman"/>
                <w:sz w:val="24"/>
                <w:szCs w:val="24"/>
                <w:lang w:val="en-GB"/>
              </w:rPr>
              <w:t>A11</w:t>
            </w:r>
          </w:p>
        </w:tc>
        <w:tc>
          <w:tcPr>
            <w:tcW w:w="8626" w:type="dxa"/>
          </w:tcPr>
          <w:p w14:paraId="49431A5C" w14:textId="1CBF4807" w:rsidR="007207E6" w:rsidRPr="009F39C5" w:rsidRDefault="008E650B" w:rsidP="005B2865">
            <w:pPr>
              <w:jc w:val="both"/>
              <w:rPr>
                <w:rFonts w:ascii="Times New Roman" w:hAnsi="Times New Roman"/>
                <w:sz w:val="24"/>
                <w:szCs w:val="24"/>
              </w:rPr>
            </w:pPr>
            <w:r w:rsidRPr="009F39C5">
              <w:rPr>
                <w:rFonts w:ascii="Times New Roman" w:hAnsi="Times New Roman"/>
                <w:sz w:val="24"/>
                <w:szCs w:val="24"/>
              </w:rPr>
              <w:t>P</w:t>
            </w:r>
            <w:r w:rsidR="007207E6" w:rsidRPr="009F39C5">
              <w:rPr>
                <w:rFonts w:ascii="Times New Roman" w:hAnsi="Times New Roman"/>
                <w:sz w:val="24"/>
                <w:szCs w:val="24"/>
              </w:rPr>
              <w:t xml:space="preserve">lease refer to section 2.1.5. </w:t>
            </w:r>
            <w:r w:rsidR="00425E19" w:rsidRPr="009F39C5">
              <w:rPr>
                <w:rFonts w:ascii="Times New Roman" w:hAnsi="Times New Roman"/>
                <w:sz w:val="24"/>
                <w:szCs w:val="24"/>
                <w:lang w:val="en-GB"/>
              </w:rPr>
              <w:t xml:space="preserve">of the Guidelines for </w:t>
            </w:r>
            <w:r w:rsidR="002634AA" w:rsidRPr="009F39C5">
              <w:rPr>
                <w:rFonts w:ascii="Times New Roman" w:hAnsi="Times New Roman"/>
                <w:sz w:val="24"/>
                <w:szCs w:val="24"/>
                <w:lang w:val="en-GB"/>
              </w:rPr>
              <w:t xml:space="preserve">Grant </w:t>
            </w:r>
            <w:r w:rsidR="00425E19" w:rsidRPr="009F39C5">
              <w:rPr>
                <w:rFonts w:ascii="Times New Roman" w:hAnsi="Times New Roman"/>
                <w:sz w:val="24"/>
                <w:szCs w:val="24"/>
                <w:lang w:val="en-GB"/>
              </w:rPr>
              <w:t>Applicants (</w:t>
            </w:r>
            <w:r w:rsidR="00C86C3E" w:rsidRPr="009F39C5">
              <w:rPr>
                <w:rFonts w:ascii="Times New Roman" w:hAnsi="Times New Roman"/>
                <w:sz w:val="24"/>
                <w:szCs w:val="24"/>
                <w:lang w:val="sr-Cyrl-RS"/>
              </w:rPr>
              <w:t>„Eligibility of costs: costs that can</w:t>
            </w:r>
            <w:r w:rsidR="00C86C3E" w:rsidRPr="009F39C5">
              <w:rPr>
                <w:rFonts w:ascii="Times New Roman" w:hAnsi="Times New Roman"/>
                <w:sz w:val="24"/>
                <w:szCs w:val="24"/>
              </w:rPr>
              <w:t xml:space="preserve"> </w:t>
            </w:r>
            <w:r w:rsidR="00C86C3E" w:rsidRPr="009F39C5">
              <w:rPr>
                <w:rFonts w:ascii="Times New Roman" w:hAnsi="Times New Roman"/>
                <w:sz w:val="24"/>
                <w:szCs w:val="24"/>
                <w:lang w:val="sr-Cyrl-RS"/>
              </w:rPr>
              <w:t>be</w:t>
            </w:r>
            <w:r w:rsidR="00C86C3E" w:rsidRPr="009F39C5">
              <w:rPr>
                <w:rFonts w:ascii="Times New Roman" w:hAnsi="Times New Roman"/>
                <w:sz w:val="24"/>
                <w:szCs w:val="24"/>
              </w:rPr>
              <w:t xml:space="preserve"> </w:t>
            </w:r>
            <w:r w:rsidR="00C86C3E" w:rsidRPr="009F39C5">
              <w:rPr>
                <w:rFonts w:ascii="Times New Roman" w:hAnsi="Times New Roman"/>
                <w:sz w:val="24"/>
                <w:szCs w:val="24"/>
                <w:lang w:val="sr-Cyrl-RS"/>
              </w:rPr>
              <w:t>included“</w:t>
            </w:r>
            <w:r w:rsidR="00425E19" w:rsidRPr="009F39C5">
              <w:rPr>
                <w:rFonts w:ascii="Times New Roman" w:hAnsi="Times New Roman"/>
                <w:sz w:val="24"/>
                <w:szCs w:val="24"/>
                <w:lang w:val="en-GB"/>
              </w:rPr>
              <w:t>)</w:t>
            </w:r>
            <w:r w:rsidR="00C86C3E" w:rsidRPr="009F39C5">
              <w:rPr>
                <w:rFonts w:ascii="Times New Roman" w:hAnsi="Times New Roman"/>
                <w:sz w:val="24"/>
                <w:szCs w:val="24"/>
              </w:rPr>
              <w:t xml:space="preserve">, sub-section </w:t>
            </w:r>
            <w:r w:rsidR="00C86C3E" w:rsidRPr="009F39C5">
              <w:rPr>
                <w:rFonts w:ascii="Times New Roman" w:hAnsi="Times New Roman"/>
                <w:sz w:val="24"/>
                <w:szCs w:val="24"/>
                <w:lang w:val="sr-Cyrl-RS"/>
              </w:rPr>
              <w:t>„eligible direct costs“</w:t>
            </w:r>
            <w:r w:rsidR="007207E6" w:rsidRPr="009F39C5">
              <w:rPr>
                <w:rFonts w:ascii="Times New Roman" w:hAnsi="Times New Roman"/>
                <w:sz w:val="24"/>
                <w:szCs w:val="24"/>
              </w:rPr>
              <w:t>, stating the following:</w:t>
            </w:r>
          </w:p>
          <w:p w14:paraId="2E572393" w14:textId="77777777" w:rsidR="007207E6" w:rsidRPr="009F39C5" w:rsidRDefault="007207E6" w:rsidP="005B2865">
            <w:pPr>
              <w:jc w:val="both"/>
              <w:rPr>
                <w:rFonts w:ascii="Times New Roman" w:hAnsi="Times New Roman"/>
                <w:sz w:val="24"/>
                <w:szCs w:val="24"/>
                <w:lang w:val="sr-Cyrl-RS"/>
              </w:rPr>
            </w:pPr>
            <w:r w:rsidRPr="009F39C5">
              <w:rPr>
                <w:rFonts w:ascii="Times New Roman" w:hAnsi="Times New Roman"/>
                <w:sz w:val="24"/>
                <w:szCs w:val="24"/>
                <w:lang w:val="sr-Cyrl-RS"/>
              </w:rPr>
              <w:t>„</w:t>
            </w:r>
            <w:r w:rsidR="00C86C3E" w:rsidRPr="009F39C5">
              <w:rPr>
                <w:rFonts w:ascii="Times New Roman" w:hAnsi="Times New Roman"/>
                <w:sz w:val="24"/>
                <w:szCs w:val="24"/>
                <w:lang w:val="sr-Cyrl-RS"/>
              </w:rPr>
              <w:t>Applicants are reminded that in contracts where the EU grant exceeds EUR 100,000</w:t>
            </w:r>
            <w:r w:rsidR="00425E19" w:rsidRPr="009F39C5">
              <w:rPr>
                <w:rFonts w:ascii="Times New Roman" w:hAnsi="Times New Roman"/>
                <w:sz w:val="24"/>
                <w:szCs w:val="24"/>
                <w:lang w:val="en-GB"/>
              </w:rPr>
              <w:t>.</w:t>
            </w:r>
            <w:r w:rsidR="00C86C3E" w:rsidRPr="009F39C5">
              <w:rPr>
                <w:rFonts w:ascii="Times New Roman" w:hAnsi="Times New Roman"/>
                <w:sz w:val="24"/>
                <w:szCs w:val="24"/>
                <w:lang w:val="sr-Cyrl-RS"/>
              </w:rPr>
              <w:t>00 they must include in the budget the cost of an audit or expenditure verification carried out by an independent auditor before submitting the final financial report of the operation. All grant contract requiring such an audit or expenditure verification will have the Annex G.VII referred in the list of annexes“.</w:t>
            </w:r>
          </w:p>
        </w:tc>
      </w:tr>
      <w:tr w:rsidR="00C86C3E" w:rsidRPr="009F39C5" w14:paraId="02DB4EF4" w14:textId="77777777" w:rsidTr="00F33AA6">
        <w:trPr>
          <w:trHeight w:val="638"/>
        </w:trPr>
        <w:tc>
          <w:tcPr>
            <w:tcW w:w="980" w:type="dxa"/>
            <w:vAlign w:val="center"/>
          </w:tcPr>
          <w:p w14:paraId="756CB698" w14:textId="4C0E32BF" w:rsidR="00C86C3E" w:rsidRPr="009F39C5" w:rsidRDefault="009F39C5" w:rsidP="00B67E83">
            <w:pPr>
              <w:jc w:val="center"/>
              <w:rPr>
                <w:rFonts w:ascii="Times New Roman" w:hAnsi="Times New Roman"/>
                <w:sz w:val="24"/>
                <w:szCs w:val="24"/>
                <w:lang w:val="en-GB"/>
              </w:rPr>
            </w:pPr>
            <w:r>
              <w:rPr>
                <w:rFonts w:ascii="Times New Roman" w:hAnsi="Times New Roman"/>
                <w:sz w:val="24"/>
                <w:szCs w:val="24"/>
                <w:lang w:val="en-GB"/>
              </w:rPr>
              <w:lastRenderedPageBreak/>
              <w:t>Q12</w:t>
            </w:r>
          </w:p>
        </w:tc>
        <w:tc>
          <w:tcPr>
            <w:tcW w:w="8626" w:type="dxa"/>
          </w:tcPr>
          <w:p w14:paraId="66A5D4A3" w14:textId="77777777" w:rsidR="00C86C3E" w:rsidRPr="009F39C5" w:rsidRDefault="00576A2F" w:rsidP="00DD32A3">
            <w:pPr>
              <w:jc w:val="both"/>
              <w:rPr>
                <w:rFonts w:ascii="Times New Roman" w:hAnsi="Times New Roman"/>
                <w:sz w:val="24"/>
                <w:szCs w:val="24"/>
              </w:rPr>
            </w:pPr>
            <w:r w:rsidRPr="009F39C5">
              <w:rPr>
                <w:rFonts w:ascii="Times New Roman" w:hAnsi="Times New Roman"/>
                <w:sz w:val="24"/>
                <w:szCs w:val="24"/>
              </w:rPr>
              <w:t>Are municipalities and governmental institutions eligible applicants under this Call for Proposals?</w:t>
            </w:r>
          </w:p>
        </w:tc>
      </w:tr>
      <w:tr w:rsidR="00C86C3E" w:rsidRPr="009F39C5" w14:paraId="12394C8A" w14:textId="77777777" w:rsidTr="00F33AA6">
        <w:trPr>
          <w:trHeight w:val="638"/>
        </w:trPr>
        <w:tc>
          <w:tcPr>
            <w:tcW w:w="980" w:type="dxa"/>
            <w:vAlign w:val="center"/>
          </w:tcPr>
          <w:p w14:paraId="3270A309" w14:textId="6CC5372B" w:rsidR="00C86C3E" w:rsidRPr="009F39C5" w:rsidRDefault="009F39C5" w:rsidP="00B67E83">
            <w:pPr>
              <w:jc w:val="center"/>
              <w:rPr>
                <w:rFonts w:ascii="Times New Roman" w:hAnsi="Times New Roman"/>
                <w:sz w:val="24"/>
                <w:szCs w:val="24"/>
                <w:lang w:val="en-GB"/>
              </w:rPr>
            </w:pPr>
            <w:r>
              <w:rPr>
                <w:rFonts w:ascii="Times New Roman" w:hAnsi="Times New Roman"/>
                <w:sz w:val="24"/>
                <w:szCs w:val="24"/>
                <w:lang w:val="en-GB"/>
              </w:rPr>
              <w:t>A12</w:t>
            </w:r>
          </w:p>
        </w:tc>
        <w:tc>
          <w:tcPr>
            <w:tcW w:w="8626" w:type="dxa"/>
          </w:tcPr>
          <w:p w14:paraId="262B532F" w14:textId="713AF6C7" w:rsidR="00576A2F" w:rsidRPr="009F39C5" w:rsidRDefault="00576A2F" w:rsidP="00576A2F">
            <w:pPr>
              <w:jc w:val="both"/>
              <w:rPr>
                <w:rFonts w:ascii="Times New Roman" w:hAnsi="Times New Roman"/>
                <w:sz w:val="24"/>
                <w:szCs w:val="24"/>
                <w:lang w:val="sr-Cyrl-RS"/>
              </w:rPr>
            </w:pPr>
            <w:r w:rsidRPr="009F39C5">
              <w:rPr>
                <w:rFonts w:ascii="Times New Roman" w:hAnsi="Times New Roman"/>
                <w:sz w:val="24"/>
                <w:szCs w:val="24"/>
                <w:lang w:val="sr-Cyrl-RS"/>
              </w:rPr>
              <w:t xml:space="preserve">Please refer to Section 2.2.4 of the </w:t>
            </w:r>
            <w:r w:rsidR="002634AA" w:rsidRPr="009F39C5">
              <w:rPr>
                <w:rFonts w:ascii="Times New Roman" w:hAnsi="Times New Roman"/>
                <w:sz w:val="24"/>
                <w:szCs w:val="24"/>
                <w:lang w:val="sr-Cyrl-RS"/>
              </w:rPr>
              <w:t>Guidelines for Grant Applicants</w:t>
            </w:r>
            <w:r w:rsidR="002634AA" w:rsidRPr="009F39C5">
              <w:rPr>
                <w:rFonts w:ascii="Times New Roman" w:hAnsi="Times New Roman"/>
                <w:sz w:val="24"/>
                <w:szCs w:val="24"/>
                <w:lang w:val="en-GB"/>
              </w:rPr>
              <w:t xml:space="preserve"> (</w:t>
            </w:r>
            <w:r w:rsidRPr="009F39C5">
              <w:rPr>
                <w:rFonts w:ascii="Times New Roman" w:hAnsi="Times New Roman"/>
                <w:sz w:val="24"/>
                <w:szCs w:val="24"/>
                <w:lang w:val="sr-Cyrl-RS"/>
              </w:rPr>
              <w:t>„Further information about concept notes”</w:t>
            </w:r>
            <w:r w:rsidR="002634AA" w:rsidRPr="009F39C5">
              <w:rPr>
                <w:rFonts w:ascii="Times New Roman" w:hAnsi="Times New Roman"/>
                <w:sz w:val="24"/>
                <w:szCs w:val="24"/>
                <w:lang w:val="en-GB"/>
              </w:rPr>
              <w:t>)</w:t>
            </w:r>
            <w:r w:rsidRPr="009F39C5">
              <w:rPr>
                <w:rFonts w:ascii="Times New Roman" w:hAnsi="Times New Roman"/>
                <w:sz w:val="24"/>
                <w:szCs w:val="24"/>
                <w:lang w:val="sr-Cyrl-RS"/>
              </w:rPr>
              <w:t>, stating the following:</w:t>
            </w:r>
          </w:p>
          <w:p w14:paraId="6723046B" w14:textId="77777777" w:rsidR="00576A2F" w:rsidRPr="009F39C5" w:rsidRDefault="00576A2F" w:rsidP="00576A2F">
            <w:pPr>
              <w:jc w:val="both"/>
              <w:rPr>
                <w:rFonts w:ascii="Times New Roman" w:hAnsi="Times New Roman"/>
                <w:sz w:val="24"/>
                <w:szCs w:val="24"/>
                <w:lang w:val="sr-Cyrl-RS"/>
              </w:rPr>
            </w:pPr>
            <w:r w:rsidRPr="009F39C5">
              <w:rPr>
                <w:rFonts w:ascii="Times New Roman" w:hAnsi="Times New Roman"/>
                <w:sz w:val="24"/>
                <w:szCs w:val="24"/>
                <w:lang w:val="sr-Cyrl-RS"/>
              </w:rPr>
              <w:t>“To ensure equal treatment of applicants, the Contracting Authority cannot give a prior opinion on the eligibility of lead applicants, co-applicants, affiliated entity(ies), or an action.”</w:t>
            </w:r>
          </w:p>
          <w:p w14:paraId="456D6E9D" w14:textId="77777777" w:rsidR="00C86C3E" w:rsidRPr="009F39C5" w:rsidRDefault="00576A2F" w:rsidP="00576A2F">
            <w:pPr>
              <w:jc w:val="both"/>
              <w:rPr>
                <w:rFonts w:ascii="Times New Roman" w:hAnsi="Times New Roman"/>
                <w:sz w:val="24"/>
                <w:szCs w:val="24"/>
                <w:lang w:val="sr-Cyrl-RS"/>
              </w:rPr>
            </w:pPr>
            <w:r w:rsidRPr="009F39C5">
              <w:rPr>
                <w:rFonts w:ascii="Times New Roman" w:hAnsi="Times New Roman"/>
                <w:sz w:val="24"/>
                <w:szCs w:val="24"/>
                <w:lang w:val="sr-Cyrl-RS"/>
              </w:rPr>
              <w:t>Please note that, to be eligible, an applicant has to fulfil all eligibility criteria as defined in the Section 2.1.1 of the Guidelines for Grant Applicants.</w:t>
            </w:r>
          </w:p>
        </w:tc>
      </w:tr>
      <w:tr w:rsidR="00576A2F" w:rsidRPr="009F39C5" w14:paraId="50A7B1FE" w14:textId="77777777" w:rsidTr="00F33AA6">
        <w:trPr>
          <w:trHeight w:val="638"/>
        </w:trPr>
        <w:tc>
          <w:tcPr>
            <w:tcW w:w="980" w:type="dxa"/>
            <w:vAlign w:val="center"/>
          </w:tcPr>
          <w:p w14:paraId="3B39F2E5" w14:textId="3FBB8730" w:rsidR="00576A2F" w:rsidRPr="009F39C5" w:rsidRDefault="009F39C5" w:rsidP="00B67E83">
            <w:pPr>
              <w:jc w:val="center"/>
              <w:rPr>
                <w:rFonts w:ascii="Times New Roman" w:hAnsi="Times New Roman"/>
                <w:sz w:val="24"/>
                <w:szCs w:val="24"/>
                <w:lang w:val="en-GB"/>
              </w:rPr>
            </w:pPr>
            <w:r>
              <w:rPr>
                <w:rFonts w:ascii="Times New Roman" w:hAnsi="Times New Roman"/>
                <w:sz w:val="24"/>
                <w:szCs w:val="24"/>
                <w:lang w:val="en-GB"/>
              </w:rPr>
              <w:t>Q13</w:t>
            </w:r>
          </w:p>
        </w:tc>
        <w:tc>
          <w:tcPr>
            <w:tcW w:w="8626" w:type="dxa"/>
          </w:tcPr>
          <w:p w14:paraId="39280DD7" w14:textId="13734397" w:rsidR="00576A2F" w:rsidRPr="009F39C5" w:rsidRDefault="00576A2F" w:rsidP="002F1C8D">
            <w:pPr>
              <w:jc w:val="both"/>
              <w:rPr>
                <w:rFonts w:ascii="Times New Roman" w:hAnsi="Times New Roman"/>
                <w:sz w:val="24"/>
                <w:szCs w:val="24"/>
              </w:rPr>
            </w:pPr>
            <w:r w:rsidRPr="009F39C5">
              <w:rPr>
                <w:rFonts w:ascii="Times New Roman" w:hAnsi="Times New Roman"/>
                <w:sz w:val="24"/>
                <w:szCs w:val="24"/>
              </w:rPr>
              <w:t xml:space="preserve">What does </w:t>
            </w:r>
            <w:r w:rsidRPr="009F39C5">
              <w:rPr>
                <w:rFonts w:ascii="Times New Roman" w:hAnsi="Times New Roman"/>
                <w:sz w:val="24"/>
                <w:szCs w:val="24"/>
                <w:lang w:val="sr-Cyrl-RS"/>
              </w:rPr>
              <w:t>„</w:t>
            </w:r>
            <w:r w:rsidRPr="009F39C5">
              <w:rPr>
                <w:rFonts w:ascii="Times New Roman" w:hAnsi="Times New Roman"/>
                <w:sz w:val="24"/>
                <w:szCs w:val="24"/>
              </w:rPr>
              <w:t>balanced representation</w:t>
            </w:r>
            <w:r w:rsidRPr="009F39C5">
              <w:rPr>
                <w:rFonts w:ascii="Times New Roman" w:hAnsi="Times New Roman"/>
                <w:sz w:val="24"/>
                <w:szCs w:val="24"/>
                <w:lang w:val="sr-Cyrl-RS"/>
              </w:rPr>
              <w:t>“</w:t>
            </w:r>
            <w:r w:rsidR="002F1C8D">
              <w:rPr>
                <w:rFonts w:ascii="Times New Roman" w:hAnsi="Times New Roman"/>
                <w:sz w:val="24"/>
                <w:szCs w:val="24"/>
                <w:lang w:val="en-GB"/>
              </w:rPr>
              <w:t xml:space="preserve"> </w:t>
            </w:r>
            <w:r w:rsidRPr="009F39C5">
              <w:rPr>
                <w:rFonts w:ascii="Times New Roman" w:hAnsi="Times New Roman"/>
                <w:sz w:val="24"/>
                <w:szCs w:val="24"/>
              </w:rPr>
              <w:t xml:space="preserve">mean? For example, in case of having two partners from Montenegro and </w:t>
            </w:r>
            <w:r w:rsidR="008E650B" w:rsidRPr="009F39C5">
              <w:rPr>
                <w:rFonts w:ascii="Times New Roman" w:hAnsi="Times New Roman"/>
                <w:sz w:val="24"/>
                <w:szCs w:val="24"/>
              </w:rPr>
              <w:t xml:space="preserve">two </w:t>
            </w:r>
            <w:r w:rsidRPr="009F39C5">
              <w:rPr>
                <w:rFonts w:ascii="Times New Roman" w:hAnsi="Times New Roman"/>
                <w:sz w:val="24"/>
                <w:szCs w:val="24"/>
              </w:rPr>
              <w:t>partners from Kosovo, but only one affiliated entity from Montenegro or Kosovo</w:t>
            </w:r>
            <w:r w:rsidR="001E3D20" w:rsidRPr="009F39C5">
              <w:rPr>
                <w:rFonts w:ascii="Times New Roman" w:hAnsi="Times New Roman"/>
                <w:sz w:val="24"/>
                <w:szCs w:val="24"/>
              </w:rPr>
              <w:t>*</w:t>
            </w:r>
            <w:r w:rsidRPr="009F39C5">
              <w:rPr>
                <w:rFonts w:ascii="Times New Roman" w:hAnsi="Times New Roman"/>
                <w:sz w:val="24"/>
                <w:szCs w:val="24"/>
              </w:rPr>
              <w:t xml:space="preserve">, would this be considered as </w:t>
            </w:r>
            <w:r w:rsidR="008E650B" w:rsidRPr="009F39C5">
              <w:rPr>
                <w:rFonts w:ascii="Times New Roman" w:hAnsi="Times New Roman"/>
                <w:sz w:val="24"/>
                <w:szCs w:val="24"/>
              </w:rPr>
              <w:t xml:space="preserve">a </w:t>
            </w:r>
            <w:r w:rsidRPr="009F39C5">
              <w:rPr>
                <w:rFonts w:ascii="Times New Roman" w:hAnsi="Times New Roman"/>
                <w:sz w:val="24"/>
                <w:szCs w:val="24"/>
                <w:lang w:val="sr-Cyrl-RS"/>
              </w:rPr>
              <w:t>„</w:t>
            </w:r>
            <w:r w:rsidRPr="009F39C5">
              <w:rPr>
                <w:rFonts w:ascii="Times New Roman" w:hAnsi="Times New Roman"/>
                <w:sz w:val="24"/>
                <w:szCs w:val="24"/>
              </w:rPr>
              <w:t>balanced representation</w:t>
            </w:r>
            <w:r w:rsidRPr="009F39C5">
              <w:rPr>
                <w:rFonts w:ascii="Times New Roman" w:hAnsi="Times New Roman"/>
                <w:sz w:val="24"/>
                <w:szCs w:val="24"/>
                <w:lang w:val="sr-Cyrl-RS"/>
              </w:rPr>
              <w:t>“</w:t>
            </w:r>
            <w:r w:rsidRPr="009F39C5">
              <w:rPr>
                <w:rFonts w:ascii="Times New Roman" w:hAnsi="Times New Roman"/>
                <w:sz w:val="24"/>
                <w:szCs w:val="24"/>
              </w:rPr>
              <w:t>?</w:t>
            </w:r>
          </w:p>
        </w:tc>
      </w:tr>
      <w:tr w:rsidR="00576A2F" w:rsidRPr="009F39C5" w14:paraId="56F091DD" w14:textId="77777777" w:rsidTr="00F33AA6">
        <w:trPr>
          <w:trHeight w:val="638"/>
        </w:trPr>
        <w:tc>
          <w:tcPr>
            <w:tcW w:w="980" w:type="dxa"/>
            <w:vAlign w:val="center"/>
          </w:tcPr>
          <w:p w14:paraId="4C6442A7" w14:textId="799B9180" w:rsidR="00576A2F" w:rsidRPr="009F39C5" w:rsidRDefault="009F39C5" w:rsidP="00B67E83">
            <w:pPr>
              <w:jc w:val="center"/>
              <w:rPr>
                <w:rFonts w:ascii="Times New Roman" w:hAnsi="Times New Roman"/>
                <w:sz w:val="24"/>
                <w:szCs w:val="24"/>
                <w:lang w:val="en-GB"/>
              </w:rPr>
            </w:pPr>
            <w:r>
              <w:rPr>
                <w:rFonts w:ascii="Times New Roman" w:hAnsi="Times New Roman"/>
                <w:sz w:val="24"/>
                <w:szCs w:val="24"/>
                <w:lang w:val="en-GB"/>
              </w:rPr>
              <w:t>A13</w:t>
            </w:r>
          </w:p>
        </w:tc>
        <w:tc>
          <w:tcPr>
            <w:tcW w:w="8626" w:type="dxa"/>
          </w:tcPr>
          <w:p w14:paraId="3D5DD14B" w14:textId="607EDDE2" w:rsidR="00576A2F" w:rsidRPr="009F39C5" w:rsidRDefault="00576A2F" w:rsidP="00576A2F">
            <w:pPr>
              <w:jc w:val="both"/>
              <w:rPr>
                <w:rFonts w:ascii="Times New Roman" w:hAnsi="Times New Roman"/>
                <w:sz w:val="24"/>
                <w:szCs w:val="24"/>
              </w:rPr>
            </w:pPr>
            <w:r w:rsidRPr="009F39C5">
              <w:rPr>
                <w:rFonts w:ascii="Times New Roman" w:hAnsi="Times New Roman"/>
                <w:sz w:val="24"/>
                <w:szCs w:val="24"/>
              </w:rPr>
              <w:t>Please refer to the section 2.1.1.</w:t>
            </w:r>
            <w:r w:rsidR="002634AA" w:rsidRPr="009F39C5">
              <w:rPr>
                <w:rFonts w:ascii="Times New Roman" w:hAnsi="Times New Roman"/>
                <w:sz w:val="24"/>
                <w:szCs w:val="24"/>
              </w:rPr>
              <w:t xml:space="preserve"> of the Guidelines for Grant Applicants (</w:t>
            </w:r>
            <w:r w:rsidRPr="009F39C5">
              <w:rPr>
                <w:rFonts w:ascii="Times New Roman" w:hAnsi="Times New Roman"/>
                <w:sz w:val="24"/>
                <w:szCs w:val="24"/>
                <w:lang w:val="sr-Cyrl-RS"/>
              </w:rPr>
              <w:t>„</w:t>
            </w:r>
            <w:r w:rsidRPr="009F39C5">
              <w:rPr>
                <w:rFonts w:ascii="Times New Roman" w:hAnsi="Times New Roman"/>
                <w:sz w:val="24"/>
                <w:szCs w:val="24"/>
              </w:rPr>
              <w:t>Eligibility of applicants (i.e. lead applicant and co-applicant(s))</w:t>
            </w:r>
            <w:r w:rsidRPr="009F39C5">
              <w:rPr>
                <w:rFonts w:ascii="Times New Roman" w:hAnsi="Times New Roman"/>
                <w:sz w:val="24"/>
                <w:szCs w:val="24"/>
                <w:lang w:val="sr-Cyrl-RS"/>
              </w:rPr>
              <w:t>“</w:t>
            </w:r>
            <w:r w:rsidR="002634AA" w:rsidRPr="009F39C5">
              <w:rPr>
                <w:rFonts w:ascii="Times New Roman" w:hAnsi="Times New Roman"/>
                <w:sz w:val="24"/>
                <w:szCs w:val="24"/>
                <w:lang w:val="en-GB"/>
              </w:rPr>
              <w:t>)</w:t>
            </w:r>
            <w:r w:rsidRPr="009F39C5">
              <w:rPr>
                <w:rFonts w:ascii="Times New Roman" w:hAnsi="Times New Roman"/>
                <w:sz w:val="24"/>
                <w:szCs w:val="24"/>
              </w:rPr>
              <w:t>, stating the following:</w:t>
            </w:r>
          </w:p>
          <w:p w14:paraId="5332EECE" w14:textId="77777777" w:rsidR="00576A2F" w:rsidRPr="002F1C8D" w:rsidRDefault="00576A2F" w:rsidP="00576A2F">
            <w:pPr>
              <w:jc w:val="both"/>
              <w:rPr>
                <w:rFonts w:ascii="Times New Roman" w:hAnsi="Times New Roman"/>
                <w:sz w:val="24"/>
                <w:szCs w:val="24"/>
                <w:lang w:val="sr-Cyrl-RS"/>
              </w:rPr>
            </w:pPr>
            <w:r w:rsidRPr="002F1C8D">
              <w:rPr>
                <w:rFonts w:ascii="Times New Roman" w:hAnsi="Times New Roman"/>
                <w:sz w:val="24"/>
                <w:szCs w:val="24"/>
                <w:lang w:val="sr-Cyrl-RS"/>
              </w:rPr>
              <w:t>„Each action must involve at least two beneficiaries out of which one must be established in Montenegro and one in Kosovo</w:t>
            </w:r>
            <w:r w:rsidR="001E3D20" w:rsidRPr="002F1C8D">
              <w:rPr>
                <w:rFonts w:ascii="Times New Roman" w:hAnsi="Times New Roman"/>
                <w:sz w:val="24"/>
                <w:szCs w:val="24"/>
                <w:lang w:val="en-GB"/>
              </w:rPr>
              <w:t>*</w:t>
            </w:r>
            <w:r w:rsidRPr="002F1C8D">
              <w:rPr>
                <w:rFonts w:ascii="Times New Roman" w:hAnsi="Times New Roman"/>
                <w:sz w:val="24"/>
                <w:szCs w:val="24"/>
                <w:lang w:val="sr-Cyrl-RS"/>
              </w:rPr>
              <w:t>. The total number of beneficiaries must not exceed six (6), ensuring a balanced representations of ben</w:t>
            </w:r>
            <w:r w:rsidR="00174D36" w:rsidRPr="002F1C8D">
              <w:rPr>
                <w:rFonts w:ascii="Times New Roman" w:hAnsi="Times New Roman"/>
                <w:sz w:val="24"/>
                <w:szCs w:val="24"/>
                <w:lang w:val="sr-Cyrl-RS"/>
              </w:rPr>
              <w:t>eficiaries from both countries“.</w:t>
            </w:r>
          </w:p>
          <w:p w14:paraId="64003664" w14:textId="77777777" w:rsidR="00576A2F" w:rsidRPr="002F1C8D" w:rsidRDefault="00174D36" w:rsidP="00576A2F">
            <w:pPr>
              <w:jc w:val="both"/>
              <w:rPr>
                <w:rFonts w:ascii="Times New Roman" w:hAnsi="Times New Roman"/>
                <w:sz w:val="24"/>
                <w:szCs w:val="24"/>
                <w:lang w:val="sr-Cyrl-RS"/>
              </w:rPr>
            </w:pPr>
            <w:r w:rsidRPr="002F1C8D">
              <w:rPr>
                <w:rFonts w:ascii="Times New Roman" w:hAnsi="Times New Roman"/>
                <w:sz w:val="24"/>
                <w:szCs w:val="24"/>
                <w:lang w:val="sr-Cyrl-RS"/>
              </w:rPr>
              <w:t>„</w:t>
            </w:r>
            <w:r w:rsidR="00576A2F" w:rsidRPr="002F1C8D">
              <w:rPr>
                <w:rFonts w:ascii="Times New Roman" w:hAnsi="Times New Roman"/>
                <w:sz w:val="24"/>
                <w:szCs w:val="24"/>
                <w:lang w:val="sr-Cyrl-RS"/>
              </w:rPr>
              <w:t>If awarded the grant contract, the lead applicant will become the beneficiary identified as the Coordinator in Annex E3h1 (Special Conditions). The Coordinator is the main interlocutor of the Contracting Authority. It represents and acts on behalf of any other co-beneficiary (if any) and coordinate the design and implementation of the action.“</w:t>
            </w:r>
          </w:p>
          <w:p w14:paraId="77338732" w14:textId="77777777" w:rsidR="00174D36" w:rsidRPr="002F1C8D" w:rsidRDefault="00174D36" w:rsidP="00576A2F">
            <w:pPr>
              <w:jc w:val="both"/>
              <w:rPr>
                <w:rFonts w:ascii="Times New Roman" w:hAnsi="Times New Roman"/>
                <w:sz w:val="24"/>
                <w:szCs w:val="24"/>
              </w:rPr>
            </w:pPr>
            <w:r w:rsidRPr="002F1C8D">
              <w:rPr>
                <w:rFonts w:ascii="Times New Roman" w:hAnsi="Times New Roman"/>
                <w:sz w:val="24"/>
                <w:szCs w:val="24"/>
              </w:rPr>
              <w:t xml:space="preserve">Furthermore, please refer to the section </w:t>
            </w:r>
            <w:r w:rsidRPr="002F1C8D">
              <w:rPr>
                <w:rFonts w:ascii="Times New Roman" w:hAnsi="Times New Roman"/>
                <w:sz w:val="24"/>
                <w:szCs w:val="24"/>
                <w:lang w:val="sr-Cyrl-RS"/>
              </w:rPr>
              <w:t>2.1.2.</w:t>
            </w:r>
            <w:r w:rsidR="002634AA" w:rsidRPr="002F1C8D">
              <w:rPr>
                <w:rFonts w:ascii="Times New Roman" w:hAnsi="Times New Roman"/>
                <w:sz w:val="24"/>
                <w:szCs w:val="24"/>
                <w:lang w:val="en-GB"/>
              </w:rPr>
              <w:t xml:space="preserve"> of the Guidelines for Grant Applicants (</w:t>
            </w:r>
            <w:r w:rsidRPr="002F1C8D">
              <w:rPr>
                <w:rFonts w:ascii="Times New Roman" w:hAnsi="Times New Roman"/>
                <w:sz w:val="24"/>
                <w:szCs w:val="24"/>
                <w:lang w:val="sr-Cyrl-RS"/>
              </w:rPr>
              <w:t>„Affiliated entities“</w:t>
            </w:r>
            <w:r w:rsidR="002634AA" w:rsidRPr="002F1C8D">
              <w:rPr>
                <w:rFonts w:ascii="Times New Roman" w:hAnsi="Times New Roman"/>
                <w:sz w:val="24"/>
                <w:szCs w:val="24"/>
                <w:lang w:val="en-GB"/>
              </w:rPr>
              <w:t>)</w:t>
            </w:r>
            <w:r w:rsidRPr="002F1C8D">
              <w:rPr>
                <w:rFonts w:ascii="Times New Roman" w:hAnsi="Times New Roman"/>
                <w:sz w:val="24"/>
                <w:szCs w:val="24"/>
              </w:rPr>
              <w:t>, stating the following:</w:t>
            </w:r>
          </w:p>
          <w:p w14:paraId="0ED68673" w14:textId="77777777" w:rsidR="00174D36" w:rsidRPr="009F39C5" w:rsidRDefault="00174D36" w:rsidP="00576A2F">
            <w:pPr>
              <w:jc w:val="both"/>
              <w:rPr>
                <w:rFonts w:ascii="Times New Roman" w:hAnsi="Times New Roman"/>
                <w:sz w:val="24"/>
                <w:szCs w:val="24"/>
                <w:lang w:val="sr-Cyrl-RS"/>
              </w:rPr>
            </w:pPr>
            <w:r w:rsidRPr="002F1C8D">
              <w:rPr>
                <w:rFonts w:ascii="Times New Roman" w:hAnsi="Times New Roman"/>
                <w:sz w:val="24"/>
                <w:szCs w:val="24"/>
                <w:lang w:val="sr-Cyrl-RS"/>
              </w:rPr>
              <w:t>„If the applicants are awarded a grant contract, their affiliated entity(ies) will not become beneficiary(ies) of the action and signatory(ies) of the grant contract“.</w:t>
            </w:r>
          </w:p>
        </w:tc>
      </w:tr>
      <w:tr w:rsidR="00174D36" w:rsidRPr="009F39C5" w14:paraId="36FE770D" w14:textId="77777777" w:rsidTr="00F33AA6">
        <w:trPr>
          <w:trHeight w:val="638"/>
        </w:trPr>
        <w:tc>
          <w:tcPr>
            <w:tcW w:w="980" w:type="dxa"/>
            <w:vAlign w:val="center"/>
          </w:tcPr>
          <w:p w14:paraId="6618ABF1" w14:textId="1BF4CF86" w:rsidR="00174D36" w:rsidRPr="009F39C5" w:rsidRDefault="009F39C5" w:rsidP="00B67E83">
            <w:pPr>
              <w:jc w:val="center"/>
              <w:rPr>
                <w:rFonts w:ascii="Times New Roman" w:hAnsi="Times New Roman"/>
                <w:sz w:val="24"/>
                <w:szCs w:val="24"/>
              </w:rPr>
            </w:pPr>
            <w:r>
              <w:rPr>
                <w:rFonts w:ascii="Times New Roman" w:hAnsi="Times New Roman"/>
                <w:sz w:val="24"/>
                <w:szCs w:val="24"/>
              </w:rPr>
              <w:t>Q14</w:t>
            </w:r>
          </w:p>
        </w:tc>
        <w:tc>
          <w:tcPr>
            <w:tcW w:w="8626" w:type="dxa"/>
          </w:tcPr>
          <w:p w14:paraId="5B892287" w14:textId="77777777" w:rsidR="00174D36" w:rsidRPr="009F39C5" w:rsidRDefault="00174D36" w:rsidP="00576A2F">
            <w:pPr>
              <w:jc w:val="both"/>
              <w:rPr>
                <w:rFonts w:ascii="Times New Roman" w:hAnsi="Times New Roman"/>
                <w:sz w:val="24"/>
                <w:szCs w:val="24"/>
              </w:rPr>
            </w:pPr>
            <w:r w:rsidRPr="009F39C5">
              <w:rPr>
                <w:rFonts w:ascii="Times New Roman" w:hAnsi="Times New Roman"/>
                <w:sz w:val="24"/>
                <w:szCs w:val="24"/>
              </w:rPr>
              <w:t>Are international organizations eligible applicants under this Call for Proposals?</w:t>
            </w:r>
          </w:p>
        </w:tc>
      </w:tr>
      <w:tr w:rsidR="00174D36" w:rsidRPr="009F39C5" w14:paraId="337FF0E8" w14:textId="77777777" w:rsidTr="00F33AA6">
        <w:trPr>
          <w:trHeight w:val="638"/>
        </w:trPr>
        <w:tc>
          <w:tcPr>
            <w:tcW w:w="980" w:type="dxa"/>
            <w:vAlign w:val="center"/>
          </w:tcPr>
          <w:p w14:paraId="5B29F7AD" w14:textId="6A56D9E0" w:rsidR="00174D36" w:rsidRPr="009F39C5" w:rsidRDefault="009F39C5" w:rsidP="00B67E83">
            <w:pPr>
              <w:jc w:val="center"/>
              <w:rPr>
                <w:rFonts w:ascii="Times New Roman" w:hAnsi="Times New Roman"/>
                <w:sz w:val="24"/>
                <w:szCs w:val="24"/>
                <w:lang w:val="en-GB"/>
              </w:rPr>
            </w:pPr>
            <w:r>
              <w:rPr>
                <w:rFonts w:ascii="Times New Roman" w:hAnsi="Times New Roman"/>
                <w:sz w:val="24"/>
                <w:szCs w:val="24"/>
                <w:lang w:val="en-GB"/>
              </w:rPr>
              <w:t>A14</w:t>
            </w:r>
          </w:p>
        </w:tc>
        <w:tc>
          <w:tcPr>
            <w:tcW w:w="8626" w:type="dxa"/>
          </w:tcPr>
          <w:p w14:paraId="740F8C66" w14:textId="77777777" w:rsidR="00174D36" w:rsidRPr="009F39C5" w:rsidRDefault="00174D36" w:rsidP="00174D36">
            <w:pPr>
              <w:jc w:val="both"/>
              <w:rPr>
                <w:rFonts w:ascii="Times New Roman" w:hAnsi="Times New Roman"/>
                <w:sz w:val="24"/>
                <w:szCs w:val="24"/>
              </w:rPr>
            </w:pPr>
            <w:r w:rsidRPr="009F39C5">
              <w:rPr>
                <w:rFonts w:ascii="Times New Roman" w:hAnsi="Times New Roman"/>
                <w:sz w:val="24"/>
                <w:szCs w:val="24"/>
              </w:rPr>
              <w:t xml:space="preserve">Please refer to the Section 2.2.4 of the </w:t>
            </w:r>
            <w:r w:rsidR="002634AA" w:rsidRPr="009F39C5">
              <w:rPr>
                <w:rFonts w:ascii="Times New Roman" w:hAnsi="Times New Roman"/>
                <w:sz w:val="24"/>
                <w:szCs w:val="24"/>
              </w:rPr>
              <w:t>Guidelines for Grant Applicants (</w:t>
            </w:r>
            <w:r w:rsidRPr="009F39C5">
              <w:rPr>
                <w:rFonts w:ascii="Times New Roman" w:hAnsi="Times New Roman"/>
                <w:sz w:val="24"/>
                <w:szCs w:val="24"/>
              </w:rPr>
              <w:t>„Further information about concept notes”</w:t>
            </w:r>
            <w:r w:rsidR="002634AA" w:rsidRPr="009F39C5">
              <w:rPr>
                <w:rFonts w:ascii="Times New Roman" w:hAnsi="Times New Roman"/>
                <w:sz w:val="24"/>
                <w:szCs w:val="24"/>
              </w:rPr>
              <w:t>)</w:t>
            </w:r>
            <w:r w:rsidRPr="009F39C5">
              <w:rPr>
                <w:rFonts w:ascii="Times New Roman" w:hAnsi="Times New Roman"/>
                <w:sz w:val="24"/>
                <w:szCs w:val="24"/>
              </w:rPr>
              <w:t>, stating the following:</w:t>
            </w:r>
          </w:p>
          <w:p w14:paraId="138A1C1E" w14:textId="77777777" w:rsidR="00174D36" w:rsidRPr="009F39C5" w:rsidRDefault="00174D36" w:rsidP="00174D36">
            <w:pPr>
              <w:jc w:val="both"/>
              <w:rPr>
                <w:rFonts w:ascii="Times New Roman" w:hAnsi="Times New Roman"/>
                <w:sz w:val="24"/>
                <w:szCs w:val="24"/>
              </w:rPr>
            </w:pPr>
            <w:r w:rsidRPr="009F39C5">
              <w:rPr>
                <w:rFonts w:ascii="Times New Roman" w:hAnsi="Times New Roman"/>
                <w:sz w:val="24"/>
                <w:szCs w:val="24"/>
              </w:rPr>
              <w:t>“To ensure equal treatment of applicants, the Contracting Authority cannot give a prior opinion on the eligibility of lead applicants, co-applicants, affiliated entity(ies), or an action.”</w:t>
            </w:r>
          </w:p>
          <w:p w14:paraId="34657681" w14:textId="77777777" w:rsidR="00174D36" w:rsidRPr="009F39C5" w:rsidRDefault="00174D36" w:rsidP="00174D36">
            <w:pPr>
              <w:jc w:val="both"/>
              <w:rPr>
                <w:rFonts w:ascii="Times New Roman" w:hAnsi="Times New Roman"/>
                <w:sz w:val="24"/>
                <w:szCs w:val="24"/>
              </w:rPr>
            </w:pPr>
            <w:r w:rsidRPr="009F39C5">
              <w:rPr>
                <w:rFonts w:ascii="Times New Roman" w:hAnsi="Times New Roman"/>
                <w:sz w:val="24"/>
                <w:szCs w:val="24"/>
              </w:rPr>
              <w:t xml:space="preserve">Please note that, to be eligible, an applicant has to fulfil all eligibility criteria as defined </w:t>
            </w:r>
            <w:r w:rsidRPr="009F39C5">
              <w:rPr>
                <w:rFonts w:ascii="Times New Roman" w:hAnsi="Times New Roman"/>
                <w:sz w:val="24"/>
                <w:szCs w:val="24"/>
              </w:rPr>
              <w:lastRenderedPageBreak/>
              <w:t>in the Section 2.1.1 of the Guidelines for Grant Applicants.</w:t>
            </w:r>
          </w:p>
        </w:tc>
      </w:tr>
      <w:tr w:rsidR="00174D36" w:rsidRPr="009F39C5" w14:paraId="025DDFE5" w14:textId="77777777" w:rsidTr="00F33AA6">
        <w:trPr>
          <w:trHeight w:val="638"/>
        </w:trPr>
        <w:tc>
          <w:tcPr>
            <w:tcW w:w="980" w:type="dxa"/>
            <w:vAlign w:val="center"/>
          </w:tcPr>
          <w:p w14:paraId="4E49B70B" w14:textId="2F9BBCE2" w:rsidR="00174D36" w:rsidRPr="009F39C5" w:rsidRDefault="009F39C5" w:rsidP="00B67E83">
            <w:pPr>
              <w:jc w:val="center"/>
              <w:rPr>
                <w:rFonts w:ascii="Times New Roman" w:hAnsi="Times New Roman"/>
                <w:sz w:val="24"/>
                <w:szCs w:val="24"/>
                <w:highlight w:val="yellow"/>
                <w:lang w:val="en-GB"/>
              </w:rPr>
            </w:pPr>
            <w:r>
              <w:rPr>
                <w:rFonts w:ascii="Times New Roman" w:hAnsi="Times New Roman"/>
                <w:sz w:val="24"/>
                <w:szCs w:val="24"/>
                <w:lang w:val="en-GB"/>
              </w:rPr>
              <w:lastRenderedPageBreak/>
              <w:t>Q15</w:t>
            </w:r>
          </w:p>
        </w:tc>
        <w:tc>
          <w:tcPr>
            <w:tcW w:w="8626" w:type="dxa"/>
          </w:tcPr>
          <w:p w14:paraId="7CFFF4C3" w14:textId="77777777" w:rsidR="00174D36" w:rsidRPr="009F39C5" w:rsidRDefault="00174D36" w:rsidP="00174D36">
            <w:pPr>
              <w:jc w:val="both"/>
              <w:rPr>
                <w:rFonts w:ascii="Times New Roman" w:hAnsi="Times New Roman"/>
                <w:sz w:val="24"/>
                <w:szCs w:val="24"/>
              </w:rPr>
            </w:pPr>
            <w:r w:rsidRPr="009F39C5">
              <w:rPr>
                <w:rFonts w:ascii="Times New Roman" w:hAnsi="Times New Roman"/>
                <w:sz w:val="24"/>
                <w:szCs w:val="24"/>
              </w:rPr>
              <w:t>After the pre-selection of applicants in the Concept Note phase, could you clarify whether the Information Sessions will also be organized for the Full Applications stage or not?</w:t>
            </w:r>
          </w:p>
        </w:tc>
      </w:tr>
      <w:tr w:rsidR="00174D36" w:rsidRPr="009F39C5" w14:paraId="0463F25B" w14:textId="77777777" w:rsidTr="00F33AA6">
        <w:trPr>
          <w:trHeight w:val="638"/>
        </w:trPr>
        <w:tc>
          <w:tcPr>
            <w:tcW w:w="980" w:type="dxa"/>
            <w:vAlign w:val="center"/>
          </w:tcPr>
          <w:p w14:paraId="6662FBD4" w14:textId="327EEE1A" w:rsidR="00174D36" w:rsidRPr="009F39C5" w:rsidRDefault="009F39C5" w:rsidP="00B67E83">
            <w:pPr>
              <w:jc w:val="center"/>
              <w:rPr>
                <w:rFonts w:ascii="Times New Roman" w:hAnsi="Times New Roman"/>
                <w:sz w:val="24"/>
                <w:szCs w:val="24"/>
                <w:highlight w:val="yellow"/>
                <w:lang w:val="en-GB"/>
              </w:rPr>
            </w:pPr>
            <w:r>
              <w:rPr>
                <w:rFonts w:ascii="Times New Roman" w:hAnsi="Times New Roman"/>
                <w:sz w:val="24"/>
                <w:szCs w:val="24"/>
                <w:lang w:val="en-GB"/>
              </w:rPr>
              <w:t>A15</w:t>
            </w:r>
          </w:p>
        </w:tc>
        <w:tc>
          <w:tcPr>
            <w:tcW w:w="8626" w:type="dxa"/>
          </w:tcPr>
          <w:p w14:paraId="575E7EA5" w14:textId="77777777" w:rsidR="00D95172" w:rsidRPr="009F39C5" w:rsidRDefault="00D95172" w:rsidP="00174D36">
            <w:pPr>
              <w:jc w:val="both"/>
              <w:rPr>
                <w:rFonts w:ascii="Times New Roman" w:hAnsi="Times New Roman"/>
                <w:sz w:val="24"/>
                <w:szCs w:val="24"/>
              </w:rPr>
            </w:pPr>
            <w:r w:rsidRPr="009F39C5">
              <w:rPr>
                <w:rFonts w:ascii="Times New Roman" w:hAnsi="Times New Roman"/>
                <w:sz w:val="24"/>
                <w:szCs w:val="24"/>
              </w:rPr>
              <w:t>No additional information sessions will be organized.</w:t>
            </w:r>
          </w:p>
          <w:p w14:paraId="5256E34B" w14:textId="77777777" w:rsidR="0067626B" w:rsidRPr="009F39C5" w:rsidRDefault="0067626B" w:rsidP="00174D36">
            <w:pPr>
              <w:jc w:val="both"/>
              <w:rPr>
                <w:rFonts w:ascii="Times New Roman" w:hAnsi="Times New Roman"/>
                <w:sz w:val="24"/>
                <w:szCs w:val="24"/>
              </w:rPr>
            </w:pPr>
            <w:r w:rsidRPr="009F39C5">
              <w:rPr>
                <w:rFonts w:ascii="Times New Roman" w:hAnsi="Times New Roman"/>
                <w:sz w:val="24"/>
                <w:szCs w:val="24"/>
              </w:rPr>
              <w:t>Please refer to section 2.2.8. of the Guidelines for Grant Applicants, stating the following:</w:t>
            </w:r>
          </w:p>
          <w:p w14:paraId="731A59C5" w14:textId="5E9E5878" w:rsidR="0067626B" w:rsidRPr="009F39C5" w:rsidRDefault="0067626B" w:rsidP="0067626B">
            <w:pPr>
              <w:jc w:val="both"/>
              <w:rPr>
                <w:rFonts w:ascii="Times New Roman" w:hAnsi="Times New Roman"/>
                <w:sz w:val="24"/>
                <w:szCs w:val="24"/>
              </w:rPr>
            </w:pPr>
            <w:r w:rsidRPr="009F39C5">
              <w:rPr>
                <w:rFonts w:ascii="Times New Roman" w:hAnsi="Times New Roman"/>
                <w:sz w:val="24"/>
                <w:szCs w:val="24"/>
                <w:lang w:val="sr-Cyrl-RS"/>
              </w:rPr>
              <w:t>„</w:t>
            </w:r>
            <w:r w:rsidRPr="009F39C5">
              <w:rPr>
                <w:rFonts w:ascii="Times New Roman" w:hAnsi="Times New Roman"/>
                <w:sz w:val="24"/>
                <w:szCs w:val="24"/>
              </w:rPr>
              <w:t>Questions may be sent by e-mail [or by fax] no later than 21 days before the deadline for the submission of full applications to the addresses listed below, indicating clearly the reference of the call for proposals:</w:t>
            </w:r>
          </w:p>
          <w:p w14:paraId="54F2BDC5" w14:textId="77777777" w:rsidR="0067626B" w:rsidRPr="009F39C5" w:rsidRDefault="0067626B" w:rsidP="0067626B">
            <w:pPr>
              <w:jc w:val="both"/>
              <w:rPr>
                <w:rFonts w:ascii="Times New Roman" w:hAnsi="Times New Roman"/>
                <w:sz w:val="24"/>
                <w:szCs w:val="24"/>
              </w:rPr>
            </w:pPr>
            <w:r w:rsidRPr="009F39C5">
              <w:rPr>
                <w:rFonts w:ascii="Times New Roman" w:hAnsi="Times New Roman"/>
                <w:sz w:val="24"/>
                <w:szCs w:val="24"/>
              </w:rPr>
              <w:t>E-mail address: cfpmne.kos@mif.gov.me</w:t>
            </w:r>
          </w:p>
          <w:p w14:paraId="7BB4D85E" w14:textId="72B28331" w:rsidR="0067626B" w:rsidRPr="009F39C5" w:rsidRDefault="0067626B" w:rsidP="0067626B">
            <w:pPr>
              <w:jc w:val="both"/>
              <w:rPr>
                <w:rFonts w:ascii="Times New Roman" w:hAnsi="Times New Roman"/>
                <w:sz w:val="24"/>
                <w:szCs w:val="24"/>
                <w:lang w:val="sr-Cyrl-RS"/>
              </w:rPr>
            </w:pPr>
            <w:r w:rsidRPr="009F39C5">
              <w:rPr>
                <w:rFonts w:ascii="Times New Roman" w:hAnsi="Times New Roman"/>
                <w:sz w:val="24"/>
                <w:szCs w:val="24"/>
              </w:rPr>
              <w:t>Fax: + 382 (0) 20 230 643</w:t>
            </w:r>
            <w:r w:rsidRPr="009F39C5">
              <w:rPr>
                <w:rFonts w:ascii="Times New Roman" w:hAnsi="Times New Roman"/>
                <w:sz w:val="24"/>
                <w:szCs w:val="24"/>
                <w:lang w:val="sr-Cyrl-RS"/>
              </w:rPr>
              <w:t>“</w:t>
            </w:r>
            <w:r w:rsidR="00D455B9" w:rsidRPr="009F39C5">
              <w:rPr>
                <w:rFonts w:ascii="Times New Roman" w:hAnsi="Times New Roman"/>
                <w:sz w:val="24"/>
                <w:szCs w:val="24"/>
                <w:lang w:val="sr-Cyrl-RS"/>
              </w:rPr>
              <w:t>.</w:t>
            </w:r>
          </w:p>
          <w:p w14:paraId="46D2FBC8" w14:textId="794EBCB8" w:rsidR="00D455B9" w:rsidRPr="009F39C5" w:rsidRDefault="00D455B9" w:rsidP="0067626B">
            <w:pPr>
              <w:jc w:val="both"/>
              <w:rPr>
                <w:rFonts w:ascii="Times New Roman" w:hAnsi="Times New Roman"/>
                <w:sz w:val="24"/>
                <w:szCs w:val="24"/>
              </w:rPr>
            </w:pPr>
            <w:r w:rsidRPr="009F39C5">
              <w:rPr>
                <w:rFonts w:ascii="Times New Roman" w:hAnsi="Times New Roman"/>
                <w:sz w:val="24"/>
                <w:szCs w:val="24"/>
              </w:rPr>
              <w:t>Moreover, please refer to section 2.2.7. of the Guidelines for Grant Applicants, stating the following:</w:t>
            </w:r>
          </w:p>
          <w:p w14:paraId="565E8D6A" w14:textId="08B4EDEA" w:rsidR="00BA7971" w:rsidRPr="009F39C5" w:rsidRDefault="00D455B9" w:rsidP="00174D36">
            <w:pPr>
              <w:jc w:val="both"/>
              <w:rPr>
                <w:rFonts w:ascii="Times New Roman" w:hAnsi="Times New Roman"/>
                <w:sz w:val="24"/>
                <w:szCs w:val="24"/>
                <w:lang w:val="sr-Latn-ME"/>
              </w:rPr>
            </w:pPr>
            <w:r w:rsidRPr="009F39C5">
              <w:rPr>
                <w:rFonts w:ascii="Times New Roman" w:hAnsi="Times New Roman"/>
                <w:sz w:val="24"/>
                <w:szCs w:val="24"/>
                <w:lang w:val="sr-Cyrl-RS"/>
              </w:rPr>
              <w:t>„</w:t>
            </w:r>
            <w:r w:rsidRPr="009F39C5">
              <w:rPr>
                <w:rFonts w:ascii="Times New Roman" w:hAnsi="Times New Roman"/>
                <w:sz w:val="24"/>
                <w:szCs w:val="24"/>
              </w:rPr>
              <w:t>The deadline for the submission of full applications will be indicated in the letter sent to the lead applicants whose application has been pre-selected</w:t>
            </w:r>
            <w:r w:rsidRPr="009F39C5">
              <w:rPr>
                <w:rFonts w:ascii="Times New Roman" w:hAnsi="Times New Roman"/>
                <w:sz w:val="24"/>
                <w:szCs w:val="24"/>
                <w:lang w:val="sr-Cyrl-RS"/>
              </w:rPr>
              <w:t>“</w:t>
            </w:r>
            <w:r w:rsidRPr="009F39C5">
              <w:rPr>
                <w:rFonts w:ascii="Times New Roman" w:hAnsi="Times New Roman"/>
                <w:sz w:val="24"/>
                <w:szCs w:val="24"/>
              </w:rPr>
              <w:t>.</w:t>
            </w:r>
          </w:p>
        </w:tc>
      </w:tr>
      <w:tr w:rsidR="00002DDD" w:rsidRPr="009F39C5" w14:paraId="643D063A" w14:textId="77777777" w:rsidTr="00F33AA6">
        <w:trPr>
          <w:trHeight w:val="638"/>
        </w:trPr>
        <w:tc>
          <w:tcPr>
            <w:tcW w:w="980" w:type="dxa"/>
            <w:vAlign w:val="center"/>
          </w:tcPr>
          <w:p w14:paraId="09552E2E" w14:textId="74394F36" w:rsidR="00002DDD" w:rsidRPr="009F39C5" w:rsidRDefault="009F39C5" w:rsidP="00B67E83">
            <w:pPr>
              <w:jc w:val="center"/>
              <w:rPr>
                <w:rFonts w:ascii="Times New Roman" w:hAnsi="Times New Roman"/>
                <w:sz w:val="24"/>
                <w:szCs w:val="24"/>
                <w:lang w:val="en-GB"/>
              </w:rPr>
            </w:pPr>
            <w:r>
              <w:rPr>
                <w:rFonts w:ascii="Times New Roman" w:hAnsi="Times New Roman"/>
                <w:sz w:val="24"/>
                <w:szCs w:val="24"/>
                <w:lang w:val="en-GB"/>
              </w:rPr>
              <w:t>Q16</w:t>
            </w:r>
          </w:p>
        </w:tc>
        <w:tc>
          <w:tcPr>
            <w:tcW w:w="8626" w:type="dxa"/>
          </w:tcPr>
          <w:p w14:paraId="23D95921" w14:textId="77777777" w:rsidR="00002DDD" w:rsidRPr="009F39C5" w:rsidRDefault="00002DDD" w:rsidP="00174D36">
            <w:pPr>
              <w:jc w:val="both"/>
              <w:rPr>
                <w:rFonts w:ascii="Times New Roman" w:hAnsi="Times New Roman"/>
                <w:sz w:val="24"/>
                <w:szCs w:val="24"/>
              </w:rPr>
            </w:pPr>
            <w:r w:rsidRPr="009F39C5">
              <w:rPr>
                <w:rFonts w:ascii="Times New Roman" w:hAnsi="Times New Roman"/>
                <w:sz w:val="24"/>
                <w:szCs w:val="24"/>
              </w:rPr>
              <w:t>Is the limited liability company, non-profit as per its statute, eligible applicant under this Call for Proposals?</w:t>
            </w:r>
          </w:p>
        </w:tc>
      </w:tr>
      <w:tr w:rsidR="00002DDD" w:rsidRPr="009F39C5" w14:paraId="4C58417C" w14:textId="77777777" w:rsidTr="00F33AA6">
        <w:trPr>
          <w:trHeight w:val="638"/>
        </w:trPr>
        <w:tc>
          <w:tcPr>
            <w:tcW w:w="980" w:type="dxa"/>
            <w:vAlign w:val="center"/>
          </w:tcPr>
          <w:p w14:paraId="1424C49A" w14:textId="453E2B9B" w:rsidR="00002DDD" w:rsidRPr="009F39C5" w:rsidRDefault="009F39C5" w:rsidP="00B67E83">
            <w:pPr>
              <w:jc w:val="center"/>
              <w:rPr>
                <w:rFonts w:ascii="Times New Roman" w:hAnsi="Times New Roman"/>
                <w:sz w:val="24"/>
                <w:szCs w:val="24"/>
                <w:lang w:val="en-GB"/>
              </w:rPr>
            </w:pPr>
            <w:r>
              <w:rPr>
                <w:rFonts w:ascii="Times New Roman" w:hAnsi="Times New Roman"/>
                <w:sz w:val="24"/>
                <w:szCs w:val="24"/>
                <w:lang w:val="en-GB"/>
              </w:rPr>
              <w:t>A16</w:t>
            </w:r>
          </w:p>
        </w:tc>
        <w:tc>
          <w:tcPr>
            <w:tcW w:w="8626" w:type="dxa"/>
          </w:tcPr>
          <w:p w14:paraId="61970024" w14:textId="77777777" w:rsidR="00002DDD" w:rsidRPr="009F39C5" w:rsidRDefault="00002DDD" w:rsidP="00002DDD">
            <w:pPr>
              <w:jc w:val="both"/>
              <w:rPr>
                <w:rFonts w:ascii="Times New Roman" w:hAnsi="Times New Roman"/>
                <w:sz w:val="24"/>
                <w:szCs w:val="24"/>
              </w:rPr>
            </w:pPr>
            <w:r w:rsidRPr="009F39C5">
              <w:rPr>
                <w:rFonts w:ascii="Times New Roman" w:hAnsi="Times New Roman"/>
                <w:sz w:val="24"/>
                <w:szCs w:val="24"/>
              </w:rPr>
              <w:t xml:space="preserve">Please refer to the Section 2.2.4 of the Guidelines for Grant </w:t>
            </w:r>
            <w:r w:rsidR="002634AA" w:rsidRPr="009F39C5">
              <w:rPr>
                <w:rFonts w:ascii="Times New Roman" w:hAnsi="Times New Roman"/>
                <w:sz w:val="24"/>
                <w:szCs w:val="24"/>
              </w:rPr>
              <w:t>Applicants (</w:t>
            </w:r>
            <w:r w:rsidRPr="009F39C5">
              <w:rPr>
                <w:rFonts w:ascii="Times New Roman" w:hAnsi="Times New Roman"/>
                <w:sz w:val="24"/>
                <w:szCs w:val="24"/>
              </w:rPr>
              <w:t>„Further information about concept notes”</w:t>
            </w:r>
            <w:r w:rsidR="002634AA" w:rsidRPr="009F39C5">
              <w:rPr>
                <w:rFonts w:ascii="Times New Roman" w:hAnsi="Times New Roman"/>
                <w:sz w:val="24"/>
                <w:szCs w:val="24"/>
              </w:rPr>
              <w:t>)</w:t>
            </w:r>
            <w:r w:rsidRPr="009F39C5">
              <w:rPr>
                <w:rFonts w:ascii="Times New Roman" w:hAnsi="Times New Roman"/>
                <w:sz w:val="24"/>
                <w:szCs w:val="24"/>
              </w:rPr>
              <w:t>, stating the following:</w:t>
            </w:r>
          </w:p>
          <w:p w14:paraId="78ED47C1" w14:textId="77777777" w:rsidR="00002DDD" w:rsidRPr="009F39C5" w:rsidRDefault="00002DDD" w:rsidP="00002DDD">
            <w:pPr>
              <w:jc w:val="both"/>
              <w:rPr>
                <w:rFonts w:ascii="Times New Roman" w:hAnsi="Times New Roman"/>
                <w:sz w:val="24"/>
                <w:szCs w:val="24"/>
              </w:rPr>
            </w:pPr>
            <w:r w:rsidRPr="009F39C5">
              <w:rPr>
                <w:rFonts w:ascii="Times New Roman" w:hAnsi="Times New Roman"/>
                <w:sz w:val="24"/>
                <w:szCs w:val="24"/>
              </w:rPr>
              <w:t>“To ensure equal treatment of applicants, the Contracting Authority cannot give a prior opinion on the eligibility of lead applicants, co-applicants, affiliated entity(ies), or an action.”</w:t>
            </w:r>
          </w:p>
          <w:p w14:paraId="41E6BFC8" w14:textId="77777777" w:rsidR="00002DDD" w:rsidRPr="009F39C5" w:rsidRDefault="00002DDD" w:rsidP="00002DDD">
            <w:pPr>
              <w:jc w:val="both"/>
              <w:rPr>
                <w:rFonts w:ascii="Times New Roman" w:hAnsi="Times New Roman"/>
                <w:sz w:val="24"/>
                <w:szCs w:val="24"/>
              </w:rPr>
            </w:pPr>
            <w:r w:rsidRPr="009F39C5">
              <w:rPr>
                <w:rFonts w:ascii="Times New Roman" w:hAnsi="Times New Roman"/>
                <w:sz w:val="24"/>
                <w:szCs w:val="24"/>
              </w:rPr>
              <w:t>Please note that, to be eligible, an applicant has to fulfil all eligibility criteria as defined in the Section 2.1.1 of the Guidelines for Grant Applicants.</w:t>
            </w:r>
          </w:p>
        </w:tc>
      </w:tr>
      <w:tr w:rsidR="00002DDD" w:rsidRPr="009F39C5" w14:paraId="59109F99" w14:textId="77777777" w:rsidTr="00F33AA6">
        <w:trPr>
          <w:trHeight w:val="638"/>
        </w:trPr>
        <w:tc>
          <w:tcPr>
            <w:tcW w:w="980" w:type="dxa"/>
            <w:vAlign w:val="center"/>
          </w:tcPr>
          <w:p w14:paraId="70D5061D" w14:textId="29C15D40" w:rsidR="00002DDD" w:rsidRPr="009F39C5" w:rsidRDefault="009F39C5" w:rsidP="00B67E83">
            <w:pPr>
              <w:jc w:val="center"/>
              <w:rPr>
                <w:rFonts w:ascii="Times New Roman" w:hAnsi="Times New Roman"/>
                <w:sz w:val="24"/>
                <w:szCs w:val="24"/>
                <w:lang w:val="en-GB"/>
              </w:rPr>
            </w:pPr>
            <w:r>
              <w:rPr>
                <w:rFonts w:ascii="Times New Roman" w:hAnsi="Times New Roman"/>
                <w:sz w:val="24"/>
                <w:szCs w:val="24"/>
                <w:lang w:val="en-GB"/>
              </w:rPr>
              <w:t>Q17</w:t>
            </w:r>
          </w:p>
        </w:tc>
        <w:tc>
          <w:tcPr>
            <w:tcW w:w="8626" w:type="dxa"/>
          </w:tcPr>
          <w:p w14:paraId="37587F18" w14:textId="77777777" w:rsidR="00002DDD" w:rsidRPr="009F39C5" w:rsidRDefault="00002DDD" w:rsidP="00002DDD">
            <w:pPr>
              <w:jc w:val="both"/>
              <w:rPr>
                <w:rFonts w:ascii="Times New Roman" w:hAnsi="Times New Roman"/>
                <w:sz w:val="24"/>
                <w:szCs w:val="24"/>
              </w:rPr>
            </w:pPr>
            <w:r w:rsidRPr="009F39C5">
              <w:rPr>
                <w:rFonts w:ascii="Times New Roman" w:hAnsi="Times New Roman"/>
                <w:sz w:val="24"/>
                <w:szCs w:val="24"/>
              </w:rPr>
              <w:t>Does the rule of origin apply for products supplied in accordance with a grant contract amounting less than 100,000.00 EUR?</w:t>
            </w:r>
          </w:p>
        </w:tc>
      </w:tr>
      <w:tr w:rsidR="00002DDD" w:rsidRPr="009F39C5" w14:paraId="5C9E8CC2" w14:textId="77777777" w:rsidTr="00F33AA6">
        <w:trPr>
          <w:trHeight w:val="638"/>
        </w:trPr>
        <w:tc>
          <w:tcPr>
            <w:tcW w:w="980" w:type="dxa"/>
            <w:vAlign w:val="center"/>
          </w:tcPr>
          <w:p w14:paraId="6DC78F4A" w14:textId="620FF69E" w:rsidR="00002DDD" w:rsidRPr="009F39C5" w:rsidRDefault="009F39C5" w:rsidP="00B67E83">
            <w:pPr>
              <w:jc w:val="center"/>
              <w:rPr>
                <w:rFonts w:ascii="Times New Roman" w:hAnsi="Times New Roman"/>
                <w:sz w:val="24"/>
                <w:szCs w:val="24"/>
                <w:lang w:val="en-GB"/>
              </w:rPr>
            </w:pPr>
            <w:r>
              <w:rPr>
                <w:rFonts w:ascii="Times New Roman" w:hAnsi="Times New Roman"/>
                <w:sz w:val="24"/>
                <w:szCs w:val="24"/>
                <w:lang w:val="en-GB"/>
              </w:rPr>
              <w:t>A17</w:t>
            </w:r>
          </w:p>
        </w:tc>
        <w:tc>
          <w:tcPr>
            <w:tcW w:w="8626" w:type="dxa"/>
          </w:tcPr>
          <w:p w14:paraId="1BD0FA81" w14:textId="48076A3A" w:rsidR="0006256C" w:rsidRPr="009F39C5" w:rsidRDefault="0006256C" w:rsidP="0006256C">
            <w:pPr>
              <w:jc w:val="both"/>
              <w:rPr>
                <w:rFonts w:ascii="Times New Roman" w:hAnsi="Times New Roman"/>
                <w:sz w:val="24"/>
                <w:szCs w:val="24"/>
              </w:rPr>
            </w:pPr>
            <w:r w:rsidRPr="009F39C5">
              <w:rPr>
                <w:rFonts w:ascii="Times New Roman" w:hAnsi="Times New Roman"/>
                <w:sz w:val="24"/>
                <w:szCs w:val="24"/>
              </w:rPr>
              <w:t xml:space="preserve">Please refer to the Annex </w:t>
            </w:r>
            <w:r w:rsidR="00705020" w:rsidRPr="009F39C5">
              <w:rPr>
                <w:rFonts w:ascii="Times New Roman" w:hAnsi="Times New Roman"/>
                <w:sz w:val="24"/>
                <w:szCs w:val="24"/>
              </w:rPr>
              <w:t xml:space="preserve">G </w:t>
            </w:r>
            <w:r w:rsidRPr="009F39C5">
              <w:rPr>
                <w:rFonts w:ascii="Times New Roman" w:hAnsi="Times New Roman"/>
                <w:sz w:val="24"/>
                <w:szCs w:val="24"/>
              </w:rPr>
              <w:t>IV of the Application package (</w:t>
            </w:r>
            <w:r w:rsidRPr="009F39C5">
              <w:rPr>
                <w:rFonts w:ascii="Times New Roman" w:hAnsi="Times New Roman"/>
              </w:rPr>
              <w:t>“</w:t>
            </w:r>
            <w:r w:rsidRPr="009F39C5">
              <w:rPr>
                <w:rFonts w:ascii="Times New Roman" w:hAnsi="Times New Roman"/>
                <w:sz w:val="24"/>
                <w:szCs w:val="24"/>
              </w:rPr>
              <w:t>Procurement by grant Beneficiaries in the context of</w:t>
            </w:r>
            <w:r w:rsidRPr="009F39C5">
              <w:rPr>
                <w:rFonts w:ascii="Times New Roman" w:hAnsi="Times New Roman"/>
              </w:rPr>
              <w:t xml:space="preserve"> </w:t>
            </w:r>
            <w:r w:rsidRPr="009F39C5">
              <w:rPr>
                <w:rFonts w:ascii="Times New Roman" w:hAnsi="Times New Roman"/>
                <w:sz w:val="24"/>
                <w:szCs w:val="24"/>
              </w:rPr>
              <w:t>European Union external actions”), section 2.2 “the rule of origin”, stating the following:</w:t>
            </w:r>
          </w:p>
          <w:p w14:paraId="5271410B" w14:textId="68E45DD9" w:rsidR="00002DDD" w:rsidRPr="009F39C5" w:rsidRDefault="0006256C" w:rsidP="0006256C">
            <w:pPr>
              <w:jc w:val="both"/>
              <w:rPr>
                <w:rFonts w:ascii="Times New Roman" w:hAnsi="Times New Roman"/>
                <w:sz w:val="24"/>
                <w:szCs w:val="24"/>
              </w:rPr>
            </w:pPr>
            <w:r w:rsidRPr="009F39C5">
              <w:rPr>
                <w:rFonts w:ascii="Times New Roman" w:hAnsi="Times New Roman"/>
                <w:sz w:val="24"/>
                <w:szCs w:val="24"/>
              </w:rPr>
              <w:t xml:space="preserve">“Where rules of origin need to be respected and the unit cost on purchase is above € </w:t>
            </w:r>
            <w:r w:rsidR="002F1C8D">
              <w:rPr>
                <w:rFonts w:ascii="Times New Roman" w:hAnsi="Times New Roman"/>
                <w:sz w:val="24"/>
                <w:szCs w:val="24"/>
              </w:rPr>
              <w:t>5.</w:t>
            </w:r>
            <w:r w:rsidRPr="009F39C5">
              <w:rPr>
                <w:rFonts w:ascii="Times New Roman" w:hAnsi="Times New Roman"/>
                <w:sz w:val="24"/>
                <w:szCs w:val="24"/>
              </w:rPr>
              <w:t>000, contractors must present proof of origin to the Beneficiary(ies) at the latest when the first invoice is presented.”</w:t>
            </w:r>
          </w:p>
          <w:p w14:paraId="3B26DAA4" w14:textId="7B711079" w:rsidR="00705020" w:rsidRPr="009F39C5" w:rsidRDefault="00705020" w:rsidP="0006256C">
            <w:pPr>
              <w:jc w:val="both"/>
              <w:rPr>
                <w:rFonts w:ascii="Times New Roman" w:hAnsi="Times New Roman"/>
                <w:sz w:val="24"/>
                <w:szCs w:val="24"/>
              </w:rPr>
            </w:pPr>
            <w:r w:rsidRPr="009F39C5">
              <w:rPr>
                <w:rFonts w:ascii="Times New Roman" w:hAnsi="Times New Roman"/>
                <w:sz w:val="24"/>
                <w:szCs w:val="24"/>
              </w:rPr>
              <w:lastRenderedPageBreak/>
              <w:t xml:space="preserve">Further on, please refer to footnote 2 of Annex G IV of the Application Package where it is stated that </w:t>
            </w:r>
            <w:r w:rsidR="001C5E2D" w:rsidRPr="009F39C5">
              <w:rPr>
                <w:rFonts w:ascii="Times New Roman" w:hAnsi="Times New Roman"/>
                <w:sz w:val="24"/>
                <w:szCs w:val="24"/>
              </w:rPr>
              <w:t>"… supplies may originate from any country if the amount of the supplies to be procured is below 100.000 EUR per purchase"</w:t>
            </w:r>
          </w:p>
        </w:tc>
      </w:tr>
      <w:tr w:rsidR="00002DDD" w:rsidRPr="009F39C5" w14:paraId="45C8EE33" w14:textId="77777777" w:rsidTr="00F33AA6">
        <w:trPr>
          <w:trHeight w:val="638"/>
        </w:trPr>
        <w:tc>
          <w:tcPr>
            <w:tcW w:w="980" w:type="dxa"/>
            <w:vAlign w:val="center"/>
          </w:tcPr>
          <w:p w14:paraId="498ADDBF" w14:textId="68F20A99" w:rsidR="00002DDD" w:rsidRPr="009F39C5" w:rsidRDefault="009F39C5" w:rsidP="00B67E83">
            <w:pPr>
              <w:jc w:val="center"/>
              <w:rPr>
                <w:rFonts w:ascii="Times New Roman" w:hAnsi="Times New Roman"/>
                <w:sz w:val="24"/>
                <w:szCs w:val="24"/>
              </w:rPr>
            </w:pPr>
            <w:r>
              <w:rPr>
                <w:rFonts w:ascii="Times New Roman" w:hAnsi="Times New Roman"/>
                <w:sz w:val="24"/>
                <w:szCs w:val="24"/>
              </w:rPr>
              <w:lastRenderedPageBreak/>
              <w:t>Q18</w:t>
            </w:r>
          </w:p>
        </w:tc>
        <w:tc>
          <w:tcPr>
            <w:tcW w:w="8626" w:type="dxa"/>
          </w:tcPr>
          <w:p w14:paraId="6F69B81C" w14:textId="77777777" w:rsidR="00002DDD" w:rsidRPr="009F39C5" w:rsidRDefault="00BA7971" w:rsidP="00002DDD">
            <w:pPr>
              <w:jc w:val="both"/>
              <w:rPr>
                <w:rFonts w:ascii="Times New Roman" w:hAnsi="Times New Roman"/>
                <w:sz w:val="24"/>
                <w:szCs w:val="24"/>
              </w:rPr>
            </w:pPr>
            <w:r w:rsidRPr="009F39C5">
              <w:rPr>
                <w:rFonts w:ascii="Times New Roman" w:hAnsi="Times New Roman"/>
                <w:sz w:val="24"/>
                <w:szCs w:val="24"/>
              </w:rPr>
              <w:t>What is the minimum number of points to be achieved in the Concept Note phase in order to be pre-selected for the Full Applications phase?</w:t>
            </w:r>
          </w:p>
        </w:tc>
      </w:tr>
      <w:tr w:rsidR="00002DDD" w:rsidRPr="009F39C5" w14:paraId="66860D20" w14:textId="77777777" w:rsidTr="00F33AA6">
        <w:trPr>
          <w:trHeight w:val="638"/>
        </w:trPr>
        <w:tc>
          <w:tcPr>
            <w:tcW w:w="980" w:type="dxa"/>
            <w:vAlign w:val="center"/>
          </w:tcPr>
          <w:p w14:paraId="48670740" w14:textId="608948C6" w:rsidR="00002DDD" w:rsidRPr="009F39C5" w:rsidRDefault="009F39C5" w:rsidP="00B67E83">
            <w:pPr>
              <w:jc w:val="center"/>
              <w:rPr>
                <w:rFonts w:ascii="Times New Roman" w:hAnsi="Times New Roman"/>
                <w:sz w:val="24"/>
                <w:szCs w:val="24"/>
              </w:rPr>
            </w:pPr>
            <w:r>
              <w:rPr>
                <w:rFonts w:ascii="Times New Roman" w:hAnsi="Times New Roman"/>
                <w:sz w:val="24"/>
                <w:szCs w:val="24"/>
              </w:rPr>
              <w:t>A18</w:t>
            </w:r>
          </w:p>
        </w:tc>
        <w:tc>
          <w:tcPr>
            <w:tcW w:w="8626" w:type="dxa"/>
          </w:tcPr>
          <w:p w14:paraId="4FDD3381" w14:textId="77777777" w:rsidR="006D1284" w:rsidRDefault="002634AA" w:rsidP="006D1284">
            <w:pPr>
              <w:jc w:val="both"/>
              <w:rPr>
                <w:rFonts w:ascii="Times New Roman" w:hAnsi="Times New Roman"/>
                <w:sz w:val="24"/>
                <w:szCs w:val="24"/>
              </w:rPr>
            </w:pPr>
            <w:r w:rsidRPr="009F39C5">
              <w:rPr>
                <w:rFonts w:ascii="Times New Roman" w:hAnsi="Times New Roman"/>
                <w:sz w:val="24"/>
                <w:szCs w:val="24"/>
              </w:rPr>
              <w:t>Please refer to Section 2.3 of the Guidelines for Grant Applicants</w:t>
            </w:r>
            <w:r w:rsidR="006D1284">
              <w:rPr>
                <w:rFonts w:ascii="Times New Roman" w:hAnsi="Times New Roman"/>
                <w:sz w:val="24"/>
                <w:szCs w:val="24"/>
              </w:rPr>
              <w:t xml:space="preserve"> (</w:t>
            </w:r>
            <w:r w:rsidR="0006256C" w:rsidRPr="009F39C5">
              <w:rPr>
                <w:rFonts w:ascii="Times New Roman" w:hAnsi="Times New Roman"/>
                <w:sz w:val="24"/>
                <w:szCs w:val="24"/>
              </w:rPr>
              <w:t xml:space="preserve">subsection </w:t>
            </w:r>
            <w:r w:rsidR="00734D22" w:rsidRPr="009F39C5">
              <w:rPr>
                <w:rFonts w:ascii="Times New Roman" w:hAnsi="Times New Roman"/>
              </w:rPr>
              <w:t>“</w:t>
            </w:r>
            <w:r w:rsidR="0006256C" w:rsidRPr="009F39C5">
              <w:rPr>
                <w:rFonts w:ascii="Times New Roman" w:hAnsi="Times New Roman"/>
                <w:sz w:val="24"/>
                <w:szCs w:val="24"/>
              </w:rPr>
              <w:t>Step 1:</w:t>
            </w:r>
            <w:r w:rsidR="00D455B9" w:rsidRPr="009F39C5">
              <w:rPr>
                <w:rFonts w:ascii="Times New Roman" w:hAnsi="Times New Roman"/>
                <w:sz w:val="24"/>
                <w:szCs w:val="24"/>
                <w:lang w:val="sr-Cyrl-RS"/>
              </w:rPr>
              <w:t xml:space="preserve"> </w:t>
            </w:r>
            <w:r w:rsidR="0006256C" w:rsidRPr="009F39C5">
              <w:rPr>
                <w:rFonts w:ascii="Times New Roman" w:hAnsi="Times New Roman"/>
                <w:sz w:val="24"/>
                <w:szCs w:val="24"/>
              </w:rPr>
              <w:t>opening &amp; administrative checks and concept note evaluation</w:t>
            </w:r>
            <w:r w:rsidR="00734D22" w:rsidRPr="009F39C5">
              <w:rPr>
                <w:rFonts w:ascii="Times New Roman" w:hAnsi="Times New Roman"/>
                <w:sz w:val="24"/>
                <w:szCs w:val="24"/>
              </w:rPr>
              <w:t>”</w:t>
            </w:r>
            <w:r w:rsidR="006D1284">
              <w:rPr>
                <w:rFonts w:ascii="Times New Roman" w:hAnsi="Times New Roman"/>
                <w:sz w:val="24"/>
                <w:szCs w:val="24"/>
              </w:rPr>
              <w:t>) , stating the following:</w:t>
            </w:r>
          </w:p>
          <w:p w14:paraId="338DEB3B" w14:textId="21E63930" w:rsidR="00BA7971" w:rsidRPr="009F39C5" w:rsidRDefault="006D1284" w:rsidP="006D1284">
            <w:pPr>
              <w:jc w:val="both"/>
              <w:rPr>
                <w:rFonts w:ascii="Times New Roman" w:hAnsi="Times New Roman"/>
                <w:sz w:val="24"/>
                <w:szCs w:val="24"/>
              </w:rPr>
            </w:pPr>
            <w:r>
              <w:rPr>
                <w:rFonts w:ascii="Times New Roman" w:hAnsi="Times New Roman"/>
                <w:sz w:val="24"/>
                <w:szCs w:val="24"/>
              </w:rPr>
              <w:t>"</w:t>
            </w:r>
            <w:r w:rsidR="00D95172" w:rsidRPr="009F39C5">
              <w:rPr>
                <w:rFonts w:ascii="Times New Roman" w:hAnsi="Times New Roman"/>
                <w:sz w:val="24"/>
                <w:szCs w:val="24"/>
              </w:rPr>
              <w:t>Only the concept notes with a score of at least 30 will be considered for pre-selection.</w:t>
            </w:r>
            <w:r>
              <w:rPr>
                <w:rFonts w:ascii="Times New Roman" w:hAnsi="Times New Roman"/>
                <w:sz w:val="24"/>
                <w:szCs w:val="24"/>
              </w:rPr>
              <w:t>"</w:t>
            </w:r>
          </w:p>
        </w:tc>
      </w:tr>
      <w:tr w:rsidR="004071F3" w:rsidRPr="009F39C5" w14:paraId="3AAF1474" w14:textId="77777777" w:rsidTr="00F33AA6">
        <w:trPr>
          <w:trHeight w:val="638"/>
        </w:trPr>
        <w:tc>
          <w:tcPr>
            <w:tcW w:w="980" w:type="dxa"/>
            <w:vAlign w:val="center"/>
          </w:tcPr>
          <w:p w14:paraId="3FB26489" w14:textId="00EEE2FD" w:rsidR="004071F3" w:rsidRPr="009F39C5" w:rsidRDefault="009F39C5" w:rsidP="00B67E83">
            <w:pPr>
              <w:jc w:val="center"/>
              <w:rPr>
                <w:rFonts w:ascii="Times New Roman" w:hAnsi="Times New Roman"/>
                <w:sz w:val="24"/>
                <w:szCs w:val="24"/>
              </w:rPr>
            </w:pPr>
            <w:r>
              <w:rPr>
                <w:rFonts w:ascii="Times New Roman" w:hAnsi="Times New Roman"/>
                <w:sz w:val="24"/>
                <w:szCs w:val="24"/>
              </w:rPr>
              <w:t>Q19</w:t>
            </w:r>
          </w:p>
        </w:tc>
        <w:tc>
          <w:tcPr>
            <w:tcW w:w="8626" w:type="dxa"/>
          </w:tcPr>
          <w:p w14:paraId="39C7A26D" w14:textId="77777777" w:rsidR="004071F3" w:rsidRPr="009F39C5" w:rsidRDefault="004071F3" w:rsidP="00002DDD">
            <w:pPr>
              <w:jc w:val="both"/>
              <w:rPr>
                <w:rFonts w:ascii="Times New Roman" w:hAnsi="Times New Roman"/>
                <w:sz w:val="24"/>
                <w:szCs w:val="24"/>
              </w:rPr>
            </w:pPr>
            <w:r w:rsidRPr="009F39C5">
              <w:rPr>
                <w:rFonts w:ascii="Times New Roman" w:hAnsi="Times New Roman"/>
                <w:sz w:val="24"/>
                <w:szCs w:val="24"/>
              </w:rPr>
              <w:t>Is it a possible to include in Concept Note stage, through the corrigendum, request for submission of mandate for co-applicant?</w:t>
            </w:r>
          </w:p>
        </w:tc>
      </w:tr>
      <w:tr w:rsidR="004071F3" w:rsidRPr="009F39C5" w14:paraId="2719F899" w14:textId="77777777" w:rsidTr="00F33AA6">
        <w:trPr>
          <w:trHeight w:val="638"/>
        </w:trPr>
        <w:tc>
          <w:tcPr>
            <w:tcW w:w="980" w:type="dxa"/>
            <w:vAlign w:val="center"/>
          </w:tcPr>
          <w:p w14:paraId="69B06C59" w14:textId="7AF78222" w:rsidR="004071F3" w:rsidRPr="009F39C5" w:rsidRDefault="009F39C5" w:rsidP="00B67E83">
            <w:pPr>
              <w:jc w:val="center"/>
              <w:rPr>
                <w:rFonts w:ascii="Times New Roman" w:hAnsi="Times New Roman"/>
                <w:sz w:val="24"/>
                <w:szCs w:val="24"/>
              </w:rPr>
            </w:pPr>
            <w:r>
              <w:rPr>
                <w:rFonts w:ascii="Times New Roman" w:hAnsi="Times New Roman"/>
                <w:sz w:val="24"/>
                <w:szCs w:val="24"/>
              </w:rPr>
              <w:t>A19</w:t>
            </w:r>
          </w:p>
        </w:tc>
        <w:tc>
          <w:tcPr>
            <w:tcW w:w="8626" w:type="dxa"/>
          </w:tcPr>
          <w:p w14:paraId="61C75558" w14:textId="00B80EDF" w:rsidR="00D455B9" w:rsidRPr="009F39C5" w:rsidRDefault="00D455B9" w:rsidP="00D455B9">
            <w:pPr>
              <w:jc w:val="both"/>
              <w:rPr>
                <w:rFonts w:ascii="Times New Roman" w:hAnsi="Times New Roman"/>
                <w:sz w:val="24"/>
                <w:szCs w:val="24"/>
              </w:rPr>
            </w:pPr>
            <w:r w:rsidRPr="009F39C5">
              <w:rPr>
                <w:rFonts w:ascii="Times New Roman" w:hAnsi="Times New Roman"/>
                <w:sz w:val="24"/>
                <w:szCs w:val="24"/>
              </w:rPr>
              <w:t>Please refer to section 2.1.1.</w:t>
            </w:r>
            <w:r w:rsidRPr="009F39C5">
              <w:rPr>
                <w:rFonts w:ascii="Times New Roman" w:hAnsi="Times New Roman"/>
                <w:sz w:val="24"/>
                <w:szCs w:val="24"/>
              </w:rPr>
              <w:tab/>
            </w:r>
            <w:r w:rsidR="001C5E2D" w:rsidRPr="009F39C5">
              <w:rPr>
                <w:rFonts w:ascii="Times New Roman" w:hAnsi="Times New Roman"/>
                <w:sz w:val="24"/>
                <w:szCs w:val="24"/>
              </w:rPr>
              <w:t>("</w:t>
            </w:r>
            <w:r w:rsidRPr="009F39C5">
              <w:rPr>
                <w:rFonts w:ascii="Times New Roman" w:hAnsi="Times New Roman"/>
                <w:sz w:val="24"/>
                <w:szCs w:val="24"/>
              </w:rPr>
              <w:t>Eligibility of applicants (i.e. lead applicant and co-applicant(s))</w:t>
            </w:r>
            <w:r w:rsidRPr="009F39C5">
              <w:rPr>
                <w:rFonts w:ascii="Times New Roman" w:hAnsi="Times New Roman"/>
                <w:sz w:val="24"/>
                <w:szCs w:val="24"/>
                <w:lang w:val="sr-Cyrl-RS"/>
              </w:rPr>
              <w:t>“</w:t>
            </w:r>
            <w:r w:rsidRPr="009F39C5">
              <w:rPr>
                <w:rFonts w:ascii="Times New Roman" w:hAnsi="Times New Roman"/>
                <w:sz w:val="24"/>
                <w:szCs w:val="24"/>
              </w:rPr>
              <w:t xml:space="preserve"> of the Guidelines for Grant Applicants, stating the following:</w:t>
            </w:r>
          </w:p>
          <w:p w14:paraId="303973BD" w14:textId="386F8E1C" w:rsidR="004071F3" w:rsidRPr="009F39C5" w:rsidRDefault="00D455B9" w:rsidP="001C5E2D">
            <w:pPr>
              <w:jc w:val="both"/>
              <w:rPr>
                <w:rFonts w:ascii="Times New Roman" w:hAnsi="Times New Roman"/>
                <w:sz w:val="24"/>
                <w:szCs w:val="24"/>
              </w:rPr>
            </w:pPr>
            <w:r w:rsidRPr="009F39C5">
              <w:rPr>
                <w:rFonts w:ascii="Times New Roman" w:hAnsi="Times New Roman"/>
                <w:sz w:val="24"/>
                <w:szCs w:val="24"/>
                <w:lang w:val="sr-Cyrl-RS"/>
              </w:rPr>
              <w:t>„Co-applicants must sign the mandate in Part B section 4 of the grant application form.“</w:t>
            </w:r>
            <w:r w:rsidR="004071F3" w:rsidRPr="009F39C5">
              <w:rPr>
                <w:rFonts w:ascii="Times New Roman" w:hAnsi="Times New Roman"/>
                <w:sz w:val="24"/>
                <w:szCs w:val="24"/>
              </w:rPr>
              <w:t xml:space="preserve"> This document needs to be submitted in Full application.</w:t>
            </w:r>
          </w:p>
        </w:tc>
      </w:tr>
      <w:tr w:rsidR="004071F3" w:rsidRPr="009F39C5" w14:paraId="72B04AE3" w14:textId="77777777" w:rsidTr="00F33AA6">
        <w:trPr>
          <w:trHeight w:val="638"/>
        </w:trPr>
        <w:tc>
          <w:tcPr>
            <w:tcW w:w="980" w:type="dxa"/>
            <w:vAlign w:val="center"/>
          </w:tcPr>
          <w:p w14:paraId="2A62BE61" w14:textId="5589D9CE" w:rsidR="004071F3" w:rsidRPr="009F39C5" w:rsidRDefault="009F39C5" w:rsidP="00B67E83">
            <w:pPr>
              <w:jc w:val="center"/>
              <w:rPr>
                <w:rFonts w:ascii="Times New Roman" w:hAnsi="Times New Roman"/>
                <w:sz w:val="24"/>
                <w:szCs w:val="24"/>
              </w:rPr>
            </w:pPr>
            <w:r>
              <w:rPr>
                <w:rFonts w:ascii="Times New Roman" w:hAnsi="Times New Roman"/>
                <w:sz w:val="24"/>
                <w:szCs w:val="24"/>
              </w:rPr>
              <w:t>Q20</w:t>
            </w:r>
          </w:p>
        </w:tc>
        <w:tc>
          <w:tcPr>
            <w:tcW w:w="8626" w:type="dxa"/>
          </w:tcPr>
          <w:p w14:paraId="292E5CF1" w14:textId="182CA9F3" w:rsidR="004071F3" w:rsidRPr="009F39C5" w:rsidRDefault="001D3DE7" w:rsidP="001D3DE7">
            <w:pPr>
              <w:jc w:val="both"/>
              <w:rPr>
                <w:rFonts w:ascii="Times New Roman" w:hAnsi="Times New Roman"/>
                <w:sz w:val="24"/>
                <w:szCs w:val="24"/>
              </w:rPr>
            </w:pPr>
            <w:r w:rsidRPr="009F39C5">
              <w:rPr>
                <w:rFonts w:ascii="Times New Roman" w:hAnsi="Times New Roman"/>
                <w:sz w:val="24"/>
                <w:szCs w:val="24"/>
              </w:rPr>
              <w:t xml:space="preserve">Can for </w:t>
            </w:r>
            <w:r w:rsidR="004071F3" w:rsidRPr="009F39C5">
              <w:rPr>
                <w:rFonts w:ascii="Times New Roman" w:hAnsi="Times New Roman"/>
                <w:sz w:val="24"/>
                <w:szCs w:val="24"/>
              </w:rPr>
              <w:t>example</w:t>
            </w:r>
            <w:r w:rsidRPr="009F39C5">
              <w:rPr>
                <w:rFonts w:ascii="Times New Roman" w:hAnsi="Times New Roman"/>
                <w:sz w:val="24"/>
                <w:szCs w:val="24"/>
              </w:rPr>
              <w:t xml:space="preserve"> having</w:t>
            </w:r>
            <w:r w:rsidR="004071F3" w:rsidRPr="009F39C5">
              <w:rPr>
                <w:rFonts w:ascii="Times New Roman" w:hAnsi="Times New Roman"/>
                <w:sz w:val="24"/>
                <w:szCs w:val="24"/>
              </w:rPr>
              <w:t xml:space="preserve"> two potential beneficiaries from Kosovo, and one potential beneficiary from Montenegro</w:t>
            </w:r>
            <w:r w:rsidRPr="009F39C5">
              <w:rPr>
                <w:rFonts w:ascii="Times New Roman" w:hAnsi="Times New Roman"/>
                <w:sz w:val="24"/>
                <w:szCs w:val="24"/>
              </w:rPr>
              <w:t xml:space="preserve"> be considered as balanced representation of beneficiaries from both countries</w:t>
            </w:r>
            <w:r w:rsidR="004071F3" w:rsidRPr="009F39C5">
              <w:rPr>
                <w:rFonts w:ascii="Times New Roman" w:hAnsi="Times New Roman"/>
                <w:sz w:val="24"/>
                <w:szCs w:val="24"/>
              </w:rPr>
              <w:t>?</w:t>
            </w:r>
          </w:p>
        </w:tc>
      </w:tr>
      <w:tr w:rsidR="004071F3" w:rsidRPr="009F39C5" w14:paraId="55156907" w14:textId="77777777" w:rsidTr="00F33AA6">
        <w:trPr>
          <w:trHeight w:val="638"/>
        </w:trPr>
        <w:tc>
          <w:tcPr>
            <w:tcW w:w="980" w:type="dxa"/>
            <w:vAlign w:val="center"/>
          </w:tcPr>
          <w:p w14:paraId="7035CF49" w14:textId="364D775A" w:rsidR="004071F3" w:rsidRPr="009F39C5" w:rsidRDefault="009F39C5" w:rsidP="00B67E83">
            <w:pPr>
              <w:jc w:val="center"/>
              <w:rPr>
                <w:rFonts w:ascii="Times New Roman" w:hAnsi="Times New Roman"/>
                <w:sz w:val="24"/>
                <w:szCs w:val="24"/>
              </w:rPr>
            </w:pPr>
            <w:r>
              <w:rPr>
                <w:rFonts w:ascii="Times New Roman" w:hAnsi="Times New Roman"/>
                <w:sz w:val="24"/>
                <w:szCs w:val="24"/>
              </w:rPr>
              <w:t>A20</w:t>
            </w:r>
          </w:p>
        </w:tc>
        <w:tc>
          <w:tcPr>
            <w:tcW w:w="8626" w:type="dxa"/>
          </w:tcPr>
          <w:p w14:paraId="5B5E2837" w14:textId="77777777" w:rsidR="00734D22" w:rsidRPr="009F39C5" w:rsidRDefault="00734D22" w:rsidP="00734D22">
            <w:pPr>
              <w:jc w:val="both"/>
              <w:rPr>
                <w:rFonts w:ascii="Times New Roman" w:hAnsi="Times New Roman"/>
                <w:sz w:val="24"/>
                <w:szCs w:val="24"/>
              </w:rPr>
            </w:pPr>
            <w:r w:rsidRPr="009F39C5">
              <w:rPr>
                <w:rFonts w:ascii="Times New Roman" w:hAnsi="Times New Roman"/>
                <w:sz w:val="24"/>
                <w:szCs w:val="24"/>
              </w:rPr>
              <w:t>Please refer to the section 2.1.1. of the Guidelines for Grant Applicants ( „Eligibility of applicants (i.e. lead applicant and co-applicant(s))“) of the Guidelines for Grant Applicants, stating the following:</w:t>
            </w:r>
          </w:p>
          <w:p w14:paraId="4639BA32" w14:textId="7B5F25B3" w:rsidR="00734D22" w:rsidRPr="009F39C5" w:rsidRDefault="00734D22" w:rsidP="00734D22">
            <w:pPr>
              <w:jc w:val="both"/>
              <w:rPr>
                <w:rFonts w:ascii="Times New Roman" w:hAnsi="Times New Roman"/>
                <w:sz w:val="24"/>
                <w:szCs w:val="24"/>
              </w:rPr>
            </w:pPr>
            <w:r w:rsidRPr="009F39C5">
              <w:rPr>
                <w:rFonts w:ascii="Times New Roman" w:hAnsi="Times New Roman"/>
                <w:sz w:val="24"/>
                <w:szCs w:val="24"/>
              </w:rPr>
              <w:t xml:space="preserve">„Each action must involve at least two beneficiaries out of which one must be established </w:t>
            </w:r>
            <w:r w:rsidR="006D1284">
              <w:rPr>
                <w:rFonts w:ascii="Times New Roman" w:hAnsi="Times New Roman"/>
                <w:sz w:val="24"/>
                <w:szCs w:val="24"/>
              </w:rPr>
              <w:t>in Montenegro and one in Kosovo</w:t>
            </w:r>
            <w:r w:rsidRPr="009F39C5">
              <w:rPr>
                <w:rFonts w:ascii="Times New Roman" w:hAnsi="Times New Roman"/>
                <w:sz w:val="24"/>
                <w:szCs w:val="24"/>
              </w:rPr>
              <w:t>. The total number of beneficiaries must not exceed six (6), ensuring a balanced repr</w:t>
            </w:r>
            <w:r w:rsidR="006D1284">
              <w:rPr>
                <w:rFonts w:ascii="Times New Roman" w:hAnsi="Times New Roman"/>
                <w:sz w:val="24"/>
                <w:szCs w:val="24"/>
              </w:rPr>
              <w:t>esentation</w:t>
            </w:r>
            <w:r w:rsidRPr="009F39C5">
              <w:rPr>
                <w:rFonts w:ascii="Times New Roman" w:hAnsi="Times New Roman"/>
                <w:sz w:val="24"/>
                <w:szCs w:val="24"/>
              </w:rPr>
              <w:t xml:space="preserve"> of beneficiaries from both countries“.</w:t>
            </w:r>
          </w:p>
          <w:p w14:paraId="2FA8DF71" w14:textId="77777777" w:rsidR="00734D22" w:rsidRPr="009F39C5" w:rsidRDefault="00734D22" w:rsidP="00734D22">
            <w:pPr>
              <w:jc w:val="both"/>
              <w:rPr>
                <w:rFonts w:ascii="Times New Roman" w:hAnsi="Times New Roman"/>
                <w:sz w:val="24"/>
                <w:szCs w:val="24"/>
              </w:rPr>
            </w:pPr>
            <w:r w:rsidRPr="009F39C5">
              <w:rPr>
                <w:rFonts w:ascii="Times New Roman" w:hAnsi="Times New Roman"/>
                <w:sz w:val="24"/>
                <w:szCs w:val="24"/>
              </w:rPr>
              <w:t>„If awarded the grant contract, the lead applicant will become the beneficiary identified as the Coordinator in Annex E3h1 (Special Conditions). The Coordinator is the main interlocutor of the Contracting Authority. It represents and acts on behalf of any other co-beneficiary (if any) and coordinate the design and implementation of the action.“</w:t>
            </w:r>
          </w:p>
          <w:p w14:paraId="7C90AC44" w14:textId="77777777" w:rsidR="00734D22" w:rsidRPr="009F39C5" w:rsidRDefault="00734D22" w:rsidP="00734D22">
            <w:pPr>
              <w:jc w:val="both"/>
              <w:rPr>
                <w:rFonts w:ascii="Times New Roman" w:hAnsi="Times New Roman"/>
                <w:sz w:val="24"/>
                <w:szCs w:val="24"/>
              </w:rPr>
            </w:pPr>
            <w:r w:rsidRPr="009F39C5">
              <w:rPr>
                <w:rFonts w:ascii="Times New Roman" w:hAnsi="Times New Roman"/>
                <w:sz w:val="24"/>
                <w:szCs w:val="24"/>
              </w:rPr>
              <w:t>Furthermore, please refer to the section 2.1.2. of the Guidelines for Grant Applicants („Affiliated entities“), stating the following:</w:t>
            </w:r>
          </w:p>
          <w:p w14:paraId="552DB213" w14:textId="77777777" w:rsidR="004071F3" w:rsidRPr="009F39C5" w:rsidRDefault="00734D22" w:rsidP="00734D22">
            <w:pPr>
              <w:jc w:val="both"/>
              <w:rPr>
                <w:rFonts w:ascii="Times New Roman" w:hAnsi="Times New Roman"/>
                <w:sz w:val="24"/>
                <w:szCs w:val="24"/>
              </w:rPr>
            </w:pPr>
            <w:r w:rsidRPr="009F39C5">
              <w:rPr>
                <w:rFonts w:ascii="Times New Roman" w:hAnsi="Times New Roman"/>
                <w:sz w:val="24"/>
                <w:szCs w:val="24"/>
              </w:rPr>
              <w:t>„If the applicants are awarded a grant contract, their affiliated entity(ies) will not become beneficiary(ies) of the action and signatory(ies) of the grant contract“.</w:t>
            </w:r>
          </w:p>
        </w:tc>
      </w:tr>
      <w:tr w:rsidR="004071F3" w:rsidRPr="009F39C5" w14:paraId="2589DC91" w14:textId="77777777" w:rsidTr="00F33AA6">
        <w:trPr>
          <w:trHeight w:val="638"/>
        </w:trPr>
        <w:tc>
          <w:tcPr>
            <w:tcW w:w="980" w:type="dxa"/>
            <w:vAlign w:val="center"/>
          </w:tcPr>
          <w:p w14:paraId="316B217D" w14:textId="4C1859C5" w:rsidR="004071F3" w:rsidRPr="009F39C5" w:rsidRDefault="009F39C5" w:rsidP="00B67E83">
            <w:pPr>
              <w:jc w:val="center"/>
              <w:rPr>
                <w:rFonts w:ascii="Times New Roman" w:hAnsi="Times New Roman"/>
                <w:sz w:val="24"/>
                <w:szCs w:val="24"/>
              </w:rPr>
            </w:pPr>
            <w:r>
              <w:rPr>
                <w:rFonts w:ascii="Times New Roman" w:hAnsi="Times New Roman"/>
                <w:sz w:val="24"/>
                <w:szCs w:val="24"/>
              </w:rPr>
              <w:t>Q21</w:t>
            </w:r>
          </w:p>
        </w:tc>
        <w:tc>
          <w:tcPr>
            <w:tcW w:w="8626" w:type="dxa"/>
          </w:tcPr>
          <w:p w14:paraId="75F07A1F" w14:textId="14665AD2" w:rsidR="004071F3" w:rsidRPr="009F39C5" w:rsidRDefault="004071F3" w:rsidP="00734D22">
            <w:pPr>
              <w:jc w:val="both"/>
              <w:rPr>
                <w:rFonts w:ascii="Times New Roman" w:hAnsi="Times New Roman"/>
                <w:sz w:val="24"/>
                <w:szCs w:val="24"/>
              </w:rPr>
            </w:pPr>
            <w:r w:rsidRPr="009F39C5">
              <w:rPr>
                <w:rFonts w:ascii="Times New Roman" w:hAnsi="Times New Roman"/>
                <w:sz w:val="24"/>
                <w:szCs w:val="24"/>
              </w:rPr>
              <w:t>How many applications may be awarded to lead applicant under this call for proposals?</w:t>
            </w:r>
          </w:p>
        </w:tc>
      </w:tr>
      <w:tr w:rsidR="004071F3" w:rsidRPr="009F39C5" w14:paraId="4F5A3274" w14:textId="77777777" w:rsidTr="00F33AA6">
        <w:trPr>
          <w:trHeight w:val="638"/>
        </w:trPr>
        <w:tc>
          <w:tcPr>
            <w:tcW w:w="980" w:type="dxa"/>
            <w:vAlign w:val="center"/>
          </w:tcPr>
          <w:p w14:paraId="34DF7055" w14:textId="77D9D53A" w:rsidR="004071F3" w:rsidRPr="009F39C5" w:rsidRDefault="009F39C5" w:rsidP="00B67E83">
            <w:pPr>
              <w:jc w:val="center"/>
              <w:rPr>
                <w:rFonts w:ascii="Times New Roman" w:hAnsi="Times New Roman"/>
                <w:sz w:val="24"/>
                <w:szCs w:val="24"/>
              </w:rPr>
            </w:pPr>
            <w:r>
              <w:rPr>
                <w:rFonts w:ascii="Times New Roman" w:hAnsi="Times New Roman"/>
                <w:sz w:val="24"/>
                <w:szCs w:val="24"/>
              </w:rPr>
              <w:lastRenderedPageBreak/>
              <w:t>A21</w:t>
            </w:r>
          </w:p>
        </w:tc>
        <w:tc>
          <w:tcPr>
            <w:tcW w:w="8626" w:type="dxa"/>
          </w:tcPr>
          <w:p w14:paraId="7AE5358E" w14:textId="77777777" w:rsidR="004071F3" w:rsidRPr="009F39C5" w:rsidRDefault="004071F3" w:rsidP="00002DDD">
            <w:pPr>
              <w:jc w:val="both"/>
              <w:rPr>
                <w:rFonts w:ascii="Times New Roman" w:hAnsi="Times New Roman"/>
                <w:sz w:val="24"/>
                <w:szCs w:val="24"/>
              </w:rPr>
            </w:pPr>
            <w:r w:rsidRPr="009F39C5">
              <w:rPr>
                <w:rFonts w:ascii="Times New Roman" w:hAnsi="Times New Roman"/>
                <w:sz w:val="24"/>
                <w:szCs w:val="24"/>
              </w:rPr>
              <w:t>Please refer to section 2.1.4 of the Guidelines for Grant Applicants („</w:t>
            </w:r>
            <w:r w:rsidRPr="009F39C5">
              <w:rPr>
                <w:rFonts w:ascii="Times New Roman" w:hAnsi="Times New Roman"/>
              </w:rPr>
              <w:t xml:space="preserve"> </w:t>
            </w:r>
            <w:r w:rsidRPr="009F39C5">
              <w:rPr>
                <w:rFonts w:ascii="Times New Roman" w:hAnsi="Times New Roman"/>
                <w:sz w:val="24"/>
                <w:szCs w:val="24"/>
              </w:rPr>
              <w:t>Number of applications and grants per applicants / affiliated entities“), stating the following:</w:t>
            </w:r>
          </w:p>
          <w:p w14:paraId="46449022" w14:textId="77777777" w:rsidR="004071F3" w:rsidRPr="009F39C5" w:rsidRDefault="001D3DE7" w:rsidP="00002DDD">
            <w:pPr>
              <w:jc w:val="both"/>
              <w:rPr>
                <w:rFonts w:ascii="Times New Roman" w:hAnsi="Times New Roman"/>
                <w:sz w:val="24"/>
                <w:szCs w:val="24"/>
              </w:rPr>
            </w:pPr>
            <w:r w:rsidRPr="009F39C5">
              <w:rPr>
                <w:rFonts w:ascii="Times New Roman" w:hAnsi="Times New Roman"/>
                <w:sz w:val="24"/>
                <w:szCs w:val="24"/>
              </w:rPr>
              <w:t>“</w:t>
            </w:r>
            <w:r w:rsidR="004071F3" w:rsidRPr="009F39C5">
              <w:rPr>
                <w:rFonts w:ascii="Times New Roman" w:hAnsi="Times New Roman"/>
                <w:sz w:val="24"/>
                <w:szCs w:val="24"/>
              </w:rPr>
              <w:t>The lead applicant may not be awarded more than 1 grant under this call for proposals.</w:t>
            </w:r>
            <w:r w:rsidRPr="009F39C5">
              <w:rPr>
                <w:rFonts w:ascii="Times New Roman" w:hAnsi="Times New Roman"/>
                <w:sz w:val="24"/>
                <w:szCs w:val="24"/>
              </w:rPr>
              <w:t>”</w:t>
            </w:r>
          </w:p>
        </w:tc>
      </w:tr>
      <w:tr w:rsidR="004071F3" w:rsidRPr="009F39C5" w14:paraId="0C7003FB" w14:textId="77777777" w:rsidTr="00F33AA6">
        <w:trPr>
          <w:trHeight w:val="638"/>
        </w:trPr>
        <w:tc>
          <w:tcPr>
            <w:tcW w:w="980" w:type="dxa"/>
            <w:vAlign w:val="center"/>
          </w:tcPr>
          <w:p w14:paraId="524E7EA1" w14:textId="29E745BE" w:rsidR="004071F3" w:rsidRPr="009F39C5" w:rsidRDefault="004071F3" w:rsidP="009F39C5">
            <w:pPr>
              <w:jc w:val="center"/>
              <w:rPr>
                <w:rFonts w:ascii="Times New Roman" w:hAnsi="Times New Roman"/>
                <w:sz w:val="24"/>
                <w:szCs w:val="24"/>
              </w:rPr>
            </w:pPr>
            <w:r w:rsidRPr="009F39C5">
              <w:rPr>
                <w:rFonts w:ascii="Times New Roman" w:hAnsi="Times New Roman"/>
                <w:sz w:val="24"/>
                <w:szCs w:val="24"/>
              </w:rPr>
              <w:t>Q2</w:t>
            </w:r>
            <w:r w:rsidR="009F39C5">
              <w:rPr>
                <w:rFonts w:ascii="Times New Roman" w:hAnsi="Times New Roman"/>
                <w:sz w:val="24"/>
                <w:szCs w:val="24"/>
              </w:rPr>
              <w:t>2</w:t>
            </w:r>
          </w:p>
        </w:tc>
        <w:tc>
          <w:tcPr>
            <w:tcW w:w="8626" w:type="dxa"/>
          </w:tcPr>
          <w:p w14:paraId="285CD54F" w14:textId="35B6DB85" w:rsidR="004071F3" w:rsidRPr="009F39C5" w:rsidRDefault="004071F3" w:rsidP="00734D22">
            <w:pPr>
              <w:jc w:val="both"/>
              <w:rPr>
                <w:rFonts w:ascii="Times New Roman" w:hAnsi="Times New Roman"/>
                <w:sz w:val="24"/>
                <w:szCs w:val="24"/>
              </w:rPr>
            </w:pPr>
            <w:r w:rsidRPr="009F39C5">
              <w:rPr>
                <w:rFonts w:ascii="Times New Roman" w:hAnsi="Times New Roman"/>
                <w:sz w:val="24"/>
                <w:szCs w:val="24"/>
              </w:rPr>
              <w:t>Is it possible to submit application</w:t>
            </w:r>
            <w:r w:rsidR="002C6FBE" w:rsidRPr="009F39C5">
              <w:rPr>
                <w:rFonts w:ascii="Times New Roman" w:hAnsi="Times New Roman"/>
                <w:sz w:val="24"/>
                <w:szCs w:val="24"/>
              </w:rPr>
              <w:t>s</w:t>
            </w:r>
            <w:r w:rsidRPr="009F39C5">
              <w:rPr>
                <w:rFonts w:ascii="Times New Roman" w:hAnsi="Times New Roman"/>
                <w:sz w:val="24"/>
                <w:szCs w:val="24"/>
              </w:rPr>
              <w:t xml:space="preserve"> online?</w:t>
            </w:r>
          </w:p>
        </w:tc>
      </w:tr>
      <w:tr w:rsidR="004071F3" w:rsidRPr="009F39C5" w14:paraId="6740C8EC" w14:textId="77777777" w:rsidTr="00F33AA6">
        <w:trPr>
          <w:trHeight w:val="638"/>
        </w:trPr>
        <w:tc>
          <w:tcPr>
            <w:tcW w:w="980" w:type="dxa"/>
            <w:vAlign w:val="center"/>
          </w:tcPr>
          <w:p w14:paraId="40556437" w14:textId="3AAC496A" w:rsidR="004071F3" w:rsidRPr="009F39C5" w:rsidRDefault="004071F3" w:rsidP="009F39C5">
            <w:pPr>
              <w:jc w:val="center"/>
              <w:rPr>
                <w:rFonts w:ascii="Times New Roman" w:hAnsi="Times New Roman"/>
                <w:sz w:val="24"/>
                <w:szCs w:val="24"/>
              </w:rPr>
            </w:pPr>
            <w:r w:rsidRPr="009F39C5">
              <w:rPr>
                <w:rFonts w:ascii="Times New Roman" w:hAnsi="Times New Roman"/>
                <w:sz w:val="24"/>
                <w:szCs w:val="24"/>
              </w:rPr>
              <w:t>A2</w:t>
            </w:r>
            <w:r w:rsidR="009F39C5">
              <w:rPr>
                <w:rFonts w:ascii="Times New Roman" w:hAnsi="Times New Roman"/>
                <w:sz w:val="24"/>
                <w:szCs w:val="24"/>
              </w:rPr>
              <w:t>2</w:t>
            </w:r>
          </w:p>
        </w:tc>
        <w:tc>
          <w:tcPr>
            <w:tcW w:w="8626" w:type="dxa"/>
          </w:tcPr>
          <w:p w14:paraId="26F25604" w14:textId="77777777" w:rsidR="004071F3" w:rsidRPr="009F39C5" w:rsidRDefault="00734D22" w:rsidP="00734D22">
            <w:pPr>
              <w:jc w:val="both"/>
              <w:rPr>
                <w:rFonts w:ascii="Times New Roman" w:hAnsi="Times New Roman"/>
                <w:sz w:val="24"/>
                <w:szCs w:val="24"/>
              </w:rPr>
            </w:pPr>
            <w:r w:rsidRPr="009F39C5">
              <w:rPr>
                <w:rFonts w:ascii="Times New Roman" w:hAnsi="Times New Roman"/>
                <w:sz w:val="24"/>
                <w:szCs w:val="24"/>
              </w:rPr>
              <w:t xml:space="preserve">Please refer to section 2.2.2 of the Guidelines for Grant Applicants </w:t>
            </w:r>
            <w:r w:rsidRPr="009F39C5">
              <w:rPr>
                <w:rFonts w:ascii="Times New Roman" w:hAnsi="Times New Roman"/>
              </w:rPr>
              <w:t>(“</w:t>
            </w:r>
            <w:r w:rsidRPr="009F39C5">
              <w:rPr>
                <w:rFonts w:ascii="Times New Roman" w:hAnsi="Times New Roman"/>
                <w:sz w:val="24"/>
                <w:szCs w:val="24"/>
              </w:rPr>
              <w:t>Where and how to send concept notes), stating the following:</w:t>
            </w:r>
          </w:p>
          <w:p w14:paraId="39DAAE98" w14:textId="77777777" w:rsidR="00734D22" w:rsidRPr="009F39C5" w:rsidRDefault="00734D22" w:rsidP="00734D22">
            <w:pPr>
              <w:jc w:val="both"/>
              <w:rPr>
                <w:rFonts w:ascii="Times New Roman" w:hAnsi="Times New Roman"/>
                <w:sz w:val="24"/>
                <w:szCs w:val="24"/>
              </w:rPr>
            </w:pPr>
            <w:r w:rsidRPr="009F39C5">
              <w:rPr>
                <w:rFonts w:ascii="Times New Roman" w:hAnsi="Times New Roman"/>
                <w:sz w:val="24"/>
                <w:szCs w:val="24"/>
              </w:rPr>
              <w:t>“Concept notes must be submitted in a sealed envelope by registered mail, private courier service or by hand-delivery (a signed and dated certificate of receipt will be given to the deliverer) to the address below:</w:t>
            </w:r>
          </w:p>
          <w:p w14:paraId="1568E094" w14:textId="77777777" w:rsidR="00734D22" w:rsidRPr="009F39C5" w:rsidRDefault="00734D22" w:rsidP="00734D22">
            <w:pPr>
              <w:spacing w:after="0" w:line="240" w:lineRule="auto"/>
              <w:jc w:val="both"/>
              <w:rPr>
                <w:rFonts w:ascii="Times New Roman" w:hAnsi="Times New Roman"/>
                <w:sz w:val="24"/>
                <w:szCs w:val="24"/>
              </w:rPr>
            </w:pPr>
            <w:r w:rsidRPr="009F39C5">
              <w:rPr>
                <w:rFonts w:ascii="Times New Roman" w:hAnsi="Times New Roman"/>
                <w:sz w:val="24"/>
                <w:szCs w:val="24"/>
              </w:rPr>
              <w:t>Postal address:</w:t>
            </w:r>
          </w:p>
          <w:p w14:paraId="737C3BB2" w14:textId="77777777" w:rsidR="00734D22" w:rsidRPr="009F39C5" w:rsidRDefault="00734D22" w:rsidP="00734D22">
            <w:pPr>
              <w:spacing w:after="0" w:line="240" w:lineRule="auto"/>
              <w:jc w:val="both"/>
              <w:rPr>
                <w:rFonts w:ascii="Times New Roman" w:hAnsi="Times New Roman"/>
                <w:sz w:val="24"/>
                <w:szCs w:val="24"/>
              </w:rPr>
            </w:pPr>
            <w:r w:rsidRPr="009F39C5">
              <w:rPr>
                <w:rFonts w:ascii="Times New Roman" w:hAnsi="Times New Roman"/>
                <w:sz w:val="24"/>
                <w:szCs w:val="24"/>
              </w:rPr>
              <w:t>The Ministry of Finance</w:t>
            </w:r>
          </w:p>
          <w:p w14:paraId="000B02C5" w14:textId="77777777" w:rsidR="00734D22" w:rsidRPr="009F39C5" w:rsidRDefault="00734D22" w:rsidP="00734D22">
            <w:pPr>
              <w:spacing w:after="0" w:line="240" w:lineRule="auto"/>
              <w:jc w:val="both"/>
              <w:rPr>
                <w:rFonts w:ascii="Times New Roman" w:hAnsi="Times New Roman"/>
                <w:sz w:val="24"/>
                <w:szCs w:val="24"/>
              </w:rPr>
            </w:pPr>
            <w:r w:rsidRPr="009F39C5">
              <w:rPr>
                <w:rFonts w:ascii="Times New Roman" w:hAnsi="Times New Roman"/>
                <w:sz w:val="24"/>
                <w:szCs w:val="24"/>
              </w:rPr>
              <w:t>The Directorate for Finance and Contracting of the EU Assistance Funds (CFCU)</w:t>
            </w:r>
          </w:p>
          <w:p w14:paraId="4175F0A5" w14:textId="77777777" w:rsidR="00734D22" w:rsidRPr="009F39C5" w:rsidRDefault="00734D22" w:rsidP="00734D22">
            <w:pPr>
              <w:spacing w:after="0" w:line="240" w:lineRule="auto"/>
              <w:jc w:val="both"/>
              <w:rPr>
                <w:rFonts w:ascii="Times New Roman" w:hAnsi="Times New Roman"/>
                <w:sz w:val="24"/>
                <w:szCs w:val="24"/>
              </w:rPr>
            </w:pPr>
            <w:r w:rsidRPr="009F39C5">
              <w:rPr>
                <w:rFonts w:ascii="Times New Roman" w:hAnsi="Times New Roman"/>
                <w:sz w:val="24"/>
                <w:szCs w:val="24"/>
              </w:rPr>
              <w:t>Stanka Dragojevića 2,</w:t>
            </w:r>
          </w:p>
          <w:p w14:paraId="649DC2CE" w14:textId="77777777" w:rsidR="00734D22" w:rsidRPr="009F39C5" w:rsidRDefault="00734D22" w:rsidP="00734D22">
            <w:pPr>
              <w:spacing w:after="0" w:line="240" w:lineRule="auto"/>
              <w:jc w:val="both"/>
              <w:rPr>
                <w:rFonts w:ascii="Times New Roman" w:hAnsi="Times New Roman"/>
                <w:sz w:val="24"/>
                <w:szCs w:val="24"/>
              </w:rPr>
            </w:pPr>
            <w:r w:rsidRPr="009F39C5">
              <w:rPr>
                <w:rFonts w:ascii="Times New Roman" w:hAnsi="Times New Roman"/>
                <w:sz w:val="24"/>
                <w:szCs w:val="24"/>
              </w:rPr>
              <w:t>81000 Podgorica, Montenegro</w:t>
            </w:r>
          </w:p>
          <w:p w14:paraId="134750A6" w14:textId="77777777" w:rsidR="00734D22" w:rsidRPr="009F39C5" w:rsidRDefault="00734D22" w:rsidP="00734D22">
            <w:pPr>
              <w:spacing w:after="0" w:line="240" w:lineRule="auto"/>
              <w:jc w:val="both"/>
              <w:rPr>
                <w:rFonts w:ascii="Times New Roman" w:hAnsi="Times New Roman"/>
                <w:sz w:val="24"/>
                <w:szCs w:val="24"/>
              </w:rPr>
            </w:pPr>
          </w:p>
          <w:p w14:paraId="31EDB4CA" w14:textId="77777777" w:rsidR="00734D22" w:rsidRPr="009F39C5" w:rsidRDefault="00734D22" w:rsidP="00734D22">
            <w:pPr>
              <w:spacing w:after="0" w:line="240" w:lineRule="auto"/>
              <w:jc w:val="both"/>
              <w:rPr>
                <w:rFonts w:ascii="Times New Roman" w:hAnsi="Times New Roman"/>
                <w:sz w:val="24"/>
                <w:szCs w:val="24"/>
              </w:rPr>
            </w:pPr>
            <w:r w:rsidRPr="009F39C5">
              <w:rPr>
                <w:rFonts w:ascii="Times New Roman" w:hAnsi="Times New Roman"/>
                <w:sz w:val="24"/>
                <w:szCs w:val="24"/>
              </w:rPr>
              <w:t>Address for hand delivery or by private courier service:</w:t>
            </w:r>
          </w:p>
          <w:p w14:paraId="073D83FA" w14:textId="77777777" w:rsidR="00734D22" w:rsidRPr="009F39C5" w:rsidRDefault="00734D22" w:rsidP="00734D22">
            <w:pPr>
              <w:spacing w:after="0" w:line="240" w:lineRule="auto"/>
              <w:jc w:val="both"/>
              <w:rPr>
                <w:rFonts w:ascii="Times New Roman" w:hAnsi="Times New Roman"/>
                <w:sz w:val="24"/>
                <w:szCs w:val="24"/>
              </w:rPr>
            </w:pPr>
            <w:r w:rsidRPr="009F39C5">
              <w:rPr>
                <w:rFonts w:ascii="Times New Roman" w:hAnsi="Times New Roman"/>
                <w:sz w:val="24"/>
                <w:szCs w:val="24"/>
              </w:rPr>
              <w:t>The Ministry of Finance</w:t>
            </w:r>
          </w:p>
          <w:p w14:paraId="5DFCB216" w14:textId="77777777" w:rsidR="00734D22" w:rsidRPr="009F39C5" w:rsidRDefault="00734D22" w:rsidP="00734D22">
            <w:pPr>
              <w:spacing w:after="0" w:line="240" w:lineRule="auto"/>
              <w:jc w:val="both"/>
              <w:rPr>
                <w:rFonts w:ascii="Times New Roman" w:hAnsi="Times New Roman"/>
                <w:sz w:val="24"/>
                <w:szCs w:val="24"/>
              </w:rPr>
            </w:pPr>
            <w:r w:rsidRPr="009F39C5">
              <w:rPr>
                <w:rFonts w:ascii="Times New Roman" w:hAnsi="Times New Roman"/>
                <w:sz w:val="24"/>
                <w:szCs w:val="24"/>
              </w:rPr>
              <w:t>The Directorate for Finance and Contracting of the EU Assistance Funds (CFCU)</w:t>
            </w:r>
          </w:p>
          <w:p w14:paraId="4248CC89" w14:textId="77777777" w:rsidR="00734D22" w:rsidRPr="009F39C5" w:rsidRDefault="00734D22" w:rsidP="00734D22">
            <w:pPr>
              <w:spacing w:after="0" w:line="240" w:lineRule="auto"/>
              <w:jc w:val="both"/>
              <w:rPr>
                <w:rFonts w:ascii="Times New Roman" w:hAnsi="Times New Roman"/>
                <w:sz w:val="24"/>
                <w:szCs w:val="24"/>
              </w:rPr>
            </w:pPr>
            <w:r w:rsidRPr="009F39C5">
              <w:rPr>
                <w:rFonts w:ascii="Times New Roman" w:hAnsi="Times New Roman"/>
                <w:sz w:val="24"/>
                <w:szCs w:val="24"/>
              </w:rPr>
              <w:t>Stanka Dragojevića 2, room 4,</w:t>
            </w:r>
          </w:p>
          <w:p w14:paraId="7DDB75BD" w14:textId="77777777" w:rsidR="00734D22" w:rsidRPr="009F39C5" w:rsidRDefault="00734D22" w:rsidP="00734D22">
            <w:pPr>
              <w:spacing w:after="0" w:line="240" w:lineRule="auto"/>
              <w:jc w:val="both"/>
              <w:rPr>
                <w:rFonts w:ascii="Times New Roman" w:hAnsi="Times New Roman"/>
                <w:sz w:val="24"/>
                <w:szCs w:val="24"/>
              </w:rPr>
            </w:pPr>
            <w:r w:rsidRPr="009F39C5">
              <w:rPr>
                <w:rFonts w:ascii="Times New Roman" w:hAnsi="Times New Roman"/>
                <w:sz w:val="24"/>
                <w:szCs w:val="24"/>
              </w:rPr>
              <w:t>81000 Podgorica”</w:t>
            </w:r>
          </w:p>
        </w:tc>
      </w:tr>
      <w:tr w:rsidR="004071F3" w:rsidRPr="009F39C5" w14:paraId="07DDB335" w14:textId="77777777" w:rsidTr="00F33AA6">
        <w:trPr>
          <w:trHeight w:val="638"/>
        </w:trPr>
        <w:tc>
          <w:tcPr>
            <w:tcW w:w="980" w:type="dxa"/>
            <w:vAlign w:val="center"/>
          </w:tcPr>
          <w:p w14:paraId="3B68E9EA" w14:textId="72C7E310" w:rsidR="004071F3" w:rsidRPr="009F39C5" w:rsidRDefault="004071F3" w:rsidP="009F39C5">
            <w:pPr>
              <w:jc w:val="center"/>
              <w:rPr>
                <w:rFonts w:ascii="Times New Roman" w:hAnsi="Times New Roman"/>
                <w:sz w:val="24"/>
                <w:szCs w:val="24"/>
              </w:rPr>
            </w:pPr>
            <w:r w:rsidRPr="009F39C5">
              <w:rPr>
                <w:rFonts w:ascii="Times New Roman" w:hAnsi="Times New Roman"/>
                <w:sz w:val="24"/>
                <w:szCs w:val="24"/>
              </w:rPr>
              <w:t>Q2</w:t>
            </w:r>
            <w:r w:rsidR="009F39C5">
              <w:rPr>
                <w:rFonts w:ascii="Times New Roman" w:hAnsi="Times New Roman"/>
                <w:sz w:val="24"/>
                <w:szCs w:val="24"/>
              </w:rPr>
              <w:t>3</w:t>
            </w:r>
          </w:p>
        </w:tc>
        <w:tc>
          <w:tcPr>
            <w:tcW w:w="8626" w:type="dxa"/>
          </w:tcPr>
          <w:p w14:paraId="42E28A3A" w14:textId="77777777" w:rsidR="004071F3" w:rsidRPr="009F39C5" w:rsidRDefault="004071F3" w:rsidP="00002DDD">
            <w:pPr>
              <w:jc w:val="both"/>
              <w:rPr>
                <w:rFonts w:ascii="Times New Roman" w:hAnsi="Times New Roman"/>
                <w:sz w:val="24"/>
                <w:szCs w:val="24"/>
              </w:rPr>
            </w:pPr>
            <w:r w:rsidRPr="009F39C5">
              <w:rPr>
                <w:rFonts w:ascii="Times New Roman" w:hAnsi="Times New Roman"/>
                <w:sz w:val="24"/>
                <w:szCs w:val="24"/>
              </w:rPr>
              <w:t>Is it a possible to include sustainability of the project in Concept Note?</w:t>
            </w:r>
          </w:p>
        </w:tc>
      </w:tr>
      <w:tr w:rsidR="004071F3" w:rsidRPr="009F39C5" w14:paraId="31ACF52F" w14:textId="77777777" w:rsidTr="00F33AA6">
        <w:trPr>
          <w:trHeight w:val="638"/>
        </w:trPr>
        <w:tc>
          <w:tcPr>
            <w:tcW w:w="980" w:type="dxa"/>
            <w:vAlign w:val="center"/>
          </w:tcPr>
          <w:p w14:paraId="5F30AD74" w14:textId="43BF9D53" w:rsidR="004071F3" w:rsidRPr="009F39C5" w:rsidRDefault="004071F3" w:rsidP="009F39C5">
            <w:pPr>
              <w:jc w:val="center"/>
              <w:rPr>
                <w:rFonts w:ascii="Times New Roman" w:hAnsi="Times New Roman"/>
                <w:sz w:val="24"/>
                <w:szCs w:val="24"/>
              </w:rPr>
            </w:pPr>
            <w:r w:rsidRPr="009F39C5">
              <w:rPr>
                <w:rFonts w:ascii="Times New Roman" w:hAnsi="Times New Roman"/>
                <w:sz w:val="24"/>
                <w:szCs w:val="24"/>
              </w:rPr>
              <w:t>A2</w:t>
            </w:r>
            <w:r w:rsidR="009F39C5">
              <w:rPr>
                <w:rFonts w:ascii="Times New Roman" w:hAnsi="Times New Roman"/>
                <w:sz w:val="24"/>
                <w:szCs w:val="24"/>
              </w:rPr>
              <w:t>3</w:t>
            </w:r>
          </w:p>
        </w:tc>
        <w:tc>
          <w:tcPr>
            <w:tcW w:w="8626" w:type="dxa"/>
          </w:tcPr>
          <w:p w14:paraId="697B13A1" w14:textId="18608243" w:rsidR="004071F3" w:rsidRPr="009F39C5" w:rsidRDefault="005259BA" w:rsidP="001D3DE7">
            <w:pPr>
              <w:jc w:val="both"/>
              <w:rPr>
                <w:rFonts w:ascii="Times New Roman" w:hAnsi="Times New Roman"/>
                <w:sz w:val="24"/>
                <w:szCs w:val="24"/>
              </w:rPr>
            </w:pPr>
            <w:r w:rsidRPr="009F39C5">
              <w:rPr>
                <w:rFonts w:ascii="Times New Roman" w:hAnsi="Times New Roman"/>
                <w:sz w:val="24"/>
                <w:szCs w:val="24"/>
              </w:rPr>
              <w:t xml:space="preserve">Please refer to the Grant Application Form, part A “Concept Note” where the template indicates the required information to be provided by the applicants in </w:t>
            </w:r>
            <w:r w:rsidR="001C5E2D" w:rsidRPr="009F39C5">
              <w:rPr>
                <w:rFonts w:ascii="Times New Roman" w:hAnsi="Times New Roman"/>
                <w:sz w:val="24"/>
                <w:szCs w:val="24"/>
              </w:rPr>
              <w:t xml:space="preserve">the </w:t>
            </w:r>
            <w:r w:rsidRPr="009F39C5">
              <w:rPr>
                <w:rFonts w:ascii="Times New Roman" w:hAnsi="Times New Roman"/>
                <w:sz w:val="24"/>
                <w:szCs w:val="24"/>
              </w:rPr>
              <w:t>concept note.</w:t>
            </w:r>
          </w:p>
        </w:tc>
      </w:tr>
      <w:tr w:rsidR="005259BA" w:rsidRPr="009F39C5" w14:paraId="70D247F9" w14:textId="77777777" w:rsidTr="00F33AA6">
        <w:trPr>
          <w:trHeight w:val="638"/>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5346E2EA" w14:textId="017C55F7" w:rsidR="005259BA" w:rsidRPr="009F39C5" w:rsidRDefault="005259BA" w:rsidP="009F39C5">
            <w:pPr>
              <w:jc w:val="center"/>
              <w:rPr>
                <w:rFonts w:ascii="Times New Roman" w:hAnsi="Times New Roman"/>
                <w:sz w:val="24"/>
                <w:szCs w:val="24"/>
              </w:rPr>
            </w:pPr>
            <w:r w:rsidRPr="009F39C5">
              <w:rPr>
                <w:rFonts w:ascii="Times New Roman" w:hAnsi="Times New Roman"/>
                <w:sz w:val="24"/>
                <w:szCs w:val="24"/>
              </w:rPr>
              <w:t>Q2</w:t>
            </w:r>
            <w:r w:rsidR="009F39C5">
              <w:rPr>
                <w:rFonts w:ascii="Times New Roman" w:hAnsi="Times New Roman"/>
                <w:sz w:val="24"/>
                <w:szCs w:val="24"/>
              </w:rPr>
              <w:t>4</w:t>
            </w:r>
          </w:p>
        </w:tc>
        <w:tc>
          <w:tcPr>
            <w:tcW w:w="8626" w:type="dxa"/>
            <w:tcBorders>
              <w:top w:val="single" w:sz="4" w:space="0" w:color="000000"/>
              <w:left w:val="single" w:sz="4" w:space="0" w:color="000000"/>
              <w:bottom w:val="single" w:sz="4" w:space="0" w:color="000000"/>
              <w:right w:val="single" w:sz="4" w:space="0" w:color="000000"/>
            </w:tcBorders>
            <w:hideMark/>
          </w:tcPr>
          <w:p w14:paraId="617C18DA" w14:textId="1726D127" w:rsidR="005259BA" w:rsidRPr="009F39C5" w:rsidRDefault="005259BA" w:rsidP="006D1284">
            <w:pPr>
              <w:jc w:val="both"/>
              <w:rPr>
                <w:rFonts w:ascii="Times New Roman" w:hAnsi="Times New Roman"/>
                <w:sz w:val="24"/>
                <w:szCs w:val="24"/>
              </w:rPr>
            </w:pPr>
            <w:r w:rsidRPr="009F39C5">
              <w:rPr>
                <w:rFonts w:ascii="Times New Roman" w:hAnsi="Times New Roman"/>
                <w:sz w:val="24"/>
                <w:szCs w:val="24"/>
              </w:rPr>
              <w:t>Pursuant to section 2.1.1. of the guidelines for grant applicants, we have noted that in order to be considered eligible for funding (as lead applicant or co-applicant) the candidate has to be established by an instrument governed by the national law in Montenegro and/or in Kosovo. The Regional Environmental Center for Central and Eastern Europe Kosovo has been established on 19 July 2000 and it has been registered under Law No. 03/L-134 of Kosovo, section 9 On Freedom of Association in Non-Governmental Organisations. Could you please confirm whether our organization is eligible to apply for funding as lead applicant or as co-applicant within this call?</w:t>
            </w:r>
          </w:p>
        </w:tc>
      </w:tr>
      <w:tr w:rsidR="005259BA" w:rsidRPr="009F39C5" w14:paraId="44413AAD" w14:textId="77777777" w:rsidTr="00F33AA6">
        <w:trPr>
          <w:trHeight w:val="638"/>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4E20010F" w14:textId="3C1B8D08" w:rsidR="005259BA" w:rsidRPr="009F39C5" w:rsidRDefault="005259BA" w:rsidP="009F39C5">
            <w:pPr>
              <w:jc w:val="center"/>
              <w:rPr>
                <w:rFonts w:ascii="Times New Roman" w:hAnsi="Times New Roman"/>
                <w:sz w:val="24"/>
                <w:szCs w:val="24"/>
              </w:rPr>
            </w:pPr>
            <w:r w:rsidRPr="009F39C5">
              <w:rPr>
                <w:rFonts w:ascii="Times New Roman" w:hAnsi="Times New Roman"/>
                <w:sz w:val="24"/>
                <w:szCs w:val="24"/>
              </w:rPr>
              <w:t>A2</w:t>
            </w:r>
            <w:r w:rsidR="009F39C5">
              <w:rPr>
                <w:rFonts w:ascii="Times New Roman" w:hAnsi="Times New Roman"/>
                <w:sz w:val="24"/>
                <w:szCs w:val="24"/>
              </w:rPr>
              <w:t>4</w:t>
            </w:r>
          </w:p>
        </w:tc>
        <w:tc>
          <w:tcPr>
            <w:tcW w:w="8626" w:type="dxa"/>
            <w:tcBorders>
              <w:top w:val="single" w:sz="4" w:space="0" w:color="000000"/>
              <w:left w:val="single" w:sz="4" w:space="0" w:color="000000"/>
              <w:bottom w:val="single" w:sz="4" w:space="0" w:color="000000"/>
              <w:right w:val="single" w:sz="4" w:space="0" w:color="000000"/>
            </w:tcBorders>
            <w:vAlign w:val="center"/>
            <w:hideMark/>
          </w:tcPr>
          <w:p w14:paraId="3CD581FA" w14:textId="77777777" w:rsidR="00124F3D" w:rsidRPr="009F39C5" w:rsidRDefault="00124F3D" w:rsidP="00D8589F">
            <w:pPr>
              <w:jc w:val="both"/>
              <w:rPr>
                <w:rFonts w:ascii="Times New Roman" w:hAnsi="Times New Roman"/>
                <w:sz w:val="24"/>
                <w:szCs w:val="24"/>
              </w:rPr>
            </w:pPr>
            <w:r w:rsidRPr="009F39C5">
              <w:rPr>
                <w:rFonts w:ascii="Times New Roman" w:hAnsi="Times New Roman"/>
                <w:sz w:val="24"/>
                <w:szCs w:val="24"/>
              </w:rPr>
              <w:t>Please refer to the Section 2.2.4 of the Guidelines for Grant Applicants („Further information about concept notes”), stating the following:</w:t>
            </w:r>
          </w:p>
          <w:p w14:paraId="65E83261" w14:textId="77777777" w:rsidR="00124F3D" w:rsidRPr="009F39C5" w:rsidRDefault="00124F3D" w:rsidP="00D8589F">
            <w:pPr>
              <w:jc w:val="both"/>
              <w:rPr>
                <w:rFonts w:ascii="Times New Roman" w:hAnsi="Times New Roman"/>
                <w:sz w:val="24"/>
                <w:szCs w:val="24"/>
              </w:rPr>
            </w:pPr>
            <w:r w:rsidRPr="009F39C5">
              <w:rPr>
                <w:rFonts w:ascii="Times New Roman" w:hAnsi="Times New Roman"/>
                <w:sz w:val="24"/>
                <w:szCs w:val="24"/>
              </w:rPr>
              <w:t>“To ensure equal treatment of applicants, the Contracting Authority cannot give a prior opinion on the eligibility of lead applicants, co-applicants, affiliated entity(ies), or an action.”</w:t>
            </w:r>
          </w:p>
          <w:p w14:paraId="17E195EC" w14:textId="77777777" w:rsidR="005259BA" w:rsidRPr="009F39C5" w:rsidRDefault="00124F3D" w:rsidP="00D8589F">
            <w:pPr>
              <w:jc w:val="both"/>
              <w:rPr>
                <w:rFonts w:ascii="Times New Roman" w:hAnsi="Times New Roman"/>
                <w:sz w:val="24"/>
                <w:szCs w:val="24"/>
              </w:rPr>
            </w:pPr>
            <w:r w:rsidRPr="009F39C5">
              <w:rPr>
                <w:rFonts w:ascii="Times New Roman" w:hAnsi="Times New Roman"/>
                <w:sz w:val="24"/>
                <w:szCs w:val="24"/>
              </w:rPr>
              <w:t xml:space="preserve">Please note that, to be eligible, an applicant has to fulfil all eligibility criteria as defined </w:t>
            </w:r>
            <w:r w:rsidRPr="009F39C5">
              <w:rPr>
                <w:rFonts w:ascii="Times New Roman" w:hAnsi="Times New Roman"/>
                <w:sz w:val="24"/>
                <w:szCs w:val="24"/>
              </w:rPr>
              <w:lastRenderedPageBreak/>
              <w:t>in the Section 2.1.1 of the Guidelines for Grant Applicants.</w:t>
            </w:r>
          </w:p>
        </w:tc>
      </w:tr>
      <w:tr w:rsidR="005259BA" w:rsidRPr="009F39C5" w14:paraId="65E77B0A" w14:textId="77777777" w:rsidTr="00F33AA6">
        <w:trPr>
          <w:trHeight w:val="638"/>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74B62A04" w14:textId="42A7FC6F" w:rsidR="005259BA" w:rsidRPr="009F39C5" w:rsidRDefault="0038218E" w:rsidP="009F39C5">
            <w:pPr>
              <w:jc w:val="center"/>
              <w:rPr>
                <w:rFonts w:ascii="Times New Roman" w:hAnsi="Times New Roman"/>
                <w:sz w:val="24"/>
                <w:szCs w:val="24"/>
              </w:rPr>
            </w:pPr>
            <w:r w:rsidRPr="009F39C5">
              <w:rPr>
                <w:rFonts w:ascii="Times New Roman" w:hAnsi="Times New Roman"/>
                <w:sz w:val="24"/>
                <w:szCs w:val="24"/>
              </w:rPr>
              <w:lastRenderedPageBreak/>
              <w:t>Q2</w:t>
            </w:r>
            <w:r w:rsidR="009F39C5">
              <w:rPr>
                <w:rFonts w:ascii="Times New Roman" w:hAnsi="Times New Roman"/>
                <w:sz w:val="24"/>
                <w:szCs w:val="24"/>
              </w:rPr>
              <w:t>5</w:t>
            </w:r>
          </w:p>
        </w:tc>
        <w:tc>
          <w:tcPr>
            <w:tcW w:w="8626" w:type="dxa"/>
            <w:tcBorders>
              <w:top w:val="single" w:sz="4" w:space="0" w:color="000000"/>
              <w:left w:val="single" w:sz="4" w:space="0" w:color="000000"/>
              <w:bottom w:val="single" w:sz="4" w:space="0" w:color="000000"/>
              <w:right w:val="single" w:sz="4" w:space="0" w:color="000000"/>
            </w:tcBorders>
            <w:hideMark/>
          </w:tcPr>
          <w:p w14:paraId="0B76C16F" w14:textId="79F71952" w:rsidR="005259BA" w:rsidRPr="009F39C5" w:rsidRDefault="005259BA" w:rsidP="00CF38C4">
            <w:pPr>
              <w:jc w:val="both"/>
              <w:rPr>
                <w:rFonts w:ascii="Times New Roman" w:hAnsi="Times New Roman"/>
                <w:sz w:val="24"/>
                <w:szCs w:val="24"/>
              </w:rPr>
            </w:pPr>
            <w:r w:rsidRPr="009F39C5">
              <w:rPr>
                <w:rFonts w:ascii="Times New Roman" w:hAnsi="Times New Roman"/>
                <w:sz w:val="24"/>
                <w:szCs w:val="24"/>
              </w:rPr>
              <w:t xml:space="preserve">Could you provide us with information whether an </w:t>
            </w:r>
            <w:r w:rsidR="006D1284" w:rsidRPr="009F39C5">
              <w:rPr>
                <w:rFonts w:ascii="Times New Roman" w:hAnsi="Times New Roman"/>
                <w:sz w:val="24"/>
                <w:szCs w:val="24"/>
              </w:rPr>
              <w:t>organization</w:t>
            </w:r>
            <w:r w:rsidRPr="009F39C5">
              <w:rPr>
                <w:rFonts w:ascii="Times New Roman" w:hAnsi="Times New Roman"/>
                <w:sz w:val="24"/>
                <w:szCs w:val="24"/>
              </w:rPr>
              <w:t xml:space="preserve"> established in the EU member state (Czech Republic), with locally registered branch office in Kosovo, can apply under this call? Does it have to have a local Board of Directors and local Statute, or it is enough to have this at the HQ level in the state of origin?</w:t>
            </w:r>
          </w:p>
        </w:tc>
      </w:tr>
      <w:tr w:rsidR="005259BA" w:rsidRPr="009F39C5" w14:paraId="4B7CF263" w14:textId="77777777" w:rsidTr="00F33AA6">
        <w:trPr>
          <w:trHeight w:val="638"/>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7C6825EA" w14:textId="34A07F3E" w:rsidR="005259BA" w:rsidRPr="009F39C5" w:rsidRDefault="0038218E" w:rsidP="009F39C5">
            <w:pPr>
              <w:jc w:val="center"/>
              <w:rPr>
                <w:rFonts w:ascii="Times New Roman" w:hAnsi="Times New Roman"/>
                <w:sz w:val="24"/>
                <w:szCs w:val="24"/>
              </w:rPr>
            </w:pPr>
            <w:r w:rsidRPr="009F39C5">
              <w:rPr>
                <w:rFonts w:ascii="Times New Roman" w:hAnsi="Times New Roman"/>
                <w:sz w:val="24"/>
                <w:szCs w:val="24"/>
              </w:rPr>
              <w:t>A2</w:t>
            </w:r>
            <w:r w:rsidR="009F39C5">
              <w:rPr>
                <w:rFonts w:ascii="Times New Roman" w:hAnsi="Times New Roman"/>
                <w:sz w:val="24"/>
                <w:szCs w:val="24"/>
              </w:rPr>
              <w:t>5</w:t>
            </w:r>
          </w:p>
        </w:tc>
        <w:tc>
          <w:tcPr>
            <w:tcW w:w="8626" w:type="dxa"/>
            <w:tcBorders>
              <w:top w:val="single" w:sz="4" w:space="0" w:color="000000"/>
              <w:left w:val="single" w:sz="4" w:space="0" w:color="000000"/>
              <w:bottom w:val="single" w:sz="4" w:space="0" w:color="000000"/>
              <w:right w:val="single" w:sz="4" w:space="0" w:color="000000"/>
            </w:tcBorders>
          </w:tcPr>
          <w:p w14:paraId="428388CE" w14:textId="77777777" w:rsidR="00124F3D" w:rsidRPr="009F39C5" w:rsidRDefault="00124F3D" w:rsidP="00124F3D">
            <w:pPr>
              <w:jc w:val="both"/>
              <w:rPr>
                <w:rFonts w:ascii="Times New Roman" w:hAnsi="Times New Roman"/>
                <w:sz w:val="24"/>
                <w:szCs w:val="24"/>
              </w:rPr>
            </w:pPr>
            <w:r w:rsidRPr="009F39C5">
              <w:rPr>
                <w:rFonts w:ascii="Times New Roman" w:hAnsi="Times New Roman"/>
                <w:sz w:val="24"/>
                <w:szCs w:val="24"/>
              </w:rPr>
              <w:t>Please refer to the Section 2.2.4 of the Guidelines for Grant Applicants („Further information about concept notes”), stating the following:</w:t>
            </w:r>
          </w:p>
          <w:p w14:paraId="4B2417FC" w14:textId="77777777" w:rsidR="00124F3D" w:rsidRPr="009F39C5" w:rsidRDefault="00124F3D" w:rsidP="00124F3D">
            <w:pPr>
              <w:jc w:val="both"/>
              <w:rPr>
                <w:rFonts w:ascii="Times New Roman" w:hAnsi="Times New Roman"/>
                <w:sz w:val="24"/>
                <w:szCs w:val="24"/>
              </w:rPr>
            </w:pPr>
            <w:r w:rsidRPr="009F39C5">
              <w:rPr>
                <w:rFonts w:ascii="Times New Roman" w:hAnsi="Times New Roman"/>
                <w:sz w:val="24"/>
                <w:szCs w:val="24"/>
              </w:rPr>
              <w:t>“To ensure equal treatment of applicants, the Contracting Authority cannot give a prior opinion on the eligibility of lead applicants, co-applicants, affiliated entity(ies), or an action.”</w:t>
            </w:r>
          </w:p>
          <w:p w14:paraId="42B8ED85" w14:textId="77777777" w:rsidR="005259BA" w:rsidRPr="009F39C5" w:rsidRDefault="00124F3D" w:rsidP="00124F3D">
            <w:pPr>
              <w:jc w:val="both"/>
              <w:rPr>
                <w:rFonts w:ascii="Times New Roman" w:hAnsi="Times New Roman"/>
                <w:sz w:val="24"/>
                <w:szCs w:val="24"/>
              </w:rPr>
            </w:pPr>
            <w:r w:rsidRPr="009F39C5">
              <w:rPr>
                <w:rFonts w:ascii="Times New Roman" w:hAnsi="Times New Roman"/>
                <w:sz w:val="24"/>
                <w:szCs w:val="24"/>
              </w:rPr>
              <w:t>Please note that, to be eligible, an applicant has to fulfil all eligibility criteria as defined in the Section 2.1.1 of the Guidelines for Grant Applicants.</w:t>
            </w:r>
          </w:p>
        </w:tc>
      </w:tr>
      <w:tr w:rsidR="00D8589F" w:rsidRPr="009F39C5" w14:paraId="31D039C5" w14:textId="77777777" w:rsidTr="00F33AA6">
        <w:trPr>
          <w:trHeight w:val="638"/>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7DEEEE42" w14:textId="4805FD58" w:rsidR="00D8589F" w:rsidRPr="009F39C5" w:rsidRDefault="0038218E" w:rsidP="009F39C5">
            <w:pPr>
              <w:jc w:val="center"/>
              <w:rPr>
                <w:rFonts w:ascii="Times New Roman" w:hAnsi="Times New Roman"/>
                <w:sz w:val="24"/>
                <w:szCs w:val="24"/>
              </w:rPr>
            </w:pPr>
            <w:r w:rsidRPr="009F39C5">
              <w:rPr>
                <w:rFonts w:ascii="Times New Roman" w:hAnsi="Times New Roman"/>
                <w:sz w:val="24"/>
                <w:szCs w:val="24"/>
              </w:rPr>
              <w:t>Q2</w:t>
            </w:r>
            <w:r w:rsidR="009F39C5">
              <w:rPr>
                <w:rFonts w:ascii="Times New Roman" w:hAnsi="Times New Roman"/>
                <w:sz w:val="24"/>
                <w:szCs w:val="24"/>
              </w:rPr>
              <w:t>6</w:t>
            </w:r>
          </w:p>
        </w:tc>
        <w:tc>
          <w:tcPr>
            <w:tcW w:w="8626" w:type="dxa"/>
            <w:tcBorders>
              <w:top w:val="single" w:sz="4" w:space="0" w:color="000000"/>
              <w:left w:val="single" w:sz="4" w:space="0" w:color="000000"/>
              <w:bottom w:val="single" w:sz="4" w:space="0" w:color="000000"/>
              <w:right w:val="single" w:sz="4" w:space="0" w:color="000000"/>
            </w:tcBorders>
            <w:hideMark/>
          </w:tcPr>
          <w:p w14:paraId="523762A5" w14:textId="77777777" w:rsidR="00D8589F" w:rsidRPr="009F39C5" w:rsidRDefault="00D8589F" w:rsidP="00DB4350">
            <w:pPr>
              <w:jc w:val="both"/>
              <w:rPr>
                <w:rFonts w:ascii="Times New Roman" w:hAnsi="Times New Roman"/>
                <w:sz w:val="24"/>
                <w:szCs w:val="24"/>
              </w:rPr>
            </w:pPr>
            <w:r w:rsidRPr="009F39C5">
              <w:rPr>
                <w:rFonts w:ascii="Times New Roman" w:hAnsi="Times New Roman"/>
                <w:sz w:val="24"/>
                <w:szCs w:val="24"/>
                <w:lang w:val="en-GB"/>
              </w:rPr>
              <w:t>C</w:t>
            </w:r>
            <w:r w:rsidRPr="009F39C5">
              <w:rPr>
                <w:rFonts w:ascii="Times New Roman" w:hAnsi="Times New Roman"/>
                <w:sz w:val="24"/>
                <w:szCs w:val="24"/>
              </w:rPr>
              <w:t>an the costs for transport and accommodation of auditors be planned in the budget since the beneficiaries are from different countries?</w:t>
            </w:r>
          </w:p>
        </w:tc>
      </w:tr>
      <w:tr w:rsidR="00D8589F" w:rsidRPr="009F39C5" w14:paraId="1E8C80F4" w14:textId="77777777" w:rsidTr="00F33AA6">
        <w:trPr>
          <w:trHeight w:val="638"/>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1C450EA3" w14:textId="0A1DDBC6" w:rsidR="00D8589F" w:rsidRPr="009F39C5" w:rsidRDefault="00D8589F" w:rsidP="009F39C5">
            <w:pPr>
              <w:jc w:val="center"/>
              <w:rPr>
                <w:rFonts w:ascii="Times New Roman" w:hAnsi="Times New Roman"/>
                <w:sz w:val="24"/>
                <w:szCs w:val="24"/>
              </w:rPr>
            </w:pPr>
            <w:r w:rsidRPr="009F39C5">
              <w:rPr>
                <w:rFonts w:ascii="Times New Roman" w:hAnsi="Times New Roman"/>
                <w:sz w:val="24"/>
                <w:szCs w:val="24"/>
              </w:rPr>
              <w:t>A2</w:t>
            </w:r>
            <w:r w:rsidR="009F39C5">
              <w:rPr>
                <w:rFonts w:ascii="Times New Roman" w:hAnsi="Times New Roman"/>
                <w:sz w:val="24"/>
                <w:szCs w:val="24"/>
              </w:rPr>
              <w:t>6</w:t>
            </w:r>
          </w:p>
        </w:tc>
        <w:tc>
          <w:tcPr>
            <w:tcW w:w="8626" w:type="dxa"/>
            <w:tcBorders>
              <w:top w:val="single" w:sz="4" w:space="0" w:color="000000"/>
              <w:left w:val="single" w:sz="4" w:space="0" w:color="000000"/>
              <w:bottom w:val="single" w:sz="4" w:space="0" w:color="000000"/>
              <w:right w:val="single" w:sz="4" w:space="0" w:color="000000"/>
            </w:tcBorders>
            <w:hideMark/>
          </w:tcPr>
          <w:p w14:paraId="399E4B8B" w14:textId="77777777" w:rsidR="00F33AA6" w:rsidRPr="009F39C5" w:rsidRDefault="00F33AA6" w:rsidP="00F33AA6">
            <w:pPr>
              <w:jc w:val="both"/>
              <w:rPr>
                <w:rFonts w:ascii="Times New Roman" w:hAnsi="Times New Roman"/>
                <w:sz w:val="24"/>
                <w:szCs w:val="24"/>
                <w:lang w:val="en-GB"/>
              </w:rPr>
            </w:pPr>
            <w:r w:rsidRPr="009F39C5">
              <w:rPr>
                <w:rFonts w:ascii="Times New Roman" w:hAnsi="Times New Roman"/>
                <w:sz w:val="24"/>
                <w:szCs w:val="24"/>
                <w:lang w:val="en-GB"/>
              </w:rPr>
              <w:t>Please refer to the Section 1.8 of Annex G VII to the Guidelines for Applicants ("Expenditure verification report – Terms of Reference"), stating the following :</w:t>
            </w:r>
          </w:p>
          <w:p w14:paraId="204F556A" w14:textId="08C4E40C" w:rsidR="00D8589F" w:rsidRPr="009F39C5" w:rsidRDefault="00F33AA6" w:rsidP="00F33AA6">
            <w:pPr>
              <w:jc w:val="both"/>
              <w:rPr>
                <w:rFonts w:ascii="Times New Roman" w:hAnsi="Times New Roman"/>
                <w:sz w:val="24"/>
                <w:szCs w:val="24"/>
              </w:rPr>
            </w:pPr>
            <w:r w:rsidRPr="009F39C5">
              <w:rPr>
                <w:rFonts w:ascii="Times New Roman" w:hAnsi="Times New Roman"/>
                <w:sz w:val="24"/>
                <w:szCs w:val="24"/>
                <w:lang w:val="en-GB"/>
              </w:rPr>
              <w:t>"The Coordinator may want to agree a fixed fee for the engagement or otherwise. The Coordinator and the Auditor may want to agree specific terms if the Auditor needs to extend the verification coverage from 65 % to 85 %. The Coordinator should specify any reimbursable expenses and allowances (e.g. travelling, other) agreed with the Auditor and whether VAT and/or other relevant taxes are included in the fees/expenses."</w:t>
            </w:r>
          </w:p>
        </w:tc>
      </w:tr>
      <w:tr w:rsidR="00D8589F" w:rsidRPr="009F39C5" w14:paraId="443A197D" w14:textId="77777777" w:rsidTr="00F33AA6">
        <w:trPr>
          <w:trHeight w:val="638"/>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0F3BC206" w14:textId="26A38778" w:rsidR="00D8589F" w:rsidRPr="009F39C5" w:rsidRDefault="00D8589F" w:rsidP="009F39C5">
            <w:pPr>
              <w:jc w:val="center"/>
              <w:rPr>
                <w:rFonts w:ascii="Times New Roman" w:hAnsi="Times New Roman"/>
                <w:sz w:val="24"/>
                <w:szCs w:val="24"/>
              </w:rPr>
            </w:pPr>
            <w:r w:rsidRPr="009F39C5">
              <w:rPr>
                <w:rFonts w:ascii="Times New Roman" w:hAnsi="Times New Roman"/>
                <w:sz w:val="24"/>
                <w:szCs w:val="24"/>
              </w:rPr>
              <w:t>Q2</w:t>
            </w:r>
            <w:r w:rsidR="009F39C5">
              <w:rPr>
                <w:rFonts w:ascii="Times New Roman" w:hAnsi="Times New Roman"/>
                <w:sz w:val="24"/>
                <w:szCs w:val="24"/>
              </w:rPr>
              <w:t>7</w:t>
            </w:r>
          </w:p>
        </w:tc>
        <w:tc>
          <w:tcPr>
            <w:tcW w:w="8626" w:type="dxa"/>
            <w:tcBorders>
              <w:top w:val="single" w:sz="4" w:space="0" w:color="000000"/>
              <w:left w:val="single" w:sz="4" w:space="0" w:color="000000"/>
              <w:bottom w:val="single" w:sz="4" w:space="0" w:color="000000"/>
              <w:right w:val="single" w:sz="4" w:space="0" w:color="000000"/>
            </w:tcBorders>
            <w:hideMark/>
          </w:tcPr>
          <w:p w14:paraId="028F0832" w14:textId="77777777" w:rsidR="00D8589F" w:rsidRPr="009F39C5" w:rsidRDefault="00D8589F" w:rsidP="00DB4350">
            <w:pPr>
              <w:jc w:val="both"/>
              <w:rPr>
                <w:rFonts w:ascii="Times New Roman" w:hAnsi="Times New Roman"/>
                <w:sz w:val="24"/>
                <w:szCs w:val="24"/>
              </w:rPr>
            </w:pPr>
            <w:r w:rsidRPr="009F39C5">
              <w:rPr>
                <w:rFonts w:ascii="Times New Roman" w:hAnsi="Times New Roman"/>
                <w:sz w:val="24"/>
                <w:szCs w:val="24"/>
                <w:lang w:val="en-GB"/>
              </w:rPr>
              <w:t>Can NGO institutions enter in own contribution part of the budget (15%) the money they don’t already have as an institution, in hope that they will get this money from the games of chance funds, or some other contributions?</w:t>
            </w:r>
          </w:p>
        </w:tc>
      </w:tr>
      <w:tr w:rsidR="00D8589F" w:rsidRPr="009F39C5" w14:paraId="5E5DB3B1" w14:textId="77777777" w:rsidTr="00F33AA6">
        <w:trPr>
          <w:trHeight w:val="638"/>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03F0BA84" w14:textId="516C661A" w:rsidR="00D8589F" w:rsidRPr="009F39C5" w:rsidRDefault="00D8589F" w:rsidP="009F39C5">
            <w:pPr>
              <w:jc w:val="center"/>
              <w:rPr>
                <w:rFonts w:ascii="Times New Roman" w:hAnsi="Times New Roman"/>
                <w:sz w:val="24"/>
                <w:szCs w:val="24"/>
              </w:rPr>
            </w:pPr>
            <w:r w:rsidRPr="009F39C5">
              <w:rPr>
                <w:rFonts w:ascii="Times New Roman" w:hAnsi="Times New Roman"/>
                <w:sz w:val="24"/>
                <w:szCs w:val="24"/>
              </w:rPr>
              <w:t>A2</w:t>
            </w:r>
            <w:r w:rsidR="009F39C5">
              <w:rPr>
                <w:rFonts w:ascii="Times New Roman" w:hAnsi="Times New Roman"/>
                <w:sz w:val="24"/>
                <w:szCs w:val="24"/>
              </w:rPr>
              <w:t>7</w:t>
            </w:r>
          </w:p>
        </w:tc>
        <w:tc>
          <w:tcPr>
            <w:tcW w:w="8626" w:type="dxa"/>
            <w:tcBorders>
              <w:top w:val="single" w:sz="4" w:space="0" w:color="000000"/>
              <w:left w:val="single" w:sz="4" w:space="0" w:color="000000"/>
              <w:bottom w:val="single" w:sz="4" w:space="0" w:color="000000"/>
              <w:right w:val="single" w:sz="4" w:space="0" w:color="000000"/>
            </w:tcBorders>
            <w:hideMark/>
          </w:tcPr>
          <w:p w14:paraId="453005DC" w14:textId="461F7F2D" w:rsidR="00F33AA6" w:rsidRPr="009F39C5" w:rsidRDefault="00F33AA6" w:rsidP="00F33AA6">
            <w:pPr>
              <w:jc w:val="both"/>
              <w:rPr>
                <w:rFonts w:ascii="Times New Roman" w:hAnsi="Times New Roman"/>
                <w:sz w:val="24"/>
                <w:szCs w:val="24"/>
              </w:rPr>
            </w:pPr>
            <w:r w:rsidRPr="009F39C5">
              <w:rPr>
                <w:rFonts w:ascii="Times New Roman" w:hAnsi="Times New Roman"/>
                <w:sz w:val="24"/>
                <w:szCs w:val="24"/>
              </w:rPr>
              <w:t>The Contracting Authority does not have insight into the financial balance of the potential beneficiaries nor their sources of funding at the moment when applications are submitted. However, potential beneficiaries must bear in mind that financial capacity of the potential beneficiaries is one of the selection criteria used in the evaluation of full applications (section 1.3.). Additionally, in case they are awarded a grant, beneficiaries must provide their co-financing portion as stated in the budget.</w:t>
            </w:r>
          </w:p>
        </w:tc>
      </w:tr>
      <w:tr w:rsidR="00D8589F" w:rsidRPr="009F39C5" w14:paraId="09418F3D" w14:textId="77777777" w:rsidTr="00F33AA6">
        <w:trPr>
          <w:trHeight w:val="638"/>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4BC38749" w14:textId="7C197961" w:rsidR="00D8589F" w:rsidRPr="009F39C5" w:rsidRDefault="00D8589F" w:rsidP="009F39C5">
            <w:pPr>
              <w:jc w:val="center"/>
              <w:rPr>
                <w:rFonts w:ascii="Times New Roman" w:hAnsi="Times New Roman"/>
                <w:sz w:val="24"/>
                <w:szCs w:val="24"/>
              </w:rPr>
            </w:pPr>
            <w:r w:rsidRPr="009F39C5">
              <w:rPr>
                <w:rFonts w:ascii="Times New Roman" w:hAnsi="Times New Roman"/>
                <w:sz w:val="24"/>
                <w:szCs w:val="24"/>
              </w:rPr>
              <w:t>Q2</w:t>
            </w:r>
            <w:r w:rsidR="009F39C5">
              <w:rPr>
                <w:rFonts w:ascii="Times New Roman" w:hAnsi="Times New Roman"/>
                <w:sz w:val="24"/>
                <w:szCs w:val="24"/>
              </w:rPr>
              <w:t>8</w:t>
            </w:r>
          </w:p>
        </w:tc>
        <w:tc>
          <w:tcPr>
            <w:tcW w:w="8626" w:type="dxa"/>
            <w:tcBorders>
              <w:top w:val="single" w:sz="4" w:space="0" w:color="000000"/>
              <w:left w:val="single" w:sz="4" w:space="0" w:color="000000"/>
              <w:bottom w:val="single" w:sz="4" w:space="0" w:color="000000"/>
              <w:right w:val="single" w:sz="4" w:space="0" w:color="000000"/>
            </w:tcBorders>
            <w:hideMark/>
          </w:tcPr>
          <w:p w14:paraId="2729CA45" w14:textId="77777777" w:rsidR="00D8589F" w:rsidRPr="009F39C5" w:rsidRDefault="00D8589F" w:rsidP="00DB4350">
            <w:pPr>
              <w:jc w:val="both"/>
              <w:rPr>
                <w:rFonts w:ascii="Times New Roman" w:hAnsi="Times New Roman"/>
                <w:sz w:val="24"/>
                <w:szCs w:val="24"/>
              </w:rPr>
            </w:pPr>
            <w:r w:rsidRPr="009F39C5">
              <w:rPr>
                <w:rFonts w:ascii="Times New Roman" w:hAnsi="Times New Roman"/>
                <w:sz w:val="24"/>
                <w:szCs w:val="24"/>
                <w:lang w:val="en-GB"/>
              </w:rPr>
              <w:t>In case of travel by the companies car, can the calculation which is used for the use of their private cars (0.25*km*fuel price) be used instead of real fuel costs per number of km.?</w:t>
            </w:r>
          </w:p>
        </w:tc>
      </w:tr>
      <w:tr w:rsidR="00D8589F" w:rsidRPr="009F39C5" w14:paraId="12D70033" w14:textId="77777777" w:rsidTr="00F33AA6">
        <w:trPr>
          <w:trHeight w:val="638"/>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3320C64B" w14:textId="0CD2A8F1" w:rsidR="00D8589F" w:rsidRPr="009F39C5" w:rsidRDefault="00D8589F" w:rsidP="00B67E83">
            <w:pPr>
              <w:jc w:val="center"/>
              <w:rPr>
                <w:rFonts w:ascii="Times New Roman" w:hAnsi="Times New Roman"/>
                <w:sz w:val="24"/>
                <w:szCs w:val="24"/>
              </w:rPr>
            </w:pPr>
            <w:r w:rsidRPr="009F39C5">
              <w:rPr>
                <w:rFonts w:ascii="Times New Roman" w:hAnsi="Times New Roman"/>
                <w:sz w:val="24"/>
                <w:szCs w:val="24"/>
              </w:rPr>
              <w:t>A2</w:t>
            </w:r>
            <w:r w:rsidR="009F39C5">
              <w:rPr>
                <w:rFonts w:ascii="Times New Roman" w:hAnsi="Times New Roman"/>
                <w:sz w:val="24"/>
                <w:szCs w:val="24"/>
              </w:rPr>
              <w:t>8</w:t>
            </w:r>
          </w:p>
        </w:tc>
        <w:tc>
          <w:tcPr>
            <w:tcW w:w="8626" w:type="dxa"/>
            <w:tcBorders>
              <w:top w:val="single" w:sz="4" w:space="0" w:color="000000"/>
              <w:left w:val="single" w:sz="4" w:space="0" w:color="000000"/>
              <w:bottom w:val="single" w:sz="4" w:space="0" w:color="000000"/>
              <w:right w:val="single" w:sz="4" w:space="0" w:color="000000"/>
            </w:tcBorders>
            <w:hideMark/>
          </w:tcPr>
          <w:p w14:paraId="7D9EBDAB" w14:textId="65A64A11" w:rsidR="00F33AA6" w:rsidRPr="009F39C5" w:rsidRDefault="00F33AA6" w:rsidP="00F33AA6">
            <w:pPr>
              <w:jc w:val="both"/>
              <w:rPr>
                <w:rFonts w:ascii="Times New Roman" w:hAnsi="Times New Roman"/>
                <w:sz w:val="24"/>
                <w:szCs w:val="24"/>
              </w:rPr>
            </w:pPr>
            <w:r w:rsidRPr="009F39C5">
              <w:rPr>
                <w:rFonts w:ascii="Times New Roman" w:hAnsi="Times New Roman"/>
                <w:sz w:val="24"/>
                <w:szCs w:val="24"/>
              </w:rPr>
              <w:t xml:space="preserve">Please refer to the Section 14.2 of Annex G II to the Guidelines for Applicants (" General Conditions to the grant contract, subsection „Eligible direct costs”), stating the </w:t>
            </w:r>
            <w:r w:rsidRPr="009F39C5">
              <w:rPr>
                <w:rFonts w:ascii="Times New Roman" w:hAnsi="Times New Roman"/>
                <w:sz w:val="24"/>
                <w:szCs w:val="24"/>
              </w:rPr>
              <w:lastRenderedPageBreak/>
              <w:t xml:space="preserve">following </w:t>
            </w:r>
            <w:r w:rsidR="009F39C5" w:rsidRPr="009F39C5">
              <w:rPr>
                <w:rFonts w:ascii="Times New Roman" w:hAnsi="Times New Roman"/>
                <w:sz w:val="24"/>
                <w:szCs w:val="24"/>
              </w:rPr>
              <w:t>regarding eligible direct costs</w:t>
            </w:r>
            <w:r w:rsidRPr="009F39C5">
              <w:rPr>
                <w:rFonts w:ascii="Times New Roman" w:hAnsi="Times New Roman"/>
                <w:sz w:val="24"/>
                <w:szCs w:val="24"/>
              </w:rPr>
              <w:t>:</w:t>
            </w:r>
          </w:p>
          <w:p w14:paraId="0B63E864" w14:textId="662DB3DB" w:rsidR="00F33AA6" w:rsidRPr="009F39C5" w:rsidRDefault="00F33AA6" w:rsidP="009F39C5">
            <w:pPr>
              <w:jc w:val="both"/>
              <w:rPr>
                <w:rFonts w:ascii="Times New Roman" w:hAnsi="Times New Roman"/>
                <w:sz w:val="24"/>
                <w:szCs w:val="24"/>
              </w:rPr>
            </w:pPr>
            <w:r w:rsidRPr="009F39C5">
              <w:rPr>
                <w:rFonts w:ascii="Times New Roman" w:hAnsi="Times New Roman"/>
                <w:sz w:val="24"/>
                <w:szCs w:val="24"/>
              </w:rPr>
              <w:t>,,</w:t>
            </w:r>
            <w:r w:rsidR="006D1284">
              <w:rPr>
                <w:rFonts w:ascii="Times New Roman" w:hAnsi="Times New Roman"/>
                <w:sz w:val="24"/>
                <w:szCs w:val="24"/>
              </w:rPr>
              <w:t xml:space="preserve">… </w:t>
            </w:r>
            <w:r w:rsidRPr="009F39C5">
              <w:rPr>
                <w:rFonts w:ascii="Times New Roman" w:hAnsi="Times New Roman"/>
                <w:sz w:val="24"/>
                <w:szCs w:val="24"/>
              </w:rPr>
              <w:t>b) travel and subsistence costs for staff and other persons taking part in the Action, provided they do not exceed those normally borne by the Beneficiary(ies) according to its rules and regulations, or the rates published by the European Commission at the time of such mission if reimbursed on the b</w:t>
            </w:r>
            <w:r w:rsidR="009F39C5" w:rsidRPr="009F39C5">
              <w:rPr>
                <w:rFonts w:ascii="Times New Roman" w:hAnsi="Times New Roman"/>
                <w:sz w:val="24"/>
                <w:szCs w:val="24"/>
              </w:rPr>
              <w:t>asis of simplified cost options</w:t>
            </w:r>
            <w:r w:rsidR="006D1284">
              <w:rPr>
                <w:rFonts w:ascii="Times New Roman" w:hAnsi="Times New Roman"/>
                <w:sz w:val="24"/>
                <w:szCs w:val="24"/>
              </w:rPr>
              <w:t xml:space="preserve">…. </w:t>
            </w:r>
            <w:r w:rsidRPr="009F39C5">
              <w:rPr>
                <w:rFonts w:ascii="Times New Roman" w:hAnsi="Times New Roman"/>
                <w:sz w:val="24"/>
                <w:szCs w:val="24"/>
              </w:rPr>
              <w:t>’’</w:t>
            </w:r>
          </w:p>
        </w:tc>
      </w:tr>
      <w:tr w:rsidR="00D8589F" w:rsidRPr="009F39C5" w14:paraId="7E261954" w14:textId="77777777" w:rsidTr="00F33AA6">
        <w:trPr>
          <w:trHeight w:val="638"/>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5D2F5D06" w14:textId="2D4B900A" w:rsidR="00D8589F" w:rsidRPr="009F39C5" w:rsidRDefault="00D8589F" w:rsidP="009F39C5">
            <w:pPr>
              <w:jc w:val="center"/>
              <w:rPr>
                <w:rFonts w:ascii="Times New Roman" w:hAnsi="Times New Roman"/>
                <w:sz w:val="24"/>
                <w:szCs w:val="24"/>
              </w:rPr>
            </w:pPr>
            <w:r w:rsidRPr="009F39C5">
              <w:rPr>
                <w:rFonts w:ascii="Times New Roman" w:hAnsi="Times New Roman"/>
                <w:sz w:val="24"/>
                <w:szCs w:val="24"/>
              </w:rPr>
              <w:lastRenderedPageBreak/>
              <w:t>Q2</w:t>
            </w:r>
            <w:r w:rsidR="009F39C5">
              <w:rPr>
                <w:rFonts w:ascii="Times New Roman" w:hAnsi="Times New Roman"/>
                <w:sz w:val="24"/>
                <w:szCs w:val="24"/>
              </w:rPr>
              <w:t>9</w:t>
            </w:r>
          </w:p>
        </w:tc>
        <w:tc>
          <w:tcPr>
            <w:tcW w:w="8626" w:type="dxa"/>
            <w:tcBorders>
              <w:top w:val="single" w:sz="4" w:space="0" w:color="000000"/>
              <w:left w:val="single" w:sz="4" w:space="0" w:color="000000"/>
              <w:bottom w:val="single" w:sz="4" w:space="0" w:color="000000"/>
              <w:right w:val="single" w:sz="4" w:space="0" w:color="000000"/>
            </w:tcBorders>
            <w:hideMark/>
          </w:tcPr>
          <w:p w14:paraId="7D10875E" w14:textId="77777777" w:rsidR="00D8589F" w:rsidRPr="009F39C5" w:rsidRDefault="00D8589F" w:rsidP="00DB4350">
            <w:pPr>
              <w:jc w:val="both"/>
              <w:rPr>
                <w:rFonts w:ascii="Times New Roman" w:hAnsi="Times New Roman"/>
                <w:sz w:val="24"/>
                <w:szCs w:val="24"/>
              </w:rPr>
            </w:pPr>
            <w:r w:rsidRPr="009F39C5">
              <w:rPr>
                <w:rFonts w:ascii="Times New Roman" w:hAnsi="Times New Roman"/>
                <w:sz w:val="24"/>
                <w:szCs w:val="24"/>
                <w:lang w:val="en-GB"/>
              </w:rPr>
              <w:t>Are</w:t>
            </w:r>
            <w:r w:rsidRPr="009F39C5">
              <w:rPr>
                <w:rFonts w:ascii="Times New Roman" w:hAnsi="Times New Roman"/>
                <w:sz w:val="24"/>
                <w:szCs w:val="24"/>
              </w:rPr>
              <w:t xml:space="preserve"> bank provisions costs eligible regarding the transfer of budgeted money to project partners?</w:t>
            </w:r>
          </w:p>
        </w:tc>
      </w:tr>
      <w:tr w:rsidR="00D8589F" w:rsidRPr="009F39C5" w14:paraId="6B458C88" w14:textId="77777777" w:rsidTr="00F33AA6">
        <w:trPr>
          <w:trHeight w:val="638"/>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16A6B935" w14:textId="58DC27E3" w:rsidR="00D8589F" w:rsidRPr="009F39C5" w:rsidRDefault="00D8589F" w:rsidP="009F39C5">
            <w:pPr>
              <w:jc w:val="center"/>
              <w:rPr>
                <w:rFonts w:ascii="Times New Roman" w:hAnsi="Times New Roman"/>
                <w:sz w:val="24"/>
                <w:szCs w:val="24"/>
              </w:rPr>
            </w:pPr>
            <w:r w:rsidRPr="009F39C5">
              <w:rPr>
                <w:rFonts w:ascii="Times New Roman" w:hAnsi="Times New Roman"/>
                <w:sz w:val="24"/>
                <w:szCs w:val="24"/>
              </w:rPr>
              <w:t>A2</w:t>
            </w:r>
            <w:r w:rsidR="009F39C5">
              <w:rPr>
                <w:rFonts w:ascii="Times New Roman" w:hAnsi="Times New Roman"/>
                <w:sz w:val="24"/>
                <w:szCs w:val="24"/>
              </w:rPr>
              <w:t>9</w:t>
            </w:r>
          </w:p>
        </w:tc>
        <w:tc>
          <w:tcPr>
            <w:tcW w:w="8626" w:type="dxa"/>
            <w:tcBorders>
              <w:top w:val="single" w:sz="4" w:space="0" w:color="000000"/>
              <w:left w:val="single" w:sz="4" w:space="0" w:color="000000"/>
              <w:bottom w:val="single" w:sz="4" w:space="0" w:color="000000"/>
              <w:right w:val="single" w:sz="4" w:space="0" w:color="000000"/>
            </w:tcBorders>
            <w:hideMark/>
          </w:tcPr>
          <w:p w14:paraId="193D2A37" w14:textId="77777777" w:rsidR="009F39C5" w:rsidRPr="009F39C5" w:rsidRDefault="009F39C5" w:rsidP="009F39C5">
            <w:pPr>
              <w:jc w:val="both"/>
              <w:rPr>
                <w:rFonts w:ascii="Times New Roman" w:hAnsi="Times New Roman"/>
                <w:sz w:val="24"/>
                <w:szCs w:val="24"/>
              </w:rPr>
            </w:pPr>
            <w:r w:rsidRPr="009F39C5">
              <w:rPr>
                <w:rFonts w:ascii="Times New Roman" w:hAnsi="Times New Roman"/>
                <w:sz w:val="24"/>
                <w:szCs w:val="24"/>
              </w:rPr>
              <w:t xml:space="preserve">Please refer to art. 14.2 g) of the </w:t>
            </w:r>
            <w:r w:rsidR="00F33AA6" w:rsidRPr="009F39C5">
              <w:rPr>
                <w:rFonts w:ascii="Times New Roman" w:hAnsi="Times New Roman"/>
                <w:sz w:val="24"/>
                <w:szCs w:val="24"/>
              </w:rPr>
              <w:t>Annex G II to the Guidelines for Applicants (" General Conditions to the grant contract, subsection „Eligible Direct Costs”) stating the following r</w:t>
            </w:r>
            <w:r w:rsidRPr="009F39C5">
              <w:rPr>
                <w:rFonts w:ascii="Times New Roman" w:hAnsi="Times New Roman"/>
                <w:sz w:val="24"/>
                <w:szCs w:val="24"/>
              </w:rPr>
              <w:t>egarding eligible direct costs:</w:t>
            </w:r>
          </w:p>
          <w:p w14:paraId="151BEC51" w14:textId="38D4C24D" w:rsidR="00D8589F" w:rsidRPr="009F39C5" w:rsidRDefault="009F39C5" w:rsidP="009F39C5">
            <w:pPr>
              <w:jc w:val="both"/>
              <w:rPr>
                <w:rFonts w:ascii="Times New Roman" w:hAnsi="Times New Roman"/>
                <w:sz w:val="24"/>
                <w:szCs w:val="24"/>
              </w:rPr>
            </w:pPr>
            <w:r w:rsidRPr="009F39C5">
              <w:rPr>
                <w:rFonts w:ascii="Times New Roman" w:hAnsi="Times New Roman"/>
                <w:sz w:val="24"/>
                <w:szCs w:val="24"/>
              </w:rPr>
              <w:t>‘’</w:t>
            </w:r>
            <w:r w:rsidR="00F33AA6" w:rsidRPr="009F39C5">
              <w:rPr>
                <w:rFonts w:ascii="Times New Roman" w:hAnsi="Times New Roman"/>
                <w:sz w:val="24"/>
                <w:szCs w:val="24"/>
              </w:rPr>
              <w:t>Costs deriving directly from the requirements of the Contract (dissemination of information, evaluation specific to the Action, audits, translation, reproduction, insurance, etc.) including financial service costs (in particular the cost of transfers and financial guarantees where requi</w:t>
            </w:r>
            <w:r w:rsidR="006D1284">
              <w:rPr>
                <w:rFonts w:ascii="Times New Roman" w:hAnsi="Times New Roman"/>
                <w:sz w:val="24"/>
                <w:szCs w:val="24"/>
              </w:rPr>
              <w:t>red according to the c</w:t>
            </w:r>
            <w:r w:rsidRPr="009F39C5">
              <w:rPr>
                <w:rFonts w:ascii="Times New Roman" w:hAnsi="Times New Roman"/>
                <w:sz w:val="24"/>
                <w:szCs w:val="24"/>
              </w:rPr>
              <w:t>ontract)</w:t>
            </w:r>
            <w:r w:rsidR="006D1284">
              <w:rPr>
                <w:rFonts w:ascii="Times New Roman" w:hAnsi="Times New Roman"/>
                <w:sz w:val="24"/>
                <w:szCs w:val="24"/>
              </w:rPr>
              <w:t>; …</w:t>
            </w:r>
            <w:r w:rsidR="00F33AA6" w:rsidRPr="009F39C5">
              <w:rPr>
                <w:rFonts w:ascii="Times New Roman" w:hAnsi="Times New Roman"/>
                <w:sz w:val="24"/>
                <w:szCs w:val="24"/>
              </w:rPr>
              <w:t>’’</w:t>
            </w:r>
          </w:p>
        </w:tc>
      </w:tr>
      <w:tr w:rsidR="00D8589F" w:rsidRPr="009F39C5" w14:paraId="195ED0C0" w14:textId="77777777" w:rsidTr="00F33AA6">
        <w:trPr>
          <w:trHeight w:val="638"/>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662D2495" w14:textId="5A8A1B09" w:rsidR="00D8589F" w:rsidRPr="009F39C5" w:rsidRDefault="00D8589F" w:rsidP="009F39C5">
            <w:pPr>
              <w:jc w:val="center"/>
              <w:rPr>
                <w:rFonts w:ascii="Times New Roman" w:hAnsi="Times New Roman"/>
                <w:sz w:val="24"/>
                <w:szCs w:val="24"/>
              </w:rPr>
            </w:pPr>
            <w:r w:rsidRPr="009F39C5">
              <w:rPr>
                <w:rFonts w:ascii="Times New Roman" w:hAnsi="Times New Roman"/>
                <w:sz w:val="24"/>
                <w:szCs w:val="24"/>
              </w:rPr>
              <w:t>Q</w:t>
            </w:r>
            <w:r w:rsidR="009F39C5">
              <w:rPr>
                <w:rFonts w:ascii="Times New Roman" w:hAnsi="Times New Roman"/>
                <w:sz w:val="24"/>
                <w:szCs w:val="24"/>
              </w:rPr>
              <w:t>30</w:t>
            </w:r>
          </w:p>
        </w:tc>
        <w:tc>
          <w:tcPr>
            <w:tcW w:w="8626" w:type="dxa"/>
            <w:tcBorders>
              <w:top w:val="single" w:sz="4" w:space="0" w:color="000000"/>
              <w:left w:val="single" w:sz="4" w:space="0" w:color="000000"/>
              <w:bottom w:val="single" w:sz="4" w:space="0" w:color="000000"/>
              <w:right w:val="single" w:sz="4" w:space="0" w:color="000000"/>
            </w:tcBorders>
            <w:hideMark/>
          </w:tcPr>
          <w:p w14:paraId="6CE1469C" w14:textId="77777777" w:rsidR="00D8589F" w:rsidRPr="009F39C5" w:rsidRDefault="00D8589F" w:rsidP="00DB4350">
            <w:pPr>
              <w:jc w:val="both"/>
              <w:rPr>
                <w:rFonts w:ascii="Times New Roman" w:hAnsi="Times New Roman"/>
                <w:sz w:val="24"/>
                <w:szCs w:val="24"/>
              </w:rPr>
            </w:pPr>
            <w:r w:rsidRPr="009F39C5">
              <w:rPr>
                <w:rFonts w:ascii="Times New Roman" w:hAnsi="Times New Roman"/>
                <w:sz w:val="24"/>
                <w:szCs w:val="24"/>
              </w:rPr>
              <w:t>Can experts be from applicant or co applicant institution if they are not engaged on the project?</w:t>
            </w:r>
          </w:p>
        </w:tc>
      </w:tr>
      <w:tr w:rsidR="00D8589F" w:rsidRPr="009F39C5" w14:paraId="3BBA1B0B" w14:textId="77777777" w:rsidTr="00F33AA6">
        <w:trPr>
          <w:trHeight w:val="638"/>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657B15D0" w14:textId="3ED5DF11" w:rsidR="00D8589F" w:rsidRPr="009F39C5" w:rsidRDefault="00D8589F" w:rsidP="009F39C5">
            <w:pPr>
              <w:jc w:val="center"/>
              <w:rPr>
                <w:rFonts w:ascii="Times New Roman" w:hAnsi="Times New Roman"/>
                <w:sz w:val="24"/>
                <w:szCs w:val="24"/>
              </w:rPr>
            </w:pPr>
            <w:r w:rsidRPr="009F39C5">
              <w:rPr>
                <w:rFonts w:ascii="Times New Roman" w:hAnsi="Times New Roman"/>
                <w:sz w:val="24"/>
                <w:szCs w:val="24"/>
              </w:rPr>
              <w:t>A</w:t>
            </w:r>
            <w:r w:rsidR="009F39C5">
              <w:rPr>
                <w:rFonts w:ascii="Times New Roman" w:hAnsi="Times New Roman"/>
                <w:sz w:val="24"/>
                <w:szCs w:val="24"/>
              </w:rPr>
              <w:t>30</w:t>
            </w:r>
          </w:p>
        </w:tc>
        <w:tc>
          <w:tcPr>
            <w:tcW w:w="8626" w:type="dxa"/>
            <w:tcBorders>
              <w:top w:val="single" w:sz="4" w:space="0" w:color="000000"/>
              <w:left w:val="single" w:sz="4" w:space="0" w:color="000000"/>
              <w:bottom w:val="single" w:sz="4" w:space="0" w:color="000000"/>
              <w:right w:val="single" w:sz="4" w:space="0" w:color="000000"/>
            </w:tcBorders>
            <w:hideMark/>
          </w:tcPr>
          <w:p w14:paraId="2886D6DF" w14:textId="77777777" w:rsidR="00F33AA6" w:rsidRPr="009F39C5" w:rsidRDefault="00F33AA6" w:rsidP="00F33AA6">
            <w:pPr>
              <w:jc w:val="both"/>
              <w:rPr>
                <w:rFonts w:ascii="Times New Roman" w:hAnsi="Times New Roman"/>
                <w:sz w:val="24"/>
                <w:szCs w:val="24"/>
              </w:rPr>
            </w:pPr>
            <w:r w:rsidRPr="009F39C5">
              <w:rPr>
                <w:rFonts w:ascii="Times New Roman" w:hAnsi="Times New Roman"/>
                <w:sz w:val="24"/>
                <w:szCs w:val="24"/>
              </w:rPr>
              <w:t>Please refer to the Section 2.1.5 of the Guidelines for Grant Applicants („Eligibility of costs: costs that can be included ”), stating the following as ineligible:</w:t>
            </w:r>
          </w:p>
          <w:p w14:paraId="57EDF417" w14:textId="34AF5FB2" w:rsidR="00F33AA6" w:rsidRPr="009F39C5" w:rsidRDefault="00F33AA6" w:rsidP="00F33AA6">
            <w:pPr>
              <w:jc w:val="both"/>
              <w:rPr>
                <w:rFonts w:ascii="Times New Roman" w:hAnsi="Times New Roman"/>
                <w:sz w:val="24"/>
                <w:szCs w:val="24"/>
              </w:rPr>
            </w:pPr>
            <w:r w:rsidRPr="009F39C5">
              <w:rPr>
                <w:rFonts w:ascii="Times New Roman" w:hAnsi="Times New Roman"/>
                <w:sz w:val="24"/>
                <w:szCs w:val="24"/>
              </w:rPr>
              <w:t>"- consultant fees between the beneficiaries for services or work carried out within the project;</w:t>
            </w:r>
          </w:p>
          <w:p w14:paraId="3E00B204" w14:textId="0EEF4322" w:rsidR="0077233B" w:rsidRPr="009F39C5" w:rsidRDefault="00F33AA6" w:rsidP="00F33AA6">
            <w:pPr>
              <w:jc w:val="both"/>
              <w:rPr>
                <w:rFonts w:ascii="Times New Roman" w:hAnsi="Times New Roman"/>
                <w:sz w:val="24"/>
                <w:szCs w:val="24"/>
              </w:rPr>
            </w:pPr>
            <w:r w:rsidRPr="009F39C5">
              <w:rPr>
                <w:rFonts w:ascii="Times New Roman" w:hAnsi="Times New Roman"/>
                <w:sz w:val="24"/>
                <w:szCs w:val="24"/>
              </w:rPr>
              <w:t>- remuneration of any kind for staff of any of the beneficiaries being hired as external experts or freelance consultants;"</w:t>
            </w:r>
          </w:p>
        </w:tc>
      </w:tr>
      <w:tr w:rsidR="00D8589F" w:rsidRPr="009F39C5" w14:paraId="2D92000F" w14:textId="77777777" w:rsidTr="00F33AA6">
        <w:trPr>
          <w:trHeight w:val="638"/>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6DAC5BCC" w14:textId="303CA1BE" w:rsidR="00D8589F" w:rsidRPr="009F39C5" w:rsidRDefault="00D8589F" w:rsidP="00B67E83">
            <w:pPr>
              <w:jc w:val="center"/>
              <w:rPr>
                <w:rFonts w:ascii="Times New Roman" w:hAnsi="Times New Roman"/>
                <w:sz w:val="24"/>
                <w:szCs w:val="24"/>
              </w:rPr>
            </w:pPr>
            <w:r w:rsidRPr="009F39C5">
              <w:rPr>
                <w:rFonts w:ascii="Times New Roman" w:hAnsi="Times New Roman"/>
                <w:sz w:val="24"/>
                <w:szCs w:val="24"/>
              </w:rPr>
              <w:t>Q</w:t>
            </w:r>
            <w:r w:rsidR="009F39C5">
              <w:rPr>
                <w:rFonts w:ascii="Times New Roman" w:hAnsi="Times New Roman"/>
                <w:sz w:val="24"/>
                <w:szCs w:val="24"/>
              </w:rPr>
              <w:t>31</w:t>
            </w:r>
          </w:p>
        </w:tc>
        <w:tc>
          <w:tcPr>
            <w:tcW w:w="8626" w:type="dxa"/>
            <w:tcBorders>
              <w:top w:val="single" w:sz="4" w:space="0" w:color="000000"/>
              <w:left w:val="single" w:sz="4" w:space="0" w:color="000000"/>
              <w:bottom w:val="single" w:sz="4" w:space="0" w:color="000000"/>
              <w:right w:val="single" w:sz="4" w:space="0" w:color="000000"/>
            </w:tcBorders>
            <w:hideMark/>
          </w:tcPr>
          <w:p w14:paraId="084A830B" w14:textId="0A9AB520" w:rsidR="00D8589F" w:rsidRPr="009F39C5" w:rsidRDefault="00D8589F" w:rsidP="00DB4350">
            <w:pPr>
              <w:jc w:val="both"/>
              <w:rPr>
                <w:rFonts w:ascii="Times New Roman" w:hAnsi="Times New Roman"/>
                <w:sz w:val="24"/>
                <w:szCs w:val="24"/>
              </w:rPr>
            </w:pPr>
            <w:r w:rsidRPr="009F39C5">
              <w:rPr>
                <w:rFonts w:ascii="Times New Roman" w:hAnsi="Times New Roman"/>
                <w:sz w:val="24"/>
                <w:szCs w:val="24"/>
              </w:rPr>
              <w:t>Is engaging an external expert/</w:t>
            </w:r>
            <w:r w:rsidR="0077233B" w:rsidRPr="009F39C5">
              <w:rPr>
                <w:rFonts w:ascii="Times New Roman" w:hAnsi="Times New Roman"/>
                <w:sz w:val="24"/>
                <w:szCs w:val="24"/>
              </w:rPr>
              <w:t>consultant</w:t>
            </w:r>
            <w:r w:rsidRPr="009F39C5">
              <w:rPr>
                <w:rFonts w:ascii="Times New Roman" w:hAnsi="Times New Roman"/>
                <w:sz w:val="24"/>
                <w:szCs w:val="24"/>
              </w:rPr>
              <w:t xml:space="preserve"> for project administration purposes an eligible cost for the project?</w:t>
            </w:r>
          </w:p>
        </w:tc>
      </w:tr>
      <w:tr w:rsidR="00D8589F" w:rsidRPr="009F39C5" w14:paraId="4BA1A023" w14:textId="77777777" w:rsidTr="00F33AA6">
        <w:trPr>
          <w:trHeight w:val="638"/>
        </w:trPr>
        <w:tc>
          <w:tcPr>
            <w:tcW w:w="980" w:type="dxa"/>
            <w:tcBorders>
              <w:top w:val="single" w:sz="4" w:space="0" w:color="000000"/>
              <w:left w:val="single" w:sz="4" w:space="0" w:color="000000"/>
              <w:bottom w:val="single" w:sz="4" w:space="0" w:color="000000"/>
              <w:right w:val="single" w:sz="4" w:space="0" w:color="000000"/>
            </w:tcBorders>
            <w:vAlign w:val="center"/>
            <w:hideMark/>
          </w:tcPr>
          <w:p w14:paraId="551908BA" w14:textId="1390ACAA" w:rsidR="00D8589F" w:rsidRPr="009F39C5" w:rsidRDefault="00D8589F" w:rsidP="00B67E83">
            <w:pPr>
              <w:jc w:val="center"/>
              <w:rPr>
                <w:rFonts w:ascii="Times New Roman" w:hAnsi="Times New Roman"/>
                <w:sz w:val="24"/>
                <w:szCs w:val="24"/>
              </w:rPr>
            </w:pPr>
            <w:r w:rsidRPr="009F39C5">
              <w:rPr>
                <w:rFonts w:ascii="Times New Roman" w:hAnsi="Times New Roman"/>
                <w:sz w:val="24"/>
                <w:szCs w:val="24"/>
              </w:rPr>
              <w:t>A</w:t>
            </w:r>
            <w:r w:rsidR="0038218E" w:rsidRPr="009F39C5">
              <w:rPr>
                <w:rFonts w:ascii="Times New Roman" w:hAnsi="Times New Roman"/>
                <w:sz w:val="24"/>
                <w:szCs w:val="24"/>
              </w:rPr>
              <w:t>3</w:t>
            </w:r>
            <w:r w:rsidR="009F39C5">
              <w:rPr>
                <w:rFonts w:ascii="Times New Roman" w:hAnsi="Times New Roman"/>
                <w:sz w:val="24"/>
                <w:szCs w:val="24"/>
              </w:rPr>
              <w:t>1</w:t>
            </w:r>
          </w:p>
        </w:tc>
        <w:tc>
          <w:tcPr>
            <w:tcW w:w="8626" w:type="dxa"/>
            <w:tcBorders>
              <w:top w:val="single" w:sz="4" w:space="0" w:color="000000"/>
              <w:left w:val="single" w:sz="4" w:space="0" w:color="000000"/>
              <w:bottom w:val="single" w:sz="4" w:space="0" w:color="000000"/>
              <w:right w:val="single" w:sz="4" w:space="0" w:color="000000"/>
            </w:tcBorders>
            <w:hideMark/>
          </w:tcPr>
          <w:p w14:paraId="3DB09969" w14:textId="7F7C6333" w:rsidR="00F33AA6" w:rsidRPr="009F39C5" w:rsidRDefault="00F33AA6" w:rsidP="00F33AA6">
            <w:pPr>
              <w:jc w:val="both"/>
              <w:rPr>
                <w:rFonts w:ascii="Times New Roman" w:hAnsi="Times New Roman"/>
                <w:sz w:val="24"/>
                <w:szCs w:val="24"/>
              </w:rPr>
            </w:pPr>
            <w:r w:rsidRPr="009F39C5">
              <w:rPr>
                <w:rFonts w:ascii="Times New Roman" w:hAnsi="Times New Roman"/>
                <w:sz w:val="24"/>
                <w:szCs w:val="24"/>
              </w:rPr>
              <w:t>Please refer to art. 14.2 f) of the Annex G II to t</w:t>
            </w:r>
            <w:r w:rsidR="006D1284">
              <w:rPr>
                <w:rFonts w:ascii="Times New Roman" w:hAnsi="Times New Roman"/>
                <w:sz w:val="24"/>
                <w:szCs w:val="24"/>
              </w:rPr>
              <w:t>he Guidelines for Applicants ("</w:t>
            </w:r>
            <w:r w:rsidRPr="009F39C5">
              <w:rPr>
                <w:rFonts w:ascii="Times New Roman" w:hAnsi="Times New Roman"/>
                <w:sz w:val="24"/>
                <w:szCs w:val="24"/>
              </w:rPr>
              <w:t xml:space="preserve">General Conditions to the grant contract, subsection „Eligible Direct Costs”) stating the following regarding eligible direct costs: </w:t>
            </w:r>
          </w:p>
          <w:p w14:paraId="3C70BA23" w14:textId="63B6822B" w:rsidR="00D8589F" w:rsidRPr="009F39C5" w:rsidRDefault="00F33AA6" w:rsidP="009F39C5">
            <w:pPr>
              <w:jc w:val="both"/>
              <w:rPr>
                <w:rFonts w:ascii="Times New Roman" w:hAnsi="Times New Roman"/>
                <w:sz w:val="24"/>
                <w:szCs w:val="24"/>
              </w:rPr>
            </w:pPr>
            <w:r w:rsidRPr="009F39C5">
              <w:rPr>
                <w:rFonts w:ascii="Times New Roman" w:hAnsi="Times New Roman"/>
                <w:sz w:val="24"/>
                <w:szCs w:val="24"/>
              </w:rPr>
              <w:t>"</w:t>
            </w:r>
            <w:r w:rsidR="006D1284">
              <w:rPr>
                <w:rFonts w:ascii="Times New Roman" w:hAnsi="Times New Roman"/>
                <w:sz w:val="24"/>
                <w:szCs w:val="24"/>
              </w:rPr>
              <w:t xml:space="preserve">… </w:t>
            </w:r>
            <w:r w:rsidRPr="009F39C5">
              <w:rPr>
                <w:rFonts w:ascii="Times New Roman" w:hAnsi="Times New Roman"/>
                <w:sz w:val="24"/>
                <w:szCs w:val="24"/>
              </w:rPr>
              <w:t>costs of service, supply and work contracts awarded by the Beneficiary(ies) for the purposes of the Action</w:t>
            </w:r>
            <w:r w:rsidR="006D1284">
              <w:rPr>
                <w:rFonts w:ascii="Times New Roman" w:hAnsi="Times New Roman"/>
                <w:sz w:val="24"/>
                <w:szCs w:val="24"/>
              </w:rPr>
              <w:t>….</w:t>
            </w:r>
            <w:r w:rsidRPr="009F39C5">
              <w:rPr>
                <w:rFonts w:ascii="Times New Roman" w:hAnsi="Times New Roman"/>
                <w:sz w:val="24"/>
                <w:szCs w:val="24"/>
              </w:rPr>
              <w:t>"</w:t>
            </w:r>
          </w:p>
        </w:tc>
      </w:tr>
    </w:tbl>
    <w:p w14:paraId="25370022" w14:textId="77777777" w:rsidR="00084E8B" w:rsidRPr="009F39C5" w:rsidRDefault="00084E8B" w:rsidP="001B6B1F">
      <w:pPr>
        <w:jc w:val="both"/>
        <w:rPr>
          <w:rFonts w:ascii="Times New Roman" w:hAnsi="Times New Roman"/>
          <w:b/>
          <w:sz w:val="24"/>
          <w:szCs w:val="24"/>
          <w:lang w:val="en-GB"/>
        </w:rPr>
      </w:pPr>
    </w:p>
    <w:sectPr w:rsidR="00084E8B" w:rsidRPr="009F39C5" w:rsidSect="0008262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ACA32F" w14:textId="77777777" w:rsidR="00A25350" w:rsidRDefault="00A25350" w:rsidP="0078750A">
      <w:pPr>
        <w:spacing w:after="0" w:line="240" w:lineRule="auto"/>
      </w:pPr>
      <w:r>
        <w:separator/>
      </w:r>
    </w:p>
  </w:endnote>
  <w:endnote w:type="continuationSeparator" w:id="0">
    <w:p w14:paraId="733DE279" w14:textId="77777777" w:rsidR="00A25350" w:rsidRDefault="00A25350" w:rsidP="00787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A93A1" w14:textId="77777777" w:rsidR="00425E19" w:rsidRPr="00124F3D" w:rsidRDefault="00425E19" w:rsidP="00082621">
    <w:pPr>
      <w:pStyle w:val="Footer"/>
      <w:tabs>
        <w:tab w:val="right" w:pos="9639"/>
      </w:tabs>
      <w:rPr>
        <w:rFonts w:ascii="Times New Roman" w:hAnsi="Times New Roman"/>
        <w:sz w:val="18"/>
        <w:szCs w:val="18"/>
      </w:rPr>
    </w:pPr>
    <w:r w:rsidRPr="00124F3D">
      <w:rPr>
        <w:rFonts w:ascii="Times New Roman" w:hAnsi="Times New Roman"/>
        <w:sz w:val="18"/>
        <w:szCs w:val="18"/>
      </w:rPr>
      <w:t>* This designation is without prejudice to positions on status, and is in line with UNSCR 1244 and the ICJ Opinion on the Kosovo Declaration of Independence.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40704" w14:textId="77777777" w:rsidR="00A25350" w:rsidRDefault="00A25350" w:rsidP="0078750A">
      <w:pPr>
        <w:spacing w:after="0" w:line="240" w:lineRule="auto"/>
      </w:pPr>
      <w:r>
        <w:separator/>
      </w:r>
    </w:p>
  </w:footnote>
  <w:footnote w:type="continuationSeparator" w:id="0">
    <w:p w14:paraId="4CF0B782" w14:textId="77777777" w:rsidR="00A25350" w:rsidRDefault="00A25350" w:rsidP="007875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1EE"/>
    <w:multiLevelType w:val="hybridMultilevel"/>
    <w:tmpl w:val="ECF063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1652CCC"/>
    <w:multiLevelType w:val="multilevel"/>
    <w:tmpl w:val="298096B6"/>
    <w:lvl w:ilvl="0">
      <w:start w:val="1"/>
      <w:numFmt w:val="decimal"/>
      <w:pStyle w:val="Guidelines1"/>
      <w:lvlText w:val="%1."/>
      <w:lvlJc w:val="left"/>
      <w:pPr>
        <w:ind w:left="567" w:hanging="567"/>
      </w:pPr>
      <w:rPr>
        <w:rFonts w:ascii="Times New Roman Bold" w:hAnsi="Times New Roman Bold" w:hint="default"/>
        <w:b/>
        <w:i w:val="0"/>
        <w:caps/>
        <w:strike w:val="0"/>
        <w:dstrike w:val="0"/>
        <w:color w:val="000000"/>
        <w:sz w:val="24"/>
        <w:vertAlign w:val="baseline"/>
      </w:rPr>
    </w:lvl>
    <w:lvl w:ilvl="1">
      <w:start w:val="1"/>
      <w:numFmt w:val="decimal"/>
      <w:pStyle w:val="Guidelines2"/>
      <w:lvlText w:val="%1.%2."/>
      <w:lvlJc w:val="left"/>
      <w:pPr>
        <w:ind w:left="567" w:hanging="567"/>
      </w:pPr>
      <w:rPr>
        <w:rFonts w:ascii="Times New Roman Bold" w:hAnsi="Times New Roman Bold" w:hint="default"/>
        <w:b/>
        <w:i w:val="0"/>
        <w:caps w:val="0"/>
        <w:strike w:val="0"/>
        <w:dstrike w:val="0"/>
        <w:vanish w:val="0"/>
        <w:color w:val="000000"/>
        <w:sz w:val="24"/>
        <w:u w:val="none"/>
        <w:vertAlign w:val="baseline"/>
      </w:rPr>
    </w:lvl>
    <w:lvl w:ilvl="2">
      <w:start w:val="1"/>
      <w:numFmt w:val="decimal"/>
      <w:pStyle w:val="Guidelines3"/>
      <w:lvlText w:val="%1.%2.%3."/>
      <w:lvlJc w:val="left"/>
      <w:pPr>
        <w:ind w:left="851" w:hanging="851"/>
      </w:pPr>
      <w:rPr>
        <w:rFonts w:ascii="Times New Roman Bold" w:hAnsi="Times New Roman Bold" w:hint="default"/>
        <w:b/>
        <w:i/>
        <w:caps w:val="0"/>
        <w:strike w:val="0"/>
        <w:dstrike w:val="0"/>
        <w:vanish w:val="0"/>
        <w:color w:val="000000"/>
        <w:sz w:val="24"/>
        <w:u w:val="none"/>
        <w:vertAlign w:val="base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nsid w:val="0631243E"/>
    <w:multiLevelType w:val="hybridMultilevel"/>
    <w:tmpl w:val="8696CF3C"/>
    <w:lvl w:ilvl="0" w:tplc="87FEA3BA">
      <w:start w:val="1"/>
      <w:numFmt w:val="lowerLetter"/>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876FFA"/>
    <w:multiLevelType w:val="hybridMultilevel"/>
    <w:tmpl w:val="9FD08A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758451B"/>
    <w:multiLevelType w:val="hybridMultilevel"/>
    <w:tmpl w:val="CA1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994CBB"/>
    <w:multiLevelType w:val="hybridMultilevel"/>
    <w:tmpl w:val="FD649E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2403641"/>
    <w:multiLevelType w:val="hybridMultilevel"/>
    <w:tmpl w:val="4202A494"/>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7D3734"/>
    <w:multiLevelType w:val="hybridMultilevel"/>
    <w:tmpl w:val="F1C6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282AEB"/>
    <w:multiLevelType w:val="hybridMultilevel"/>
    <w:tmpl w:val="32E042F4"/>
    <w:lvl w:ilvl="0" w:tplc="BA7466E0">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B25D58"/>
    <w:multiLevelType w:val="hybridMultilevel"/>
    <w:tmpl w:val="EB3634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7E179A5"/>
    <w:multiLevelType w:val="hybridMultilevel"/>
    <w:tmpl w:val="1A14BE54"/>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1">
    <w:nsid w:val="38461C28"/>
    <w:multiLevelType w:val="hybridMultilevel"/>
    <w:tmpl w:val="C4DA68A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nsid w:val="3A4F304F"/>
    <w:multiLevelType w:val="hybridMultilevel"/>
    <w:tmpl w:val="E4D42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2C399C"/>
    <w:multiLevelType w:val="hybridMultilevel"/>
    <w:tmpl w:val="2014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5047BB"/>
    <w:multiLevelType w:val="hybridMultilevel"/>
    <w:tmpl w:val="3BF22B58"/>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nsid w:val="46CD60F6"/>
    <w:multiLevelType w:val="singleLevel"/>
    <w:tmpl w:val="04090001"/>
    <w:lvl w:ilvl="0">
      <w:start w:val="1"/>
      <w:numFmt w:val="bullet"/>
      <w:lvlText w:val=""/>
      <w:lvlJc w:val="left"/>
      <w:pPr>
        <w:ind w:left="720" w:hanging="360"/>
      </w:pPr>
      <w:rPr>
        <w:rFonts w:ascii="Symbol" w:hAnsi="Symbol" w:hint="default"/>
      </w:rPr>
    </w:lvl>
  </w:abstractNum>
  <w:abstractNum w:abstractNumId="16">
    <w:nsid w:val="47247F39"/>
    <w:multiLevelType w:val="hybridMultilevel"/>
    <w:tmpl w:val="D52207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8467384"/>
    <w:multiLevelType w:val="hybridMultilevel"/>
    <w:tmpl w:val="809A245A"/>
    <w:lvl w:ilvl="0" w:tplc="65A0494C">
      <w:start w:val="81"/>
      <w:numFmt w:val="bullet"/>
      <w:lvlText w:val="-"/>
      <w:lvlJc w:val="left"/>
      <w:pPr>
        <w:ind w:left="1931" w:hanging="360"/>
      </w:pPr>
      <w:rPr>
        <w:rFonts w:ascii="Times New Roman" w:eastAsia="Times New Roman" w:hAnsi="Times New Roman" w:cs="Times New Roman" w:hint="default"/>
      </w:rPr>
    </w:lvl>
    <w:lvl w:ilvl="1" w:tplc="04090003" w:tentative="1">
      <w:start w:val="1"/>
      <w:numFmt w:val="bullet"/>
      <w:lvlText w:val="o"/>
      <w:lvlJc w:val="left"/>
      <w:pPr>
        <w:ind w:left="2651" w:hanging="360"/>
      </w:pPr>
      <w:rPr>
        <w:rFonts w:ascii="Courier New" w:hAnsi="Courier New" w:cs="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cs="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cs="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18">
    <w:nsid w:val="49341670"/>
    <w:multiLevelType w:val="hybridMultilevel"/>
    <w:tmpl w:val="F962A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1E09B7"/>
    <w:multiLevelType w:val="hybridMultilevel"/>
    <w:tmpl w:val="D210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D6908E2"/>
    <w:multiLevelType w:val="hybridMultilevel"/>
    <w:tmpl w:val="0D5CF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2">
    <w:nsid w:val="532F6624"/>
    <w:multiLevelType w:val="hybridMultilevel"/>
    <w:tmpl w:val="2FFC2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7325933"/>
    <w:multiLevelType w:val="hybridMultilevel"/>
    <w:tmpl w:val="668A22D2"/>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7760581"/>
    <w:multiLevelType w:val="hybridMultilevel"/>
    <w:tmpl w:val="05CA5E2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5">
    <w:nsid w:val="59EE5109"/>
    <w:multiLevelType w:val="hybridMultilevel"/>
    <w:tmpl w:val="093EE8A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nsid w:val="5A680AAA"/>
    <w:multiLevelType w:val="hybridMultilevel"/>
    <w:tmpl w:val="ACB06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4CB1A6F"/>
    <w:multiLevelType w:val="hybridMultilevel"/>
    <w:tmpl w:val="B072B5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9216D6C"/>
    <w:multiLevelType w:val="multilevel"/>
    <w:tmpl w:val="983809FA"/>
    <w:lvl w:ilvl="0">
      <w:start w:val="1"/>
      <w:numFmt w:val="decimal"/>
      <w:lvlText w:val="%1"/>
      <w:lvlJc w:val="left"/>
      <w:pPr>
        <w:tabs>
          <w:tab w:val="num" w:pos="567"/>
        </w:tabs>
        <w:ind w:left="567" w:hanging="567"/>
      </w:pPr>
      <w:rPr>
        <w:rFonts w:ascii="Times New Roman Bold" w:hAnsi="Times New Roman Bold" w:hint="default"/>
        <w:b/>
        <w:i w:val="0"/>
        <w:sz w:val="24"/>
        <w:szCs w:val="24"/>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698F70FA"/>
    <w:multiLevelType w:val="hybridMultilevel"/>
    <w:tmpl w:val="9738E4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CAF470D"/>
    <w:multiLevelType w:val="hybridMultilevel"/>
    <w:tmpl w:val="DC5693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E562B33"/>
    <w:multiLevelType w:val="hybridMultilevel"/>
    <w:tmpl w:val="E96A16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7B984BEA"/>
    <w:multiLevelType w:val="hybridMultilevel"/>
    <w:tmpl w:val="4E56B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C46637B"/>
    <w:multiLevelType w:val="hybridMultilevel"/>
    <w:tmpl w:val="5E94A878"/>
    <w:lvl w:ilvl="0" w:tplc="2AB4BE6A">
      <w:start w:val="1"/>
      <w:numFmt w:val="decimal"/>
      <w:lvlText w:val="(%1)"/>
      <w:lvlJc w:val="left"/>
      <w:pPr>
        <w:ind w:left="420" w:hanging="375"/>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34">
    <w:nsid w:val="7DAA43D9"/>
    <w:multiLevelType w:val="hybridMultilevel"/>
    <w:tmpl w:val="474C85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7DCC5171"/>
    <w:multiLevelType w:val="hybridMultilevel"/>
    <w:tmpl w:val="278C9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32"/>
  </w:num>
  <w:num w:numId="3">
    <w:abstractNumId w:val="1"/>
  </w:num>
  <w:num w:numId="4">
    <w:abstractNumId w:val="14"/>
  </w:num>
  <w:num w:numId="5">
    <w:abstractNumId w:val="23"/>
  </w:num>
  <w:num w:numId="6">
    <w:abstractNumId w:val="33"/>
  </w:num>
  <w:num w:numId="7">
    <w:abstractNumId w:val="30"/>
  </w:num>
  <w:num w:numId="8">
    <w:abstractNumId w:val="3"/>
  </w:num>
  <w:num w:numId="9">
    <w:abstractNumId w:val="13"/>
  </w:num>
  <w:num w:numId="10">
    <w:abstractNumId w:val="29"/>
  </w:num>
  <w:num w:numId="11">
    <w:abstractNumId w:val="16"/>
  </w:num>
  <w:num w:numId="12">
    <w:abstractNumId w:val="27"/>
  </w:num>
  <w:num w:numId="13">
    <w:abstractNumId w:val="35"/>
  </w:num>
  <w:num w:numId="14">
    <w:abstractNumId w:val="9"/>
  </w:num>
  <w:num w:numId="15">
    <w:abstractNumId w:val="25"/>
  </w:num>
  <w:num w:numId="16">
    <w:abstractNumId w:val="17"/>
  </w:num>
  <w:num w:numId="17">
    <w:abstractNumId w:val="19"/>
  </w:num>
  <w:num w:numId="18">
    <w:abstractNumId w:val="20"/>
  </w:num>
  <w:num w:numId="19">
    <w:abstractNumId w:val="5"/>
  </w:num>
  <w:num w:numId="20">
    <w:abstractNumId w:val="6"/>
  </w:num>
  <w:num w:numId="21">
    <w:abstractNumId w:val="10"/>
  </w:num>
  <w:num w:numId="22">
    <w:abstractNumId w:val="8"/>
  </w:num>
  <w:num w:numId="23">
    <w:abstractNumId w:val="12"/>
  </w:num>
  <w:num w:numId="24">
    <w:abstractNumId w:val="0"/>
  </w:num>
  <w:num w:numId="25">
    <w:abstractNumId w:val="2"/>
  </w:num>
  <w:num w:numId="26">
    <w:abstractNumId w:val="34"/>
  </w:num>
  <w:num w:numId="27">
    <w:abstractNumId w:val="28"/>
  </w:num>
  <w:num w:numId="28">
    <w:abstractNumId w:val="21"/>
  </w:num>
  <w:num w:numId="29">
    <w:abstractNumId w:val="22"/>
  </w:num>
  <w:num w:numId="30">
    <w:abstractNumId w:val="15"/>
  </w:num>
  <w:num w:numId="31">
    <w:abstractNumId w:val="7"/>
  </w:num>
  <w:num w:numId="32">
    <w:abstractNumId w:val="4"/>
  </w:num>
  <w:num w:numId="33">
    <w:abstractNumId w:val="31"/>
  </w:num>
  <w:num w:numId="34">
    <w:abstractNumId w:val="24"/>
  </w:num>
  <w:num w:numId="35">
    <w:abstractNumId w:val="11"/>
  </w:num>
  <w:num w:numId="36">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va Vujovic">
    <w15:presenceInfo w15:providerId="AD" w15:userId="S-1-5-21-3530176030-4113171763-13993460-178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6C4ADB"/>
    <w:rsid w:val="00002DDD"/>
    <w:rsid w:val="0001089B"/>
    <w:rsid w:val="00011BAA"/>
    <w:rsid w:val="0002458F"/>
    <w:rsid w:val="00027A9C"/>
    <w:rsid w:val="000327E4"/>
    <w:rsid w:val="00041E77"/>
    <w:rsid w:val="0006256C"/>
    <w:rsid w:val="0006624D"/>
    <w:rsid w:val="00075E73"/>
    <w:rsid w:val="00076647"/>
    <w:rsid w:val="000816D8"/>
    <w:rsid w:val="00082621"/>
    <w:rsid w:val="00084E8B"/>
    <w:rsid w:val="0009058B"/>
    <w:rsid w:val="0009460A"/>
    <w:rsid w:val="000965F2"/>
    <w:rsid w:val="000977F7"/>
    <w:rsid w:val="000A3CDF"/>
    <w:rsid w:val="000A4E69"/>
    <w:rsid w:val="000A6018"/>
    <w:rsid w:val="000B1BBF"/>
    <w:rsid w:val="000D6AA0"/>
    <w:rsid w:val="000D784A"/>
    <w:rsid w:val="000E0945"/>
    <w:rsid w:val="000F597F"/>
    <w:rsid w:val="000F7D18"/>
    <w:rsid w:val="001069EB"/>
    <w:rsid w:val="0011184C"/>
    <w:rsid w:val="00116113"/>
    <w:rsid w:val="00124F3D"/>
    <w:rsid w:val="00132DCF"/>
    <w:rsid w:val="00137B8A"/>
    <w:rsid w:val="00141C92"/>
    <w:rsid w:val="00156BD1"/>
    <w:rsid w:val="00157CDA"/>
    <w:rsid w:val="00162FD4"/>
    <w:rsid w:val="0016437A"/>
    <w:rsid w:val="001652DA"/>
    <w:rsid w:val="00170F02"/>
    <w:rsid w:val="00174D36"/>
    <w:rsid w:val="00186E02"/>
    <w:rsid w:val="0019081E"/>
    <w:rsid w:val="00191894"/>
    <w:rsid w:val="00191A0C"/>
    <w:rsid w:val="001A19B4"/>
    <w:rsid w:val="001A28E7"/>
    <w:rsid w:val="001B5E00"/>
    <w:rsid w:val="001B6B1F"/>
    <w:rsid w:val="001C1691"/>
    <w:rsid w:val="001C5E2D"/>
    <w:rsid w:val="001D098F"/>
    <w:rsid w:val="001D3DE7"/>
    <w:rsid w:val="001D6A7F"/>
    <w:rsid w:val="001D7BA0"/>
    <w:rsid w:val="001E3D20"/>
    <w:rsid w:val="001E5ACD"/>
    <w:rsid w:val="00200D6C"/>
    <w:rsid w:val="0021442C"/>
    <w:rsid w:val="0022116B"/>
    <w:rsid w:val="00222B90"/>
    <w:rsid w:val="00223D4B"/>
    <w:rsid w:val="00236249"/>
    <w:rsid w:val="0024336D"/>
    <w:rsid w:val="0025141A"/>
    <w:rsid w:val="00254688"/>
    <w:rsid w:val="002634AA"/>
    <w:rsid w:val="0026708F"/>
    <w:rsid w:val="002741E1"/>
    <w:rsid w:val="00280DCA"/>
    <w:rsid w:val="002837D1"/>
    <w:rsid w:val="0029152B"/>
    <w:rsid w:val="002932CA"/>
    <w:rsid w:val="002A376D"/>
    <w:rsid w:val="002A7194"/>
    <w:rsid w:val="002A719A"/>
    <w:rsid w:val="002C4D1B"/>
    <w:rsid w:val="002C6FBE"/>
    <w:rsid w:val="002D666C"/>
    <w:rsid w:val="002E4E02"/>
    <w:rsid w:val="002F1C8D"/>
    <w:rsid w:val="002F732E"/>
    <w:rsid w:val="003003C8"/>
    <w:rsid w:val="00300F0E"/>
    <w:rsid w:val="0030177E"/>
    <w:rsid w:val="00305CAF"/>
    <w:rsid w:val="00313148"/>
    <w:rsid w:val="00326A36"/>
    <w:rsid w:val="00326D54"/>
    <w:rsid w:val="00335F27"/>
    <w:rsid w:val="00342752"/>
    <w:rsid w:val="003460D9"/>
    <w:rsid w:val="0034641A"/>
    <w:rsid w:val="003516E3"/>
    <w:rsid w:val="0035307A"/>
    <w:rsid w:val="00357E58"/>
    <w:rsid w:val="00371D91"/>
    <w:rsid w:val="00372BEE"/>
    <w:rsid w:val="003805EE"/>
    <w:rsid w:val="0038218E"/>
    <w:rsid w:val="00382D7B"/>
    <w:rsid w:val="00384BC9"/>
    <w:rsid w:val="00395904"/>
    <w:rsid w:val="00396A22"/>
    <w:rsid w:val="00396F3D"/>
    <w:rsid w:val="003A67C9"/>
    <w:rsid w:val="003B07AD"/>
    <w:rsid w:val="003B2C3E"/>
    <w:rsid w:val="003B7487"/>
    <w:rsid w:val="003C1A9C"/>
    <w:rsid w:val="003D4561"/>
    <w:rsid w:val="003D5A87"/>
    <w:rsid w:val="003D6961"/>
    <w:rsid w:val="003E486C"/>
    <w:rsid w:val="003E67E0"/>
    <w:rsid w:val="003F0F3F"/>
    <w:rsid w:val="003F1627"/>
    <w:rsid w:val="003F30C3"/>
    <w:rsid w:val="00402E34"/>
    <w:rsid w:val="004071F3"/>
    <w:rsid w:val="004117C1"/>
    <w:rsid w:val="00413DDA"/>
    <w:rsid w:val="00422DF5"/>
    <w:rsid w:val="00425E19"/>
    <w:rsid w:val="00427280"/>
    <w:rsid w:val="0044258B"/>
    <w:rsid w:val="00444CD6"/>
    <w:rsid w:val="00446F7C"/>
    <w:rsid w:val="00455C4A"/>
    <w:rsid w:val="0046724C"/>
    <w:rsid w:val="004676EE"/>
    <w:rsid w:val="00471584"/>
    <w:rsid w:val="00477DCF"/>
    <w:rsid w:val="00485681"/>
    <w:rsid w:val="004857EA"/>
    <w:rsid w:val="00494829"/>
    <w:rsid w:val="00494C39"/>
    <w:rsid w:val="004B6E4D"/>
    <w:rsid w:val="004C2BFE"/>
    <w:rsid w:val="004C50DC"/>
    <w:rsid w:val="004D48DA"/>
    <w:rsid w:val="004D6D79"/>
    <w:rsid w:val="004E6D48"/>
    <w:rsid w:val="004F2C29"/>
    <w:rsid w:val="005042A1"/>
    <w:rsid w:val="00506B70"/>
    <w:rsid w:val="00510F65"/>
    <w:rsid w:val="00515880"/>
    <w:rsid w:val="00515ACB"/>
    <w:rsid w:val="005259BA"/>
    <w:rsid w:val="00535720"/>
    <w:rsid w:val="005441F0"/>
    <w:rsid w:val="005518B7"/>
    <w:rsid w:val="0056320B"/>
    <w:rsid w:val="0057682E"/>
    <w:rsid w:val="00576A2F"/>
    <w:rsid w:val="005850E8"/>
    <w:rsid w:val="00595DB1"/>
    <w:rsid w:val="005969F4"/>
    <w:rsid w:val="005A34EC"/>
    <w:rsid w:val="005A4B6A"/>
    <w:rsid w:val="005A6495"/>
    <w:rsid w:val="005B0D71"/>
    <w:rsid w:val="005B2865"/>
    <w:rsid w:val="005D271B"/>
    <w:rsid w:val="005D3382"/>
    <w:rsid w:val="005E5560"/>
    <w:rsid w:val="005E6223"/>
    <w:rsid w:val="005F6A49"/>
    <w:rsid w:val="0060490C"/>
    <w:rsid w:val="00604914"/>
    <w:rsid w:val="00604C83"/>
    <w:rsid w:val="006071A5"/>
    <w:rsid w:val="00612763"/>
    <w:rsid w:val="00612AA3"/>
    <w:rsid w:val="00622811"/>
    <w:rsid w:val="00623956"/>
    <w:rsid w:val="00646F06"/>
    <w:rsid w:val="006546C7"/>
    <w:rsid w:val="00662122"/>
    <w:rsid w:val="0067626B"/>
    <w:rsid w:val="0067742E"/>
    <w:rsid w:val="00680710"/>
    <w:rsid w:val="00682605"/>
    <w:rsid w:val="0068378B"/>
    <w:rsid w:val="00691899"/>
    <w:rsid w:val="00692D7F"/>
    <w:rsid w:val="006A307F"/>
    <w:rsid w:val="006A5B12"/>
    <w:rsid w:val="006A6FD3"/>
    <w:rsid w:val="006B51B9"/>
    <w:rsid w:val="006B6892"/>
    <w:rsid w:val="006C46E7"/>
    <w:rsid w:val="006C4ADB"/>
    <w:rsid w:val="006D1284"/>
    <w:rsid w:val="006E3ACA"/>
    <w:rsid w:val="006F5128"/>
    <w:rsid w:val="00705020"/>
    <w:rsid w:val="00707725"/>
    <w:rsid w:val="007119FE"/>
    <w:rsid w:val="007207E6"/>
    <w:rsid w:val="007302D5"/>
    <w:rsid w:val="00734D22"/>
    <w:rsid w:val="00741A94"/>
    <w:rsid w:val="007446B8"/>
    <w:rsid w:val="00746FA6"/>
    <w:rsid w:val="00752363"/>
    <w:rsid w:val="00752BCA"/>
    <w:rsid w:val="0075571C"/>
    <w:rsid w:val="00757488"/>
    <w:rsid w:val="00757EC8"/>
    <w:rsid w:val="007653F7"/>
    <w:rsid w:val="0077233B"/>
    <w:rsid w:val="00782DA4"/>
    <w:rsid w:val="0078750A"/>
    <w:rsid w:val="00796636"/>
    <w:rsid w:val="007B3868"/>
    <w:rsid w:val="007B59EC"/>
    <w:rsid w:val="007C1846"/>
    <w:rsid w:val="007C1C5B"/>
    <w:rsid w:val="007D48CF"/>
    <w:rsid w:val="007F4C90"/>
    <w:rsid w:val="008013DF"/>
    <w:rsid w:val="008047F8"/>
    <w:rsid w:val="008204FB"/>
    <w:rsid w:val="00823F1C"/>
    <w:rsid w:val="00826FB2"/>
    <w:rsid w:val="008302AB"/>
    <w:rsid w:val="00840957"/>
    <w:rsid w:val="00860139"/>
    <w:rsid w:val="00863ED5"/>
    <w:rsid w:val="00870277"/>
    <w:rsid w:val="00873F77"/>
    <w:rsid w:val="008743B6"/>
    <w:rsid w:val="00882DD9"/>
    <w:rsid w:val="00890644"/>
    <w:rsid w:val="008A01EB"/>
    <w:rsid w:val="008A0F78"/>
    <w:rsid w:val="008A2037"/>
    <w:rsid w:val="008A5383"/>
    <w:rsid w:val="008B55E7"/>
    <w:rsid w:val="008C5ABC"/>
    <w:rsid w:val="008D52E5"/>
    <w:rsid w:val="008E650B"/>
    <w:rsid w:val="008F4B87"/>
    <w:rsid w:val="00902D34"/>
    <w:rsid w:val="0091189B"/>
    <w:rsid w:val="00913CC9"/>
    <w:rsid w:val="00921042"/>
    <w:rsid w:val="009312F7"/>
    <w:rsid w:val="00936935"/>
    <w:rsid w:val="00936C9C"/>
    <w:rsid w:val="009400A4"/>
    <w:rsid w:val="00952CC7"/>
    <w:rsid w:val="00956FAA"/>
    <w:rsid w:val="009600B7"/>
    <w:rsid w:val="00960938"/>
    <w:rsid w:val="009679CF"/>
    <w:rsid w:val="00977A4C"/>
    <w:rsid w:val="00981A0D"/>
    <w:rsid w:val="00981DC8"/>
    <w:rsid w:val="009835D2"/>
    <w:rsid w:val="00984B4A"/>
    <w:rsid w:val="0098701C"/>
    <w:rsid w:val="009912D7"/>
    <w:rsid w:val="009A2C4A"/>
    <w:rsid w:val="009A3AF8"/>
    <w:rsid w:val="009B671E"/>
    <w:rsid w:val="009C2CC3"/>
    <w:rsid w:val="009C72C9"/>
    <w:rsid w:val="009E55C7"/>
    <w:rsid w:val="009F1546"/>
    <w:rsid w:val="009F39C5"/>
    <w:rsid w:val="009F6C61"/>
    <w:rsid w:val="009F7621"/>
    <w:rsid w:val="009F79E0"/>
    <w:rsid w:val="00A12875"/>
    <w:rsid w:val="00A14632"/>
    <w:rsid w:val="00A25350"/>
    <w:rsid w:val="00A2544A"/>
    <w:rsid w:val="00A267A0"/>
    <w:rsid w:val="00A279CB"/>
    <w:rsid w:val="00A301AE"/>
    <w:rsid w:val="00A33B37"/>
    <w:rsid w:val="00A34C96"/>
    <w:rsid w:val="00A363E3"/>
    <w:rsid w:val="00A7585A"/>
    <w:rsid w:val="00A8725B"/>
    <w:rsid w:val="00A9017B"/>
    <w:rsid w:val="00AB411C"/>
    <w:rsid w:val="00AC28D2"/>
    <w:rsid w:val="00AC4DD7"/>
    <w:rsid w:val="00AD16B8"/>
    <w:rsid w:val="00AD715F"/>
    <w:rsid w:val="00AE18CE"/>
    <w:rsid w:val="00AE1BAD"/>
    <w:rsid w:val="00AE72BD"/>
    <w:rsid w:val="00AF39A3"/>
    <w:rsid w:val="00AF5586"/>
    <w:rsid w:val="00B00ABB"/>
    <w:rsid w:val="00B0517C"/>
    <w:rsid w:val="00B172FE"/>
    <w:rsid w:val="00B254C2"/>
    <w:rsid w:val="00B25A08"/>
    <w:rsid w:val="00B37082"/>
    <w:rsid w:val="00B43D36"/>
    <w:rsid w:val="00B527AF"/>
    <w:rsid w:val="00B56C4E"/>
    <w:rsid w:val="00B63958"/>
    <w:rsid w:val="00B664E0"/>
    <w:rsid w:val="00B67E83"/>
    <w:rsid w:val="00B800C5"/>
    <w:rsid w:val="00B8051B"/>
    <w:rsid w:val="00B974C9"/>
    <w:rsid w:val="00BA3144"/>
    <w:rsid w:val="00BA7971"/>
    <w:rsid w:val="00BC0B29"/>
    <w:rsid w:val="00BC0B46"/>
    <w:rsid w:val="00BC225C"/>
    <w:rsid w:val="00BD4177"/>
    <w:rsid w:val="00BD4587"/>
    <w:rsid w:val="00BD57D2"/>
    <w:rsid w:val="00BE0E3D"/>
    <w:rsid w:val="00BE0F68"/>
    <w:rsid w:val="00BE0FC4"/>
    <w:rsid w:val="00BE5DF6"/>
    <w:rsid w:val="00BE7942"/>
    <w:rsid w:val="00BF01A7"/>
    <w:rsid w:val="00BF2732"/>
    <w:rsid w:val="00C045FE"/>
    <w:rsid w:val="00C11A02"/>
    <w:rsid w:val="00C213BB"/>
    <w:rsid w:val="00C328B0"/>
    <w:rsid w:val="00C32C23"/>
    <w:rsid w:val="00C356A0"/>
    <w:rsid w:val="00C51478"/>
    <w:rsid w:val="00C57C07"/>
    <w:rsid w:val="00C61B22"/>
    <w:rsid w:val="00C627AA"/>
    <w:rsid w:val="00C62AFC"/>
    <w:rsid w:val="00C7443F"/>
    <w:rsid w:val="00C86C3E"/>
    <w:rsid w:val="00C9569D"/>
    <w:rsid w:val="00CA5668"/>
    <w:rsid w:val="00CD2D9C"/>
    <w:rsid w:val="00CE3DB6"/>
    <w:rsid w:val="00CE47A3"/>
    <w:rsid w:val="00D05031"/>
    <w:rsid w:val="00D056A9"/>
    <w:rsid w:val="00D109F3"/>
    <w:rsid w:val="00D132A1"/>
    <w:rsid w:val="00D17A87"/>
    <w:rsid w:val="00D17C8A"/>
    <w:rsid w:val="00D2185F"/>
    <w:rsid w:val="00D23124"/>
    <w:rsid w:val="00D240D1"/>
    <w:rsid w:val="00D308A8"/>
    <w:rsid w:val="00D34B33"/>
    <w:rsid w:val="00D43170"/>
    <w:rsid w:val="00D455B9"/>
    <w:rsid w:val="00D467A6"/>
    <w:rsid w:val="00D46C3D"/>
    <w:rsid w:val="00D50EE6"/>
    <w:rsid w:val="00D52FBA"/>
    <w:rsid w:val="00D56B64"/>
    <w:rsid w:val="00D61609"/>
    <w:rsid w:val="00D630E6"/>
    <w:rsid w:val="00D70815"/>
    <w:rsid w:val="00D8589F"/>
    <w:rsid w:val="00D93FD6"/>
    <w:rsid w:val="00D95172"/>
    <w:rsid w:val="00D96E01"/>
    <w:rsid w:val="00D97A31"/>
    <w:rsid w:val="00DA3439"/>
    <w:rsid w:val="00DA7730"/>
    <w:rsid w:val="00DC1A9D"/>
    <w:rsid w:val="00DD440E"/>
    <w:rsid w:val="00DE1843"/>
    <w:rsid w:val="00DE1ECB"/>
    <w:rsid w:val="00DE2F4B"/>
    <w:rsid w:val="00DE482A"/>
    <w:rsid w:val="00DE68F0"/>
    <w:rsid w:val="00DF2878"/>
    <w:rsid w:val="00DF7822"/>
    <w:rsid w:val="00E1102B"/>
    <w:rsid w:val="00E16663"/>
    <w:rsid w:val="00E32B2A"/>
    <w:rsid w:val="00E40046"/>
    <w:rsid w:val="00E41CFF"/>
    <w:rsid w:val="00E50E00"/>
    <w:rsid w:val="00E51C21"/>
    <w:rsid w:val="00E574B9"/>
    <w:rsid w:val="00E60F0E"/>
    <w:rsid w:val="00E64C73"/>
    <w:rsid w:val="00E7250A"/>
    <w:rsid w:val="00E85F03"/>
    <w:rsid w:val="00E86AD1"/>
    <w:rsid w:val="00E916B8"/>
    <w:rsid w:val="00E9782D"/>
    <w:rsid w:val="00EA297A"/>
    <w:rsid w:val="00EA2DE1"/>
    <w:rsid w:val="00EB76E0"/>
    <w:rsid w:val="00EC352C"/>
    <w:rsid w:val="00EC5DDD"/>
    <w:rsid w:val="00EC6D96"/>
    <w:rsid w:val="00ED3D56"/>
    <w:rsid w:val="00EE3D26"/>
    <w:rsid w:val="00EE63D7"/>
    <w:rsid w:val="00F2485F"/>
    <w:rsid w:val="00F33AA6"/>
    <w:rsid w:val="00F50624"/>
    <w:rsid w:val="00F51C31"/>
    <w:rsid w:val="00F566C3"/>
    <w:rsid w:val="00F56777"/>
    <w:rsid w:val="00F65BC6"/>
    <w:rsid w:val="00F738C3"/>
    <w:rsid w:val="00F75709"/>
    <w:rsid w:val="00F769B3"/>
    <w:rsid w:val="00F864A1"/>
    <w:rsid w:val="00F87180"/>
    <w:rsid w:val="00F9252A"/>
    <w:rsid w:val="00F93B0D"/>
    <w:rsid w:val="00F95785"/>
    <w:rsid w:val="00FA1066"/>
    <w:rsid w:val="00FA1501"/>
    <w:rsid w:val="00FB1C34"/>
    <w:rsid w:val="00FB660E"/>
    <w:rsid w:val="00FB7A11"/>
    <w:rsid w:val="00FB7F89"/>
    <w:rsid w:val="00FC33E6"/>
    <w:rsid w:val="00FC41CF"/>
    <w:rsid w:val="00FD1C40"/>
    <w:rsid w:val="00FE12F9"/>
    <w:rsid w:val="00FE1A2D"/>
    <w:rsid w:val="00FF4A4D"/>
    <w:rsid w:val="00FF4AEB"/>
    <w:rsid w:val="00FF54A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AAAE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ADB"/>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9"/>
    <w:qFormat/>
    <w:rsid w:val="001A28E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6C4ADB"/>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unhideWhenUsed/>
    <w:rsid w:val="006C4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ADB"/>
    <w:rPr>
      <w:rFonts w:ascii="Tahoma" w:hAnsi="Tahoma" w:cs="Tahoma"/>
      <w:sz w:val="16"/>
      <w:szCs w:val="16"/>
    </w:rPr>
  </w:style>
  <w:style w:type="paragraph" w:customStyle="1" w:styleId="SubTitle1">
    <w:name w:val="SubTitle 1"/>
    <w:basedOn w:val="Normal"/>
    <w:next w:val="Normal"/>
    <w:rsid w:val="006C4ADB"/>
    <w:pPr>
      <w:spacing w:after="240" w:line="240" w:lineRule="auto"/>
      <w:jc w:val="center"/>
    </w:pPr>
    <w:rPr>
      <w:rFonts w:ascii="Times New Roman" w:hAnsi="Times New Roman"/>
      <w:b/>
      <w:snapToGrid w:val="0"/>
      <w:sz w:val="40"/>
      <w:szCs w:val="20"/>
      <w:lang w:val="en-GB"/>
    </w:rPr>
  </w:style>
  <w:style w:type="character" w:styleId="Hyperlink">
    <w:name w:val="Hyperlink"/>
    <w:basedOn w:val="DefaultParagraphFont"/>
    <w:uiPriority w:val="99"/>
    <w:unhideWhenUsed/>
    <w:rsid w:val="006C4ADB"/>
    <w:rPr>
      <w:color w:val="0000FF"/>
      <w:u w:val="single"/>
    </w:rPr>
  </w:style>
  <w:style w:type="table" w:styleId="TableGrid">
    <w:name w:val="Table Grid"/>
    <w:basedOn w:val="TableNormal"/>
    <w:uiPriority w:val="59"/>
    <w:rsid w:val="006C4A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974C9"/>
    <w:pPr>
      <w:ind w:left="720"/>
      <w:contextualSpacing/>
    </w:pPr>
  </w:style>
  <w:style w:type="paragraph" w:customStyle="1" w:styleId="Pa13">
    <w:name w:val="Pa13"/>
    <w:basedOn w:val="Default"/>
    <w:next w:val="Default"/>
    <w:uiPriority w:val="99"/>
    <w:rsid w:val="00C61B22"/>
    <w:pPr>
      <w:spacing w:line="211" w:lineRule="atLeast"/>
    </w:pPr>
    <w:rPr>
      <w:rFonts w:ascii="Adobe Caslon Pro" w:hAnsi="Adobe Caslon Pro"/>
      <w:color w:val="auto"/>
    </w:rPr>
  </w:style>
  <w:style w:type="character" w:customStyle="1" w:styleId="A0">
    <w:name w:val="A0"/>
    <w:uiPriority w:val="99"/>
    <w:rsid w:val="00C61B22"/>
    <w:rPr>
      <w:rFonts w:cs="Adobe Caslon Pro"/>
      <w:color w:val="000000"/>
    </w:rPr>
  </w:style>
  <w:style w:type="character" w:styleId="CommentReference">
    <w:name w:val="annotation reference"/>
    <w:basedOn w:val="DefaultParagraphFont"/>
    <w:unhideWhenUsed/>
    <w:rsid w:val="00DD440E"/>
    <w:rPr>
      <w:sz w:val="16"/>
      <w:szCs w:val="16"/>
    </w:rPr>
  </w:style>
  <w:style w:type="paragraph" w:styleId="CommentText">
    <w:name w:val="annotation text"/>
    <w:basedOn w:val="Normal"/>
    <w:link w:val="CommentTextChar"/>
    <w:unhideWhenUsed/>
    <w:rsid w:val="00DD440E"/>
    <w:pPr>
      <w:spacing w:line="240" w:lineRule="auto"/>
    </w:pPr>
    <w:rPr>
      <w:sz w:val="20"/>
      <w:szCs w:val="20"/>
    </w:rPr>
  </w:style>
  <w:style w:type="character" w:customStyle="1" w:styleId="CommentTextChar">
    <w:name w:val="Comment Text Char"/>
    <w:basedOn w:val="DefaultParagraphFont"/>
    <w:link w:val="CommentText"/>
    <w:rsid w:val="00DD440E"/>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D440E"/>
    <w:rPr>
      <w:b/>
      <w:bCs/>
    </w:rPr>
  </w:style>
  <w:style w:type="character" w:customStyle="1" w:styleId="CommentSubjectChar">
    <w:name w:val="Comment Subject Char"/>
    <w:basedOn w:val="CommentTextChar"/>
    <w:link w:val="CommentSubject"/>
    <w:uiPriority w:val="99"/>
    <w:semiHidden/>
    <w:rsid w:val="00DD440E"/>
    <w:rPr>
      <w:rFonts w:ascii="Calibri" w:eastAsia="Times New Roman" w:hAnsi="Calibri" w:cs="Times New Roman"/>
      <w:b/>
      <w:bCs/>
      <w:sz w:val="20"/>
      <w:szCs w:val="20"/>
      <w:lang w:val="en-US"/>
    </w:rPr>
  </w:style>
  <w:style w:type="paragraph" w:customStyle="1" w:styleId="Guidelines1">
    <w:name w:val="Guidelines 1"/>
    <w:basedOn w:val="Normal"/>
    <w:autoRedefine/>
    <w:qFormat/>
    <w:rsid w:val="00DD440E"/>
    <w:pPr>
      <w:widowControl w:val="0"/>
      <w:numPr>
        <w:numId w:val="3"/>
      </w:numPr>
      <w:spacing w:after="360" w:line="240" w:lineRule="auto"/>
      <w:jc w:val="both"/>
    </w:pPr>
    <w:rPr>
      <w:rFonts w:ascii="Times New Roman Bold" w:hAnsi="Times New Roman Bold"/>
      <w:b/>
      <w:caps/>
      <w:snapToGrid w:val="0"/>
      <w:szCs w:val="20"/>
      <w:lang w:val="en-GB"/>
    </w:rPr>
  </w:style>
  <w:style w:type="paragraph" w:customStyle="1" w:styleId="Guidelines2">
    <w:name w:val="Guidelines 2"/>
    <w:basedOn w:val="Normal"/>
    <w:next w:val="Normal"/>
    <w:autoRedefine/>
    <w:qFormat/>
    <w:rsid w:val="00DD440E"/>
    <w:pPr>
      <w:numPr>
        <w:ilvl w:val="1"/>
        <w:numId w:val="3"/>
      </w:numPr>
      <w:spacing w:before="240" w:after="120" w:line="240" w:lineRule="auto"/>
      <w:jc w:val="both"/>
      <w:outlineLvl w:val="0"/>
    </w:pPr>
    <w:rPr>
      <w:rFonts w:ascii="Times New Roman Bold" w:hAnsi="Times New Roman Bold"/>
      <w:b/>
      <w:smallCaps/>
      <w:snapToGrid w:val="0"/>
      <w:sz w:val="24"/>
      <w:szCs w:val="20"/>
      <w:lang w:val="en-GB"/>
    </w:rPr>
  </w:style>
  <w:style w:type="paragraph" w:customStyle="1" w:styleId="Guidelines3">
    <w:name w:val="Guidelines 3"/>
    <w:basedOn w:val="Normal"/>
    <w:next w:val="Normal"/>
    <w:autoRedefine/>
    <w:qFormat/>
    <w:rsid w:val="00DD440E"/>
    <w:pPr>
      <w:keepNext/>
      <w:numPr>
        <w:ilvl w:val="2"/>
        <w:numId w:val="3"/>
      </w:numPr>
      <w:pBdr>
        <w:top w:val="single" w:sz="4" w:space="1" w:color="auto"/>
        <w:left w:val="single" w:sz="4" w:space="4" w:color="auto"/>
        <w:bottom w:val="single" w:sz="4" w:space="1" w:color="auto"/>
        <w:right w:val="single" w:sz="4" w:space="4" w:color="auto"/>
      </w:pBdr>
      <w:tabs>
        <w:tab w:val="left" w:pos="900"/>
      </w:tabs>
      <w:spacing w:before="120" w:after="0" w:line="240" w:lineRule="auto"/>
    </w:pPr>
    <w:rPr>
      <w:rFonts w:ascii="Times New Roman" w:hAnsi="Times New Roman"/>
      <w:b/>
      <w:i/>
      <w:snapToGrid w:val="0"/>
      <w:sz w:val="24"/>
      <w:szCs w:val="20"/>
      <w:lang w:val="en-GB"/>
    </w:rPr>
  </w:style>
  <w:style w:type="paragraph" w:styleId="FootnoteText">
    <w:name w:val="footnote text"/>
    <w:aliases w:val="Footnote Text Char1,Footnote Text Char Char,- OP,Fußnote,Podrozdział,Fußnotentextf,single space,footnote text,FOOTNOTES,fn,stile 1,Footnote,Footnote1,Footnote2,Footnote3,Footnote4,Footnote5,Footnote6,Footnote7,Footnot"/>
    <w:basedOn w:val="Normal"/>
    <w:link w:val="FootnoteTextChar"/>
    <w:qFormat/>
    <w:rsid w:val="0078750A"/>
    <w:pPr>
      <w:spacing w:before="120" w:after="0" w:line="240" w:lineRule="auto"/>
      <w:ind w:left="284" w:hanging="284"/>
      <w:jc w:val="both"/>
    </w:pPr>
    <w:rPr>
      <w:rFonts w:ascii="Times New Roman" w:hAnsi="Times New Roman"/>
      <w:snapToGrid w:val="0"/>
      <w:sz w:val="20"/>
      <w:szCs w:val="20"/>
    </w:rPr>
  </w:style>
  <w:style w:type="character" w:customStyle="1" w:styleId="FootnoteTextChar">
    <w:name w:val="Footnote Text Char"/>
    <w:aliases w:val="Footnote Text Char1 Char,Footnote Text Char Char Char,- OP Char,Fußnote Char,Podrozdział Char,Fußnotentextf Char,single space Char,footnote text Char,FOOTNOTES Char,fn Char,stile 1 Char,Footnote Char,Footnote1 Char,Footnote2 Char"/>
    <w:basedOn w:val="DefaultParagraphFont"/>
    <w:link w:val="FootnoteText"/>
    <w:rsid w:val="0078750A"/>
    <w:rPr>
      <w:rFonts w:ascii="Times New Roman" w:eastAsia="Times New Roman" w:hAnsi="Times New Roman" w:cs="Times New Roman"/>
      <w:snapToGrid w:val="0"/>
      <w:sz w:val="20"/>
      <w:szCs w:val="20"/>
    </w:rPr>
  </w:style>
  <w:style w:type="character" w:styleId="FootnoteReference">
    <w:name w:val="footnote reference"/>
    <w:aliases w:val=" BVI fnr Char Char1 Char Char Char Char Char Char Char Char Char Char Char Char Char Char Char Char Char Char Char Char Char Char Char,BVI fnr,ftref"/>
    <w:link w:val="Char2"/>
    <w:qFormat/>
    <w:rsid w:val="0078750A"/>
    <w:rPr>
      <w:sz w:val="24"/>
      <w:vertAlign w:val="superscript"/>
    </w:rPr>
  </w:style>
  <w:style w:type="paragraph" w:customStyle="1" w:styleId="Char2">
    <w:name w:val="Char2"/>
    <w:basedOn w:val="Normal"/>
    <w:link w:val="FootnoteReference"/>
    <w:rsid w:val="0078750A"/>
    <w:pPr>
      <w:spacing w:before="120" w:after="160" w:line="240" w:lineRule="exact"/>
    </w:pPr>
    <w:rPr>
      <w:rFonts w:eastAsia="Calibri"/>
      <w:sz w:val="24"/>
      <w:szCs w:val="20"/>
      <w:vertAlign w:val="superscript"/>
    </w:rPr>
  </w:style>
  <w:style w:type="character" w:customStyle="1" w:styleId="DefaultChar">
    <w:name w:val="Default Char"/>
    <w:basedOn w:val="DefaultParagraphFont"/>
    <w:link w:val="Default"/>
    <w:rsid w:val="0078750A"/>
    <w:rPr>
      <w:rFonts w:ascii="Times New Roman" w:hAnsi="Times New Roman"/>
      <w:color w:val="000000"/>
      <w:sz w:val="24"/>
      <w:szCs w:val="24"/>
      <w:lang w:val="en-GB" w:eastAsia="en-US" w:bidi="ar-SA"/>
    </w:rPr>
  </w:style>
  <w:style w:type="paragraph" w:styleId="TOC2">
    <w:name w:val="toc 2"/>
    <w:basedOn w:val="Normal"/>
    <w:next w:val="Normal"/>
    <w:autoRedefine/>
    <w:uiPriority w:val="39"/>
    <w:rsid w:val="000D6AA0"/>
    <w:pPr>
      <w:tabs>
        <w:tab w:val="left" w:pos="360"/>
        <w:tab w:val="right" w:leader="dot" w:pos="9345"/>
      </w:tabs>
      <w:spacing w:before="240" w:after="0" w:line="240" w:lineRule="auto"/>
    </w:pPr>
    <w:rPr>
      <w:rFonts w:ascii="Times New Roman" w:hAnsi="Times New Roman"/>
      <w:b/>
      <w:bCs/>
      <w:sz w:val="24"/>
      <w:szCs w:val="20"/>
      <w:lang w:val="en-GB" w:eastAsia="en-GB"/>
    </w:rPr>
  </w:style>
  <w:style w:type="paragraph" w:styleId="TOC3">
    <w:name w:val="toc 3"/>
    <w:basedOn w:val="Normal"/>
    <w:next w:val="Normal"/>
    <w:autoRedefine/>
    <w:uiPriority w:val="39"/>
    <w:rsid w:val="000D6AA0"/>
    <w:pPr>
      <w:tabs>
        <w:tab w:val="left" w:pos="840"/>
        <w:tab w:val="right" w:leader="dot" w:pos="9345"/>
      </w:tabs>
      <w:spacing w:after="0" w:line="240" w:lineRule="auto"/>
      <w:ind w:left="840" w:hanging="480"/>
    </w:pPr>
    <w:rPr>
      <w:rFonts w:ascii="Times New Roman" w:hAnsi="Times New Roman"/>
      <w:szCs w:val="20"/>
      <w:lang w:val="en-GB" w:eastAsia="en-GB"/>
    </w:rPr>
  </w:style>
  <w:style w:type="paragraph" w:styleId="NormalWeb">
    <w:name w:val="Normal (Web)"/>
    <w:basedOn w:val="Normal"/>
    <w:uiPriority w:val="99"/>
    <w:unhideWhenUsed/>
    <w:rsid w:val="00011BAA"/>
    <w:pPr>
      <w:spacing w:before="100" w:beforeAutospacing="1" w:after="100" w:afterAutospacing="1" w:line="240" w:lineRule="auto"/>
    </w:pPr>
    <w:rPr>
      <w:rFonts w:ascii="Times New Roman" w:hAnsi="Times New Roman"/>
      <w:sz w:val="24"/>
      <w:szCs w:val="24"/>
      <w:lang w:val="en-GB" w:eastAsia="en-GB"/>
    </w:rPr>
  </w:style>
  <w:style w:type="paragraph" w:styleId="Revision">
    <w:name w:val="Revision"/>
    <w:hidden/>
    <w:uiPriority w:val="99"/>
    <w:semiHidden/>
    <w:rsid w:val="00076647"/>
    <w:rPr>
      <w:rFonts w:eastAsia="Times New Roman"/>
      <w:sz w:val="22"/>
      <w:szCs w:val="22"/>
      <w:lang w:val="en-US" w:eastAsia="en-US"/>
    </w:rPr>
  </w:style>
  <w:style w:type="paragraph" w:customStyle="1" w:styleId="StyleHeading1TimesNewRoman14ptItalic">
    <w:name w:val="Style Heading 1 + Times New Roman 14 pt Italic"/>
    <w:basedOn w:val="Heading1"/>
    <w:autoRedefine/>
    <w:rsid w:val="001A28E7"/>
    <w:pPr>
      <w:spacing w:before="120" w:after="120" w:line="240" w:lineRule="auto"/>
      <w:ind w:left="567" w:hanging="567"/>
      <w:jc w:val="both"/>
    </w:pPr>
    <w:rPr>
      <w:rFonts w:ascii="Times New Roman" w:hAnsi="Times New Roman"/>
      <w:b w:val="0"/>
      <w:iCs/>
      <w:snapToGrid w:val="0"/>
      <w:kern w:val="0"/>
      <w:sz w:val="24"/>
      <w:szCs w:val="24"/>
      <w:lang w:val="en-GB"/>
    </w:rPr>
  </w:style>
  <w:style w:type="character" w:customStyle="1" w:styleId="Heading1Char">
    <w:name w:val="Heading 1 Char"/>
    <w:basedOn w:val="DefaultParagraphFont"/>
    <w:link w:val="Heading1"/>
    <w:uiPriority w:val="9"/>
    <w:rsid w:val="001A28E7"/>
    <w:rPr>
      <w:rFonts w:ascii="Cambria" w:eastAsia="Times New Roman" w:hAnsi="Cambria" w:cs="Times New Roman"/>
      <w:b/>
      <w:bCs/>
      <w:kern w:val="32"/>
      <w:sz w:val="32"/>
      <w:szCs w:val="32"/>
    </w:rPr>
  </w:style>
  <w:style w:type="paragraph" w:customStyle="1" w:styleId="Blockquote">
    <w:name w:val="Blockquote"/>
    <w:basedOn w:val="Normal"/>
    <w:rsid w:val="004117C1"/>
    <w:pPr>
      <w:widowControl w:val="0"/>
      <w:spacing w:before="100" w:after="100" w:line="240" w:lineRule="auto"/>
      <w:ind w:left="360" w:right="360"/>
    </w:pPr>
    <w:rPr>
      <w:rFonts w:ascii="Times New Roman" w:hAnsi="Times New Roman"/>
      <w:snapToGrid w:val="0"/>
      <w:sz w:val="24"/>
      <w:szCs w:val="20"/>
    </w:rPr>
  </w:style>
  <w:style w:type="paragraph" w:styleId="Header">
    <w:name w:val="header"/>
    <w:basedOn w:val="Normal"/>
    <w:link w:val="HeaderChar"/>
    <w:uiPriority w:val="99"/>
    <w:unhideWhenUsed/>
    <w:rsid w:val="00425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E19"/>
    <w:rPr>
      <w:rFonts w:eastAsia="Times New Roman"/>
      <w:sz w:val="22"/>
      <w:szCs w:val="22"/>
      <w:lang w:val="en-US" w:eastAsia="en-US"/>
    </w:rPr>
  </w:style>
  <w:style w:type="paragraph" w:styleId="Footer">
    <w:name w:val="footer"/>
    <w:basedOn w:val="Normal"/>
    <w:link w:val="FooterChar"/>
    <w:unhideWhenUsed/>
    <w:rsid w:val="00425E19"/>
    <w:pPr>
      <w:tabs>
        <w:tab w:val="center" w:pos="4513"/>
        <w:tab w:val="right" w:pos="9026"/>
      </w:tabs>
      <w:spacing w:after="0" w:line="240" w:lineRule="auto"/>
    </w:pPr>
  </w:style>
  <w:style w:type="character" w:customStyle="1" w:styleId="FooterChar">
    <w:name w:val="Footer Char"/>
    <w:basedOn w:val="DefaultParagraphFont"/>
    <w:link w:val="Footer"/>
    <w:rsid w:val="00425E19"/>
    <w:rPr>
      <w:rFonts w:eastAsia="Times New Roman"/>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footer" w:uiPriority="0"/>
    <w:lsdException w:name="caption" w:uiPriority="35" w:qFormat="1"/>
    <w:lsdException w:name="footnote reference"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4ADB"/>
    <w:pPr>
      <w:spacing w:after="200" w:line="276" w:lineRule="auto"/>
    </w:pPr>
    <w:rPr>
      <w:rFonts w:eastAsia="Times New Roman"/>
      <w:sz w:val="22"/>
      <w:szCs w:val="22"/>
      <w:lang w:val="en-US" w:eastAsia="en-US"/>
    </w:rPr>
  </w:style>
  <w:style w:type="paragraph" w:styleId="Heading1">
    <w:name w:val="heading 1"/>
    <w:basedOn w:val="Normal"/>
    <w:next w:val="Normal"/>
    <w:link w:val="Heading1Char"/>
    <w:uiPriority w:val="9"/>
    <w:qFormat/>
    <w:rsid w:val="001A28E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6C4ADB"/>
    <w:pPr>
      <w:autoSpaceDE w:val="0"/>
      <w:autoSpaceDN w:val="0"/>
      <w:adjustRightInd w:val="0"/>
    </w:pPr>
    <w:rPr>
      <w:rFonts w:ascii="Times New Roman" w:hAnsi="Times New Roman"/>
      <w:color w:val="000000"/>
      <w:sz w:val="24"/>
      <w:szCs w:val="24"/>
      <w:lang w:eastAsia="en-US"/>
    </w:rPr>
  </w:style>
  <w:style w:type="paragraph" w:styleId="BalloonText">
    <w:name w:val="Balloon Text"/>
    <w:basedOn w:val="Normal"/>
    <w:link w:val="BalloonTextChar"/>
    <w:uiPriority w:val="99"/>
    <w:semiHidden/>
    <w:unhideWhenUsed/>
    <w:rsid w:val="006C4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ADB"/>
    <w:rPr>
      <w:rFonts w:ascii="Tahoma" w:hAnsi="Tahoma" w:cs="Tahoma"/>
      <w:sz w:val="16"/>
      <w:szCs w:val="16"/>
    </w:rPr>
  </w:style>
  <w:style w:type="paragraph" w:customStyle="1" w:styleId="SubTitle1">
    <w:name w:val="SubTitle 1"/>
    <w:basedOn w:val="Normal"/>
    <w:next w:val="Normal"/>
    <w:rsid w:val="006C4ADB"/>
    <w:pPr>
      <w:spacing w:after="240" w:line="240" w:lineRule="auto"/>
      <w:jc w:val="center"/>
    </w:pPr>
    <w:rPr>
      <w:rFonts w:ascii="Times New Roman" w:hAnsi="Times New Roman"/>
      <w:b/>
      <w:snapToGrid w:val="0"/>
      <w:sz w:val="40"/>
      <w:szCs w:val="20"/>
      <w:lang w:val="en-GB"/>
    </w:rPr>
  </w:style>
  <w:style w:type="character" w:styleId="Hyperlink">
    <w:name w:val="Hyperlink"/>
    <w:basedOn w:val="DefaultParagraphFont"/>
    <w:uiPriority w:val="99"/>
    <w:unhideWhenUsed/>
    <w:rsid w:val="006C4ADB"/>
    <w:rPr>
      <w:color w:val="0000FF"/>
      <w:u w:val="single"/>
    </w:rPr>
  </w:style>
  <w:style w:type="table" w:styleId="TableGrid">
    <w:name w:val="Table Grid"/>
    <w:basedOn w:val="TableNormal"/>
    <w:uiPriority w:val="59"/>
    <w:rsid w:val="006C4A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974C9"/>
    <w:pPr>
      <w:ind w:left="720"/>
      <w:contextualSpacing/>
    </w:pPr>
  </w:style>
  <w:style w:type="paragraph" w:customStyle="1" w:styleId="Pa13">
    <w:name w:val="Pa13"/>
    <w:basedOn w:val="Default"/>
    <w:next w:val="Default"/>
    <w:uiPriority w:val="99"/>
    <w:rsid w:val="00C61B22"/>
    <w:pPr>
      <w:spacing w:line="211" w:lineRule="atLeast"/>
    </w:pPr>
    <w:rPr>
      <w:rFonts w:ascii="Adobe Caslon Pro" w:hAnsi="Adobe Caslon Pro"/>
      <w:color w:val="auto"/>
    </w:rPr>
  </w:style>
  <w:style w:type="character" w:customStyle="1" w:styleId="A0">
    <w:name w:val="A0"/>
    <w:uiPriority w:val="99"/>
    <w:rsid w:val="00C61B22"/>
    <w:rPr>
      <w:rFonts w:cs="Adobe Caslon Pro"/>
      <w:color w:val="000000"/>
    </w:rPr>
  </w:style>
  <w:style w:type="character" w:styleId="CommentReference">
    <w:name w:val="annotation reference"/>
    <w:basedOn w:val="DefaultParagraphFont"/>
    <w:unhideWhenUsed/>
    <w:rsid w:val="00DD440E"/>
    <w:rPr>
      <w:sz w:val="16"/>
      <w:szCs w:val="16"/>
    </w:rPr>
  </w:style>
  <w:style w:type="paragraph" w:styleId="CommentText">
    <w:name w:val="annotation text"/>
    <w:basedOn w:val="Normal"/>
    <w:link w:val="CommentTextChar"/>
    <w:unhideWhenUsed/>
    <w:rsid w:val="00DD440E"/>
    <w:pPr>
      <w:spacing w:line="240" w:lineRule="auto"/>
    </w:pPr>
    <w:rPr>
      <w:sz w:val="20"/>
      <w:szCs w:val="20"/>
    </w:rPr>
  </w:style>
  <w:style w:type="character" w:customStyle="1" w:styleId="CommentTextChar">
    <w:name w:val="Comment Text Char"/>
    <w:basedOn w:val="DefaultParagraphFont"/>
    <w:link w:val="CommentText"/>
    <w:rsid w:val="00DD440E"/>
    <w:rPr>
      <w:rFonts w:ascii="Calibri" w:eastAsia="Times New Roman"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D440E"/>
    <w:rPr>
      <w:b/>
      <w:bCs/>
    </w:rPr>
  </w:style>
  <w:style w:type="character" w:customStyle="1" w:styleId="CommentSubjectChar">
    <w:name w:val="Comment Subject Char"/>
    <w:basedOn w:val="CommentTextChar"/>
    <w:link w:val="CommentSubject"/>
    <w:uiPriority w:val="99"/>
    <w:semiHidden/>
    <w:rsid w:val="00DD440E"/>
    <w:rPr>
      <w:rFonts w:ascii="Calibri" w:eastAsia="Times New Roman" w:hAnsi="Calibri" w:cs="Times New Roman"/>
      <w:b/>
      <w:bCs/>
      <w:sz w:val="20"/>
      <w:szCs w:val="20"/>
      <w:lang w:val="en-US"/>
    </w:rPr>
  </w:style>
  <w:style w:type="paragraph" w:customStyle="1" w:styleId="Guidelines1">
    <w:name w:val="Guidelines 1"/>
    <w:basedOn w:val="Normal"/>
    <w:autoRedefine/>
    <w:qFormat/>
    <w:rsid w:val="00DD440E"/>
    <w:pPr>
      <w:widowControl w:val="0"/>
      <w:numPr>
        <w:numId w:val="3"/>
      </w:numPr>
      <w:spacing w:after="360" w:line="240" w:lineRule="auto"/>
      <w:jc w:val="both"/>
    </w:pPr>
    <w:rPr>
      <w:rFonts w:ascii="Times New Roman Bold" w:hAnsi="Times New Roman Bold"/>
      <w:b/>
      <w:caps/>
      <w:snapToGrid w:val="0"/>
      <w:szCs w:val="20"/>
      <w:lang w:val="en-GB"/>
    </w:rPr>
  </w:style>
  <w:style w:type="paragraph" w:customStyle="1" w:styleId="Guidelines2">
    <w:name w:val="Guidelines 2"/>
    <w:basedOn w:val="Normal"/>
    <w:next w:val="Normal"/>
    <w:autoRedefine/>
    <w:qFormat/>
    <w:rsid w:val="00DD440E"/>
    <w:pPr>
      <w:numPr>
        <w:ilvl w:val="1"/>
        <w:numId w:val="3"/>
      </w:numPr>
      <w:spacing w:before="240" w:after="120" w:line="240" w:lineRule="auto"/>
      <w:jc w:val="both"/>
      <w:outlineLvl w:val="0"/>
    </w:pPr>
    <w:rPr>
      <w:rFonts w:ascii="Times New Roman Bold" w:hAnsi="Times New Roman Bold"/>
      <w:b/>
      <w:smallCaps/>
      <w:snapToGrid w:val="0"/>
      <w:sz w:val="24"/>
      <w:szCs w:val="20"/>
      <w:lang w:val="en-GB"/>
    </w:rPr>
  </w:style>
  <w:style w:type="paragraph" w:customStyle="1" w:styleId="Guidelines3">
    <w:name w:val="Guidelines 3"/>
    <w:basedOn w:val="Normal"/>
    <w:next w:val="Normal"/>
    <w:autoRedefine/>
    <w:qFormat/>
    <w:rsid w:val="00DD440E"/>
    <w:pPr>
      <w:keepNext/>
      <w:numPr>
        <w:ilvl w:val="2"/>
        <w:numId w:val="3"/>
      </w:numPr>
      <w:pBdr>
        <w:top w:val="single" w:sz="4" w:space="1" w:color="auto"/>
        <w:left w:val="single" w:sz="4" w:space="4" w:color="auto"/>
        <w:bottom w:val="single" w:sz="4" w:space="1" w:color="auto"/>
        <w:right w:val="single" w:sz="4" w:space="4" w:color="auto"/>
      </w:pBdr>
      <w:tabs>
        <w:tab w:val="left" w:pos="900"/>
      </w:tabs>
      <w:spacing w:before="120" w:after="0" w:line="240" w:lineRule="auto"/>
    </w:pPr>
    <w:rPr>
      <w:rFonts w:ascii="Times New Roman" w:hAnsi="Times New Roman"/>
      <w:b/>
      <w:i/>
      <w:snapToGrid w:val="0"/>
      <w:sz w:val="24"/>
      <w:szCs w:val="20"/>
      <w:lang w:val="en-GB"/>
    </w:rPr>
  </w:style>
  <w:style w:type="paragraph" w:styleId="FootnoteText">
    <w:name w:val="footnote text"/>
    <w:aliases w:val="Footnote Text Char1,Footnote Text Char Char,- OP,Fußnote,Podrozdział,Fußnotentextf,single space,footnote text,FOOTNOTES,fn,stile 1,Footnote,Footnote1,Footnote2,Footnote3,Footnote4,Footnote5,Footnote6,Footnote7,Footnot"/>
    <w:basedOn w:val="Normal"/>
    <w:link w:val="FootnoteTextChar"/>
    <w:qFormat/>
    <w:rsid w:val="0078750A"/>
    <w:pPr>
      <w:spacing w:before="120" w:after="0" w:line="240" w:lineRule="auto"/>
      <w:ind w:left="284" w:hanging="284"/>
      <w:jc w:val="both"/>
    </w:pPr>
    <w:rPr>
      <w:rFonts w:ascii="Times New Roman" w:hAnsi="Times New Roman"/>
      <w:snapToGrid w:val="0"/>
      <w:sz w:val="20"/>
      <w:szCs w:val="20"/>
    </w:rPr>
  </w:style>
  <w:style w:type="character" w:customStyle="1" w:styleId="FootnoteTextChar">
    <w:name w:val="Footnote Text Char"/>
    <w:aliases w:val="Footnote Text Char1 Char,Footnote Text Char Char Char,- OP Char,Fußnote Char,Podrozdział Char,Fußnotentextf Char,single space Char,footnote text Char,FOOTNOTES Char,fn Char,stile 1 Char,Footnote Char,Footnote1 Char,Footnote2 Char"/>
    <w:basedOn w:val="DefaultParagraphFont"/>
    <w:link w:val="FootnoteText"/>
    <w:rsid w:val="0078750A"/>
    <w:rPr>
      <w:rFonts w:ascii="Times New Roman" w:eastAsia="Times New Roman" w:hAnsi="Times New Roman" w:cs="Times New Roman"/>
      <w:snapToGrid w:val="0"/>
      <w:sz w:val="20"/>
      <w:szCs w:val="20"/>
    </w:rPr>
  </w:style>
  <w:style w:type="character" w:styleId="FootnoteReference">
    <w:name w:val="footnote reference"/>
    <w:aliases w:val=" BVI fnr Char Char1 Char Char Char Char Char Char Char Char Char Char Char Char Char Char Char Char Char Char Char Char Char Char Char,BVI fnr,ftref"/>
    <w:link w:val="Char2"/>
    <w:qFormat/>
    <w:rsid w:val="0078750A"/>
    <w:rPr>
      <w:sz w:val="24"/>
      <w:vertAlign w:val="superscript"/>
    </w:rPr>
  </w:style>
  <w:style w:type="paragraph" w:customStyle="1" w:styleId="Char2">
    <w:name w:val="Char2"/>
    <w:basedOn w:val="Normal"/>
    <w:link w:val="FootnoteReference"/>
    <w:rsid w:val="0078750A"/>
    <w:pPr>
      <w:spacing w:before="120" w:after="160" w:line="240" w:lineRule="exact"/>
    </w:pPr>
    <w:rPr>
      <w:rFonts w:eastAsia="Calibri"/>
      <w:sz w:val="24"/>
      <w:szCs w:val="20"/>
      <w:vertAlign w:val="superscript"/>
    </w:rPr>
  </w:style>
  <w:style w:type="character" w:customStyle="1" w:styleId="DefaultChar">
    <w:name w:val="Default Char"/>
    <w:basedOn w:val="DefaultParagraphFont"/>
    <w:link w:val="Default"/>
    <w:rsid w:val="0078750A"/>
    <w:rPr>
      <w:rFonts w:ascii="Times New Roman" w:hAnsi="Times New Roman"/>
      <w:color w:val="000000"/>
      <w:sz w:val="24"/>
      <w:szCs w:val="24"/>
      <w:lang w:val="en-GB" w:eastAsia="en-US" w:bidi="ar-SA"/>
    </w:rPr>
  </w:style>
  <w:style w:type="paragraph" w:styleId="TOC2">
    <w:name w:val="toc 2"/>
    <w:basedOn w:val="Normal"/>
    <w:next w:val="Normal"/>
    <w:autoRedefine/>
    <w:uiPriority w:val="39"/>
    <w:rsid w:val="000D6AA0"/>
    <w:pPr>
      <w:tabs>
        <w:tab w:val="left" w:pos="360"/>
        <w:tab w:val="right" w:leader="dot" w:pos="9345"/>
      </w:tabs>
      <w:spacing w:before="240" w:after="0" w:line="240" w:lineRule="auto"/>
    </w:pPr>
    <w:rPr>
      <w:rFonts w:ascii="Times New Roman" w:hAnsi="Times New Roman"/>
      <w:b/>
      <w:bCs/>
      <w:sz w:val="24"/>
      <w:szCs w:val="20"/>
      <w:lang w:val="en-GB" w:eastAsia="en-GB"/>
    </w:rPr>
  </w:style>
  <w:style w:type="paragraph" w:styleId="TOC3">
    <w:name w:val="toc 3"/>
    <w:basedOn w:val="Normal"/>
    <w:next w:val="Normal"/>
    <w:autoRedefine/>
    <w:uiPriority w:val="39"/>
    <w:rsid w:val="000D6AA0"/>
    <w:pPr>
      <w:tabs>
        <w:tab w:val="left" w:pos="840"/>
        <w:tab w:val="right" w:leader="dot" w:pos="9345"/>
      </w:tabs>
      <w:spacing w:after="0" w:line="240" w:lineRule="auto"/>
      <w:ind w:left="840" w:hanging="480"/>
    </w:pPr>
    <w:rPr>
      <w:rFonts w:ascii="Times New Roman" w:hAnsi="Times New Roman"/>
      <w:szCs w:val="20"/>
      <w:lang w:val="en-GB" w:eastAsia="en-GB"/>
    </w:rPr>
  </w:style>
  <w:style w:type="paragraph" w:styleId="NormalWeb">
    <w:name w:val="Normal (Web)"/>
    <w:basedOn w:val="Normal"/>
    <w:uiPriority w:val="99"/>
    <w:unhideWhenUsed/>
    <w:rsid w:val="00011BAA"/>
    <w:pPr>
      <w:spacing w:before="100" w:beforeAutospacing="1" w:after="100" w:afterAutospacing="1" w:line="240" w:lineRule="auto"/>
    </w:pPr>
    <w:rPr>
      <w:rFonts w:ascii="Times New Roman" w:hAnsi="Times New Roman"/>
      <w:sz w:val="24"/>
      <w:szCs w:val="24"/>
      <w:lang w:val="en-GB" w:eastAsia="en-GB"/>
    </w:rPr>
  </w:style>
  <w:style w:type="paragraph" w:styleId="Revision">
    <w:name w:val="Revision"/>
    <w:hidden/>
    <w:uiPriority w:val="99"/>
    <w:semiHidden/>
    <w:rsid w:val="00076647"/>
    <w:rPr>
      <w:rFonts w:eastAsia="Times New Roman"/>
      <w:sz w:val="22"/>
      <w:szCs w:val="22"/>
      <w:lang w:val="en-US" w:eastAsia="en-US"/>
    </w:rPr>
  </w:style>
  <w:style w:type="paragraph" w:customStyle="1" w:styleId="StyleHeading1TimesNewRoman14ptItalic">
    <w:name w:val="Style Heading 1 + Times New Roman 14 pt Italic"/>
    <w:basedOn w:val="Heading1"/>
    <w:autoRedefine/>
    <w:rsid w:val="001A28E7"/>
    <w:pPr>
      <w:spacing w:before="120" w:after="120" w:line="240" w:lineRule="auto"/>
      <w:ind w:left="567" w:hanging="567"/>
      <w:jc w:val="both"/>
    </w:pPr>
    <w:rPr>
      <w:rFonts w:ascii="Times New Roman" w:hAnsi="Times New Roman"/>
      <w:b w:val="0"/>
      <w:iCs/>
      <w:snapToGrid w:val="0"/>
      <w:kern w:val="0"/>
      <w:sz w:val="24"/>
      <w:szCs w:val="24"/>
      <w:lang w:val="en-GB"/>
    </w:rPr>
  </w:style>
  <w:style w:type="character" w:customStyle="1" w:styleId="Heading1Char">
    <w:name w:val="Heading 1 Char"/>
    <w:basedOn w:val="DefaultParagraphFont"/>
    <w:link w:val="Heading1"/>
    <w:uiPriority w:val="9"/>
    <w:rsid w:val="001A28E7"/>
    <w:rPr>
      <w:rFonts w:ascii="Cambria" w:eastAsia="Times New Roman" w:hAnsi="Cambria" w:cs="Times New Roman"/>
      <w:b/>
      <w:bCs/>
      <w:kern w:val="32"/>
      <w:sz w:val="32"/>
      <w:szCs w:val="32"/>
    </w:rPr>
  </w:style>
  <w:style w:type="paragraph" w:customStyle="1" w:styleId="Blockquote">
    <w:name w:val="Blockquote"/>
    <w:basedOn w:val="Normal"/>
    <w:rsid w:val="004117C1"/>
    <w:pPr>
      <w:widowControl w:val="0"/>
      <w:spacing w:before="100" w:after="100" w:line="240" w:lineRule="auto"/>
      <w:ind w:left="360" w:right="360"/>
    </w:pPr>
    <w:rPr>
      <w:rFonts w:ascii="Times New Roman" w:hAnsi="Times New Roman"/>
      <w:snapToGrid w:val="0"/>
      <w:sz w:val="24"/>
      <w:szCs w:val="20"/>
    </w:rPr>
  </w:style>
  <w:style w:type="paragraph" w:styleId="Header">
    <w:name w:val="header"/>
    <w:basedOn w:val="Normal"/>
    <w:link w:val="HeaderChar"/>
    <w:uiPriority w:val="99"/>
    <w:unhideWhenUsed/>
    <w:rsid w:val="00425E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E19"/>
    <w:rPr>
      <w:rFonts w:eastAsia="Times New Roman"/>
      <w:sz w:val="22"/>
      <w:szCs w:val="22"/>
      <w:lang w:val="en-US" w:eastAsia="en-US"/>
    </w:rPr>
  </w:style>
  <w:style w:type="paragraph" w:styleId="Footer">
    <w:name w:val="footer"/>
    <w:basedOn w:val="Normal"/>
    <w:link w:val="FooterChar"/>
    <w:unhideWhenUsed/>
    <w:rsid w:val="00425E19"/>
    <w:pPr>
      <w:tabs>
        <w:tab w:val="center" w:pos="4513"/>
        <w:tab w:val="right" w:pos="9026"/>
      </w:tabs>
      <w:spacing w:after="0" w:line="240" w:lineRule="auto"/>
    </w:pPr>
  </w:style>
  <w:style w:type="character" w:customStyle="1" w:styleId="FooterChar">
    <w:name w:val="Footer Char"/>
    <w:basedOn w:val="DefaultParagraphFont"/>
    <w:link w:val="Footer"/>
    <w:rsid w:val="00425E19"/>
    <w:rPr>
      <w:rFonts w:eastAsia="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131">
      <w:bodyDiv w:val="1"/>
      <w:marLeft w:val="0"/>
      <w:marRight w:val="0"/>
      <w:marTop w:val="0"/>
      <w:marBottom w:val="0"/>
      <w:divBdr>
        <w:top w:val="none" w:sz="0" w:space="0" w:color="auto"/>
        <w:left w:val="none" w:sz="0" w:space="0" w:color="auto"/>
        <w:bottom w:val="none" w:sz="0" w:space="0" w:color="auto"/>
        <w:right w:val="none" w:sz="0" w:space="0" w:color="auto"/>
      </w:divBdr>
    </w:div>
    <w:div w:id="18968456">
      <w:bodyDiv w:val="1"/>
      <w:marLeft w:val="0"/>
      <w:marRight w:val="0"/>
      <w:marTop w:val="0"/>
      <w:marBottom w:val="0"/>
      <w:divBdr>
        <w:top w:val="none" w:sz="0" w:space="0" w:color="auto"/>
        <w:left w:val="none" w:sz="0" w:space="0" w:color="auto"/>
        <w:bottom w:val="none" w:sz="0" w:space="0" w:color="auto"/>
        <w:right w:val="none" w:sz="0" w:space="0" w:color="auto"/>
      </w:divBdr>
    </w:div>
    <w:div w:id="80879369">
      <w:bodyDiv w:val="1"/>
      <w:marLeft w:val="0"/>
      <w:marRight w:val="0"/>
      <w:marTop w:val="0"/>
      <w:marBottom w:val="0"/>
      <w:divBdr>
        <w:top w:val="none" w:sz="0" w:space="0" w:color="auto"/>
        <w:left w:val="none" w:sz="0" w:space="0" w:color="auto"/>
        <w:bottom w:val="none" w:sz="0" w:space="0" w:color="auto"/>
        <w:right w:val="none" w:sz="0" w:space="0" w:color="auto"/>
      </w:divBdr>
    </w:div>
    <w:div w:id="168839019">
      <w:bodyDiv w:val="1"/>
      <w:marLeft w:val="0"/>
      <w:marRight w:val="0"/>
      <w:marTop w:val="0"/>
      <w:marBottom w:val="0"/>
      <w:divBdr>
        <w:top w:val="none" w:sz="0" w:space="0" w:color="auto"/>
        <w:left w:val="none" w:sz="0" w:space="0" w:color="auto"/>
        <w:bottom w:val="none" w:sz="0" w:space="0" w:color="auto"/>
        <w:right w:val="none" w:sz="0" w:space="0" w:color="auto"/>
      </w:divBdr>
    </w:div>
    <w:div w:id="188764298">
      <w:bodyDiv w:val="1"/>
      <w:marLeft w:val="0"/>
      <w:marRight w:val="0"/>
      <w:marTop w:val="0"/>
      <w:marBottom w:val="0"/>
      <w:divBdr>
        <w:top w:val="none" w:sz="0" w:space="0" w:color="auto"/>
        <w:left w:val="none" w:sz="0" w:space="0" w:color="auto"/>
        <w:bottom w:val="none" w:sz="0" w:space="0" w:color="auto"/>
        <w:right w:val="none" w:sz="0" w:space="0" w:color="auto"/>
      </w:divBdr>
    </w:div>
    <w:div w:id="430468076">
      <w:bodyDiv w:val="1"/>
      <w:marLeft w:val="0"/>
      <w:marRight w:val="0"/>
      <w:marTop w:val="0"/>
      <w:marBottom w:val="0"/>
      <w:divBdr>
        <w:top w:val="none" w:sz="0" w:space="0" w:color="auto"/>
        <w:left w:val="none" w:sz="0" w:space="0" w:color="auto"/>
        <w:bottom w:val="none" w:sz="0" w:space="0" w:color="auto"/>
        <w:right w:val="none" w:sz="0" w:space="0" w:color="auto"/>
      </w:divBdr>
    </w:div>
    <w:div w:id="464129191">
      <w:bodyDiv w:val="1"/>
      <w:marLeft w:val="0"/>
      <w:marRight w:val="0"/>
      <w:marTop w:val="0"/>
      <w:marBottom w:val="0"/>
      <w:divBdr>
        <w:top w:val="none" w:sz="0" w:space="0" w:color="auto"/>
        <w:left w:val="none" w:sz="0" w:space="0" w:color="auto"/>
        <w:bottom w:val="none" w:sz="0" w:space="0" w:color="auto"/>
        <w:right w:val="none" w:sz="0" w:space="0" w:color="auto"/>
      </w:divBdr>
    </w:div>
    <w:div w:id="523901449">
      <w:bodyDiv w:val="1"/>
      <w:marLeft w:val="0"/>
      <w:marRight w:val="0"/>
      <w:marTop w:val="0"/>
      <w:marBottom w:val="0"/>
      <w:divBdr>
        <w:top w:val="none" w:sz="0" w:space="0" w:color="auto"/>
        <w:left w:val="none" w:sz="0" w:space="0" w:color="auto"/>
        <w:bottom w:val="none" w:sz="0" w:space="0" w:color="auto"/>
        <w:right w:val="none" w:sz="0" w:space="0" w:color="auto"/>
      </w:divBdr>
    </w:div>
    <w:div w:id="531843344">
      <w:bodyDiv w:val="1"/>
      <w:marLeft w:val="0"/>
      <w:marRight w:val="0"/>
      <w:marTop w:val="0"/>
      <w:marBottom w:val="0"/>
      <w:divBdr>
        <w:top w:val="none" w:sz="0" w:space="0" w:color="auto"/>
        <w:left w:val="none" w:sz="0" w:space="0" w:color="auto"/>
        <w:bottom w:val="none" w:sz="0" w:space="0" w:color="auto"/>
        <w:right w:val="none" w:sz="0" w:space="0" w:color="auto"/>
      </w:divBdr>
      <w:divsChild>
        <w:div w:id="1545405114">
          <w:marLeft w:val="0"/>
          <w:marRight w:val="0"/>
          <w:marTop w:val="0"/>
          <w:marBottom w:val="0"/>
          <w:divBdr>
            <w:top w:val="none" w:sz="0" w:space="0" w:color="auto"/>
            <w:left w:val="none" w:sz="0" w:space="0" w:color="auto"/>
            <w:bottom w:val="none" w:sz="0" w:space="0" w:color="auto"/>
            <w:right w:val="none" w:sz="0" w:space="0" w:color="auto"/>
          </w:divBdr>
          <w:divsChild>
            <w:div w:id="2083720776">
              <w:marLeft w:val="0"/>
              <w:marRight w:val="0"/>
              <w:marTop w:val="0"/>
              <w:marBottom w:val="0"/>
              <w:divBdr>
                <w:top w:val="none" w:sz="0" w:space="0" w:color="auto"/>
                <w:left w:val="none" w:sz="0" w:space="0" w:color="auto"/>
                <w:bottom w:val="none" w:sz="0" w:space="0" w:color="auto"/>
                <w:right w:val="none" w:sz="0" w:space="0" w:color="auto"/>
              </w:divBdr>
              <w:divsChild>
                <w:div w:id="784541752">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sChild>
                        <w:div w:id="3012792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667975383">
      <w:bodyDiv w:val="1"/>
      <w:marLeft w:val="0"/>
      <w:marRight w:val="0"/>
      <w:marTop w:val="0"/>
      <w:marBottom w:val="0"/>
      <w:divBdr>
        <w:top w:val="none" w:sz="0" w:space="0" w:color="auto"/>
        <w:left w:val="none" w:sz="0" w:space="0" w:color="auto"/>
        <w:bottom w:val="none" w:sz="0" w:space="0" w:color="auto"/>
        <w:right w:val="none" w:sz="0" w:space="0" w:color="auto"/>
      </w:divBdr>
    </w:div>
    <w:div w:id="726608655">
      <w:bodyDiv w:val="1"/>
      <w:marLeft w:val="0"/>
      <w:marRight w:val="0"/>
      <w:marTop w:val="0"/>
      <w:marBottom w:val="0"/>
      <w:divBdr>
        <w:top w:val="none" w:sz="0" w:space="0" w:color="auto"/>
        <w:left w:val="none" w:sz="0" w:space="0" w:color="auto"/>
        <w:bottom w:val="none" w:sz="0" w:space="0" w:color="auto"/>
        <w:right w:val="none" w:sz="0" w:space="0" w:color="auto"/>
      </w:divBdr>
    </w:div>
    <w:div w:id="809446625">
      <w:bodyDiv w:val="1"/>
      <w:marLeft w:val="0"/>
      <w:marRight w:val="0"/>
      <w:marTop w:val="0"/>
      <w:marBottom w:val="0"/>
      <w:divBdr>
        <w:top w:val="none" w:sz="0" w:space="0" w:color="auto"/>
        <w:left w:val="none" w:sz="0" w:space="0" w:color="auto"/>
        <w:bottom w:val="none" w:sz="0" w:space="0" w:color="auto"/>
        <w:right w:val="none" w:sz="0" w:space="0" w:color="auto"/>
      </w:divBdr>
    </w:div>
    <w:div w:id="919830267">
      <w:bodyDiv w:val="1"/>
      <w:marLeft w:val="0"/>
      <w:marRight w:val="0"/>
      <w:marTop w:val="0"/>
      <w:marBottom w:val="0"/>
      <w:divBdr>
        <w:top w:val="none" w:sz="0" w:space="0" w:color="auto"/>
        <w:left w:val="none" w:sz="0" w:space="0" w:color="auto"/>
        <w:bottom w:val="none" w:sz="0" w:space="0" w:color="auto"/>
        <w:right w:val="none" w:sz="0" w:space="0" w:color="auto"/>
      </w:divBdr>
    </w:div>
    <w:div w:id="930819765">
      <w:bodyDiv w:val="1"/>
      <w:marLeft w:val="0"/>
      <w:marRight w:val="0"/>
      <w:marTop w:val="0"/>
      <w:marBottom w:val="0"/>
      <w:divBdr>
        <w:top w:val="none" w:sz="0" w:space="0" w:color="auto"/>
        <w:left w:val="none" w:sz="0" w:space="0" w:color="auto"/>
        <w:bottom w:val="none" w:sz="0" w:space="0" w:color="auto"/>
        <w:right w:val="none" w:sz="0" w:space="0" w:color="auto"/>
      </w:divBdr>
    </w:div>
    <w:div w:id="968173253">
      <w:bodyDiv w:val="1"/>
      <w:marLeft w:val="0"/>
      <w:marRight w:val="0"/>
      <w:marTop w:val="0"/>
      <w:marBottom w:val="0"/>
      <w:divBdr>
        <w:top w:val="none" w:sz="0" w:space="0" w:color="auto"/>
        <w:left w:val="none" w:sz="0" w:space="0" w:color="auto"/>
        <w:bottom w:val="none" w:sz="0" w:space="0" w:color="auto"/>
        <w:right w:val="none" w:sz="0" w:space="0" w:color="auto"/>
      </w:divBdr>
      <w:divsChild>
        <w:div w:id="817037363">
          <w:marLeft w:val="432"/>
          <w:marRight w:val="0"/>
          <w:marTop w:val="77"/>
          <w:marBottom w:val="0"/>
          <w:divBdr>
            <w:top w:val="none" w:sz="0" w:space="0" w:color="auto"/>
            <w:left w:val="none" w:sz="0" w:space="0" w:color="auto"/>
            <w:bottom w:val="none" w:sz="0" w:space="0" w:color="auto"/>
            <w:right w:val="none" w:sz="0" w:space="0" w:color="auto"/>
          </w:divBdr>
        </w:div>
      </w:divsChild>
    </w:div>
    <w:div w:id="1013335049">
      <w:bodyDiv w:val="1"/>
      <w:marLeft w:val="0"/>
      <w:marRight w:val="0"/>
      <w:marTop w:val="0"/>
      <w:marBottom w:val="0"/>
      <w:divBdr>
        <w:top w:val="none" w:sz="0" w:space="0" w:color="auto"/>
        <w:left w:val="none" w:sz="0" w:space="0" w:color="auto"/>
        <w:bottom w:val="none" w:sz="0" w:space="0" w:color="auto"/>
        <w:right w:val="none" w:sz="0" w:space="0" w:color="auto"/>
      </w:divBdr>
    </w:div>
    <w:div w:id="1076126480">
      <w:bodyDiv w:val="1"/>
      <w:marLeft w:val="0"/>
      <w:marRight w:val="0"/>
      <w:marTop w:val="0"/>
      <w:marBottom w:val="0"/>
      <w:divBdr>
        <w:top w:val="none" w:sz="0" w:space="0" w:color="auto"/>
        <w:left w:val="none" w:sz="0" w:space="0" w:color="auto"/>
        <w:bottom w:val="none" w:sz="0" w:space="0" w:color="auto"/>
        <w:right w:val="none" w:sz="0" w:space="0" w:color="auto"/>
      </w:divBdr>
    </w:div>
    <w:div w:id="1116480849">
      <w:bodyDiv w:val="1"/>
      <w:marLeft w:val="0"/>
      <w:marRight w:val="0"/>
      <w:marTop w:val="0"/>
      <w:marBottom w:val="0"/>
      <w:divBdr>
        <w:top w:val="none" w:sz="0" w:space="0" w:color="auto"/>
        <w:left w:val="none" w:sz="0" w:space="0" w:color="auto"/>
        <w:bottom w:val="none" w:sz="0" w:space="0" w:color="auto"/>
        <w:right w:val="none" w:sz="0" w:space="0" w:color="auto"/>
      </w:divBdr>
    </w:div>
    <w:div w:id="1206871767">
      <w:bodyDiv w:val="1"/>
      <w:marLeft w:val="0"/>
      <w:marRight w:val="0"/>
      <w:marTop w:val="0"/>
      <w:marBottom w:val="0"/>
      <w:divBdr>
        <w:top w:val="none" w:sz="0" w:space="0" w:color="auto"/>
        <w:left w:val="none" w:sz="0" w:space="0" w:color="auto"/>
        <w:bottom w:val="none" w:sz="0" w:space="0" w:color="auto"/>
        <w:right w:val="none" w:sz="0" w:space="0" w:color="auto"/>
      </w:divBdr>
    </w:div>
    <w:div w:id="1239633553">
      <w:bodyDiv w:val="1"/>
      <w:marLeft w:val="0"/>
      <w:marRight w:val="0"/>
      <w:marTop w:val="0"/>
      <w:marBottom w:val="0"/>
      <w:divBdr>
        <w:top w:val="none" w:sz="0" w:space="0" w:color="auto"/>
        <w:left w:val="none" w:sz="0" w:space="0" w:color="auto"/>
        <w:bottom w:val="none" w:sz="0" w:space="0" w:color="auto"/>
        <w:right w:val="none" w:sz="0" w:space="0" w:color="auto"/>
      </w:divBdr>
    </w:div>
    <w:div w:id="1845777258">
      <w:bodyDiv w:val="1"/>
      <w:marLeft w:val="0"/>
      <w:marRight w:val="0"/>
      <w:marTop w:val="0"/>
      <w:marBottom w:val="0"/>
      <w:divBdr>
        <w:top w:val="none" w:sz="0" w:space="0" w:color="auto"/>
        <w:left w:val="none" w:sz="0" w:space="0" w:color="auto"/>
        <w:bottom w:val="none" w:sz="0" w:space="0" w:color="auto"/>
        <w:right w:val="none" w:sz="0" w:space="0" w:color="auto"/>
      </w:divBdr>
    </w:div>
    <w:div w:id="1915504575">
      <w:bodyDiv w:val="1"/>
      <w:marLeft w:val="0"/>
      <w:marRight w:val="0"/>
      <w:marTop w:val="0"/>
      <w:marBottom w:val="0"/>
      <w:divBdr>
        <w:top w:val="none" w:sz="0" w:space="0" w:color="auto"/>
        <w:left w:val="none" w:sz="0" w:space="0" w:color="auto"/>
        <w:bottom w:val="none" w:sz="0" w:space="0" w:color="auto"/>
        <w:right w:val="none" w:sz="0" w:space="0" w:color="auto"/>
      </w:divBdr>
    </w:div>
    <w:div w:id="1916235209">
      <w:bodyDiv w:val="1"/>
      <w:marLeft w:val="0"/>
      <w:marRight w:val="0"/>
      <w:marTop w:val="0"/>
      <w:marBottom w:val="0"/>
      <w:divBdr>
        <w:top w:val="none" w:sz="0" w:space="0" w:color="auto"/>
        <w:left w:val="none" w:sz="0" w:space="0" w:color="auto"/>
        <w:bottom w:val="none" w:sz="0" w:space="0" w:color="auto"/>
        <w:right w:val="none" w:sz="0" w:space="0" w:color="auto"/>
      </w:divBdr>
    </w:div>
    <w:div w:id="209284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fpmne.kos@mif.gov.me" TargetMode="External"/><Relationship Id="rId5" Type="http://schemas.openxmlformats.org/officeDocument/2006/relationships/settings" Target="settings.xml"/><Relationship Id="rId10" Type="http://schemas.openxmlformats.org/officeDocument/2006/relationships/image" Target="file:///C:\Users\Administrator\Desktop\1095339371.jp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EE4FD0-BB27-4126-B44F-3968575A8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3126</Words>
  <Characters>17824</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20909</CharactersWithSpaces>
  <SharedDoc>false</SharedDoc>
  <HLinks>
    <vt:vector size="12" baseType="variant">
      <vt:variant>
        <vt:i4>4259886</vt:i4>
      </vt:variant>
      <vt:variant>
        <vt:i4>0</vt:i4>
      </vt:variant>
      <vt:variant>
        <vt:i4>0</vt:i4>
      </vt:variant>
      <vt:variant>
        <vt:i4>5</vt:i4>
      </vt:variant>
      <vt:variant>
        <vt:lpwstr>mailto:cfcu@mif.gov.me</vt:lpwstr>
      </vt:variant>
      <vt:variant>
        <vt:lpwstr/>
      </vt:variant>
      <vt:variant>
        <vt:i4>4456515</vt:i4>
      </vt:variant>
      <vt:variant>
        <vt:i4>-1</vt:i4>
      </vt:variant>
      <vt:variant>
        <vt:i4>1026</vt:i4>
      </vt:variant>
      <vt:variant>
        <vt:i4>1</vt:i4>
      </vt:variant>
      <vt:variant>
        <vt:lpwstr>C:\Users\Administrator\Desktop\1095339371.jpg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bojana.pocek</dc:creator>
  <cp:lastModifiedBy>MANOJLOVIC Marjana (EEAS-PODGORICA)</cp:lastModifiedBy>
  <cp:revision>2</cp:revision>
  <cp:lastPrinted>2016-07-27T09:36:00Z</cp:lastPrinted>
  <dcterms:created xsi:type="dcterms:W3CDTF">2017-04-11T09:06:00Z</dcterms:created>
  <dcterms:modified xsi:type="dcterms:W3CDTF">2017-04-11T09:06:00Z</dcterms:modified>
</cp:coreProperties>
</file>