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0B" w:rsidRPr="00090902" w:rsidRDefault="00D1739D">
      <w:pPr>
        <w:pStyle w:val="Title"/>
        <w:rPr>
          <w:lang w:val="sr-Latn-ME"/>
        </w:rPr>
      </w:pPr>
      <w:r w:rsidRPr="00090902">
        <w:rPr>
          <w:noProof/>
          <w:lang w:val="sr-Latn-ME"/>
        </w:rPr>
        <mc:AlternateContent>
          <mc:Choice Requires="wpg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4437126</wp:posOffset>
                </wp:positionH>
                <wp:positionV relativeFrom="paragraph">
                  <wp:posOffset>-164617</wp:posOffset>
                </wp:positionV>
                <wp:extent cx="1843430" cy="1031443"/>
                <wp:effectExtent l="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30" cy="1031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40B" w:rsidRDefault="00D1739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2895" cy="914400"/>
                                  <wp:effectExtent l="0" t="0" r="8255" b="0"/>
                                  <wp:docPr id="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289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202" type="#_x0000_t202" style="position:absolute;z-index:251661312;o:allowoverlap:true;o:allowincell:true;mso-position-horizontal-relative:text;margin-left:349.38pt;mso-position-horizontal:absolute;mso-position-vertical-relative:text;margin-top:-12.96pt;mso-position-vertical:absolute;width:145.15pt;height:81.22pt;mso-wrap-distance-left:9.00pt;mso-wrap-distance-top:3.60pt;mso-wrap-distance-right:9.00pt;mso-wrap-distance-bottom:3.60pt;v-text-anchor:top;visibility:visible;" fillcolor="#FFFFFF" stroked="f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sz w:val="20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572895" cy="914400"/>
                                <wp:effectExtent l="0" t="0" r="8255" b="0"/>
                                <wp:docPr id="4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289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" o:spid="_x0000_s2" type="#_x0000_t75" style="width:123.85pt;height:72.00pt;mso-wrap-distance-left:0.00pt;mso-wrap-distance-top:0.00pt;mso-wrap-distance-right:0.00pt;mso-wrap-distance-bottom:0.00pt;z-index:1;" stroked="f">
                                <v:imagedata r:id="rId1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 w:rsidRPr="00090902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5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4" o:spid="_x0000_s4" style="position:absolute;left:0;text-align:left;z-index:251659264;mso-wrap-distance-left:9.00pt;mso-wrap-distance-top:0.00pt;mso-wrap-distance-right:9.00pt;mso-wrap-distance-bottom:0.00pt;visibility:visible;" from="49.0pt,4.2pt" to="49.0pt,54.2pt" filled="f" strokecolor="#D5B03D" strokeweight="1.50pt">
                <v:stroke dashstyle="solid"/>
              </v:line>
            </w:pict>
          </mc:Fallback>
        </mc:AlternateContent>
      </w:r>
      <w:r w:rsidRPr="00090902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539115" cy="621665"/>
                <wp:effectExtent l="0" t="0" r="0" b="6985"/>
                <wp:wrapNone/>
                <wp:docPr id="6" name="Picture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60288;o:allowoverlap:true;o:allowincell:true;mso-position-horizontal-relative:text;margin-left:-1.30pt;mso-position-horizontal:absolute;mso-position-vertical-relative:text;margin-top:4.50pt;mso-position-vertical:absolute;width:42.45pt;height:48.95pt;mso-wrap-distance-left:9.00pt;mso-wrap-distance-top:0.00pt;mso-wrap-distance-right:9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 w:rsidRPr="00090902">
        <w:rPr>
          <w:lang w:val="sr-Latn-ME"/>
        </w:rPr>
        <w:t>Crna Gora</w:t>
      </w:r>
    </w:p>
    <w:p w:rsidR="0063440B" w:rsidRPr="00090902" w:rsidRDefault="00D1739D">
      <w:pPr>
        <w:pStyle w:val="Title"/>
        <w:spacing w:before="40"/>
        <w:rPr>
          <w:lang w:val="sr-Latn-ME"/>
        </w:rPr>
      </w:pPr>
      <w:r w:rsidRPr="00090902">
        <w:rPr>
          <w:lang w:val="sr-Latn-ME"/>
        </w:rPr>
        <w:t xml:space="preserve">Agencija za  plaćanja u poljoprivredi, </w:t>
      </w:r>
    </w:p>
    <w:p w:rsidR="0063440B" w:rsidRPr="00090902" w:rsidRDefault="00D1739D">
      <w:pPr>
        <w:pStyle w:val="Title"/>
        <w:spacing w:before="40"/>
        <w:rPr>
          <w:lang w:val="sr-Latn-ME"/>
        </w:rPr>
      </w:pPr>
      <w:r w:rsidRPr="00090902">
        <w:rPr>
          <w:lang w:val="sr-Latn-ME"/>
        </w:rPr>
        <w:t>ruralnom razvoju i ribarstvu</w:t>
      </w:r>
    </w:p>
    <w:p w:rsidR="0063440B" w:rsidRPr="00090902" w:rsidRDefault="0063440B">
      <w:pPr>
        <w:tabs>
          <w:tab w:val="center" w:pos="5103"/>
          <w:tab w:val="left" w:pos="8087"/>
        </w:tabs>
        <w:spacing w:line="276" w:lineRule="auto"/>
        <w:jc w:val="both"/>
        <w:rPr>
          <w:rFonts w:ascii="Arial" w:hAnsi="Arial" w:cs="Arial"/>
          <w:sz w:val="22"/>
          <w:highlight w:val="yellow"/>
          <w:lang w:val="sr-Latn-ME"/>
        </w:rPr>
      </w:pPr>
      <w:bookmarkStart w:id="0" w:name="_Hlk227742759"/>
    </w:p>
    <w:p w:rsidR="0063440B" w:rsidRPr="00090902" w:rsidRDefault="00D1739D">
      <w:pPr>
        <w:tabs>
          <w:tab w:val="center" w:pos="5103"/>
          <w:tab w:val="left" w:pos="8087"/>
        </w:tabs>
        <w:spacing w:line="276" w:lineRule="auto"/>
        <w:jc w:val="both"/>
        <w:rPr>
          <w:rFonts w:ascii="Arial" w:hAnsi="Arial" w:cs="Arial"/>
          <w:b/>
          <w:sz w:val="28"/>
          <w:szCs w:val="3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Na osnovu člana 6 Zakona</w:t>
      </w:r>
      <w:r w:rsidRPr="00090902">
        <w:rPr>
          <w:rFonts w:ascii="Arial" w:hAnsi="Arial" w:cs="Arial"/>
          <w:sz w:val="22"/>
          <w:lang w:val="sr-Latn-ME"/>
        </w:rPr>
        <w:t xml:space="preserve"> o sprovođenju mjera podrške poljoprivredne politike, politike ruralnog razvoja i politike ribarstva („Sl. list CG“, br. 92/25) i Uredbe o uslovima, načinu i dinamici sprovođenja mjera agrarne politike za 2026. godinu – Agrobudžet („Sl. list CG, br 48/26),</w:t>
      </w:r>
      <w:r w:rsidRPr="00090902">
        <w:rPr>
          <w:rFonts w:ascii="Arial" w:hAnsi="Arial" w:cs="Arial"/>
          <w:sz w:val="22"/>
          <w:lang w:val="sr-Latn-ME"/>
        </w:rPr>
        <w:t xml:space="preserve"> u okviru mjere 12.1 Direktna plaćanja u stočarskoj proizvodnji, Agencija za plaćanja u poljoprivredi, ruralnom razvoju i ribarstvu, nakon obavljenih konsultacija sa Ministarstvom poljoprivrede, šumarstva i vodoprivrede, objavljuje</w:t>
      </w:r>
      <w:bookmarkEnd w:id="0"/>
      <w:r w:rsidRPr="00090902">
        <w:rPr>
          <w:rFonts w:ascii="Arial" w:hAnsi="Arial" w:cs="Arial"/>
          <w:b/>
          <w:sz w:val="28"/>
          <w:szCs w:val="32"/>
          <w:lang w:val="sr-Latn-ME"/>
        </w:rPr>
        <w:tab/>
      </w:r>
    </w:p>
    <w:p w:rsidR="0063440B" w:rsidRPr="00090902" w:rsidRDefault="00D1739D">
      <w:pPr>
        <w:tabs>
          <w:tab w:val="center" w:pos="5103"/>
          <w:tab w:val="left" w:pos="8087"/>
        </w:tabs>
        <w:spacing w:line="276" w:lineRule="auto"/>
        <w:ind w:left="284"/>
        <w:jc w:val="center"/>
        <w:rPr>
          <w:rFonts w:ascii="Arial" w:hAnsi="Arial" w:cs="Arial"/>
          <w:b/>
          <w:sz w:val="28"/>
          <w:szCs w:val="32"/>
          <w:lang w:val="sr-Latn-ME"/>
        </w:rPr>
      </w:pPr>
      <w:r w:rsidRPr="00090902">
        <w:rPr>
          <w:rFonts w:ascii="Arial" w:hAnsi="Arial" w:cs="Arial"/>
          <w:b/>
          <w:sz w:val="28"/>
          <w:szCs w:val="32"/>
          <w:lang w:val="sr-Latn-ME"/>
        </w:rPr>
        <w:t>JAVNI POZIV</w:t>
      </w:r>
    </w:p>
    <w:p w:rsidR="0063440B" w:rsidRPr="00090902" w:rsidRDefault="00D1739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32"/>
          <w:lang w:val="sr-Latn-ME"/>
        </w:rPr>
      </w:pPr>
      <w:r w:rsidRPr="00090902">
        <w:rPr>
          <w:rFonts w:ascii="Arial" w:hAnsi="Arial" w:cs="Arial"/>
          <w:b/>
          <w:sz w:val="28"/>
          <w:szCs w:val="32"/>
          <w:lang w:val="sr-Latn-ME"/>
        </w:rPr>
        <w:t>Direktna pl</w:t>
      </w:r>
      <w:r w:rsidRPr="00090902">
        <w:rPr>
          <w:rFonts w:ascii="Arial" w:hAnsi="Arial" w:cs="Arial"/>
          <w:b/>
          <w:sz w:val="28"/>
          <w:szCs w:val="32"/>
          <w:lang w:val="sr-Latn-ME"/>
        </w:rPr>
        <w:t>aćanja u stočarskoj proizvodnji za 2026. godinu</w:t>
      </w:r>
    </w:p>
    <w:p w:rsidR="0063440B" w:rsidRPr="00090902" w:rsidRDefault="00D1739D">
      <w:pPr>
        <w:spacing w:line="276" w:lineRule="auto"/>
        <w:jc w:val="both"/>
        <w:rPr>
          <w:rFonts w:ascii="Arial" w:hAnsi="Arial" w:cs="Arial"/>
          <w:sz w:val="22"/>
          <w:highlight w:val="yellow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Predmet ovog javnog poziva je podrška poljoprivrednim proizvođačima koji posjeduju grla goveda, ovaca i koza.</w:t>
      </w:r>
      <w:r w:rsidRPr="00090902">
        <w:rPr>
          <w:lang w:val="sr-Latn-ME"/>
        </w:rPr>
        <w:t xml:space="preserve"> </w:t>
      </w:r>
      <w:r w:rsidRPr="00090902">
        <w:rPr>
          <w:rFonts w:ascii="Arial" w:hAnsi="Arial" w:cs="Arial"/>
          <w:sz w:val="22"/>
          <w:lang w:val="sr-Latn-ME"/>
        </w:rPr>
        <w:t>Ovim javnim pozivom utvrđuju se uslovi, kriterijumi, način prijavljivanja za dodjelu podrške, roko</w:t>
      </w:r>
      <w:r w:rsidRPr="00090902">
        <w:rPr>
          <w:rFonts w:ascii="Arial" w:hAnsi="Arial" w:cs="Arial"/>
          <w:sz w:val="22"/>
          <w:lang w:val="sr-Latn-ME"/>
        </w:rPr>
        <w:t>vi za podnošenje zahtjeva, procedura realizacije zahtjeva i isplata podrške.</w:t>
      </w:r>
    </w:p>
    <w:p w:rsidR="0063440B" w:rsidRPr="00090902" w:rsidRDefault="0063440B">
      <w:pPr>
        <w:spacing w:line="276" w:lineRule="auto"/>
        <w:jc w:val="both"/>
        <w:rPr>
          <w:rFonts w:ascii="Arial" w:hAnsi="Arial" w:cs="Arial"/>
          <w:sz w:val="22"/>
          <w:lang w:val="sr-Latn-ME"/>
        </w:rPr>
      </w:pPr>
    </w:p>
    <w:p w:rsidR="0063440B" w:rsidRPr="00090902" w:rsidRDefault="00D1739D">
      <w:pPr>
        <w:spacing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OPŠTE DEFINICIJE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DEFINICIJA KORISNIKA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Pravo na podršku pod uslovima utvrđenim ovim javnim pozivom imaju fizička i pravna lica koja su u trenutku podnošenja Zahtjeva za podršku po</w:t>
      </w:r>
      <w:r w:rsidRPr="00090902">
        <w:rPr>
          <w:rFonts w:ascii="Arial" w:hAnsi="Arial" w:cs="Arial"/>
          <w:sz w:val="22"/>
          <w:lang w:val="sr-Latn-ME"/>
        </w:rPr>
        <w:t xml:space="preserve"> ovom javnom pozivu (u daljem tekstu: zahtjev):</w:t>
      </w:r>
    </w:p>
    <w:p w:rsidR="0063440B" w:rsidRPr="00090902" w:rsidRDefault="00D1739D">
      <w:pPr>
        <w:pStyle w:val="ListParagraph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 upisana u Registar poljoprivrednih gazdinstava, u skladu sa Zakonom o poljoprivredi i ruralnom razvoju („Službeni list CG“, br. 56/09, 34/14, 1/15, 30/17 i 59/21), kao i Pravilnikom o obliku i načinu vođenja</w:t>
      </w:r>
      <w:r w:rsidRPr="00090902">
        <w:rPr>
          <w:rFonts w:ascii="Arial" w:hAnsi="Arial" w:cs="Arial"/>
          <w:sz w:val="22"/>
          <w:lang w:val="sr-Latn-ME"/>
        </w:rPr>
        <w:t xml:space="preserve"> registra subjekata i registra poljoprivrednih gazdinstava („Službeni list CG“, br. 16/14 i 37/18).</w:t>
      </w:r>
    </w:p>
    <w:p w:rsidR="0063440B" w:rsidRPr="00090902" w:rsidRDefault="00D1739D">
      <w:pPr>
        <w:pStyle w:val="ListParagraph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upisana u Registar životinja, u skladu sa Zakonom o identifikaciji i registraciji životinja („Sl. list CG“, br. 48/07, 73/10, 40/11, 48/15).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Ukoliko je podn</w:t>
      </w:r>
      <w:r w:rsidRPr="00090902">
        <w:rPr>
          <w:rFonts w:ascii="Arial" w:hAnsi="Arial" w:cs="Arial"/>
          <w:sz w:val="22"/>
          <w:lang w:val="sr-Latn-ME"/>
        </w:rPr>
        <w:t xml:space="preserve">osilac zahtjeva preduzetnik, privredno društvo, kooperativa ili udruženje, mora biti upisan u Centralni registar privrednih subjekata (CRPS). 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USLOVI ZA DODJELU PODRŠKE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Podnosilac zahtjeva ima pravo na podršku ako ispunjava sljedeće uslove:</w:t>
      </w:r>
    </w:p>
    <w:p w:rsidR="0063440B" w:rsidRPr="00090902" w:rsidRDefault="00D1739D">
      <w:pPr>
        <w:pStyle w:val="ListParagraph"/>
        <w:numPr>
          <w:ilvl w:val="0"/>
          <w:numId w:val="21"/>
        </w:numPr>
        <w:spacing w:before="240" w:after="160" w:line="259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Premije za </w:t>
      </w:r>
      <w:r w:rsidRPr="00090902">
        <w:rPr>
          <w:rFonts w:ascii="Arial" w:hAnsi="Arial" w:cs="Arial"/>
          <w:b/>
          <w:sz w:val="22"/>
          <w:lang w:val="sr-Latn-ME"/>
        </w:rPr>
        <w:t>krave i priplodne junice</w:t>
      </w:r>
      <w:r w:rsidRPr="00090902">
        <w:rPr>
          <w:rFonts w:ascii="Arial" w:hAnsi="Arial" w:cs="Arial"/>
          <w:sz w:val="22"/>
          <w:lang w:val="sr-Latn-ME"/>
        </w:rPr>
        <w:t xml:space="preserve"> može ostvariti podnosilac zahtjeva koji na svom gazdinstvu gaji jedno i više grla te vrste stoke i to za svako grlo (ženska grla starija od 12 mjeseci). Kriterijum je ispunjen ako podnosilcac zahtjeva na svom  gazdinstvu drži taj b</w:t>
      </w:r>
      <w:r w:rsidRPr="00090902">
        <w:rPr>
          <w:rFonts w:ascii="Arial" w:hAnsi="Arial" w:cs="Arial"/>
          <w:sz w:val="22"/>
          <w:lang w:val="sr-Latn-ME"/>
        </w:rPr>
        <w:t>roj grla minimalno sedam mjeseci u tekućoj godini.</w:t>
      </w:r>
    </w:p>
    <w:p w:rsidR="0063440B" w:rsidRPr="00090902" w:rsidRDefault="00D1739D">
      <w:pPr>
        <w:pStyle w:val="ListParagraph"/>
        <w:numPr>
          <w:ilvl w:val="0"/>
          <w:numId w:val="21"/>
        </w:numPr>
        <w:spacing w:before="240" w:after="160" w:line="259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Dodatne premije po grlu za krave i priplodne junice u sistemu držanja krava-tele</w:t>
      </w:r>
      <w:r w:rsidRPr="00090902">
        <w:rPr>
          <w:rFonts w:ascii="Arial" w:hAnsi="Arial" w:cs="Arial"/>
          <w:sz w:val="22"/>
          <w:lang w:val="sr-Latn-ME"/>
        </w:rPr>
        <w:t xml:space="preserve"> (isključivo tovne rase - uzgoj u čistoj rasi) može ostvariti podnosilac zahtjeva koji je ostvario pravo na osnovnu premiju i koji na svom gazdinstvu gaji tri i više grla te vrste stoke i to za svako grlo. Rase koje su u Veterinarskom sistemu definisane ka</w:t>
      </w:r>
      <w:r w:rsidRPr="00090902">
        <w:rPr>
          <w:rFonts w:ascii="Arial" w:hAnsi="Arial" w:cs="Arial"/>
          <w:sz w:val="22"/>
          <w:lang w:val="sr-Latn-ME"/>
        </w:rPr>
        <w:t>o Angus mogu ostvariti pravo na podršku. Kriterijum je ispunjen ako podnosilac zahtjeva na svom gazdinstvu drži taj broj grla minimum sedam mjeseci u tekućoj godini.</w:t>
      </w:r>
    </w:p>
    <w:p w:rsidR="0063440B" w:rsidRPr="00090902" w:rsidRDefault="00D1739D">
      <w:pPr>
        <w:pStyle w:val="ListParagraph"/>
        <w:numPr>
          <w:ilvl w:val="0"/>
          <w:numId w:val="21"/>
        </w:numPr>
        <w:spacing w:before="240" w:after="160" w:line="259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Premije za </w:t>
      </w:r>
      <w:r w:rsidRPr="00090902">
        <w:rPr>
          <w:rFonts w:ascii="Arial" w:hAnsi="Arial" w:cs="Arial"/>
          <w:b/>
          <w:sz w:val="22"/>
          <w:lang w:val="sr-Latn-ME"/>
        </w:rPr>
        <w:t>priplodne ovce i koze</w:t>
      </w:r>
      <w:r w:rsidRPr="00090902">
        <w:rPr>
          <w:rFonts w:ascii="Arial" w:hAnsi="Arial" w:cs="Arial"/>
          <w:sz w:val="22"/>
          <w:lang w:val="sr-Latn-ME"/>
        </w:rPr>
        <w:t xml:space="preserve"> može ostvariti podnosilac zahtjeva koji na svom gazdinstv</w:t>
      </w:r>
      <w:r w:rsidRPr="00090902">
        <w:rPr>
          <w:rFonts w:ascii="Arial" w:hAnsi="Arial" w:cs="Arial"/>
          <w:sz w:val="22"/>
          <w:lang w:val="sr-Latn-ME"/>
        </w:rPr>
        <w:t>u gaji 10 i više ovaca odnosno 10 i više koza u stadu (ženska grla starija od 12 mjeseci). Plaćanje se odnosi na svako grlo. Kriterijum je ispunjen ako podnosilac zahtjeva na svom gazdinstvu drži taj broj grla minimalno sedam mjeseci u tekućoj godini.</w:t>
      </w:r>
    </w:p>
    <w:p w:rsidR="0063440B" w:rsidRPr="00090902" w:rsidRDefault="00D1739D">
      <w:pPr>
        <w:pStyle w:val="ListParagraph"/>
        <w:numPr>
          <w:ilvl w:val="0"/>
          <w:numId w:val="17"/>
        </w:numPr>
        <w:spacing w:before="240" w:after="160" w:line="259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lastRenderedPageBreak/>
        <w:t>je n</w:t>
      </w:r>
      <w:r w:rsidRPr="00090902">
        <w:rPr>
          <w:rFonts w:ascii="Arial" w:hAnsi="Arial" w:cs="Arial"/>
          <w:sz w:val="22"/>
          <w:lang w:val="sr-Latn-ME"/>
        </w:rPr>
        <w:t>osilac registrovanog poljoprivrednog gazdinstva u trenutku podnošenja zahtjeva i u momentu isplate sredstava;</w:t>
      </w:r>
    </w:p>
    <w:p w:rsidR="0063440B" w:rsidRPr="00090902" w:rsidRDefault="00D1739D">
      <w:pPr>
        <w:pStyle w:val="ListParagraph"/>
        <w:numPr>
          <w:ilvl w:val="0"/>
          <w:numId w:val="17"/>
        </w:numPr>
        <w:spacing w:before="240" w:after="160" w:line="259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da su podaci ažurirani u Veterinarskom informacionom sistemu, da su grla obilježena ušnim markicama, da za svako grlo bude definisan pol, rasa (uk</w:t>
      </w:r>
      <w:r w:rsidRPr="00090902">
        <w:rPr>
          <w:rFonts w:ascii="Arial" w:hAnsi="Arial" w:cs="Arial"/>
          <w:sz w:val="22"/>
          <w:lang w:val="sr-Latn-ME"/>
        </w:rPr>
        <w:t>oliko se radi o dodatnom plaćanju za čistu rasu), datum rođenja.</w:t>
      </w:r>
    </w:p>
    <w:p w:rsidR="0063440B" w:rsidRPr="00090902" w:rsidRDefault="00D1739D">
      <w:pPr>
        <w:pStyle w:val="ListParagraph"/>
        <w:numPr>
          <w:ilvl w:val="0"/>
          <w:numId w:val="17"/>
        </w:numPr>
        <w:spacing w:before="240" w:after="160" w:line="259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da priplodna grla na dan podnošenja zahtjeva imaju navršenu godinu dana starosti.</w:t>
      </w:r>
    </w:p>
    <w:p w:rsidR="0063440B" w:rsidRPr="00090902" w:rsidRDefault="00D1739D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Obračun uslovnih grla će biti sproveden kao što je prikazano u tabeli ispod:</w:t>
      </w:r>
    </w:p>
    <w:p w:rsidR="0063440B" w:rsidRPr="00090902" w:rsidRDefault="0063440B">
      <w:pPr>
        <w:pStyle w:val="ListParagraph"/>
        <w:rPr>
          <w:rFonts w:ascii="Arial" w:hAnsi="Arial" w:cs="Arial"/>
          <w:sz w:val="22"/>
          <w:lang w:val="sr-Latn-ME"/>
        </w:rPr>
      </w:pPr>
    </w:p>
    <w:tbl>
      <w:tblPr>
        <w:tblStyle w:val="GridTable1Light1"/>
        <w:tblW w:w="10060" w:type="dxa"/>
        <w:jc w:val="center"/>
        <w:tblLook w:val="04A0" w:firstRow="1" w:lastRow="0" w:firstColumn="1" w:lastColumn="0" w:noHBand="0" w:noVBand="1"/>
      </w:tblPr>
      <w:tblGrid>
        <w:gridCol w:w="7755"/>
        <w:gridCol w:w="2305"/>
      </w:tblGrid>
      <w:tr w:rsidR="0063440B" w:rsidRPr="00090902" w:rsidTr="00634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8D08D" w:themeFill="accent6" w:themeFillTint="99"/>
            <w:vAlign w:val="center"/>
          </w:tcPr>
          <w:p w:rsidR="0063440B" w:rsidRPr="00090902" w:rsidRDefault="00D1739D">
            <w:pPr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bCs w:val="0"/>
                <w:sz w:val="22"/>
                <w:lang w:val="sr-Latn-ME"/>
              </w:rPr>
              <w:t xml:space="preserve">Grlo </w:t>
            </w:r>
          </w:p>
        </w:tc>
        <w:tc>
          <w:tcPr>
            <w:tcW w:w="2305" w:type="dxa"/>
            <w:shd w:val="clear" w:color="auto" w:fill="A8D08D" w:themeFill="accent6" w:themeFillTint="99"/>
            <w:vAlign w:val="center"/>
          </w:tcPr>
          <w:p w:rsidR="0063440B" w:rsidRPr="00090902" w:rsidRDefault="00D173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bCs w:val="0"/>
                <w:sz w:val="22"/>
                <w:lang w:val="sr-Latn-ME"/>
              </w:rPr>
              <w:t>Koeficijent stočne jedin</w:t>
            </w:r>
            <w:r w:rsidRPr="00090902">
              <w:rPr>
                <w:rFonts w:ascii="Arial" w:hAnsi="Arial" w:cs="Arial"/>
                <w:bCs w:val="0"/>
                <w:sz w:val="22"/>
                <w:lang w:val="sr-Latn-ME"/>
              </w:rPr>
              <w:t>ice</w:t>
            </w:r>
          </w:p>
        </w:tc>
      </w:tr>
      <w:tr w:rsidR="0063440B" w:rsidRPr="00090902" w:rsidTr="006344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vAlign w:val="center"/>
          </w:tcPr>
          <w:p w:rsidR="0063440B" w:rsidRPr="00090902" w:rsidRDefault="00D1739D">
            <w:pPr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b w:val="0"/>
                <w:bCs w:val="0"/>
                <w:sz w:val="22"/>
                <w:lang w:val="sr-Latn-ME"/>
              </w:rPr>
              <w:t>Krave i junice starosti preko jedne godine</w:t>
            </w:r>
          </w:p>
        </w:tc>
        <w:tc>
          <w:tcPr>
            <w:tcW w:w="2305" w:type="dxa"/>
            <w:vAlign w:val="center"/>
          </w:tcPr>
          <w:p w:rsidR="0063440B" w:rsidRPr="00090902" w:rsidRDefault="00D17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sz w:val="22"/>
                <w:lang w:val="sr-Latn-ME"/>
              </w:rPr>
              <w:t>1.0</w:t>
            </w:r>
          </w:p>
        </w:tc>
      </w:tr>
      <w:tr w:rsidR="0063440B" w:rsidRPr="00090902" w:rsidTr="006344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vAlign w:val="center"/>
          </w:tcPr>
          <w:p w:rsidR="0063440B" w:rsidRPr="00090902" w:rsidRDefault="00D1739D">
            <w:pPr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b w:val="0"/>
                <w:bCs w:val="0"/>
                <w:sz w:val="22"/>
                <w:lang w:val="sr-Latn-ME"/>
              </w:rPr>
              <w:t>Krave i priplodne junice u sistemu držanja krava-tele starosti preko jedne godine</w:t>
            </w:r>
          </w:p>
        </w:tc>
        <w:tc>
          <w:tcPr>
            <w:tcW w:w="2305" w:type="dxa"/>
            <w:vAlign w:val="center"/>
          </w:tcPr>
          <w:p w:rsidR="0063440B" w:rsidRPr="00090902" w:rsidRDefault="00D17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sz w:val="22"/>
                <w:lang w:val="sr-Latn-ME"/>
              </w:rPr>
              <w:t>1.0</w:t>
            </w:r>
          </w:p>
        </w:tc>
      </w:tr>
      <w:tr w:rsidR="0063440B" w:rsidRPr="00090902" w:rsidTr="006344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vAlign w:val="center"/>
          </w:tcPr>
          <w:p w:rsidR="0063440B" w:rsidRPr="00090902" w:rsidRDefault="00D1739D">
            <w:pPr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b w:val="0"/>
                <w:bCs w:val="0"/>
                <w:sz w:val="22"/>
                <w:lang w:val="sr-Latn-ME"/>
              </w:rPr>
              <w:t>Ovce i koze (priplodna grla)</w:t>
            </w:r>
          </w:p>
        </w:tc>
        <w:tc>
          <w:tcPr>
            <w:tcW w:w="2305" w:type="dxa"/>
            <w:vAlign w:val="center"/>
          </w:tcPr>
          <w:p w:rsidR="0063440B" w:rsidRPr="00090902" w:rsidRDefault="00D17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sr-Latn-ME"/>
              </w:rPr>
            </w:pPr>
            <w:r w:rsidRPr="00090902">
              <w:rPr>
                <w:rFonts w:ascii="Arial" w:hAnsi="Arial" w:cs="Arial"/>
                <w:sz w:val="22"/>
                <w:lang w:val="sr-Latn-ME"/>
              </w:rPr>
              <w:t>0.10</w:t>
            </w:r>
          </w:p>
        </w:tc>
      </w:tr>
    </w:tbl>
    <w:p w:rsidR="0063440B" w:rsidRPr="00090902" w:rsidRDefault="0063440B">
      <w:pPr>
        <w:pStyle w:val="ListParagraph"/>
        <w:rPr>
          <w:rFonts w:ascii="Arial" w:hAnsi="Arial" w:cs="Arial"/>
          <w:sz w:val="22"/>
          <w:highlight w:val="yellow"/>
          <w:lang w:val="sr-Latn-ME"/>
        </w:rPr>
      </w:pPr>
    </w:p>
    <w:p w:rsidR="0063440B" w:rsidRPr="00090902" w:rsidRDefault="00D1739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Obavezan dokument u momentu podnošenja zahtjeva</w:t>
      </w:r>
      <w:r w:rsidRPr="00090902">
        <w:rPr>
          <w:rFonts w:ascii="Arial" w:hAnsi="Arial" w:cs="Arial"/>
          <w:sz w:val="22"/>
          <w:lang w:val="sr-Latn-ME"/>
        </w:rPr>
        <w:t xml:space="preserve"> za ostvarivanje prava na premiju je potvda o ažuriranim podacima o životinjama na gazdinstvu u Veterinarskoj bazi za 2026-u godinu.</w:t>
      </w:r>
    </w:p>
    <w:p w:rsidR="0063440B" w:rsidRPr="00090902" w:rsidRDefault="00D1739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da ažurira sve promjene o broju grla stoke prije podnošenja zahtjeva za premije kako bi se stanje u Veterinarskoj bazi pokl</w:t>
      </w:r>
      <w:r w:rsidRPr="00090902">
        <w:rPr>
          <w:rFonts w:ascii="Arial" w:hAnsi="Arial" w:cs="Arial"/>
          <w:sz w:val="22"/>
          <w:lang w:val="sr-Latn-ME"/>
        </w:rPr>
        <w:t>apalo sa stanjem na terenu. Grla koja ne budu imala ažurirane podatke (broj ušne markice, datum dolaska, pol, rasa, datum rođenja, kategorija) biće isključena iz sistema podrške.</w:t>
      </w:r>
    </w:p>
    <w:p w:rsidR="0063440B" w:rsidRPr="00090902" w:rsidRDefault="00D1739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Pravo na premiju može ostvariti poljoprivredno gazdinstvo koje ima u SIZEP-u </w:t>
      </w:r>
      <w:r w:rsidRPr="00090902">
        <w:rPr>
          <w:rFonts w:ascii="Arial" w:hAnsi="Arial" w:cs="Arial"/>
          <w:sz w:val="22"/>
          <w:lang w:val="sr-Latn-ME"/>
        </w:rPr>
        <w:t>upisano minimum 1 ha poljoprivrednog zemljišta, najkasnije do 01.11.2026. godine.</w:t>
      </w:r>
      <w:r w:rsidRPr="00090902">
        <w:rPr>
          <w:lang w:val="sr-Latn-ME"/>
        </w:rPr>
        <w:t xml:space="preserve"> </w:t>
      </w:r>
      <w:r w:rsidRPr="00090902">
        <w:rPr>
          <w:rFonts w:ascii="Arial" w:hAnsi="Arial" w:cs="Arial"/>
          <w:sz w:val="22"/>
          <w:lang w:val="sr-Latn-ME"/>
        </w:rPr>
        <w:t>Izuzetno, ako registrovano poljoprivredno gazdinstvo nema upisano 1 ha poljoprivrednog zemljišta u SIZEP-u, ukupan odobreni iznos po ovoj mjeri će biti umanjen 10%.</w:t>
      </w:r>
    </w:p>
    <w:p w:rsidR="0063440B" w:rsidRPr="00090902" w:rsidRDefault="00D1739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Korisnik </w:t>
      </w:r>
      <w:r w:rsidRPr="00090902">
        <w:rPr>
          <w:rFonts w:ascii="Arial" w:hAnsi="Arial" w:cs="Arial"/>
          <w:sz w:val="22"/>
          <w:lang w:val="sr-Latn-ME"/>
        </w:rPr>
        <w:t>je u obavezi da poštuje principe utvrđene pravilima uslovljenosti koji se odnose na SMR 11 (Dobri poljoprivredni i ekološki uslovi) – dobrobiti životinja. Poljoprivredni proizvođači su dužni poštovati minimalne standarde dobrobiti životinja: obezbjeđivanje</w:t>
      </w:r>
      <w:r w:rsidRPr="00090902">
        <w:rPr>
          <w:rFonts w:ascii="Arial" w:hAnsi="Arial" w:cs="Arial"/>
          <w:sz w:val="22"/>
          <w:lang w:val="sr-Latn-ME"/>
        </w:rPr>
        <w:t xml:space="preserve"> dovoljne slobode kretanja koja ne uzrokuje nepotrebnu patnju, korišćenje materijala za objekte bez oštrih ivica koje se lako čiste, osiguravanje cirkulacije vazduha, temperature i vlažnosti u granicama koje nijesu štetne. Životinje u zatvorenom prostoru n</w:t>
      </w:r>
      <w:r w:rsidRPr="00090902">
        <w:rPr>
          <w:rFonts w:ascii="Arial" w:hAnsi="Arial" w:cs="Arial"/>
          <w:sz w:val="22"/>
          <w:lang w:val="sr-Latn-ME"/>
        </w:rPr>
        <w:t>e smiju stalno biti u mraku, dok onima na otvorenom mora biti obezbijeđena zaštita od lošeg vremena i predatora. Poseban akcenat se stavlja na ishranu i vodu: životinje moraju imati pristup čistoj vodi i hrani u intervalima koji odgovaraju njihovim potreba</w:t>
      </w:r>
      <w:r w:rsidRPr="00090902">
        <w:rPr>
          <w:rFonts w:ascii="Arial" w:hAnsi="Arial" w:cs="Arial"/>
          <w:sz w:val="22"/>
          <w:lang w:val="sr-Latn-ME"/>
        </w:rPr>
        <w:t>ma. Zabranjeno je rutinsko šišanje repova, žigosanje i skidanje rogova kod stoke, osim u izuzetnim veterinarskim slučajevima. Držalac je dužan voditi evidenciju o veterinarskim tretmanima i uginućima, te je čuvati najmanje 3 godine. Ukoliko se prilikom kon</w:t>
      </w:r>
      <w:r w:rsidRPr="00090902">
        <w:rPr>
          <w:rFonts w:ascii="Arial" w:hAnsi="Arial" w:cs="Arial"/>
          <w:sz w:val="22"/>
          <w:lang w:val="sr-Latn-ME"/>
        </w:rPr>
        <w:t>trole utvrdi da uslovi propisani u odnosu na SMR 11 nisu ispunjeni, iznos podrške će biti umanjen za 5% obračunatog iznosa.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OPŠTI KRITERIJUMI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Podnosilac zahtjeva je obavezan da do podnošenja zahtjeva ažurira podatke o gazdinstvu u Registru poljoprivrednih </w:t>
      </w:r>
      <w:r w:rsidRPr="00090902">
        <w:rPr>
          <w:rFonts w:ascii="Arial" w:hAnsi="Arial" w:cs="Arial"/>
          <w:sz w:val="22"/>
          <w:lang w:val="sr-Latn-ME"/>
        </w:rPr>
        <w:t>gazdinstava (posebno podatke o žiro računu);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Podrška će biti obračunata na osnovu prihvatljivog broja uslovnih grla (nakon administrativne i terenske kontrole);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 slučaju da podnosilac zahtjeva ne dozvoli, ili spriječi kontrolu na terenu, ili na bilo koji drugi način utiče na rad kontrolora, jedinstveni zahtjev neće biti odobren;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Stanje pr</w:t>
      </w:r>
      <w:r w:rsidRPr="00090902">
        <w:rPr>
          <w:rFonts w:ascii="Arial" w:hAnsi="Arial" w:cs="Arial"/>
          <w:sz w:val="22"/>
          <w:lang w:val="sr-Latn-ME"/>
        </w:rPr>
        <w:t>ijavljeno u Jedinstvenom zahtjevu mora u potpunosti odgovarati stvarnom stanju na terenu, uključujući brojno stanje grla, identifikaciju putem ušnih markica i pol životinja; u suprotnom, grlo za koje je utvrđeno neslaganje biće odbijeno kao neprihvatljivo.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Podnosilac zahtjeva je dužan da na svom gazdinstvu prilikom uzgoja životinja poštuje preporuke utvrđene Kodeksom dobre poljoprivredne prakse;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Podnosilac zahtjeva koji ne ispoštuje propisanu minimalan broj uslovnih grla iz odjeljka „Uslovi za dodjelu podrš</w:t>
      </w:r>
      <w:r w:rsidRPr="00090902">
        <w:rPr>
          <w:rFonts w:ascii="Arial" w:hAnsi="Arial" w:cs="Arial"/>
          <w:sz w:val="22"/>
          <w:lang w:val="sr-Latn-ME"/>
        </w:rPr>
        <w:t>ke“ ovog javnog poziva, neće ostvariti pravo na podršku;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U slučaju promjene nosioca gazdinstva, poljoprivredna gazdinstva su u obavezi da prijave promjenu podataka u Registru poljoprivrednih gazdinstava u roku od 30 dana od dana nastanka </w:t>
      </w:r>
      <w:r w:rsidRPr="00090902">
        <w:rPr>
          <w:rFonts w:ascii="Arial" w:hAnsi="Arial" w:cs="Arial"/>
          <w:sz w:val="22"/>
          <w:lang w:val="sr-Latn-ME"/>
        </w:rPr>
        <w:lastRenderedPageBreak/>
        <w:t>promjene, u skladu</w:t>
      </w:r>
      <w:r w:rsidRPr="00090902">
        <w:rPr>
          <w:rFonts w:ascii="Arial" w:hAnsi="Arial" w:cs="Arial"/>
          <w:sz w:val="22"/>
          <w:lang w:val="sr-Latn-ME"/>
        </w:rPr>
        <w:t xml:space="preserve"> sa Pravilnikom o obliku i načinu vođenja registra subjekata i registra poljoprivrednih gazdinstava („Službeni list CG“, br. 16/14 i 37/18);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Ukoliko dođe do promjene nosioca gazdinstva korisnik je dužan i da izvrši izmjenu zahtjeva;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 slučaju da nakon zavr</w:t>
      </w:r>
      <w:r w:rsidRPr="00090902">
        <w:rPr>
          <w:rFonts w:ascii="Arial" w:hAnsi="Arial" w:cs="Arial"/>
          <w:sz w:val="22"/>
          <w:lang w:val="sr-Latn-ME"/>
        </w:rPr>
        <w:t>šene administrativne i terenske kontrole, po određenoj mjeri, odobreni iznos sredstava se razlikuje za:</w:t>
      </w:r>
    </w:p>
    <w:p w:rsidR="0063440B" w:rsidRPr="00090902" w:rsidRDefault="00D1739D">
      <w:pPr>
        <w:pStyle w:val="ListParagraph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20 do 50% u odnosu na zahtijevani, odobreni iznos će biti umanjen za onoliko % za koliko je uočeno nepoklapanje;</w:t>
      </w:r>
    </w:p>
    <w:p w:rsidR="0063440B" w:rsidRPr="00090902" w:rsidRDefault="00D1739D">
      <w:pPr>
        <w:pStyle w:val="ListParagraph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više od 50% u odnosu na zahtijevani, po</w:t>
      </w:r>
      <w:r w:rsidRPr="00090902">
        <w:rPr>
          <w:rFonts w:ascii="Arial" w:hAnsi="Arial" w:cs="Arial"/>
          <w:sz w:val="22"/>
          <w:lang w:val="sr-Latn-ME"/>
        </w:rPr>
        <w:t xml:space="preserve">dnosilac zahtjeva neće ostvariti pravo na podršku, osim </w:t>
      </w:r>
      <w:r w:rsidRPr="00090902">
        <w:rPr>
          <w:rFonts w:ascii="Arial" w:hAnsi="Arial" w:cs="Arial"/>
          <w:sz w:val="22"/>
          <w:lang w:val="sr-Latn-ME"/>
        </w:rPr>
        <w:t>u slučaju više sile</w:t>
      </w:r>
      <w:r w:rsidRPr="00090902">
        <w:rPr>
          <w:rFonts w:ascii="Arial" w:hAnsi="Arial" w:cs="Arial"/>
          <w:sz w:val="22"/>
          <w:lang w:val="sr-Latn-ME"/>
        </w:rPr>
        <w:t>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Podnosilac zahtjeva odgovara za tačnost podataka i dokumentacije za ostvarivanje prava na podršku.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IZNOS PODRŠKE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Visina podrške po ovom javnom pozivu iznosi do 100€ za premije za </w:t>
      </w:r>
      <w:r w:rsidRPr="00090902">
        <w:rPr>
          <w:rFonts w:ascii="Arial" w:hAnsi="Arial" w:cs="Arial"/>
          <w:sz w:val="22"/>
          <w:lang w:val="sr-Latn-ME"/>
        </w:rPr>
        <w:t>krave i priplodne junice. Osnovna premija po grlu za priplodne ovce i koze iznosi 15€ po uslovnom grlu.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Dodatna podrška u iznosu od 50 EUR/uslovnom grlu odobrava se za premije po grlu za krave i priplodne junice u sistemu držanja krava – tele (isključivo t</w:t>
      </w:r>
      <w:r w:rsidRPr="00090902">
        <w:rPr>
          <w:rFonts w:ascii="Arial" w:hAnsi="Arial" w:cs="Arial"/>
          <w:sz w:val="22"/>
          <w:lang w:val="sr-Latn-ME"/>
        </w:rPr>
        <w:t>ovne rase-uzgoj u čistoj rasi).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Ako ukupna visina zahtjeva za plaćanja direktne podrške prevazilazi budžetom planirani godišnji iznos, proporcionalno se smanjuju jedinična plaćanja po uslovnom grlu.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PRIJAVA NA JAVNI POZIV I POTREBNA DOKUMENTACIJA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Prijava n</w:t>
      </w:r>
      <w:r w:rsidRPr="00090902">
        <w:rPr>
          <w:rFonts w:ascii="Arial" w:hAnsi="Arial" w:cs="Arial"/>
          <w:sz w:val="22"/>
          <w:lang w:val="sr-Latn-ME"/>
        </w:rPr>
        <w:t>a javni poziv vrši se u zakazanom terminu u kancelarijama Odsjeka za koordinaciju regionalnih poslova – Agencija za plaćanja u poljoprivredi, ruralnom razvoju i ribarstvu (u daljem tekstu Agencija za plaćanja), na način što poljoprivredni proizvođač popunj</w:t>
      </w:r>
      <w:r w:rsidRPr="00090902">
        <w:rPr>
          <w:rFonts w:ascii="Arial" w:hAnsi="Arial" w:cs="Arial"/>
          <w:sz w:val="22"/>
          <w:lang w:val="sr-Latn-ME"/>
        </w:rPr>
        <w:t xml:space="preserve">ava i podnosi zahtjev za dodjelu podrške uz pomoć službenika iz kancelarije, kroz dio softverskog rješenja Sistema upravljanja i evidencije zahtjeva kroz mjere direktnih plaćanja i ruralnog razvoja prema površini referentne parcele </w:t>
      </w:r>
      <w:r w:rsidRPr="00090902">
        <w:rPr>
          <w:rFonts w:ascii="Arial" w:hAnsi="Arial" w:cs="Arial"/>
          <w:sz w:val="22"/>
          <w:szCs w:val="22"/>
          <w:lang w:val="sr-Latn-ME"/>
        </w:rPr>
        <w:t>(Evidencija zahtjeva).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szCs w:val="22"/>
          <w:lang w:val="sr-Latn-ME"/>
        </w:rPr>
        <w:t>Z</w:t>
      </w:r>
      <w:r w:rsidRPr="00090902">
        <w:rPr>
          <w:rFonts w:ascii="Arial" w:hAnsi="Arial" w:cs="Arial"/>
          <w:sz w:val="22"/>
          <w:szCs w:val="22"/>
          <w:lang w:val="sr-Latn-ME"/>
        </w:rPr>
        <w:t xml:space="preserve">ahtjev za dodjelu podrške, u ime podnosioca zahtjeva, može popuniti i podnijeti i član njegovog/njenog poljoprivrednog gazdinstva koji se nalazi u Registru poljoprivrednih gazdinstava ili drugo lice sa ovlašćenjem datim od podnosioca zahtjeva ovjerenim na </w:t>
      </w:r>
      <w:r w:rsidRPr="00090902">
        <w:rPr>
          <w:rFonts w:ascii="Arial" w:hAnsi="Arial" w:cs="Arial"/>
          <w:sz w:val="22"/>
          <w:szCs w:val="22"/>
          <w:lang w:val="sr-Latn-ME"/>
        </w:rPr>
        <w:t>način propisan zakonom.</w:t>
      </w:r>
    </w:p>
    <w:p w:rsidR="0063440B" w:rsidRPr="00090902" w:rsidRDefault="00D1739D">
      <w:pPr>
        <w:spacing w:before="240" w:line="276" w:lineRule="auto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NAČIN I ROK ZA PODNOŠENJE ZAHTJEVA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Nakon popunjavanja zahtjeva podnosilac zahtjeva dobija na uvid primjerak zahtjeva, kako bi otklonio eventualna nepoklapanja, zatim se zahtjev potpisuje od strane podnosioca zahtjeva</w:t>
      </w:r>
      <w:r w:rsidRPr="00090902">
        <w:rPr>
          <w:rFonts w:ascii="Arial" w:hAnsi="Arial" w:cs="Arial"/>
          <w:sz w:val="22"/>
          <w:lang w:val="sr-Latn-ME"/>
        </w:rPr>
        <w:t xml:space="preserve"> (punomoćnika ili člana poljoprivrednog gazdinstva) i odgovornog službenika. Ovako potpisan zahtjev, zajedno sa relevantnom dokumentacijom, službenik skenira i unosi u sistem, čime se zahtjev smatra podnijetim. 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Rok za podnošenje zahtjeva za podršku je od </w:t>
      </w:r>
      <w:r w:rsidRPr="00090902">
        <w:rPr>
          <w:rFonts w:ascii="Arial" w:hAnsi="Arial" w:cs="Arial"/>
          <w:sz w:val="22"/>
          <w:lang w:val="sr-Latn-ME"/>
        </w:rPr>
        <w:t>27.04.2026. godine do 21.08.2026. godine.</w:t>
      </w:r>
      <w:r w:rsidRPr="00090902">
        <w:rPr>
          <w:rFonts w:ascii="Arial" w:hAnsi="Arial" w:cs="Arial"/>
          <w:sz w:val="22"/>
          <w:lang w:val="sr-Latn-ME"/>
        </w:rPr>
        <w:t xml:space="preserve"> 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Nakon isteka roka za zakašnjele zahtjeve, zahtjev se smatra neprihvatljivim, osim u slučaju više sile.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Nepotpuna i neblagovremeno podnijeta dokumentacija se neće razmatrati.</w:t>
      </w:r>
    </w:p>
    <w:p w:rsidR="0063440B" w:rsidRPr="00090902" w:rsidRDefault="0063440B">
      <w:pPr>
        <w:spacing w:before="240" w:line="276" w:lineRule="auto"/>
        <w:rPr>
          <w:rFonts w:ascii="Arial" w:hAnsi="Arial" w:cs="Arial"/>
          <w:b/>
          <w:sz w:val="22"/>
          <w:lang w:val="sr-Latn-ME"/>
        </w:rPr>
      </w:pPr>
    </w:p>
    <w:p w:rsidR="00090902" w:rsidRDefault="00090902">
      <w:pPr>
        <w:spacing w:before="240" w:line="276" w:lineRule="auto"/>
        <w:rPr>
          <w:rFonts w:ascii="Arial" w:hAnsi="Arial" w:cs="Arial"/>
          <w:b/>
          <w:sz w:val="22"/>
          <w:lang w:val="sr-Latn-ME"/>
        </w:rPr>
      </w:pPr>
    </w:p>
    <w:p w:rsidR="00090902" w:rsidRDefault="00090902">
      <w:pPr>
        <w:spacing w:before="240" w:line="276" w:lineRule="auto"/>
        <w:rPr>
          <w:rFonts w:ascii="Arial" w:hAnsi="Arial" w:cs="Arial"/>
          <w:b/>
          <w:sz w:val="22"/>
          <w:lang w:val="sr-Latn-ME"/>
        </w:rPr>
      </w:pPr>
    </w:p>
    <w:p w:rsidR="0063440B" w:rsidRPr="00090902" w:rsidRDefault="00D1739D">
      <w:pPr>
        <w:spacing w:before="240" w:line="276" w:lineRule="auto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lastRenderedPageBreak/>
        <w:t>VIŠA SILA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Viša sila je prirodni događaj ili ljudska radnja koja se nije mogla predvidjeti ili spriječiti, a usljed kojih je nastupila šteta, s tim da se ljudska radnja nije mogla pripisati u krivicu lica na koje bi inače pripala odgovornost. Viša sila nastaje u sluč</w:t>
      </w:r>
      <w:r w:rsidRPr="00090902">
        <w:rPr>
          <w:rFonts w:ascii="Arial" w:hAnsi="Arial" w:cs="Arial"/>
          <w:sz w:val="22"/>
          <w:lang w:val="sr-Latn-ME"/>
        </w:rPr>
        <w:t>ajevima:</w:t>
      </w:r>
    </w:p>
    <w:p w:rsidR="0063440B" w:rsidRPr="00090902" w:rsidRDefault="00D1739D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Smrti nosioca gazdinstva ili člana poljoprivrednog gazdinstva;</w:t>
      </w:r>
    </w:p>
    <w:p w:rsidR="0063440B" w:rsidRPr="00090902" w:rsidRDefault="00D1739D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Dugoročne profesionalne nesposobnosti nosioca gazdinstva ili člana poljoprivrednog gazdinstva;</w:t>
      </w:r>
    </w:p>
    <w:p w:rsidR="0063440B" w:rsidRPr="00090902" w:rsidRDefault="00D1739D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Prirodne katastrofe ili najezde štetnih insekata koje zahvataju regiju, a koja utiče na p</w:t>
      </w:r>
      <w:r w:rsidRPr="00090902">
        <w:rPr>
          <w:rFonts w:ascii="Arial" w:hAnsi="Arial" w:cs="Arial"/>
          <w:sz w:val="22"/>
          <w:lang w:val="sr-Latn-ME"/>
        </w:rPr>
        <w:t>oljoprivredno gazdinstvo;</w:t>
      </w:r>
    </w:p>
    <w:p w:rsidR="0063440B" w:rsidRPr="00090902" w:rsidRDefault="00D1739D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Nenamjernog uništavanja poljoprivrednih objekata na poljoprivrednom gazdinstvu.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 slučaju više sile, podnosilac zahtjeva ili njegov ovlašćeni zastupnik, je obavezan u pisanom obliku dostaviti odgovarajući dokaz Agenciji za plaćanj</w:t>
      </w:r>
      <w:r w:rsidRPr="00090902">
        <w:rPr>
          <w:rFonts w:ascii="Arial" w:hAnsi="Arial" w:cs="Arial"/>
          <w:sz w:val="22"/>
          <w:lang w:val="sr-Latn-ME"/>
        </w:rPr>
        <w:t xml:space="preserve">a, u roku od 15 radnih dana </w:t>
      </w:r>
      <w:r w:rsidRPr="00090902">
        <w:rPr>
          <w:rFonts w:ascii="Arial" w:hAnsi="Arial" w:cs="Arial"/>
          <w:sz w:val="22"/>
          <w:lang w:val="sr-Latn-ME"/>
        </w:rPr>
        <w:t>od dana djelovanja više sile</w:t>
      </w:r>
      <w:r w:rsidRPr="00090902">
        <w:rPr>
          <w:rFonts w:ascii="Arial" w:hAnsi="Arial" w:cs="Arial"/>
          <w:sz w:val="22"/>
          <w:lang w:val="sr-Latn-ME"/>
        </w:rPr>
        <w:t>. Dokaz je potrebno dostaviti od tijela koje je nadležno za taj oblik više sile (npr. u slučaju smrti to je smrtovnica izdata od strane Ministarstva unutrašnjih poslova). Datum izdavanja dokaza od rel</w:t>
      </w:r>
      <w:r w:rsidRPr="00090902">
        <w:rPr>
          <w:rFonts w:ascii="Arial" w:hAnsi="Arial" w:cs="Arial"/>
          <w:sz w:val="22"/>
          <w:lang w:val="sr-Latn-ME"/>
        </w:rPr>
        <w:t>evantnog tijela mora biti prije datuma isteka roka za zakašnjele zahtjeve, ukoliko se podnosi kao razlog kašnjenja zahtjeva.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IZMJENE, DOPUNE I ODUSTAJANJE OD DIJELA ILI KOMPLETNOG ZAHTJEVA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Korisnik može zatražiti izmjenu ili dopunu zahtjeva tokom roka za p</w:t>
      </w:r>
      <w:r w:rsidRPr="00090902">
        <w:rPr>
          <w:rFonts w:ascii="Arial" w:hAnsi="Arial" w:cs="Arial"/>
          <w:sz w:val="22"/>
          <w:lang w:val="sr-Latn-ME"/>
        </w:rPr>
        <w:t>odnošenje zahtjeva.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Zahtjev za izmjene i dopune zahtjeva popunjava se na isti način na koji se podnosi zahtjev za dodjelu podrške.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Podnosilac može odustati od dijela zahtjeva ili zahtjeva u cjelini do donošenja odluke po istom.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Izmjene, dopune i odustajanj</w:t>
      </w:r>
      <w:r w:rsidRPr="00090902">
        <w:rPr>
          <w:rFonts w:ascii="Arial" w:hAnsi="Arial" w:cs="Arial"/>
          <w:sz w:val="22"/>
          <w:lang w:val="sr-Latn-ME"/>
        </w:rPr>
        <w:t>a od zahtjeva, koje se vrše van sistema Evidencije zahtjeva, neće biti prihvaćene. Ukoliko su izmjene i/ili dopune nejasne ili nerazumljive ili se iz traženih izmjena/dopuna ne može utvrditi što podnosilac zahtjeva mijenja/dopunjuje, takve izmjene/dopune z</w:t>
      </w:r>
      <w:r w:rsidRPr="00090902">
        <w:rPr>
          <w:rFonts w:ascii="Arial" w:hAnsi="Arial" w:cs="Arial"/>
          <w:sz w:val="22"/>
          <w:lang w:val="sr-Latn-ME"/>
        </w:rPr>
        <w:t>ahtjeva neće biti razmatrane.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Ako je Korisnik obaviješten o namjeri obavljanja kontrole na terenu ili inspekcijskog nadzora ili mu je otkrivena nepravilnost na temelju administrativne kontrole i/ili kontrole na terenu i/ili inspekcijskog nadzora, u tom slu</w:t>
      </w:r>
      <w:r w:rsidRPr="00090902">
        <w:rPr>
          <w:rFonts w:ascii="Arial" w:hAnsi="Arial" w:cs="Arial"/>
          <w:sz w:val="22"/>
          <w:lang w:val="sr-Latn-ME"/>
        </w:rPr>
        <w:t>čaju izmjene, dopune ili odustajanja od zahtjeva nisu dozvoljene.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Zahtjev za koji je podnijeta izmjena ili dopuna će biti razmatran sa zadnje odobrenom izmjenom ili dopunom. U ovom slučaju kao datum podnošenja jedinstvenog zahtjeva, uzima se datum podnijet</w:t>
      </w:r>
      <w:r w:rsidRPr="00090902">
        <w:rPr>
          <w:rFonts w:ascii="Arial" w:hAnsi="Arial" w:cs="Arial"/>
          <w:sz w:val="22"/>
          <w:lang w:val="sr-Latn-ME"/>
        </w:rPr>
        <w:t>e izmjene i/ili dopune.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PROCEDURA REALIZACIJE ZAHTJEVA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bookmarkStart w:id="1" w:name="_Hlk224021458"/>
      <w:bookmarkStart w:id="2" w:name="_Hlk223944112"/>
      <w:r w:rsidRPr="00090902">
        <w:rPr>
          <w:rFonts w:ascii="Arial" w:hAnsi="Arial" w:cs="Arial"/>
          <w:sz w:val="22"/>
          <w:lang w:val="sr-Latn-ME"/>
        </w:rPr>
        <w:t xml:space="preserve">Nakon podnošenja zahtjeva, Agencija za plaćanja će izvršiti administrativnu kontrolu podnijete dokumentacije i kontrolu na terenu. 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bookmarkStart w:id="3" w:name="_Hlk224021471"/>
      <w:bookmarkEnd w:id="1"/>
      <w:r w:rsidRPr="00090902">
        <w:rPr>
          <w:rFonts w:ascii="Arial" w:hAnsi="Arial" w:cs="Arial"/>
          <w:sz w:val="22"/>
          <w:lang w:val="sr-Latn-ME"/>
        </w:rPr>
        <w:t>Kontrola na terenu od strane Agencije za plaćanje sprovodi se na odre</w:t>
      </w:r>
      <w:r w:rsidRPr="00090902">
        <w:rPr>
          <w:rFonts w:ascii="Arial" w:hAnsi="Arial" w:cs="Arial"/>
          <w:sz w:val="22"/>
          <w:lang w:val="sr-Latn-ME"/>
        </w:rPr>
        <w:t>đenom uzorku parcela/zahtjeva koji su potpuni i ispunjavaju uslove i kriterijume za podršku po ovom javnom pozivu, kao i u svim slučajevima kada se pojavi sumnja u vjerodostojnost podataka iz podnijete dokumentacije.</w:t>
      </w:r>
      <w:bookmarkEnd w:id="2"/>
      <w:bookmarkEnd w:id="3"/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Kontrolori mogu (nije obavezujuće) naja</w:t>
      </w:r>
      <w:r w:rsidRPr="00090902">
        <w:rPr>
          <w:rFonts w:ascii="Arial" w:hAnsi="Arial" w:cs="Arial"/>
          <w:sz w:val="22"/>
          <w:lang w:val="sr-Latn-ME"/>
        </w:rPr>
        <w:t xml:space="preserve">viti kontrolu 48 sati unaprijed korisniku, pod uslovima da ciljevi i svrha kontrole na terenu nijesu ugroženi prethodnom najavom. 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lastRenderedPageBreak/>
        <w:t xml:space="preserve">Za vrijeme kontrole na terenu, kontrolori mogu provjeravati sve navode iz zahtjeva. Kontrola na terenu je dužna da utvrdi da </w:t>
      </w:r>
      <w:r w:rsidRPr="00090902">
        <w:rPr>
          <w:rFonts w:ascii="Arial" w:hAnsi="Arial" w:cs="Arial"/>
          <w:sz w:val="22"/>
          <w:lang w:val="sr-Latn-ME"/>
        </w:rPr>
        <w:t>li je broj prijavljenih grla isti kao i broj naveden u zahtjevu. U slučaju kada je podnosilac zahtjeva obaviješten o kontroli na terenu obavezan je prisustvovati istoj, on ili član gazdinstva (iz Registra poljoprivrednih gazdinstava) ili drugo lice sa ovla</w:t>
      </w:r>
      <w:r w:rsidRPr="00090902">
        <w:rPr>
          <w:rFonts w:ascii="Arial" w:hAnsi="Arial" w:cs="Arial"/>
          <w:sz w:val="22"/>
          <w:lang w:val="sr-Latn-ME"/>
        </w:rPr>
        <w:t>šćenjem podnosioca zahtjeva ovjerenom u sudu, opštini ili kod notara. Korisnik je u obavezi da detaljno objasni kontrolorima kako da dođu do gazdinstva ili uslovnih grla koja su predmet kontrole.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Nakon izvršene kontrole, Agencija za plaćanja će sačiniti iz</w:t>
      </w:r>
      <w:r w:rsidRPr="00090902">
        <w:rPr>
          <w:rFonts w:ascii="Arial" w:hAnsi="Arial" w:cs="Arial"/>
          <w:sz w:val="22"/>
          <w:lang w:val="sr-Latn-ME"/>
        </w:rPr>
        <w:t xml:space="preserve">vještaj o stanju na terenu i isti dostaviti korisniku na adresu koja je navedena u Zahtjevu za podršku.  Po prijemu izještaja o kontroli na terenu podnosilac zahtjeva ima pravo da se izjasni u roku od 3 dana od dana prijema. </w:t>
      </w:r>
    </w:p>
    <w:p w:rsidR="0063440B" w:rsidRPr="00090902" w:rsidRDefault="00D1739D">
      <w:pPr>
        <w:spacing w:line="276" w:lineRule="auto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Ukoliko se korisnik: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Ne izjasn</w:t>
      </w:r>
      <w:r w:rsidRPr="00090902">
        <w:rPr>
          <w:rFonts w:ascii="Arial" w:hAnsi="Arial" w:cs="Arial"/>
          <w:sz w:val="22"/>
          <w:lang w:val="sr-Latn-ME"/>
        </w:rPr>
        <w:t>i, smatra se da je saglasan sa istim i zahtjev se dalje obrađuje administrativno;</w:t>
      </w:r>
    </w:p>
    <w:p w:rsidR="0063440B" w:rsidRPr="00090902" w:rsidRDefault="00D1739D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Izjasni, Agencija za plaćanja </w:t>
      </w:r>
      <w:r w:rsidRPr="00090902">
        <w:rPr>
          <w:rFonts w:ascii="Arial" w:hAnsi="Arial" w:cs="Arial"/>
          <w:sz w:val="22"/>
          <w:lang w:val="sr-Latn-ME"/>
        </w:rPr>
        <w:t>će još jednom izvršiti uvid u izvještaj o stanju na terenu i fotodokumentaciju. Ukoliko se utvrdi da je potrebno ponoviti kontrolu na terenu, ista će ponovo biti obavljena uz prisustvo podnosioca zahtjeva.</w:t>
      </w:r>
    </w:p>
    <w:p w:rsidR="0063440B" w:rsidRPr="00090902" w:rsidRDefault="00D1739D">
      <w:pPr>
        <w:spacing w:after="240" w:line="276" w:lineRule="auto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Izvještaji koji nisu dostavljeni zbog netačno unes</w:t>
      </w:r>
      <w:r w:rsidRPr="00090902">
        <w:rPr>
          <w:rFonts w:ascii="Arial" w:hAnsi="Arial" w:cs="Arial"/>
          <w:sz w:val="22"/>
          <w:lang w:val="sr-Latn-ME"/>
        </w:rPr>
        <w:t>ene adrese u Zahtjevu će se smatrati kao dostavljeni.</w:t>
      </w:r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bookmarkStart w:id="4" w:name="_Hlk223944169"/>
      <w:r w:rsidRPr="00090902">
        <w:rPr>
          <w:rFonts w:ascii="Arial" w:hAnsi="Arial" w:cs="Arial"/>
          <w:sz w:val="22"/>
          <w:lang w:val="sr-Latn-ME"/>
        </w:rPr>
        <w:t>Podnosilac zahtjeva ima pravo uvida u fotodokumentaciju u prostorijama Agencije za plaćanje.</w:t>
      </w:r>
      <w:bookmarkEnd w:id="4"/>
    </w:p>
    <w:p w:rsidR="0063440B" w:rsidRPr="00090902" w:rsidRDefault="00D1739D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 xml:space="preserve">U slučaju da se terenskom kontrolom utvrdi veći broj uslovnih grla od prijavljenih u zahtjevu, obračun će se </w:t>
      </w:r>
      <w:r w:rsidRPr="00090902">
        <w:rPr>
          <w:rFonts w:ascii="Arial" w:hAnsi="Arial" w:cs="Arial"/>
          <w:sz w:val="22"/>
          <w:lang w:val="sr-Latn-ME"/>
        </w:rPr>
        <w:t>vršiti prema podacima iz zahtjeva. Ako se utvrdi manji broj uslovnih grla od navedenih u zahtjevu, obračun će se vršiti prema podacima sa terenske kontrole.</w:t>
      </w:r>
    </w:p>
    <w:p w:rsidR="0063440B" w:rsidRPr="00090902" w:rsidRDefault="00D1739D">
      <w:pPr>
        <w:spacing w:before="240" w:line="276" w:lineRule="auto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FINANSIJE I ISPLATA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bookmarkStart w:id="5" w:name="_Hlk224021679"/>
      <w:r w:rsidRPr="00090902">
        <w:rPr>
          <w:rFonts w:ascii="Arial" w:hAnsi="Arial" w:cs="Arial"/>
          <w:sz w:val="22"/>
          <w:lang w:val="sr-Latn-ME"/>
        </w:rPr>
        <w:t>Isplata se vrši podnosiocima zahtjeva na bankovni račun (koji se nalazi u Regis</w:t>
      </w:r>
      <w:r w:rsidRPr="00090902">
        <w:rPr>
          <w:rFonts w:ascii="Arial" w:hAnsi="Arial" w:cs="Arial"/>
          <w:sz w:val="22"/>
          <w:lang w:val="sr-Latn-ME"/>
        </w:rPr>
        <w:t xml:space="preserve">tru poljoprivrednih gazdinstava) nakon izvršenih kontrola i odobrenja zahtjeva od strane </w:t>
      </w:r>
      <w:bookmarkStart w:id="6" w:name="_Hlk223944188"/>
      <w:r w:rsidRPr="00090902">
        <w:rPr>
          <w:rFonts w:ascii="Arial" w:hAnsi="Arial" w:cs="Arial"/>
          <w:sz w:val="22"/>
          <w:lang w:val="sr-Latn-ME"/>
        </w:rPr>
        <w:t>Agencije za plaćanje</w:t>
      </w:r>
      <w:bookmarkEnd w:id="6"/>
      <w:r w:rsidRPr="00090902">
        <w:rPr>
          <w:rFonts w:ascii="Arial" w:hAnsi="Arial" w:cs="Arial"/>
          <w:sz w:val="22"/>
          <w:lang w:val="sr-Latn-ME"/>
        </w:rPr>
        <w:t xml:space="preserve">. </w:t>
      </w:r>
      <w:bookmarkEnd w:id="5"/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Ukoliko u momentu isplate podnosilac zahtjeva nema aktivan/ispravan nacionalni broj žiro računa u banci, prijavljen i evidentiran u Registru pol</w:t>
      </w:r>
      <w:r w:rsidRPr="00090902">
        <w:rPr>
          <w:rFonts w:ascii="Arial" w:hAnsi="Arial" w:cs="Arial"/>
          <w:sz w:val="22"/>
          <w:lang w:val="sr-Latn-ME"/>
        </w:rPr>
        <w:t>joprivrednih gazdinstava, sredstva će biti vraćena u budžet Crne Gore na Glavni Račun Trezora.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090902">
        <w:rPr>
          <w:rFonts w:ascii="Arial" w:hAnsi="Arial" w:cs="Arial"/>
          <w:sz w:val="22"/>
          <w:lang w:val="sr-Latn-ME"/>
        </w:rPr>
        <w:t>Ukoliko ukupna visina zahtijevane podrške prevazilazi planirani iznos sredstava opredijeljen ovom mjerom, proporcionalno će se smanjivati plaćanja po hektaru.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bookmarkStart w:id="7" w:name="_Hlk223944214"/>
      <w:r w:rsidRPr="00090902">
        <w:rPr>
          <w:rFonts w:ascii="Arial" w:hAnsi="Arial" w:cs="Arial"/>
          <w:sz w:val="22"/>
          <w:lang w:val="sr-Latn-ME"/>
        </w:rPr>
        <w:t>J</w:t>
      </w:r>
      <w:r w:rsidRPr="00090902">
        <w:rPr>
          <w:rFonts w:ascii="Arial" w:hAnsi="Arial" w:cs="Arial"/>
          <w:sz w:val="22"/>
          <w:lang w:val="sr-Latn-ME"/>
        </w:rPr>
        <w:t xml:space="preserve">avni poziv za Direktna plaćanja u stočarskoj proizvodnji za 2026. godinu je dostupan na internet stranici Ministarstva, poljoprivrede šumarstva i vodoprivrede </w:t>
      </w:r>
      <w:hyperlink r:id="rId15" w:tooltip="http://www.gov.me/mpsv" w:history="1">
        <w:r w:rsidRPr="00090902">
          <w:rPr>
            <w:rStyle w:val="Hyperlink"/>
            <w:rFonts w:ascii="Arial" w:hAnsi="Arial" w:cs="Arial"/>
            <w:sz w:val="22"/>
            <w:lang w:val="sr-Latn-ME"/>
          </w:rPr>
          <w:t>www.gov.me/mpsv</w:t>
        </w:r>
      </w:hyperlink>
      <w:r w:rsidRPr="00090902">
        <w:rPr>
          <w:rFonts w:ascii="Arial" w:hAnsi="Arial" w:cs="Arial"/>
          <w:sz w:val="22"/>
          <w:lang w:val="sr-Latn-ME"/>
        </w:rPr>
        <w:t>.</w:t>
      </w:r>
    </w:p>
    <w:p w:rsidR="0063440B" w:rsidRPr="00090902" w:rsidRDefault="00D1739D">
      <w:pPr>
        <w:spacing w:before="240" w:after="240" w:line="276" w:lineRule="auto"/>
        <w:jc w:val="both"/>
        <w:rPr>
          <w:rFonts w:ascii="Arial" w:hAnsi="Arial" w:cs="Arial"/>
          <w:sz w:val="22"/>
          <w:lang w:val="sr-Latn-ME"/>
        </w:rPr>
      </w:pPr>
      <w:bookmarkStart w:id="8" w:name="_Hlk223944231"/>
      <w:bookmarkEnd w:id="7"/>
      <w:r w:rsidRPr="00090902">
        <w:rPr>
          <w:rFonts w:ascii="Arial" w:hAnsi="Arial" w:cs="Arial"/>
          <w:sz w:val="22"/>
          <w:lang w:val="sr-Latn-ME"/>
        </w:rPr>
        <w:t>Takođe,inform</w:t>
      </w:r>
      <w:r w:rsidRPr="00090902">
        <w:rPr>
          <w:rFonts w:ascii="Arial" w:hAnsi="Arial" w:cs="Arial"/>
          <w:sz w:val="22"/>
          <w:lang w:val="sr-Latn-ME"/>
        </w:rPr>
        <w:t>acije o ovom javnom pozivu se mogu dobiti putem telefona ili lično na sljedećoj adresi:</w:t>
      </w:r>
    </w:p>
    <w:p w:rsidR="0063440B" w:rsidRPr="00090902" w:rsidRDefault="00D1739D">
      <w:pPr>
        <w:spacing w:line="276" w:lineRule="auto"/>
        <w:jc w:val="center"/>
        <w:rPr>
          <w:rFonts w:ascii="Arial" w:hAnsi="Arial" w:cs="Arial"/>
          <w:b/>
          <w:sz w:val="22"/>
          <w:lang w:val="sr-Latn-ME"/>
        </w:rPr>
      </w:pPr>
      <w:r w:rsidRPr="00090902">
        <w:rPr>
          <w:rFonts w:ascii="Arial" w:hAnsi="Arial" w:cs="Arial"/>
          <w:b/>
          <w:sz w:val="22"/>
          <w:lang w:val="sr-Latn-ME"/>
        </w:rPr>
        <w:t>Agencija za plaćanja u poljoprivredi, ruralnom razvoju i ribarstvu, Moskovska 101, 21000 Podgorica, tel: 020 672 007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63440B" w:rsidRPr="00090902">
        <w:trPr>
          <w:trHeight w:val="374"/>
          <w:jc w:val="center"/>
        </w:trPr>
        <w:tc>
          <w:tcPr>
            <w:tcW w:w="9115" w:type="dxa"/>
          </w:tcPr>
          <w:p w:rsidR="0063440B" w:rsidRPr="00090902" w:rsidRDefault="00D1739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ME"/>
              </w:rPr>
            </w:pPr>
            <w:bookmarkStart w:id="9" w:name="_Hlk163454449"/>
            <w:r w:rsidRPr="00090902">
              <w:rPr>
                <w:rFonts w:ascii="Arial" w:hAnsi="Arial" w:cs="Arial"/>
                <w:b/>
                <w:sz w:val="22"/>
                <w:lang w:val="sr-Latn-ME"/>
              </w:rPr>
              <w:t>Odsjek za koordinaciju regionalnih poslova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4"/>
              <w:gridCol w:w="4445"/>
            </w:tblGrid>
            <w:tr w:rsidR="0063440B" w:rsidRPr="00090902">
              <w:tc>
                <w:tcPr>
                  <w:tcW w:w="4444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Bar</w:t>
                  </w:r>
                </w:p>
              </w:tc>
              <w:tc>
                <w:tcPr>
                  <w:tcW w:w="4445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069</w:t>
                  </w: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/573-003; 067/328-811; 069/432-746</w:t>
                  </w:r>
                </w:p>
              </w:tc>
            </w:tr>
            <w:tr w:rsidR="0063440B" w:rsidRPr="00090902">
              <w:tc>
                <w:tcPr>
                  <w:tcW w:w="4444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Berane</w:t>
                  </w:r>
                </w:p>
              </w:tc>
              <w:tc>
                <w:tcPr>
                  <w:tcW w:w="4445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051/235-408</w:t>
                  </w:r>
                </w:p>
              </w:tc>
            </w:tr>
            <w:tr w:rsidR="0063440B" w:rsidRPr="00090902">
              <w:tc>
                <w:tcPr>
                  <w:tcW w:w="4444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Bijelo Polje</w:t>
                  </w:r>
                </w:p>
              </w:tc>
              <w:tc>
                <w:tcPr>
                  <w:tcW w:w="4445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067/002-858</w:t>
                  </w:r>
                </w:p>
              </w:tc>
            </w:tr>
            <w:tr w:rsidR="0063440B" w:rsidRPr="00090902">
              <w:tc>
                <w:tcPr>
                  <w:tcW w:w="4444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Nikšić</w:t>
                  </w:r>
                </w:p>
              </w:tc>
              <w:tc>
                <w:tcPr>
                  <w:tcW w:w="4445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040/201-122</w:t>
                  </w:r>
                </w:p>
              </w:tc>
            </w:tr>
            <w:tr w:rsidR="0063440B" w:rsidRPr="00090902">
              <w:tc>
                <w:tcPr>
                  <w:tcW w:w="4444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Podgorica</w:t>
                  </w:r>
                </w:p>
              </w:tc>
              <w:tc>
                <w:tcPr>
                  <w:tcW w:w="4445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020/673-934; 067/045-208</w:t>
                  </w:r>
                </w:p>
              </w:tc>
            </w:tr>
            <w:tr w:rsidR="0063440B" w:rsidRPr="00090902">
              <w:tc>
                <w:tcPr>
                  <w:tcW w:w="4444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Pljevlja</w:t>
                  </w:r>
                </w:p>
              </w:tc>
              <w:tc>
                <w:tcPr>
                  <w:tcW w:w="4445" w:type="dxa"/>
                </w:tcPr>
                <w:p w:rsidR="0063440B" w:rsidRPr="00090902" w:rsidRDefault="00D1739D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lang w:val="sr-Latn-ME"/>
                    </w:rPr>
                  </w:pPr>
                  <w:r w:rsidRPr="00090902">
                    <w:rPr>
                      <w:rFonts w:ascii="Arial" w:hAnsi="Arial" w:cs="Arial"/>
                      <w:sz w:val="22"/>
                      <w:lang w:val="sr-Latn-ME"/>
                    </w:rPr>
                    <w:t>069/270-447; 067/176-357</w:t>
                  </w:r>
                </w:p>
              </w:tc>
            </w:tr>
          </w:tbl>
          <w:p w:rsidR="0063440B" w:rsidRPr="00090902" w:rsidRDefault="006344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ME"/>
              </w:rPr>
            </w:pPr>
            <w:bookmarkStart w:id="10" w:name="_GoBack"/>
            <w:bookmarkEnd w:id="8"/>
            <w:bookmarkEnd w:id="9"/>
            <w:bookmarkEnd w:id="10"/>
          </w:p>
        </w:tc>
      </w:tr>
    </w:tbl>
    <w:p w:rsidR="0063440B" w:rsidRPr="00090902" w:rsidRDefault="0063440B" w:rsidP="00090902">
      <w:pPr>
        <w:spacing w:line="276" w:lineRule="auto"/>
        <w:rPr>
          <w:rFonts w:ascii="Arial" w:hAnsi="Arial" w:cs="Arial"/>
          <w:sz w:val="22"/>
          <w:lang w:val="sr-Latn-ME"/>
        </w:rPr>
      </w:pPr>
    </w:p>
    <w:sectPr w:rsidR="0063440B" w:rsidRPr="00090902">
      <w:headerReference w:type="default" r:id="rId16"/>
      <w:footerReference w:type="default" r:id="rId17"/>
      <w:pgSz w:w="11906" w:h="16838" w:orient="landscape"/>
      <w:pgMar w:top="851" w:right="849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39D" w:rsidRDefault="00D1739D">
      <w:r>
        <w:separator/>
      </w:r>
    </w:p>
  </w:endnote>
  <w:endnote w:type="continuationSeparator" w:id="0">
    <w:p w:rsidR="00D1739D" w:rsidRDefault="00D1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40B" w:rsidRDefault="00D1739D">
    <w:pPr>
      <w:pStyle w:val="Footer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180975</wp:posOffset>
              </wp:positionV>
              <wp:extent cx="7560310" cy="444500"/>
              <wp:effectExtent l="0" t="0" r="0" b="0"/>
              <wp:wrapNone/>
              <wp:docPr id="2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3440B" w:rsidRDefault="0063440B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60288;o:allowoverlap:true;o:allowincell:true;mso-position-horizontal-relative:text;margin-left:-56.70pt;mso-position-horizontal:absolute;mso-position-vertical-relative:text;margin-top:14.25pt;mso-position-vertical:absolute;width:595.30pt;height:35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39D" w:rsidRDefault="00D1739D">
      <w:r>
        <w:separator/>
      </w:r>
    </w:p>
  </w:footnote>
  <w:footnote w:type="continuationSeparator" w:id="0">
    <w:p w:rsidR="00D1739D" w:rsidRDefault="00D1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40B" w:rsidRDefault="00D173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-450215</wp:posOffset>
              </wp:positionV>
              <wp:extent cx="756031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3440B" w:rsidRDefault="0063440B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251659264;o:allowoverlap:true;o:allowincell:true;mso-position-horizontal-relative:text;margin-left:-56.70pt;mso-position-horizontal:absolute;mso-position-vertical-relative:text;margin-top:-35.45pt;mso-position-vertical:absolute;width:595.30pt;height:35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AEE"/>
    <w:multiLevelType w:val="multilevel"/>
    <w:tmpl w:val="6324D802"/>
    <w:lvl w:ilvl="0">
      <w:start w:val="1"/>
      <w:numFmt w:val="lowerLetter"/>
      <w:suff w:val="space"/>
      <w:lvlText w:val="%1)"/>
      <w:lvlJc w:val="left"/>
      <w:pPr>
        <w:ind w:left="1140" w:hanging="78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03753DA0"/>
    <w:multiLevelType w:val="multilevel"/>
    <w:tmpl w:val="D53E533A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6B2"/>
    <w:multiLevelType w:val="multilevel"/>
    <w:tmpl w:val="EEACD690"/>
    <w:lvl w:ilvl="0">
      <w:start w:val="1"/>
      <w:numFmt w:val="bullet"/>
      <w:suff w:val="space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75F3"/>
    <w:multiLevelType w:val="multilevel"/>
    <w:tmpl w:val="7AD6F654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B4A1937"/>
    <w:multiLevelType w:val="multilevel"/>
    <w:tmpl w:val="1F7E98F0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2EBA"/>
    <w:multiLevelType w:val="multilevel"/>
    <w:tmpl w:val="C772D5B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2954"/>
    <w:multiLevelType w:val="multilevel"/>
    <w:tmpl w:val="6AFEFEE4"/>
    <w:lvl w:ilvl="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7283"/>
    <w:multiLevelType w:val="multilevel"/>
    <w:tmpl w:val="D3ECA54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53C8"/>
    <w:multiLevelType w:val="multilevel"/>
    <w:tmpl w:val="E8B05A3C"/>
    <w:lvl w:ilvl="0">
      <w:start w:val="1"/>
      <w:numFmt w:val="bullet"/>
      <w:suff w:val="space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951B2"/>
    <w:multiLevelType w:val="multilevel"/>
    <w:tmpl w:val="BAB0A1A0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11B8D"/>
    <w:multiLevelType w:val="multilevel"/>
    <w:tmpl w:val="47DA0CA8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6C72"/>
    <w:multiLevelType w:val="multilevel"/>
    <w:tmpl w:val="26B8DC04"/>
    <w:lvl w:ilvl="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D17C7"/>
    <w:multiLevelType w:val="multilevel"/>
    <w:tmpl w:val="DFCC3DD0"/>
    <w:lvl w:ilvl="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793500"/>
    <w:multiLevelType w:val="multilevel"/>
    <w:tmpl w:val="DDF20D06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B5E99"/>
    <w:multiLevelType w:val="multilevel"/>
    <w:tmpl w:val="CB004E2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46543"/>
    <w:multiLevelType w:val="multilevel"/>
    <w:tmpl w:val="1F1E05E4"/>
    <w:lvl w:ilvl="0">
      <w:start w:val="200"/>
      <w:numFmt w:val="bullet"/>
      <w:suff w:val="space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52F3"/>
    <w:multiLevelType w:val="multilevel"/>
    <w:tmpl w:val="1B3C4E18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32BB2"/>
    <w:multiLevelType w:val="multilevel"/>
    <w:tmpl w:val="335CB904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23E41"/>
    <w:multiLevelType w:val="multilevel"/>
    <w:tmpl w:val="1EBED368"/>
    <w:lvl w:ilvl="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66D6"/>
    <w:multiLevelType w:val="multilevel"/>
    <w:tmpl w:val="E34A4B40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A68C3"/>
    <w:multiLevelType w:val="multilevel"/>
    <w:tmpl w:val="BA1A123E"/>
    <w:lvl w:ilvl="0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C35514"/>
    <w:multiLevelType w:val="multilevel"/>
    <w:tmpl w:val="31FCFF0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2" w15:restartNumberingAfterBreak="0">
    <w:nsid w:val="755046D1"/>
    <w:multiLevelType w:val="multilevel"/>
    <w:tmpl w:val="EC5E846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78C60A47"/>
    <w:multiLevelType w:val="multilevel"/>
    <w:tmpl w:val="F984CD34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16"/>
  </w:num>
  <w:num w:numId="5">
    <w:abstractNumId w:val="10"/>
  </w:num>
  <w:num w:numId="6">
    <w:abstractNumId w:val="19"/>
  </w:num>
  <w:num w:numId="7">
    <w:abstractNumId w:val="13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7"/>
  </w:num>
  <w:num w:numId="13">
    <w:abstractNumId w:val="22"/>
  </w:num>
  <w:num w:numId="14">
    <w:abstractNumId w:val="5"/>
  </w:num>
  <w:num w:numId="15">
    <w:abstractNumId w:val="6"/>
  </w:num>
  <w:num w:numId="16">
    <w:abstractNumId w:val="12"/>
  </w:num>
  <w:num w:numId="17">
    <w:abstractNumId w:val="18"/>
  </w:num>
  <w:num w:numId="18">
    <w:abstractNumId w:val="11"/>
  </w:num>
  <w:num w:numId="19">
    <w:abstractNumId w:val="20"/>
  </w:num>
  <w:num w:numId="20">
    <w:abstractNumId w:val="14"/>
  </w:num>
  <w:num w:numId="21">
    <w:abstractNumId w:val="4"/>
  </w:num>
  <w:num w:numId="22">
    <w:abstractNumId w:val="0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0B"/>
    <w:rsid w:val="00090902"/>
    <w:rsid w:val="0063440B"/>
    <w:rsid w:val="00D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758A"/>
  <w15:docId w15:val="{E02B6E8E-54CC-43E5-9385-247CFB2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styleId="TableGrid">
    <w:name w:val="Table Grid"/>
    <w:basedOn w:val="TableNormal"/>
    <w:uiPriority w:val="3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80" w:line="192" w:lineRule="auto"/>
      <w:ind w:left="1134"/>
    </w:pPr>
    <w:rPr>
      <w:rFonts w:ascii="Calibri" w:hAnsi="Calibri"/>
      <w:spacing w:val="-10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sz w:val="28"/>
      <w:szCs w:val="4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ME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rPr>
      <w:rFonts w:ascii="Times New Roman" w:eastAsia="Times New Roman" w:hAnsi="Times New Roman" w:cs="Times New Roman"/>
      <w:lang w:val="it-IT" w:eastAsia="it-IT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www.gov.me/mps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14FE-CDBD-419B-AED1-5ECDADEA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2333</Words>
  <Characters>13301</Characters>
  <Application>Microsoft Office Word</Application>
  <DocSecurity>0</DocSecurity>
  <Lines>110</Lines>
  <Paragraphs>31</Paragraphs>
  <ScaleCrop>false</ScaleCrop>
  <Company>Hewlett-Packard Company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Dijana Stijepović-Aleksić</cp:lastModifiedBy>
  <cp:revision>2</cp:revision>
  <dcterms:created xsi:type="dcterms:W3CDTF">2026-04-24T12:01:00Z</dcterms:created>
  <dcterms:modified xsi:type="dcterms:W3CDTF">2026-04-24T12:01:00Z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AP\vanja.zajovic</vt:lpwstr>
  </property>
  <property fmtid="{D5CDD505-2E9C-101B-9397-08002B2CF9AE}" pid="4" name="DLPManualFileClassificationLastModificationDate">
    <vt:lpwstr>1776325516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AP\vanja.zajovic</vt:lpwstr>
  </property>
  <property fmtid="{D5CDD505-2E9C-101B-9397-08002B2CF9AE}" pid="8" name="DLPVisualLabelFileClassificationModifiedDate">
    <vt:lpwstr>1776325516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