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D82" w:rsidRDefault="009D1D82" w:rsidP="009D1D82">
      <w:pPr>
        <w:jc w:val="center"/>
        <w:rPr>
          <w:rFonts w:ascii="Cambria" w:hAnsi="Cambria" w:cs="Arial"/>
          <w:b/>
          <w:sz w:val="24"/>
          <w:lang w:val="sr-Latn-CS"/>
        </w:rPr>
      </w:pPr>
      <w:bookmarkStart w:id="0" w:name="_GoBack"/>
      <w:bookmarkEnd w:id="0"/>
      <w:r>
        <w:rPr>
          <w:rFonts w:ascii="Cambria" w:hAnsi="Cambria" w:cs="Arial"/>
          <w:b/>
          <w:noProof/>
          <w:sz w:val="24"/>
          <w:lang w:val="sr-Latn-CS"/>
        </w:rPr>
        <w:drawing>
          <wp:inline distT="0" distB="0" distL="0" distR="0" wp14:anchorId="78665076" wp14:editId="0829AA18">
            <wp:extent cx="993775" cy="1073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D82" w:rsidRPr="001A1606" w:rsidRDefault="009D1D82" w:rsidP="009D1D82">
      <w:pPr>
        <w:spacing w:after="0"/>
        <w:jc w:val="center"/>
        <w:rPr>
          <w:rFonts w:ascii="Cambria" w:hAnsi="Cambria" w:cs="Arial"/>
          <w:b/>
          <w:sz w:val="24"/>
          <w:lang w:val="sr-Latn-CS"/>
        </w:rPr>
      </w:pPr>
      <w:r w:rsidRPr="001A1606">
        <w:rPr>
          <w:rFonts w:ascii="Cambria" w:hAnsi="Cambria" w:cs="Arial"/>
          <w:b/>
          <w:sz w:val="24"/>
          <w:lang w:val="sr-Latn-CS"/>
        </w:rPr>
        <w:t>CRNA GORA</w:t>
      </w:r>
    </w:p>
    <w:p w:rsidR="009D1D82" w:rsidRPr="001A1606" w:rsidRDefault="009D1D82" w:rsidP="009D1D82">
      <w:pPr>
        <w:spacing w:after="0"/>
        <w:jc w:val="center"/>
        <w:rPr>
          <w:rFonts w:ascii="Cambria" w:hAnsi="Cambria" w:cs="Arial"/>
          <w:b/>
          <w:sz w:val="24"/>
          <w:lang w:val="sr-Latn-CS"/>
        </w:rPr>
      </w:pPr>
      <w:r w:rsidRPr="001A1606">
        <w:rPr>
          <w:rFonts w:ascii="Cambria" w:hAnsi="Cambria" w:cs="Arial"/>
          <w:b/>
          <w:sz w:val="24"/>
          <w:lang w:val="sr-Latn-CS"/>
        </w:rPr>
        <w:t>MINISTARSTVO FINANSIJA</w:t>
      </w:r>
    </w:p>
    <w:p w:rsidR="009D1D82" w:rsidRPr="001A1606" w:rsidRDefault="009D1D82" w:rsidP="009D1D82">
      <w:pPr>
        <w:jc w:val="center"/>
        <w:rPr>
          <w:rFonts w:ascii="Cambria" w:hAnsi="Cambria"/>
          <w:b/>
        </w:rPr>
      </w:pPr>
    </w:p>
    <w:p w:rsidR="009D1D82" w:rsidRPr="001A1606" w:rsidRDefault="009D1D82" w:rsidP="009D1D82">
      <w:pPr>
        <w:jc w:val="center"/>
        <w:rPr>
          <w:rFonts w:ascii="Cambria" w:hAnsi="Cambria"/>
          <w:b/>
        </w:rPr>
      </w:pPr>
    </w:p>
    <w:p w:rsidR="009D1D82" w:rsidRPr="001A1606" w:rsidRDefault="009D1D82" w:rsidP="009D1D82">
      <w:pPr>
        <w:rPr>
          <w:rFonts w:ascii="Cambria" w:hAnsi="Cambria"/>
          <w:b/>
        </w:rPr>
      </w:pPr>
      <w:r>
        <w:rPr>
          <w:rFonts w:ascii="Cambria" w:hAnsi="Cambria"/>
          <w:b/>
        </w:rPr>
        <w:t>Broj: 11-</w:t>
      </w:r>
    </w:p>
    <w:p w:rsidR="009D1D82" w:rsidRPr="001A1606" w:rsidRDefault="009D1D82" w:rsidP="009D1D82">
      <w:pPr>
        <w:jc w:val="center"/>
        <w:rPr>
          <w:rFonts w:ascii="Cambria" w:hAnsi="Cambria"/>
          <w:b/>
        </w:rPr>
      </w:pPr>
    </w:p>
    <w:p w:rsidR="009D1D82" w:rsidRPr="001A1606" w:rsidRDefault="009D1D82" w:rsidP="009D1D82">
      <w:pPr>
        <w:jc w:val="center"/>
        <w:rPr>
          <w:rFonts w:ascii="Cambria" w:hAnsi="Cambria"/>
          <w:b/>
        </w:rPr>
      </w:pPr>
    </w:p>
    <w:p w:rsidR="009D1D82" w:rsidRPr="001A1606" w:rsidRDefault="009D1D82" w:rsidP="009D1D82">
      <w:pPr>
        <w:spacing w:after="0" w:line="240" w:lineRule="auto"/>
        <w:jc w:val="center"/>
        <w:rPr>
          <w:rFonts w:ascii="Cambria" w:hAnsi="Cambria" w:cs="Arial"/>
          <w:b/>
          <w:sz w:val="24"/>
        </w:rPr>
      </w:pPr>
    </w:p>
    <w:p w:rsidR="009D1D82" w:rsidRPr="001A1606" w:rsidRDefault="009D1D82" w:rsidP="009D1D82">
      <w:pPr>
        <w:spacing w:after="0" w:line="240" w:lineRule="auto"/>
        <w:jc w:val="center"/>
        <w:rPr>
          <w:rFonts w:ascii="Cambria" w:hAnsi="Cambria" w:cs="Arial"/>
          <w:b/>
          <w:sz w:val="24"/>
        </w:rPr>
      </w:pPr>
    </w:p>
    <w:p w:rsidR="009D1D82" w:rsidRPr="001A1606" w:rsidRDefault="009D1D82" w:rsidP="009D1D82">
      <w:pPr>
        <w:spacing w:after="0" w:line="240" w:lineRule="auto"/>
        <w:jc w:val="center"/>
        <w:rPr>
          <w:rFonts w:ascii="Cambria" w:hAnsi="Cambria" w:cs="Arial"/>
          <w:b/>
          <w:sz w:val="24"/>
        </w:rPr>
      </w:pPr>
    </w:p>
    <w:p w:rsidR="009D1D82" w:rsidRPr="00046AAA" w:rsidRDefault="009D1D82" w:rsidP="009D1D82">
      <w:pPr>
        <w:spacing w:after="0"/>
        <w:jc w:val="center"/>
        <w:rPr>
          <w:rFonts w:ascii="Cambria" w:hAnsi="Cambria" w:cs="Arial"/>
          <w:b/>
          <w:sz w:val="32"/>
          <w:szCs w:val="32"/>
        </w:rPr>
      </w:pPr>
    </w:p>
    <w:p w:rsidR="009D1D82" w:rsidRPr="00046AAA" w:rsidRDefault="009D1D82" w:rsidP="009D1D82">
      <w:pPr>
        <w:spacing w:after="0" w:line="360" w:lineRule="auto"/>
        <w:jc w:val="center"/>
        <w:rPr>
          <w:rFonts w:ascii="Cambria" w:hAnsi="Cambria" w:cs="Arial"/>
          <w:b/>
          <w:sz w:val="32"/>
          <w:szCs w:val="32"/>
        </w:rPr>
      </w:pPr>
      <w:r w:rsidRPr="00046AAA">
        <w:rPr>
          <w:rFonts w:ascii="Cambria" w:hAnsi="Cambria" w:cs="Arial"/>
          <w:b/>
          <w:sz w:val="32"/>
          <w:szCs w:val="32"/>
        </w:rPr>
        <w:t xml:space="preserve">Plan kontrole društava za reviziju i ovlašćenih revizora  </w:t>
      </w:r>
    </w:p>
    <w:p w:rsidR="009D1D82" w:rsidRPr="00046AAA" w:rsidRDefault="009D1D82" w:rsidP="009D1D82">
      <w:pPr>
        <w:spacing w:after="0" w:line="360" w:lineRule="auto"/>
        <w:jc w:val="center"/>
        <w:rPr>
          <w:rFonts w:ascii="Cambria" w:hAnsi="Cambria" w:cs="Arial"/>
          <w:b/>
          <w:sz w:val="32"/>
          <w:szCs w:val="32"/>
        </w:rPr>
      </w:pPr>
      <w:r w:rsidRPr="00046AAA">
        <w:rPr>
          <w:rFonts w:ascii="Cambria" w:hAnsi="Cambria" w:cs="Arial"/>
          <w:b/>
          <w:sz w:val="32"/>
          <w:szCs w:val="32"/>
        </w:rPr>
        <w:t xml:space="preserve"> za 202</w:t>
      </w:r>
      <w:r>
        <w:rPr>
          <w:rFonts w:ascii="Cambria" w:hAnsi="Cambria" w:cs="Arial"/>
          <w:b/>
          <w:sz w:val="32"/>
          <w:szCs w:val="32"/>
        </w:rPr>
        <w:t>5</w:t>
      </w:r>
      <w:r w:rsidRPr="00046AAA">
        <w:rPr>
          <w:rFonts w:ascii="Cambria" w:hAnsi="Cambria" w:cs="Arial"/>
          <w:b/>
          <w:sz w:val="32"/>
          <w:szCs w:val="32"/>
        </w:rPr>
        <w:t>. godinu</w:t>
      </w:r>
    </w:p>
    <w:p w:rsidR="009D1D82" w:rsidRPr="001A1606" w:rsidRDefault="009D1D82" w:rsidP="009D1D82">
      <w:pPr>
        <w:pStyle w:val="Header"/>
        <w:jc w:val="both"/>
        <w:rPr>
          <w:rFonts w:ascii="Cambria" w:hAnsi="Cambria"/>
          <w:i/>
          <w:sz w:val="28"/>
          <w:szCs w:val="28"/>
          <w:lang w:val="sr-Latn-CS"/>
        </w:rPr>
      </w:pPr>
    </w:p>
    <w:p w:rsidR="009D1D82" w:rsidRPr="001A1606" w:rsidRDefault="009D1D82" w:rsidP="009D1D82">
      <w:pPr>
        <w:pStyle w:val="Header"/>
        <w:jc w:val="both"/>
        <w:rPr>
          <w:rFonts w:ascii="Cambria" w:hAnsi="Cambria"/>
          <w:i/>
          <w:lang w:val="sr-Latn-CS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rPr>
          <w:rFonts w:ascii="Cambria" w:hAnsi="Cambria"/>
        </w:rPr>
      </w:pPr>
    </w:p>
    <w:p w:rsidR="009D1D82" w:rsidRPr="001A1606" w:rsidRDefault="009D1D82" w:rsidP="009D1D82">
      <w:pPr>
        <w:jc w:val="center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Podgorica, </w:t>
      </w:r>
      <w:r>
        <w:rPr>
          <w:rFonts w:ascii="Cambria" w:hAnsi="Cambria" w:cs="Arial"/>
          <w:sz w:val="24"/>
        </w:rPr>
        <w:t>februar</w:t>
      </w:r>
      <w:r w:rsidRPr="001A1606">
        <w:rPr>
          <w:rFonts w:ascii="Cambria" w:hAnsi="Cambria" w:cs="Arial"/>
          <w:sz w:val="24"/>
        </w:rPr>
        <w:t xml:space="preserve"> 202</w:t>
      </w:r>
      <w:r>
        <w:rPr>
          <w:rFonts w:ascii="Cambria" w:hAnsi="Cambria" w:cs="Arial"/>
          <w:sz w:val="24"/>
        </w:rPr>
        <w:t>5</w:t>
      </w:r>
      <w:r w:rsidRPr="001A1606">
        <w:rPr>
          <w:rFonts w:ascii="Cambria" w:hAnsi="Cambria" w:cs="Arial"/>
          <w:sz w:val="24"/>
        </w:rPr>
        <w:t>. godine</w:t>
      </w:r>
    </w:p>
    <w:p w:rsidR="00245541" w:rsidRPr="00F51BE3" w:rsidRDefault="00245541" w:rsidP="00B77B45">
      <w:pPr>
        <w:jc w:val="center"/>
        <w:rPr>
          <w:rFonts w:asciiTheme="majorHAnsi" w:hAnsiTheme="majorHAnsi" w:cs="Arial"/>
          <w:sz w:val="24"/>
          <w:szCs w:val="24"/>
        </w:rPr>
      </w:pPr>
    </w:p>
    <w:p w:rsidR="00EA0125" w:rsidRPr="00F51BE3" w:rsidRDefault="00EA0125" w:rsidP="00DD1436">
      <w:pPr>
        <w:spacing w:after="0" w:line="240" w:lineRule="auto"/>
        <w:rPr>
          <w:rFonts w:ascii="Cambria" w:hAnsi="Cambria" w:cs="Arial"/>
          <w:b/>
          <w:sz w:val="26"/>
          <w:szCs w:val="26"/>
          <w:lang w:val="sr-Latn-ME"/>
        </w:rPr>
      </w:pPr>
      <w:r w:rsidRPr="00F51BE3">
        <w:rPr>
          <w:rFonts w:ascii="Cambria" w:hAnsi="Cambria" w:cs="Arial"/>
          <w:b/>
          <w:sz w:val="26"/>
          <w:szCs w:val="26"/>
        </w:rPr>
        <w:t>Sadržaj:</w:t>
      </w:r>
    </w:p>
    <w:p w:rsidR="00EA0125" w:rsidRPr="00F51BE3" w:rsidRDefault="00EA0125" w:rsidP="00DD143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p w:rsidR="00EA0125" w:rsidRPr="00F51BE3" w:rsidRDefault="00EA0125" w:rsidP="00DD1436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</w:p>
    <w:bookmarkStart w:id="1" w:name="_Toc161833173" w:displacedByCustomXml="next"/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en-GB"/>
        </w:rPr>
        <w:id w:val="1960844342"/>
        <w:docPartObj>
          <w:docPartGallery w:val="Table of Contents"/>
          <w:docPartUnique/>
        </w:docPartObj>
      </w:sdtPr>
      <w:sdtEndPr>
        <w:rPr>
          <w:b/>
          <w:bCs/>
          <w:noProof/>
          <w:sz w:val="22"/>
          <w:szCs w:val="22"/>
        </w:rPr>
      </w:sdtEndPr>
      <w:sdtContent>
        <w:bookmarkEnd w:id="1" w:displacedByCustomXml="prev"/>
        <w:p w:rsidR="00EA0125" w:rsidRPr="00F51BE3" w:rsidRDefault="00EA0125" w:rsidP="00EA0125">
          <w:pPr>
            <w:pStyle w:val="TOCHeading"/>
            <w:outlineLvl w:val="0"/>
            <w:rPr>
              <w:sz w:val="24"/>
              <w:szCs w:val="24"/>
            </w:rPr>
          </w:pPr>
        </w:p>
        <w:p w:rsidR="00094EAD" w:rsidRPr="00F51BE3" w:rsidRDefault="00EA0125">
          <w:pPr>
            <w:pStyle w:val="TOC1"/>
            <w:tabs>
              <w:tab w:val="right" w:leader="dot" w:pos="9016"/>
            </w:tabs>
            <w:rPr>
              <w:rStyle w:val="Hyperlink"/>
              <w:rFonts w:asciiTheme="majorHAnsi" w:hAnsiTheme="majorHAnsi"/>
              <w:noProof/>
              <w:sz w:val="24"/>
              <w:szCs w:val="24"/>
            </w:rPr>
          </w:pPr>
          <w:r w:rsidRPr="00F51BE3">
            <w:rPr>
              <w:rFonts w:asciiTheme="majorHAnsi" w:hAnsiTheme="majorHAnsi"/>
              <w:sz w:val="24"/>
              <w:szCs w:val="24"/>
            </w:rPr>
            <w:fldChar w:fldCharType="begin"/>
          </w:r>
          <w:r w:rsidRPr="00F51BE3">
            <w:rPr>
              <w:rFonts w:asciiTheme="majorHAnsi" w:hAnsiTheme="majorHAnsi"/>
              <w:sz w:val="24"/>
              <w:szCs w:val="24"/>
            </w:rPr>
            <w:instrText xml:space="preserve"> TOC \o "1-3" \h \z \u </w:instrText>
          </w:r>
          <w:r w:rsidRPr="00F51BE3">
            <w:rPr>
              <w:rFonts w:asciiTheme="majorHAnsi" w:hAnsiTheme="majorHAnsi"/>
              <w:sz w:val="24"/>
              <w:szCs w:val="24"/>
            </w:rPr>
            <w:fldChar w:fldCharType="separate"/>
          </w:r>
          <w:hyperlink w:anchor="_Toc161837391" w:history="1">
            <w:r w:rsidR="00094EAD" w:rsidRPr="00F51BE3">
              <w:rPr>
                <w:rStyle w:val="Hyperlink"/>
                <w:rFonts w:asciiTheme="majorHAnsi" w:hAnsiTheme="majorHAnsi" w:cs="Arial"/>
                <w:b/>
                <w:noProof/>
                <w:sz w:val="24"/>
                <w:szCs w:val="24"/>
              </w:rPr>
              <w:t>I Zakonodavni okvir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_Toc161837391 \h </w:instrTex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D67110">
              <w:rPr>
                <w:rFonts w:asciiTheme="majorHAnsi" w:hAnsiTheme="majorHAnsi"/>
                <w:noProof/>
                <w:webHidden/>
                <w:sz w:val="24"/>
                <w:szCs w:val="24"/>
              </w:rPr>
              <w:t>3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4EAD" w:rsidRPr="00F51BE3" w:rsidRDefault="00094EAD" w:rsidP="00094EAD">
          <w:pPr>
            <w:rPr>
              <w:rFonts w:asciiTheme="majorHAnsi" w:hAnsiTheme="majorHAnsi"/>
              <w:noProof/>
              <w:sz w:val="24"/>
              <w:szCs w:val="24"/>
            </w:rPr>
          </w:pPr>
        </w:p>
        <w:p w:rsidR="00094EAD" w:rsidRPr="00F51BE3" w:rsidRDefault="00D354F8">
          <w:pPr>
            <w:pStyle w:val="TOC1"/>
            <w:tabs>
              <w:tab w:val="right" w:leader="dot" w:pos="9016"/>
            </w:tabs>
            <w:rPr>
              <w:rStyle w:val="Hyperlink"/>
              <w:rFonts w:asciiTheme="majorHAnsi" w:hAnsiTheme="majorHAnsi"/>
              <w:noProof/>
              <w:sz w:val="24"/>
              <w:szCs w:val="24"/>
            </w:rPr>
          </w:pPr>
          <w:hyperlink w:anchor="_Toc161837392" w:history="1">
            <w:r w:rsidR="00094EAD" w:rsidRPr="00F51BE3">
              <w:rPr>
                <w:rStyle w:val="Hyperlink"/>
                <w:rFonts w:asciiTheme="majorHAnsi" w:hAnsiTheme="majorHAnsi" w:cs="Arial"/>
                <w:b/>
                <w:noProof/>
                <w:sz w:val="24"/>
                <w:szCs w:val="24"/>
              </w:rPr>
              <w:t>II Cilj kontrole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_Toc161837392 \h </w:instrTex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D67110">
              <w:rPr>
                <w:rFonts w:asciiTheme="majorHAnsi" w:hAnsiTheme="majorHAnsi"/>
                <w:noProof/>
                <w:webHidden/>
                <w:sz w:val="24"/>
                <w:szCs w:val="24"/>
              </w:rPr>
              <w:t>4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4EAD" w:rsidRPr="00F51BE3" w:rsidRDefault="00094EAD" w:rsidP="00094EAD">
          <w:pPr>
            <w:rPr>
              <w:rFonts w:asciiTheme="majorHAnsi" w:hAnsiTheme="majorHAnsi"/>
              <w:noProof/>
              <w:sz w:val="24"/>
              <w:szCs w:val="24"/>
            </w:rPr>
          </w:pPr>
        </w:p>
        <w:p w:rsidR="00094EAD" w:rsidRPr="00F51BE3" w:rsidRDefault="00D354F8">
          <w:pPr>
            <w:pStyle w:val="TOC1"/>
            <w:tabs>
              <w:tab w:val="right" w:leader="dot" w:pos="9016"/>
            </w:tabs>
            <w:rPr>
              <w:rStyle w:val="Hyperlink"/>
              <w:rFonts w:asciiTheme="majorHAnsi" w:hAnsiTheme="majorHAnsi"/>
              <w:noProof/>
              <w:sz w:val="24"/>
              <w:szCs w:val="24"/>
            </w:rPr>
          </w:pPr>
          <w:hyperlink w:anchor="_Toc161837393" w:history="1">
            <w:r w:rsidR="00094EAD" w:rsidRPr="00F51BE3">
              <w:rPr>
                <w:rStyle w:val="Hyperlink"/>
                <w:rFonts w:asciiTheme="majorHAnsi" w:hAnsiTheme="majorHAnsi" w:cs="Arial"/>
                <w:b/>
                <w:noProof/>
                <w:sz w:val="24"/>
                <w:szCs w:val="24"/>
              </w:rPr>
              <w:t>III Pregled društava za reviziju koja imaju dozvolu za rad Crnoj Gori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_Toc161837393 \h </w:instrTex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D67110">
              <w:rPr>
                <w:rFonts w:asciiTheme="majorHAnsi" w:hAnsiTheme="majorHAnsi"/>
                <w:noProof/>
                <w:webHidden/>
                <w:sz w:val="24"/>
                <w:szCs w:val="24"/>
              </w:rPr>
              <w:t>5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4EAD" w:rsidRPr="00F51BE3" w:rsidRDefault="00094EAD" w:rsidP="00094EAD">
          <w:pPr>
            <w:rPr>
              <w:rFonts w:asciiTheme="majorHAnsi" w:hAnsiTheme="majorHAnsi"/>
              <w:noProof/>
              <w:sz w:val="24"/>
              <w:szCs w:val="24"/>
            </w:rPr>
          </w:pPr>
        </w:p>
        <w:p w:rsidR="00094EAD" w:rsidRPr="00F51BE3" w:rsidRDefault="00D354F8">
          <w:pPr>
            <w:pStyle w:val="TOC1"/>
            <w:tabs>
              <w:tab w:val="right" w:leader="dot" w:pos="9016"/>
            </w:tabs>
            <w:rPr>
              <w:rStyle w:val="Hyperlink"/>
              <w:rFonts w:asciiTheme="majorHAnsi" w:hAnsiTheme="majorHAnsi"/>
              <w:noProof/>
              <w:sz w:val="24"/>
              <w:szCs w:val="24"/>
            </w:rPr>
          </w:pPr>
          <w:hyperlink w:anchor="_Toc161837394" w:history="1">
            <w:r w:rsidR="00094EAD" w:rsidRPr="00F51BE3">
              <w:rPr>
                <w:rStyle w:val="Hyperlink"/>
                <w:rFonts w:asciiTheme="majorHAnsi" w:hAnsiTheme="majorHAnsi" w:cs="Arial"/>
                <w:b/>
                <w:noProof/>
                <w:sz w:val="24"/>
                <w:szCs w:val="24"/>
              </w:rPr>
              <w:t>IV Način odabira društava za reviziju za kontrolu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_Toc161837394 \h </w:instrTex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D67110">
              <w:rPr>
                <w:rFonts w:asciiTheme="majorHAnsi" w:hAnsiTheme="majorHAnsi"/>
                <w:noProof/>
                <w:webHidden/>
                <w:sz w:val="24"/>
                <w:szCs w:val="24"/>
              </w:rPr>
              <w:t>6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094EAD" w:rsidRPr="00F51BE3" w:rsidRDefault="00094EAD" w:rsidP="00094EAD">
          <w:pPr>
            <w:rPr>
              <w:rFonts w:asciiTheme="majorHAnsi" w:hAnsiTheme="majorHAnsi"/>
              <w:noProof/>
              <w:sz w:val="24"/>
              <w:szCs w:val="24"/>
            </w:rPr>
          </w:pPr>
        </w:p>
        <w:p w:rsidR="00094EAD" w:rsidRPr="00F51BE3" w:rsidRDefault="00D354F8">
          <w:pPr>
            <w:pStyle w:val="TOC1"/>
            <w:tabs>
              <w:tab w:val="right" w:leader="dot" w:pos="9016"/>
            </w:tabs>
            <w:rPr>
              <w:rFonts w:asciiTheme="majorHAnsi" w:eastAsiaTheme="minorEastAsia" w:hAnsiTheme="majorHAnsi"/>
              <w:noProof/>
              <w:sz w:val="24"/>
              <w:szCs w:val="24"/>
              <w:lang w:val="en-US"/>
            </w:rPr>
          </w:pPr>
          <w:hyperlink w:anchor="_Toc161837395" w:history="1">
            <w:r w:rsidR="00094EAD" w:rsidRPr="00F51BE3">
              <w:rPr>
                <w:rStyle w:val="Hyperlink"/>
                <w:rFonts w:asciiTheme="majorHAnsi" w:hAnsiTheme="majorHAnsi" w:cs="Arial"/>
                <w:b/>
                <w:noProof/>
                <w:sz w:val="24"/>
                <w:szCs w:val="24"/>
              </w:rPr>
              <w:t>V Pregled društava za reviziju koja će biti predmet kontrole u 202</w:t>
            </w:r>
            <w:r w:rsidR="001A6255">
              <w:rPr>
                <w:rStyle w:val="Hyperlink"/>
                <w:rFonts w:asciiTheme="majorHAnsi" w:hAnsiTheme="majorHAnsi" w:cs="Arial"/>
                <w:b/>
                <w:noProof/>
                <w:sz w:val="24"/>
                <w:szCs w:val="24"/>
              </w:rPr>
              <w:t>5</w:t>
            </w:r>
            <w:r w:rsidR="00094EAD" w:rsidRPr="00F51BE3">
              <w:rPr>
                <w:rStyle w:val="Hyperlink"/>
                <w:rFonts w:asciiTheme="majorHAnsi" w:hAnsiTheme="majorHAnsi" w:cs="Arial"/>
                <w:b/>
                <w:noProof/>
                <w:sz w:val="24"/>
                <w:szCs w:val="24"/>
              </w:rPr>
              <w:t>. godini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tab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begin"/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instrText xml:space="preserve"> PAGEREF _Toc161837395 \h </w:instrTex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separate"/>
            </w:r>
            <w:r w:rsidR="00D67110">
              <w:rPr>
                <w:rFonts w:asciiTheme="majorHAnsi" w:hAnsiTheme="majorHAnsi"/>
                <w:noProof/>
                <w:webHidden/>
                <w:sz w:val="24"/>
                <w:szCs w:val="24"/>
              </w:rPr>
              <w:t>7</w:t>
            </w:r>
            <w:r w:rsidR="00094EAD" w:rsidRPr="00F51BE3">
              <w:rPr>
                <w:rFonts w:asciiTheme="majorHAnsi" w:hAnsiTheme="maj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EA0125" w:rsidRDefault="00EA0125">
          <w:r w:rsidRPr="00F51BE3">
            <w:rPr>
              <w:rFonts w:asciiTheme="majorHAnsi" w:hAnsiTheme="majorHAnsi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Pr="00094227" w:rsidRDefault="00EA0125" w:rsidP="00DD1436">
      <w:pPr>
        <w:spacing w:after="0" w:line="240" w:lineRule="auto"/>
        <w:rPr>
          <w:rFonts w:ascii="Cambria" w:hAnsi="Cambria" w:cs="Arial"/>
          <w:b/>
          <w:sz w:val="24"/>
          <w:lang w:val="en-US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EA0125" w:rsidRDefault="00EA0125" w:rsidP="00DD1436">
      <w:pPr>
        <w:spacing w:after="0" w:line="240" w:lineRule="auto"/>
        <w:rPr>
          <w:rFonts w:ascii="Cambria" w:hAnsi="Cambria" w:cs="Arial"/>
          <w:b/>
          <w:sz w:val="24"/>
        </w:rPr>
      </w:pPr>
    </w:p>
    <w:p w:rsidR="00DD1436" w:rsidRPr="00EA0125" w:rsidRDefault="00EA0125" w:rsidP="00EA0125">
      <w:pPr>
        <w:pStyle w:val="Heading1"/>
        <w:rPr>
          <w:rFonts w:ascii="Cambria" w:hAnsi="Cambria" w:cs="Arial"/>
          <w:b/>
          <w:color w:val="auto"/>
          <w:sz w:val="26"/>
          <w:szCs w:val="26"/>
        </w:rPr>
      </w:pPr>
      <w:bookmarkStart w:id="2" w:name="_Toc161837391"/>
      <w:r w:rsidRPr="00EA0125">
        <w:rPr>
          <w:rFonts w:ascii="Cambria" w:hAnsi="Cambria" w:cs="Arial"/>
          <w:b/>
          <w:color w:val="auto"/>
          <w:sz w:val="26"/>
          <w:szCs w:val="26"/>
        </w:rPr>
        <w:t xml:space="preserve">I </w:t>
      </w:r>
      <w:r w:rsidR="00DD1436" w:rsidRPr="00EA0125">
        <w:rPr>
          <w:rFonts w:ascii="Cambria" w:hAnsi="Cambria" w:cs="Arial"/>
          <w:b/>
          <w:color w:val="auto"/>
          <w:sz w:val="26"/>
          <w:szCs w:val="26"/>
        </w:rPr>
        <w:t>Zakonodavni okvir</w:t>
      </w:r>
      <w:bookmarkEnd w:id="2"/>
    </w:p>
    <w:p w:rsidR="00DD1436" w:rsidRPr="001A1606" w:rsidRDefault="00DD1436" w:rsidP="00DD1436">
      <w:pPr>
        <w:spacing w:after="0" w:line="240" w:lineRule="auto"/>
        <w:rPr>
          <w:rFonts w:ascii="Cambria" w:hAnsi="Cambria" w:cs="Arial"/>
          <w:sz w:val="24"/>
        </w:rPr>
      </w:pPr>
    </w:p>
    <w:p w:rsidR="00DD1436" w:rsidRPr="001A1606" w:rsidRDefault="00DD1436" w:rsidP="00DD1436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U skladu sa članom 42 Zakona o reviziji (Sl. list CG br. 001/17), nadzor nad sprovođenjem Zakona o reviziji i propisa donijetih na osnovu ovog Zakona vrši Ministarstvo finansija </w:t>
      </w:r>
      <w:r w:rsidR="00BA1109" w:rsidRPr="001A1606">
        <w:rPr>
          <w:rFonts w:ascii="Cambria" w:hAnsi="Cambria" w:cs="Arial"/>
          <w:sz w:val="24"/>
        </w:rPr>
        <w:t xml:space="preserve">u okviru </w:t>
      </w:r>
      <w:r w:rsidRPr="001A1606">
        <w:rPr>
          <w:rFonts w:ascii="Cambria" w:hAnsi="Cambria" w:cs="Arial"/>
          <w:sz w:val="24"/>
        </w:rPr>
        <w:t>Direkcij</w:t>
      </w:r>
      <w:r w:rsidR="00BA1109" w:rsidRPr="001A1606">
        <w:rPr>
          <w:rFonts w:ascii="Cambria" w:hAnsi="Cambria" w:cs="Arial"/>
          <w:sz w:val="24"/>
        </w:rPr>
        <w:t>e</w:t>
      </w:r>
      <w:r w:rsidRPr="001A1606">
        <w:rPr>
          <w:rFonts w:ascii="Cambria" w:hAnsi="Cambria" w:cs="Arial"/>
          <w:sz w:val="24"/>
        </w:rPr>
        <w:t xml:space="preserve"> za nadzor nad revizijom. </w:t>
      </w:r>
    </w:p>
    <w:p w:rsidR="00DD1436" w:rsidRPr="001A1606" w:rsidRDefault="00DD1436" w:rsidP="00DD1436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DD1436" w:rsidRPr="001A1606" w:rsidRDefault="00DD1436" w:rsidP="00DD1436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Poslove inspekcijskog nadzora </w:t>
      </w:r>
      <w:r w:rsidR="008A334F" w:rsidRPr="00F90822">
        <w:rPr>
          <w:rFonts w:ascii="Cambria" w:hAnsi="Cambria" w:cs="Arial"/>
          <w:sz w:val="24"/>
        </w:rPr>
        <w:t>od početka 2024</w:t>
      </w:r>
      <w:r w:rsidR="008A334F" w:rsidRPr="001A1606">
        <w:rPr>
          <w:rFonts w:ascii="Cambria" w:hAnsi="Cambria" w:cs="Arial"/>
          <w:sz w:val="24"/>
        </w:rPr>
        <w:t xml:space="preserve">. godine </w:t>
      </w:r>
      <w:r w:rsidRPr="001A1606">
        <w:rPr>
          <w:rFonts w:ascii="Cambria" w:hAnsi="Cambria" w:cs="Arial"/>
          <w:sz w:val="24"/>
        </w:rPr>
        <w:t>vrš</w:t>
      </w:r>
      <w:r w:rsidR="00982559" w:rsidRPr="001A1606">
        <w:rPr>
          <w:rFonts w:ascii="Cambria" w:hAnsi="Cambria" w:cs="Arial"/>
          <w:sz w:val="24"/>
        </w:rPr>
        <w:t>e</w:t>
      </w:r>
      <w:r w:rsidRPr="001A1606">
        <w:rPr>
          <w:rFonts w:ascii="Cambria" w:hAnsi="Cambria" w:cs="Arial"/>
          <w:sz w:val="24"/>
        </w:rPr>
        <w:t xml:space="preserve"> </w:t>
      </w:r>
      <w:r w:rsidR="00982559" w:rsidRPr="001A1606">
        <w:rPr>
          <w:rFonts w:ascii="Cambria" w:hAnsi="Cambria" w:cs="Arial"/>
          <w:sz w:val="24"/>
        </w:rPr>
        <w:t>dva</w:t>
      </w:r>
      <w:r w:rsidRPr="001A1606">
        <w:rPr>
          <w:rFonts w:ascii="Cambria" w:hAnsi="Cambria" w:cs="Arial"/>
          <w:sz w:val="24"/>
        </w:rPr>
        <w:t xml:space="preserve"> ovlašćen</w:t>
      </w:r>
      <w:r w:rsidR="00982559" w:rsidRPr="001A1606">
        <w:rPr>
          <w:rFonts w:ascii="Cambria" w:hAnsi="Cambria" w:cs="Arial"/>
          <w:sz w:val="24"/>
        </w:rPr>
        <w:t>a</w:t>
      </w:r>
      <w:r w:rsidRPr="001A1606">
        <w:rPr>
          <w:rFonts w:ascii="Cambria" w:hAnsi="Cambria" w:cs="Arial"/>
          <w:sz w:val="24"/>
        </w:rPr>
        <w:t xml:space="preserve"> službe</w:t>
      </w:r>
      <w:r w:rsidR="008979D3" w:rsidRPr="001A1606">
        <w:rPr>
          <w:rFonts w:ascii="Cambria" w:hAnsi="Cambria" w:cs="Arial"/>
          <w:sz w:val="24"/>
        </w:rPr>
        <w:t>n</w:t>
      </w:r>
      <w:r w:rsidR="00982559" w:rsidRPr="001A1606">
        <w:rPr>
          <w:rFonts w:ascii="Cambria" w:hAnsi="Cambria" w:cs="Arial"/>
          <w:sz w:val="24"/>
        </w:rPr>
        <w:t>a</w:t>
      </w:r>
      <w:r w:rsidRPr="001A1606">
        <w:rPr>
          <w:rFonts w:ascii="Cambria" w:hAnsi="Cambria" w:cs="Arial"/>
          <w:sz w:val="24"/>
        </w:rPr>
        <w:t xml:space="preserve"> lic</w:t>
      </w:r>
      <w:r w:rsidR="00982559" w:rsidRPr="001A1606">
        <w:rPr>
          <w:rFonts w:ascii="Cambria" w:hAnsi="Cambria" w:cs="Arial"/>
          <w:sz w:val="24"/>
        </w:rPr>
        <w:t>a</w:t>
      </w:r>
      <w:r w:rsidRPr="001A1606">
        <w:rPr>
          <w:rFonts w:ascii="Cambria" w:hAnsi="Cambria" w:cs="Arial"/>
          <w:sz w:val="24"/>
        </w:rPr>
        <w:t xml:space="preserve"> Ministarstva</w:t>
      </w:r>
      <w:r w:rsidR="008979D3" w:rsidRPr="001A1606">
        <w:rPr>
          <w:rFonts w:ascii="Cambria" w:hAnsi="Cambria" w:cs="Arial"/>
          <w:sz w:val="24"/>
        </w:rPr>
        <w:t>,</w:t>
      </w:r>
      <w:r w:rsidRPr="001A1606">
        <w:rPr>
          <w:rFonts w:ascii="Cambria" w:hAnsi="Cambria" w:cs="Arial"/>
          <w:sz w:val="24"/>
        </w:rPr>
        <w:t xml:space="preserve"> u skladu sa Zakonom o reviziji i zakonom kojim se uređuje inspekcijski nadzor.</w:t>
      </w:r>
    </w:p>
    <w:p w:rsidR="00DD1436" w:rsidRPr="001A1606" w:rsidRDefault="00DD1436" w:rsidP="00DD1436">
      <w:pPr>
        <w:spacing w:after="0" w:line="240" w:lineRule="auto"/>
        <w:rPr>
          <w:rFonts w:ascii="Cambria" w:hAnsi="Cambria" w:cs="Arial"/>
          <w:sz w:val="24"/>
        </w:rPr>
      </w:pPr>
    </w:p>
    <w:p w:rsidR="00DD1436" w:rsidRPr="001A1606" w:rsidRDefault="00DD1436" w:rsidP="009D1D82">
      <w:pPr>
        <w:spacing w:after="12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Pored obaveza i ovlašćenja utvrđenih zakonom kojim se uređuje inspekcijski nadzor, ovlašćeno službeno lice ima obavezu i ovlašćenje da naročito kontroliše da li društvo za reviziju, odnosno ovlašćeni revizor:</w:t>
      </w:r>
    </w:p>
    <w:p w:rsidR="00DD1436" w:rsidRPr="001A1606" w:rsidRDefault="00DD1436" w:rsidP="00D671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obavlja reviziju u skladu sa ovim zakonom, Međunarodnim standardima revizije i pravilima revizorske struke;</w:t>
      </w:r>
    </w:p>
    <w:p w:rsidR="00DD1436" w:rsidRPr="001A1606" w:rsidRDefault="00DD1436" w:rsidP="00D671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ispunjava zahtjeve nezavisnosti;</w:t>
      </w:r>
    </w:p>
    <w:p w:rsidR="00DD1436" w:rsidRPr="001A1606" w:rsidRDefault="00DD1436" w:rsidP="00D671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ima kvantitet i kvalitet angažovanih resursa u skladu sa standardima revizije;</w:t>
      </w:r>
    </w:p>
    <w:p w:rsidR="00DD1436" w:rsidRPr="001A1606" w:rsidRDefault="00DD1436" w:rsidP="00D671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ispunjava uslove za izdavanje dozvola za obavljanje revizije, odnosno za dobijanje licence;</w:t>
      </w:r>
    </w:p>
    <w:p w:rsidR="00DD1436" w:rsidRPr="001A1606" w:rsidRDefault="00DD1436" w:rsidP="00D671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poštuje etičke zahtjeve propisane Kodeksom etike za profesionalne računovođe; i</w:t>
      </w:r>
    </w:p>
    <w:p w:rsidR="00DD1436" w:rsidRPr="001A1606" w:rsidRDefault="00DD1436" w:rsidP="00D671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kontroliše način na koji obračunavaju naknade za usluge revizije.</w:t>
      </w:r>
    </w:p>
    <w:p w:rsidR="00DD1436" w:rsidRPr="001A1606" w:rsidRDefault="00DD1436" w:rsidP="00DD1436">
      <w:pPr>
        <w:spacing w:after="0" w:line="240" w:lineRule="auto"/>
        <w:rPr>
          <w:rFonts w:ascii="Cambria" w:hAnsi="Cambria" w:cs="Arial"/>
          <w:sz w:val="24"/>
        </w:rPr>
      </w:pPr>
    </w:p>
    <w:p w:rsidR="00DD1436" w:rsidRPr="001A1606" w:rsidRDefault="00DD1436" w:rsidP="00DD1436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Kontrola se sprovodi na objektivan način i po postupku koji isključuje sukob interesa između ovlašćenog službenog lica i društva za reviziju, odnosno ovlašćenog revizora koji je predmet kontrole. </w:t>
      </w:r>
    </w:p>
    <w:p w:rsidR="00DD1436" w:rsidRPr="001A1606" w:rsidRDefault="00DD1436" w:rsidP="00DD1436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DD1436" w:rsidRPr="001A1606" w:rsidRDefault="00DD1436" w:rsidP="00DD1436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Ovlašćeno službeno lice u postupku kontrole dužno je da pregleda dovoljan broj revizorskih dokumenata, odnosno uzoraka za testiranje radi obezbjeđenja kvalitetne i cjelovite kontrole</w:t>
      </w:r>
      <w:r w:rsidR="00984D06" w:rsidRPr="001A1606">
        <w:rPr>
          <w:rFonts w:ascii="Cambria" w:hAnsi="Cambria" w:cs="Arial"/>
          <w:sz w:val="24"/>
        </w:rPr>
        <w:t>,</w:t>
      </w:r>
      <w:r w:rsidRPr="001A1606">
        <w:rPr>
          <w:rFonts w:ascii="Cambria" w:hAnsi="Cambria" w:cs="Arial"/>
          <w:sz w:val="24"/>
        </w:rPr>
        <w:t xml:space="preserve"> primjenjujući Međunarodne standarde revizije i zahtjeve vezane za nezavisnost njihovog rada.</w:t>
      </w:r>
    </w:p>
    <w:p w:rsidR="00DD1436" w:rsidRPr="001A1606" w:rsidRDefault="00DD1436" w:rsidP="00DD1436">
      <w:pPr>
        <w:spacing w:after="0" w:line="240" w:lineRule="auto"/>
        <w:rPr>
          <w:rFonts w:ascii="Cambria" w:hAnsi="Cambria" w:cs="Arial"/>
          <w:sz w:val="24"/>
        </w:rPr>
      </w:pPr>
    </w:p>
    <w:p w:rsidR="00DD1436" w:rsidRPr="001A1606" w:rsidRDefault="00947DFC" w:rsidP="00947DFC">
      <w:pPr>
        <w:spacing w:after="0" w:line="240" w:lineRule="auto"/>
        <w:jc w:val="both"/>
        <w:rPr>
          <w:rFonts w:ascii="Cambria" w:hAnsi="Cambria" w:cs="Arial"/>
          <w:sz w:val="24"/>
          <w:lang w:val="en-US"/>
        </w:rPr>
      </w:pPr>
      <w:r w:rsidRPr="001A1606">
        <w:rPr>
          <w:rFonts w:ascii="Cambria" w:hAnsi="Cambria" w:cs="Arial"/>
          <w:sz w:val="24"/>
        </w:rPr>
        <w:t>Ovlašćeno službeno lice sačinjava izvještaj koji sadrži naročito nalaze i zaključke i dostavlja ga društvu za reviziju, odnosno ovlašćenom revizoru koji je predmet kontrole. Ovaj izvještaj se dostavlja i Savjetu za reviziju</w:t>
      </w:r>
    </w:p>
    <w:p w:rsidR="00DD1436" w:rsidRPr="001A1606" w:rsidRDefault="00DD1436" w:rsidP="00DD1436">
      <w:pPr>
        <w:spacing w:after="0" w:line="240" w:lineRule="auto"/>
        <w:rPr>
          <w:rFonts w:ascii="Cambria" w:hAnsi="Cambria" w:cs="Arial"/>
          <w:sz w:val="24"/>
        </w:rPr>
      </w:pPr>
    </w:p>
    <w:p w:rsidR="00947DFC" w:rsidRPr="001A1606" w:rsidRDefault="00947DFC" w:rsidP="00947DFC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Ovlašćeno službeno lice, kada utvrdi da društvo za reviziju ili ovlašćeni revizor ne postupa u skladu sa odredbama Zakona i pravilima revizorske struke, predlaže sljedeće mjere:</w:t>
      </w:r>
    </w:p>
    <w:p w:rsidR="00947DFC" w:rsidRPr="001A1606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otklanjanje utvrđenih nepravilnosti;</w:t>
      </w:r>
    </w:p>
    <w:p w:rsidR="00947DFC" w:rsidRPr="001A1606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izricanje dodatnih mjera potrebnih za otklanjanje nepravilnosti;</w:t>
      </w:r>
    </w:p>
    <w:p w:rsidR="00947DFC" w:rsidRPr="001A1606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privremenu zabranu rada društvu za reviziju</w:t>
      </w:r>
      <w:r w:rsidR="0086135A" w:rsidRPr="001A1606">
        <w:rPr>
          <w:rFonts w:ascii="Cambria" w:hAnsi="Cambria" w:cs="Arial"/>
          <w:sz w:val="24"/>
        </w:rPr>
        <w:t>,</w:t>
      </w:r>
      <w:r w:rsidRPr="001A1606">
        <w:rPr>
          <w:rFonts w:ascii="Cambria" w:hAnsi="Cambria" w:cs="Arial"/>
          <w:sz w:val="24"/>
        </w:rPr>
        <w:t xml:space="preserve"> odnosno ovlašćenom revizoru;</w:t>
      </w:r>
    </w:p>
    <w:p w:rsidR="00DD1436" w:rsidRPr="001A1606" w:rsidRDefault="00947DFC" w:rsidP="00947DFC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oduzimanje licence ovlašćenom revizoru odnosno dozvole za obavljanje revizije društvu za reviziju.</w:t>
      </w:r>
    </w:p>
    <w:p w:rsidR="00DD1436" w:rsidRPr="001A1606" w:rsidRDefault="00DD1436" w:rsidP="00DD1436">
      <w:pPr>
        <w:spacing w:after="0" w:line="240" w:lineRule="auto"/>
        <w:rPr>
          <w:rFonts w:ascii="Cambria" w:hAnsi="Cambria" w:cs="Arial"/>
          <w:sz w:val="24"/>
        </w:rPr>
      </w:pPr>
    </w:p>
    <w:p w:rsidR="00947DFC" w:rsidRPr="001A1606" w:rsidRDefault="00947DFC" w:rsidP="00D67110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Ovlašćeno službeno lice će naložiti otklanjanje utvrđenih nepravilnosti društvu za reviziju, odnosno ovlašćenom revizoru ako:</w:t>
      </w:r>
    </w:p>
    <w:p w:rsidR="00947DFC" w:rsidRPr="001A1606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lastRenderedPageBreak/>
        <w:t>vlasnička i upravljačka struktura društva za reviziju nije u skladu sa zakonom;</w:t>
      </w:r>
    </w:p>
    <w:p w:rsidR="00947DFC" w:rsidRPr="001A1606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društvo za reviziju, odnosno ovlašćeni revizor obavlja djelatnost revizije suprotno odredbama Zakona o reviziji;</w:t>
      </w:r>
    </w:p>
    <w:p w:rsidR="00947DFC" w:rsidRPr="001A1606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društvo za reviziju, odnosno ovlašćeni revizor ne sačini izvještaj o transparentnosti u skladu sa članom 26 Zakona o reviziji i ne dostavi ga Savjetu za reviziju radi objavljivanja;</w:t>
      </w:r>
    </w:p>
    <w:p w:rsidR="00947DFC" w:rsidRPr="001A1606" w:rsidRDefault="00947DFC" w:rsidP="00947DFC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društvo za reviziju, odnosno ovlašćeni revizor ne ispunjavaju uslove za dobijanje dozvole za obavljanje revizije, odnosno licence.</w:t>
      </w:r>
    </w:p>
    <w:p w:rsidR="00947DFC" w:rsidRPr="001A1606" w:rsidRDefault="00947DFC" w:rsidP="00947DFC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676A8A" w:rsidRPr="001A1606" w:rsidRDefault="00676A8A" w:rsidP="00947DFC">
      <w:pPr>
        <w:spacing w:after="0" w:line="240" w:lineRule="auto"/>
        <w:jc w:val="both"/>
        <w:rPr>
          <w:rFonts w:ascii="Cambria" w:hAnsi="Cambria" w:cs="Arial"/>
          <w:b/>
          <w:sz w:val="24"/>
        </w:rPr>
      </w:pPr>
    </w:p>
    <w:p w:rsidR="00947DFC" w:rsidRPr="00EA0125" w:rsidRDefault="00EA0125" w:rsidP="00EA0125">
      <w:pPr>
        <w:pStyle w:val="Heading1"/>
        <w:rPr>
          <w:rFonts w:ascii="Cambria" w:hAnsi="Cambria" w:cs="Arial"/>
          <w:b/>
          <w:color w:val="auto"/>
          <w:sz w:val="26"/>
          <w:szCs w:val="26"/>
        </w:rPr>
      </w:pPr>
      <w:bookmarkStart w:id="3" w:name="_Toc161837392"/>
      <w:r w:rsidRPr="00EA0125">
        <w:rPr>
          <w:rFonts w:ascii="Cambria" w:hAnsi="Cambria" w:cs="Arial"/>
          <w:b/>
          <w:color w:val="auto"/>
          <w:sz w:val="26"/>
          <w:szCs w:val="26"/>
        </w:rPr>
        <w:t xml:space="preserve">II </w:t>
      </w:r>
      <w:r w:rsidR="00916357" w:rsidRPr="00EA0125">
        <w:rPr>
          <w:rFonts w:ascii="Cambria" w:hAnsi="Cambria" w:cs="Arial"/>
          <w:b/>
          <w:color w:val="auto"/>
          <w:sz w:val="26"/>
          <w:szCs w:val="26"/>
        </w:rPr>
        <w:t>Cilj kontrole</w:t>
      </w:r>
      <w:bookmarkEnd w:id="3"/>
    </w:p>
    <w:p w:rsidR="00947DFC" w:rsidRPr="001A1606" w:rsidRDefault="00947DFC" w:rsidP="001366E6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853683" w:rsidRPr="001A1606" w:rsidRDefault="00DD1436" w:rsidP="00916357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Cilj </w:t>
      </w:r>
      <w:r w:rsidR="00916357" w:rsidRPr="001A1606">
        <w:rPr>
          <w:rFonts w:ascii="Cambria" w:hAnsi="Cambria" w:cs="Arial"/>
          <w:sz w:val="24"/>
        </w:rPr>
        <w:t xml:space="preserve">kontrole je utrvđivanje da li su društva za reviziju </w:t>
      </w:r>
      <w:r w:rsidRPr="001A1606">
        <w:rPr>
          <w:rFonts w:ascii="Cambria" w:hAnsi="Cambria" w:cs="Arial"/>
          <w:sz w:val="24"/>
        </w:rPr>
        <w:t>uve</w:t>
      </w:r>
      <w:r w:rsidR="00916357" w:rsidRPr="001A1606">
        <w:rPr>
          <w:rFonts w:ascii="Cambria" w:hAnsi="Cambria" w:cs="Arial"/>
          <w:sz w:val="24"/>
        </w:rPr>
        <w:t>la</w:t>
      </w:r>
      <w:r w:rsidRPr="001A1606">
        <w:rPr>
          <w:rFonts w:ascii="Cambria" w:hAnsi="Cambria" w:cs="Arial"/>
          <w:sz w:val="24"/>
        </w:rPr>
        <w:t xml:space="preserve"> i održa</w:t>
      </w:r>
      <w:r w:rsidR="00916357" w:rsidRPr="001A1606">
        <w:rPr>
          <w:rFonts w:ascii="Cambria" w:hAnsi="Cambria" w:cs="Arial"/>
          <w:sz w:val="24"/>
        </w:rPr>
        <w:t>vaju sistem kontrole kvaliteta</w:t>
      </w:r>
      <w:r w:rsidRPr="001A1606">
        <w:rPr>
          <w:rFonts w:ascii="Cambria" w:hAnsi="Cambria" w:cs="Arial"/>
          <w:sz w:val="24"/>
        </w:rPr>
        <w:t xml:space="preserve"> koji uključuje</w:t>
      </w:r>
      <w:r w:rsidR="00916357" w:rsidRPr="001A1606">
        <w:rPr>
          <w:rFonts w:ascii="Cambria" w:hAnsi="Cambria" w:cs="Arial"/>
          <w:sz w:val="24"/>
        </w:rPr>
        <w:t xml:space="preserve"> </w:t>
      </w:r>
      <w:r w:rsidRPr="001A1606">
        <w:rPr>
          <w:rFonts w:ascii="Cambria" w:hAnsi="Cambria" w:cs="Arial"/>
          <w:sz w:val="24"/>
        </w:rPr>
        <w:t xml:space="preserve">politike i procedure koje se bave svakim od šest </w:t>
      </w:r>
      <w:r w:rsidR="00916357" w:rsidRPr="001A1606">
        <w:rPr>
          <w:rFonts w:ascii="Cambria" w:hAnsi="Cambria" w:cs="Arial"/>
          <w:sz w:val="24"/>
        </w:rPr>
        <w:t xml:space="preserve">sledećih </w:t>
      </w:r>
      <w:r w:rsidRPr="001A1606">
        <w:rPr>
          <w:rFonts w:ascii="Cambria" w:hAnsi="Cambria" w:cs="Arial"/>
          <w:sz w:val="24"/>
        </w:rPr>
        <w:t>elemenata</w:t>
      </w:r>
      <w:r w:rsidR="00916357" w:rsidRPr="001A1606">
        <w:rPr>
          <w:rFonts w:ascii="Cambria" w:hAnsi="Cambria" w:cs="Arial"/>
          <w:sz w:val="24"/>
        </w:rPr>
        <w:t>:</w:t>
      </w:r>
    </w:p>
    <w:p w:rsidR="00916357" w:rsidRPr="001A1606" w:rsidRDefault="00916357" w:rsidP="00231F64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Cambria" w:hAnsi="Cambria" w:cs="Arial"/>
          <w:i/>
          <w:iCs/>
          <w:sz w:val="24"/>
        </w:rPr>
      </w:pPr>
      <w:r w:rsidRPr="001A1606">
        <w:rPr>
          <w:rFonts w:ascii="Cambria" w:hAnsi="Cambria" w:cs="Arial"/>
          <w:sz w:val="24"/>
        </w:rPr>
        <w:t xml:space="preserve">Da li revizor dokumentuje usklađenost sa zahtjevima Međunarodnog </w:t>
      </w:r>
      <w:r w:rsidR="006708BC" w:rsidRPr="001A1606">
        <w:rPr>
          <w:rFonts w:ascii="Cambria" w:hAnsi="Cambria" w:cs="Arial"/>
          <w:sz w:val="24"/>
        </w:rPr>
        <w:t>standarda</w:t>
      </w:r>
      <w:r w:rsidRPr="001A1606">
        <w:rPr>
          <w:rFonts w:ascii="Cambria" w:hAnsi="Cambria" w:cs="Arial"/>
          <w:sz w:val="24"/>
        </w:rPr>
        <w:t xml:space="preserve"> kontrole kvaliteta</w:t>
      </w:r>
      <w:r w:rsidR="006708BC" w:rsidRPr="001A1606">
        <w:rPr>
          <w:rFonts w:ascii="Cambria" w:hAnsi="Cambria" w:cs="Arial"/>
          <w:sz w:val="24"/>
        </w:rPr>
        <w:t xml:space="preserve"> (MSKK 1)</w:t>
      </w:r>
      <w:r w:rsidRPr="001A1606">
        <w:rPr>
          <w:rFonts w:ascii="Cambria" w:hAnsi="Cambria" w:cs="Arial"/>
          <w:sz w:val="24"/>
        </w:rPr>
        <w:t xml:space="preserve">, a posebno vezano za </w:t>
      </w:r>
      <w:r w:rsidR="006708BC" w:rsidRPr="001A1606">
        <w:rPr>
          <w:rFonts w:ascii="Cambria" w:hAnsi="Cambria" w:cs="Arial"/>
          <w:i/>
          <w:iCs/>
          <w:sz w:val="24"/>
        </w:rPr>
        <w:t>e</w:t>
      </w:r>
      <w:r w:rsidRPr="001A1606">
        <w:rPr>
          <w:rFonts w:ascii="Cambria" w:hAnsi="Cambria" w:cs="Arial"/>
          <w:i/>
          <w:iCs/>
          <w:sz w:val="24"/>
        </w:rPr>
        <w:t>lement</w:t>
      </w:r>
      <w:r w:rsidR="006708BC" w:rsidRPr="001A1606">
        <w:rPr>
          <w:rFonts w:ascii="Cambria" w:hAnsi="Cambria" w:cs="Arial"/>
          <w:i/>
          <w:iCs/>
          <w:sz w:val="24"/>
        </w:rPr>
        <w:t>e</w:t>
      </w:r>
      <w:r w:rsidRPr="001A1606">
        <w:rPr>
          <w:rFonts w:ascii="Cambria" w:hAnsi="Cambria" w:cs="Arial"/>
          <w:i/>
          <w:iCs/>
          <w:sz w:val="24"/>
        </w:rPr>
        <w:t xml:space="preserve"> sistema kontrole kvaliteta</w:t>
      </w:r>
      <w:r w:rsidR="006708BC" w:rsidRPr="001A1606">
        <w:rPr>
          <w:rFonts w:ascii="Cambria" w:hAnsi="Cambria" w:cs="Arial"/>
          <w:i/>
          <w:iCs/>
          <w:sz w:val="24"/>
        </w:rPr>
        <w:t>:</w:t>
      </w:r>
    </w:p>
    <w:p w:rsidR="00916357" w:rsidRPr="001A1606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</w:t>
      </w:r>
      <w:r w:rsidR="00916357" w:rsidRPr="001A1606">
        <w:rPr>
          <w:rFonts w:ascii="Cambria" w:hAnsi="Cambria" w:cs="Arial"/>
          <w:sz w:val="24"/>
        </w:rPr>
        <w:t xml:space="preserve">dgovornost rukovodstva za kvalitet unutar </w:t>
      </w:r>
      <w:r w:rsidRPr="001A1606">
        <w:rPr>
          <w:rFonts w:ascii="Cambria" w:hAnsi="Cambria" w:cs="Arial"/>
          <w:sz w:val="24"/>
        </w:rPr>
        <w:t>društva za reviziju;</w:t>
      </w:r>
    </w:p>
    <w:p w:rsidR="00916357" w:rsidRPr="001A1606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r</w:t>
      </w:r>
      <w:r w:rsidR="00916357" w:rsidRPr="001A1606">
        <w:rPr>
          <w:rFonts w:ascii="Cambria" w:hAnsi="Cambria" w:cs="Arial"/>
          <w:sz w:val="24"/>
        </w:rPr>
        <w:t>elevantn</w:t>
      </w:r>
      <w:r w:rsidRPr="001A1606">
        <w:rPr>
          <w:rFonts w:ascii="Cambria" w:hAnsi="Cambria" w:cs="Arial"/>
          <w:sz w:val="24"/>
        </w:rPr>
        <w:t>e etičke</w:t>
      </w:r>
      <w:r w:rsidR="00916357" w:rsidRPr="001A1606">
        <w:rPr>
          <w:rFonts w:ascii="Cambria" w:hAnsi="Cambria" w:cs="Arial"/>
          <w:sz w:val="24"/>
        </w:rPr>
        <w:t xml:space="preserve"> zahtjev</w:t>
      </w:r>
      <w:r w:rsidRPr="001A1606">
        <w:rPr>
          <w:rFonts w:ascii="Cambria" w:hAnsi="Cambria" w:cs="Arial"/>
          <w:sz w:val="24"/>
        </w:rPr>
        <w:t>e;</w:t>
      </w:r>
    </w:p>
    <w:p w:rsidR="00916357" w:rsidRPr="001A1606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p</w:t>
      </w:r>
      <w:r w:rsidR="00916357" w:rsidRPr="001A1606">
        <w:rPr>
          <w:rFonts w:ascii="Cambria" w:hAnsi="Cambria" w:cs="Arial"/>
          <w:sz w:val="24"/>
        </w:rPr>
        <w:t>rihvatanje i nastavak odnosa sa klijent</w:t>
      </w:r>
      <w:r w:rsidRPr="001A1606">
        <w:rPr>
          <w:rFonts w:ascii="Cambria" w:hAnsi="Cambria" w:cs="Arial"/>
          <w:sz w:val="24"/>
        </w:rPr>
        <w:t>ima</w:t>
      </w:r>
      <w:r w:rsidR="00916357" w:rsidRPr="001A1606">
        <w:rPr>
          <w:rFonts w:ascii="Cambria" w:hAnsi="Cambria" w:cs="Arial"/>
          <w:sz w:val="24"/>
        </w:rPr>
        <w:t xml:space="preserve"> i posebn</w:t>
      </w:r>
      <w:r w:rsidRPr="001A1606">
        <w:rPr>
          <w:rFonts w:ascii="Cambria" w:hAnsi="Cambria" w:cs="Arial"/>
          <w:sz w:val="24"/>
        </w:rPr>
        <w:t>ih</w:t>
      </w:r>
      <w:r w:rsidR="00916357" w:rsidRPr="001A1606">
        <w:rPr>
          <w:rFonts w:ascii="Cambria" w:hAnsi="Cambria" w:cs="Arial"/>
          <w:sz w:val="24"/>
        </w:rPr>
        <w:t xml:space="preserve"> angaž</w:t>
      </w:r>
      <w:r w:rsidRPr="001A1606">
        <w:rPr>
          <w:rFonts w:ascii="Cambria" w:hAnsi="Cambria" w:cs="Arial"/>
          <w:sz w:val="24"/>
        </w:rPr>
        <w:t>mana</w:t>
      </w:r>
      <w:r w:rsidR="005B4020" w:rsidRPr="001A1606">
        <w:rPr>
          <w:rFonts w:ascii="Cambria" w:hAnsi="Cambria" w:cs="Arial"/>
          <w:sz w:val="24"/>
        </w:rPr>
        <w:t>;</w:t>
      </w:r>
    </w:p>
    <w:p w:rsidR="00916357" w:rsidRPr="001A1606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ljudske</w:t>
      </w:r>
      <w:r w:rsidR="00916357" w:rsidRPr="001A1606">
        <w:rPr>
          <w:rFonts w:ascii="Cambria" w:hAnsi="Cambria" w:cs="Arial"/>
          <w:sz w:val="24"/>
        </w:rPr>
        <w:t xml:space="preserve"> resurs</w:t>
      </w:r>
      <w:r w:rsidRPr="001A1606">
        <w:rPr>
          <w:rFonts w:ascii="Cambria" w:hAnsi="Cambria" w:cs="Arial"/>
          <w:sz w:val="24"/>
        </w:rPr>
        <w:t>e</w:t>
      </w:r>
      <w:r w:rsidR="005B4020" w:rsidRPr="001A1606">
        <w:rPr>
          <w:rFonts w:ascii="Cambria" w:hAnsi="Cambria" w:cs="Arial"/>
          <w:sz w:val="24"/>
        </w:rPr>
        <w:t>;</w:t>
      </w:r>
    </w:p>
    <w:p w:rsidR="006708BC" w:rsidRPr="001A1606" w:rsidRDefault="006708BC" w:rsidP="00231F64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obavljanje angažmana</w:t>
      </w:r>
      <w:r w:rsidR="005B4020" w:rsidRPr="001A1606">
        <w:rPr>
          <w:rFonts w:ascii="Cambria" w:hAnsi="Cambria" w:cs="Arial"/>
          <w:sz w:val="24"/>
        </w:rPr>
        <w:t>;</w:t>
      </w:r>
    </w:p>
    <w:p w:rsidR="00231F64" w:rsidRPr="00D67110" w:rsidRDefault="006708BC" w:rsidP="00D67110">
      <w:pPr>
        <w:pStyle w:val="ListParagraph"/>
        <w:numPr>
          <w:ilvl w:val="0"/>
          <w:numId w:val="11"/>
        </w:numPr>
        <w:spacing w:after="0" w:line="240" w:lineRule="auto"/>
        <w:ind w:left="1134" w:hanging="283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monitoring</w:t>
      </w:r>
      <w:r w:rsidR="005B4020" w:rsidRPr="001A1606">
        <w:rPr>
          <w:rFonts w:ascii="Cambria" w:hAnsi="Cambria" w:cs="Arial"/>
          <w:sz w:val="24"/>
        </w:rPr>
        <w:t>.</w:t>
      </w:r>
    </w:p>
    <w:p w:rsidR="006708BC" w:rsidRPr="001A1606" w:rsidRDefault="00916357" w:rsidP="00916357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Da li trenutni sistem kontrole kvaliteta zadovoljavaja sve zahtjeve </w:t>
      </w:r>
      <w:r w:rsidRPr="001A1606">
        <w:rPr>
          <w:rFonts w:ascii="Cambria" w:hAnsi="Cambria" w:cs="Arial"/>
          <w:color w:val="000000" w:themeColor="text1"/>
          <w:sz w:val="24"/>
        </w:rPr>
        <w:t>MSKK 1</w:t>
      </w:r>
      <w:r w:rsidRPr="001A1606">
        <w:rPr>
          <w:rFonts w:ascii="Cambria" w:hAnsi="Cambria" w:cs="Arial"/>
          <w:sz w:val="24"/>
        </w:rPr>
        <w:t>?</w:t>
      </w:r>
    </w:p>
    <w:p w:rsidR="00916357" w:rsidRPr="001A1606" w:rsidRDefault="00916357" w:rsidP="00916357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Da li </w:t>
      </w:r>
      <w:r w:rsidR="006708BC" w:rsidRPr="001A1606">
        <w:rPr>
          <w:rFonts w:ascii="Cambria" w:hAnsi="Cambria" w:cs="Arial"/>
          <w:sz w:val="24"/>
        </w:rPr>
        <w:t xml:space="preserve">se adekvatno dokumentuju politike i procedure kontrole kvaliteta u skladu sa </w:t>
      </w:r>
      <w:r w:rsidRPr="001A1606">
        <w:rPr>
          <w:rFonts w:ascii="Cambria" w:hAnsi="Cambria" w:cs="Arial"/>
          <w:color w:val="000000" w:themeColor="text1"/>
          <w:sz w:val="24"/>
        </w:rPr>
        <w:t>MSKK 1</w:t>
      </w:r>
      <w:r w:rsidRPr="001A1606">
        <w:rPr>
          <w:rFonts w:ascii="Cambria" w:hAnsi="Cambria" w:cs="Arial"/>
          <w:sz w:val="24"/>
        </w:rPr>
        <w:t>?</w:t>
      </w:r>
    </w:p>
    <w:p w:rsidR="00916357" w:rsidRPr="001A1606" w:rsidRDefault="00916357" w:rsidP="00916357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Gdje je to primjenljivo, da li je urađen</w:t>
      </w:r>
      <w:r w:rsidR="006708BC" w:rsidRPr="001A1606">
        <w:rPr>
          <w:rFonts w:ascii="Cambria" w:hAnsi="Cambria" w:cs="Arial"/>
          <w:sz w:val="24"/>
        </w:rPr>
        <w:t>a</w:t>
      </w:r>
      <w:r w:rsidRPr="001A1606">
        <w:rPr>
          <w:rFonts w:ascii="Cambria" w:hAnsi="Cambria" w:cs="Arial"/>
          <w:sz w:val="24"/>
        </w:rPr>
        <w:t xml:space="preserve"> </w:t>
      </w:r>
      <w:r w:rsidR="006708BC" w:rsidRPr="001A1606">
        <w:rPr>
          <w:rFonts w:ascii="Cambria" w:hAnsi="Cambria" w:cs="Arial"/>
          <w:sz w:val="24"/>
        </w:rPr>
        <w:t>analiza</w:t>
      </w:r>
      <w:r w:rsidRPr="001A1606">
        <w:rPr>
          <w:rFonts w:ascii="Cambria" w:hAnsi="Cambria" w:cs="Arial"/>
          <w:sz w:val="24"/>
        </w:rPr>
        <w:t xml:space="preserve"> dokumentovanih politika i</w:t>
      </w:r>
      <w:r w:rsidR="006708BC" w:rsidRPr="001A1606">
        <w:rPr>
          <w:rFonts w:ascii="Cambria" w:hAnsi="Cambria" w:cs="Arial"/>
          <w:sz w:val="24"/>
        </w:rPr>
        <w:t xml:space="preserve"> </w:t>
      </w:r>
      <w:r w:rsidRPr="001A1606">
        <w:rPr>
          <w:rFonts w:ascii="Cambria" w:hAnsi="Cambria" w:cs="Arial"/>
          <w:sz w:val="24"/>
        </w:rPr>
        <w:t>procedura sa zahtjevima standarda:</w:t>
      </w:r>
    </w:p>
    <w:p w:rsidR="00916357" w:rsidRPr="001A1606" w:rsidRDefault="00916357" w:rsidP="00676A8A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poređenjem svakog zahtjeva unutar standarda sa postojećim politikama i procedurama;</w:t>
      </w:r>
    </w:p>
    <w:p w:rsidR="00916357" w:rsidRPr="001A1606" w:rsidRDefault="00916357" w:rsidP="00676A8A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isticanjem onih zahtjeva koji nisu trenutno ispunjeni; i</w:t>
      </w:r>
    </w:p>
    <w:p w:rsidR="00916357" w:rsidRPr="001A1606" w:rsidRDefault="00916357" w:rsidP="00676A8A">
      <w:pPr>
        <w:pStyle w:val="ListParagraph"/>
        <w:numPr>
          <w:ilvl w:val="0"/>
          <w:numId w:val="12"/>
        </w:numPr>
        <w:spacing w:after="0" w:line="240" w:lineRule="auto"/>
        <w:ind w:left="1134" w:hanging="283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utvrđivanjem promjena koje treba napraviti</w:t>
      </w:r>
      <w:r w:rsidR="005B4020" w:rsidRPr="001A1606">
        <w:rPr>
          <w:rFonts w:ascii="Cambria" w:hAnsi="Cambria" w:cs="Arial"/>
          <w:sz w:val="24"/>
        </w:rPr>
        <w:t>.</w:t>
      </w:r>
    </w:p>
    <w:p w:rsidR="00916357" w:rsidRPr="001A1606" w:rsidRDefault="00916357" w:rsidP="006708BC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Da li </w:t>
      </w:r>
      <w:r w:rsidR="00676A8A" w:rsidRPr="001A1606">
        <w:rPr>
          <w:rFonts w:ascii="Cambria" w:hAnsi="Cambria" w:cs="Arial"/>
          <w:sz w:val="24"/>
        </w:rPr>
        <w:t xml:space="preserve">su </w:t>
      </w:r>
      <w:r w:rsidRPr="001A1606">
        <w:rPr>
          <w:rFonts w:ascii="Cambria" w:hAnsi="Cambria" w:cs="Arial"/>
          <w:sz w:val="24"/>
        </w:rPr>
        <w:t xml:space="preserve">politike i procedure </w:t>
      </w:r>
      <w:r w:rsidR="006708BC" w:rsidRPr="001A1606">
        <w:rPr>
          <w:rFonts w:ascii="Cambria" w:hAnsi="Cambria" w:cs="Arial"/>
          <w:sz w:val="24"/>
        </w:rPr>
        <w:t>kontrole kvaliteta</w:t>
      </w:r>
      <w:r w:rsidR="00676A8A" w:rsidRPr="001A1606">
        <w:rPr>
          <w:rFonts w:ascii="Cambria" w:hAnsi="Cambria" w:cs="Arial"/>
          <w:sz w:val="24"/>
        </w:rPr>
        <w:t xml:space="preserve"> </w:t>
      </w:r>
      <w:r w:rsidR="006708BC" w:rsidRPr="001A1606">
        <w:rPr>
          <w:rFonts w:ascii="Cambria" w:hAnsi="Cambria" w:cs="Arial"/>
          <w:sz w:val="24"/>
        </w:rPr>
        <w:t>propisane (npr.</w:t>
      </w:r>
      <w:r w:rsidRPr="001A1606">
        <w:rPr>
          <w:rFonts w:ascii="Cambria" w:hAnsi="Cambria" w:cs="Arial"/>
          <w:sz w:val="24"/>
        </w:rPr>
        <w:t xml:space="preserve"> u uputstvu kontrole kvaliteta</w:t>
      </w:r>
      <w:r w:rsidR="00676A8A" w:rsidRPr="001A1606">
        <w:rPr>
          <w:rFonts w:ascii="Cambria" w:hAnsi="Cambria" w:cs="Arial"/>
          <w:sz w:val="24"/>
        </w:rPr>
        <w:t>?</w:t>
      </w:r>
    </w:p>
    <w:p w:rsidR="00916357" w:rsidRPr="001A1606" w:rsidRDefault="00916357" w:rsidP="006708BC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Da li su politike</w:t>
      </w:r>
      <w:r w:rsidR="006708BC" w:rsidRPr="001A1606">
        <w:rPr>
          <w:rFonts w:ascii="Cambria" w:hAnsi="Cambria" w:cs="Arial"/>
          <w:sz w:val="24"/>
        </w:rPr>
        <w:t xml:space="preserve"> </w:t>
      </w:r>
      <w:r w:rsidRPr="001A1606">
        <w:rPr>
          <w:rFonts w:ascii="Cambria" w:hAnsi="Cambria" w:cs="Arial"/>
          <w:sz w:val="24"/>
        </w:rPr>
        <w:t xml:space="preserve">i procedure </w:t>
      </w:r>
      <w:r w:rsidR="006708BC" w:rsidRPr="001A1606">
        <w:rPr>
          <w:rFonts w:ascii="Cambria" w:hAnsi="Cambria" w:cs="Arial"/>
          <w:sz w:val="24"/>
        </w:rPr>
        <w:t xml:space="preserve">kontrole kvaliteta </w:t>
      </w:r>
      <w:r w:rsidRPr="001A1606">
        <w:rPr>
          <w:rFonts w:ascii="Cambria" w:hAnsi="Cambria" w:cs="Arial"/>
          <w:sz w:val="24"/>
        </w:rPr>
        <w:t xml:space="preserve">oblikovane na način da odražavaju veličinu </w:t>
      </w:r>
      <w:r w:rsidR="005B4020" w:rsidRPr="001A1606">
        <w:rPr>
          <w:rFonts w:ascii="Cambria" w:hAnsi="Cambria" w:cs="Arial"/>
          <w:sz w:val="24"/>
        </w:rPr>
        <w:t>društva za reviziju</w:t>
      </w:r>
      <w:r w:rsidRPr="001A1606">
        <w:rPr>
          <w:rFonts w:ascii="Cambria" w:hAnsi="Cambria" w:cs="Arial"/>
          <w:sz w:val="24"/>
        </w:rPr>
        <w:t xml:space="preserve"> (npr. u malim</w:t>
      </w:r>
      <w:r w:rsidR="006708BC" w:rsidRPr="001A1606">
        <w:rPr>
          <w:rFonts w:ascii="Cambria" w:hAnsi="Cambria" w:cs="Arial"/>
          <w:sz w:val="24"/>
        </w:rPr>
        <w:t xml:space="preserve"> </w:t>
      </w:r>
      <w:r w:rsidR="00676A8A" w:rsidRPr="001A1606">
        <w:rPr>
          <w:rFonts w:ascii="Cambria" w:hAnsi="Cambria" w:cs="Arial"/>
          <w:sz w:val="24"/>
        </w:rPr>
        <w:t>društvima za reviziju</w:t>
      </w:r>
      <w:r w:rsidRPr="001A1606">
        <w:rPr>
          <w:rFonts w:ascii="Cambria" w:hAnsi="Cambria" w:cs="Arial"/>
          <w:sz w:val="24"/>
        </w:rPr>
        <w:t xml:space="preserve"> sistemi mogu biti jednostavni, </w:t>
      </w:r>
      <w:r w:rsidR="00676A8A" w:rsidRPr="001A1606">
        <w:rPr>
          <w:rFonts w:ascii="Cambria" w:hAnsi="Cambria" w:cs="Arial"/>
          <w:sz w:val="24"/>
        </w:rPr>
        <w:t>kod ovlašćenih</w:t>
      </w:r>
      <w:r w:rsidRPr="001A1606">
        <w:rPr>
          <w:rFonts w:ascii="Cambria" w:hAnsi="Cambria" w:cs="Arial"/>
          <w:sz w:val="24"/>
        </w:rPr>
        <w:t xml:space="preserve"> revizora još jednostavniji)?</w:t>
      </w:r>
    </w:p>
    <w:p w:rsidR="00916357" w:rsidRPr="001A1606" w:rsidRDefault="00916357" w:rsidP="006708BC">
      <w:pPr>
        <w:pStyle w:val="ListParagraph"/>
        <w:numPr>
          <w:ilvl w:val="0"/>
          <w:numId w:val="10"/>
        </w:numPr>
        <w:spacing w:after="0" w:line="240" w:lineRule="auto"/>
        <w:ind w:left="567" w:hanging="425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U slučaju malih </w:t>
      </w:r>
      <w:r w:rsidR="006708BC" w:rsidRPr="001A1606">
        <w:rPr>
          <w:rFonts w:ascii="Cambria" w:hAnsi="Cambria" w:cs="Arial"/>
          <w:sz w:val="24"/>
        </w:rPr>
        <w:t>društava za reviziju</w:t>
      </w:r>
      <w:r w:rsidRPr="001A1606">
        <w:rPr>
          <w:rFonts w:ascii="Cambria" w:hAnsi="Cambria" w:cs="Arial"/>
          <w:sz w:val="24"/>
        </w:rPr>
        <w:t xml:space="preserve"> i </w:t>
      </w:r>
      <w:r w:rsidR="00676A8A" w:rsidRPr="001A1606">
        <w:rPr>
          <w:rFonts w:ascii="Cambria" w:hAnsi="Cambria" w:cs="Arial"/>
          <w:sz w:val="24"/>
        </w:rPr>
        <w:t>ovlašćenih revizora</w:t>
      </w:r>
      <w:r w:rsidRPr="001A1606">
        <w:rPr>
          <w:rFonts w:ascii="Cambria" w:hAnsi="Cambria" w:cs="Arial"/>
          <w:sz w:val="24"/>
        </w:rPr>
        <w:t>, da li je eksterna stručna pomoć korišćena ili</w:t>
      </w:r>
      <w:r w:rsidR="006708BC" w:rsidRPr="001A1606">
        <w:rPr>
          <w:rFonts w:ascii="Cambria" w:hAnsi="Cambria" w:cs="Arial"/>
          <w:sz w:val="24"/>
        </w:rPr>
        <w:t xml:space="preserve"> </w:t>
      </w:r>
      <w:r w:rsidRPr="001A1606">
        <w:rPr>
          <w:rFonts w:ascii="Cambria" w:hAnsi="Cambria" w:cs="Arial"/>
          <w:sz w:val="24"/>
        </w:rPr>
        <w:t xml:space="preserve">razmatrana pri projekovanju </w:t>
      </w:r>
      <w:r w:rsidR="00D67110">
        <w:rPr>
          <w:rFonts w:ascii="Cambria" w:hAnsi="Cambria" w:cs="Arial"/>
          <w:sz w:val="24"/>
        </w:rPr>
        <w:t>s</w:t>
      </w:r>
      <w:r w:rsidR="006708BC" w:rsidRPr="001A1606">
        <w:rPr>
          <w:rFonts w:ascii="Cambria" w:hAnsi="Cambria" w:cs="Arial"/>
          <w:sz w:val="24"/>
        </w:rPr>
        <w:t>istema kontrole kvaliteta</w:t>
      </w:r>
      <w:r w:rsidRPr="001A1606">
        <w:rPr>
          <w:rFonts w:ascii="Cambria" w:hAnsi="Cambria" w:cs="Arial"/>
          <w:sz w:val="24"/>
        </w:rPr>
        <w:t>?</w:t>
      </w:r>
    </w:p>
    <w:p w:rsidR="00676A8A" w:rsidRPr="001A1606" w:rsidRDefault="00676A8A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676A8A" w:rsidRPr="001A1606" w:rsidRDefault="00676A8A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iCs/>
          <w:sz w:val="24"/>
        </w:rPr>
        <w:t>Cilj procesa kontrole je i njegov uticaj na revizore, u smislu razvijanja okruženja u kojem se revizorski izvještaji smatraju relevantnim izvorom informacija, odnosno s</w:t>
      </w:r>
      <w:r w:rsidRPr="001A1606">
        <w:rPr>
          <w:rFonts w:ascii="Cambria" w:hAnsi="Cambria" w:cs="Arial"/>
          <w:sz w:val="24"/>
        </w:rPr>
        <w:t>tvaranje okruženja, putem sprovođenja profesionalnih standarda, u kojem zainteresovana i racionalno edukovana javnost smatra revizorske izvještaje smislenim i pouzdanim izvorom informacija.</w:t>
      </w:r>
    </w:p>
    <w:p w:rsidR="00676A8A" w:rsidRPr="001A1606" w:rsidRDefault="00676A8A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676A8A" w:rsidRPr="001A1606" w:rsidRDefault="00676A8A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lastRenderedPageBreak/>
        <w:t>Kontrole pojedinačnih revizija će se fokusirati na dovoljnosti i svrsishodnosti revizorskih dokaza prikupljenih u svojstvu potkrepljujućih dokaza za ključne revizorske procjene do kojih se došlo prilikom formiranja revizorskog mišljenja</w:t>
      </w:r>
      <w:r w:rsidR="008451F7" w:rsidRPr="001A1606">
        <w:rPr>
          <w:rFonts w:ascii="Cambria" w:hAnsi="Cambria" w:cs="Arial"/>
          <w:sz w:val="24"/>
        </w:rPr>
        <w:t>, u skladu sa Međunarodnim standardima revizije</w:t>
      </w:r>
      <w:r w:rsidRPr="001A1606">
        <w:rPr>
          <w:rFonts w:ascii="Cambria" w:hAnsi="Cambria" w:cs="Arial"/>
          <w:sz w:val="24"/>
        </w:rPr>
        <w:t>.</w:t>
      </w:r>
    </w:p>
    <w:p w:rsidR="00676A8A" w:rsidRPr="001A1606" w:rsidRDefault="00676A8A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676A8A" w:rsidRPr="001A1606" w:rsidRDefault="00676A8A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Inicijalna ocjena pojedinačnog revizorskog angažmana će se zasnivati prvenstveno na</w:t>
      </w:r>
      <w:r w:rsidR="00737518" w:rsidRPr="001A1606">
        <w:rPr>
          <w:rFonts w:ascii="Cambria" w:hAnsi="Cambria" w:cs="Arial"/>
          <w:sz w:val="24"/>
        </w:rPr>
        <w:t xml:space="preserve"> </w:t>
      </w:r>
      <w:r w:rsidRPr="001A1606">
        <w:rPr>
          <w:rFonts w:ascii="Cambria" w:hAnsi="Cambria" w:cs="Arial"/>
          <w:sz w:val="24"/>
        </w:rPr>
        <w:t>dokaz</w:t>
      </w:r>
      <w:r w:rsidR="008451F7" w:rsidRPr="001A1606">
        <w:rPr>
          <w:rFonts w:ascii="Cambria" w:hAnsi="Cambria" w:cs="Arial"/>
          <w:sz w:val="24"/>
        </w:rPr>
        <w:t>ima</w:t>
      </w:r>
      <w:r w:rsidRPr="001A1606">
        <w:rPr>
          <w:rFonts w:ascii="Cambria" w:hAnsi="Cambria" w:cs="Arial"/>
          <w:sz w:val="24"/>
        </w:rPr>
        <w:t xml:space="preserve"> u revizorskim fajlovima obezbijeđen</w:t>
      </w:r>
      <w:r w:rsidR="008451F7" w:rsidRPr="001A1606">
        <w:rPr>
          <w:rFonts w:ascii="Cambria" w:hAnsi="Cambria" w:cs="Arial"/>
          <w:sz w:val="24"/>
        </w:rPr>
        <w:t>i</w:t>
      </w:r>
      <w:r w:rsidRPr="001A1606">
        <w:rPr>
          <w:rFonts w:ascii="Cambria" w:hAnsi="Cambria" w:cs="Arial"/>
          <w:sz w:val="24"/>
        </w:rPr>
        <w:t>m od strane</w:t>
      </w:r>
      <w:r w:rsidR="008451F7" w:rsidRPr="001A1606">
        <w:rPr>
          <w:rFonts w:ascii="Cambria" w:hAnsi="Cambria" w:cs="Arial"/>
          <w:sz w:val="24"/>
        </w:rPr>
        <w:t xml:space="preserve"> društava, odnosno ovlašćenih </w:t>
      </w:r>
      <w:r w:rsidRPr="001A1606">
        <w:rPr>
          <w:rFonts w:ascii="Cambria" w:hAnsi="Cambria" w:cs="Arial"/>
          <w:sz w:val="24"/>
        </w:rPr>
        <w:t>revizora. Međutim, prilikom</w:t>
      </w:r>
      <w:r w:rsidR="00737518" w:rsidRPr="001A1606">
        <w:rPr>
          <w:rFonts w:ascii="Cambria" w:hAnsi="Cambria" w:cs="Arial"/>
          <w:sz w:val="24"/>
        </w:rPr>
        <w:t xml:space="preserve"> </w:t>
      </w:r>
      <w:r w:rsidRPr="001A1606">
        <w:rPr>
          <w:rFonts w:ascii="Cambria" w:hAnsi="Cambria" w:cs="Arial"/>
          <w:sz w:val="24"/>
        </w:rPr>
        <w:t xml:space="preserve">izvođenja zaključaka, </w:t>
      </w:r>
      <w:r w:rsidR="00737518" w:rsidRPr="001A1606">
        <w:rPr>
          <w:rFonts w:ascii="Cambria" w:hAnsi="Cambria" w:cs="Arial"/>
          <w:sz w:val="24"/>
        </w:rPr>
        <w:t>mogu se</w:t>
      </w:r>
      <w:r w:rsidRPr="001A1606">
        <w:rPr>
          <w:rFonts w:ascii="Cambria" w:hAnsi="Cambria" w:cs="Arial"/>
          <w:sz w:val="24"/>
        </w:rPr>
        <w:t>, po potrebi</w:t>
      </w:r>
      <w:r w:rsidR="00737518" w:rsidRPr="001A1606">
        <w:rPr>
          <w:rFonts w:ascii="Cambria" w:hAnsi="Cambria" w:cs="Arial"/>
          <w:sz w:val="24"/>
        </w:rPr>
        <w:t xml:space="preserve"> razmatrati</w:t>
      </w:r>
      <w:r w:rsidRPr="001A1606">
        <w:rPr>
          <w:rFonts w:ascii="Cambria" w:hAnsi="Cambria" w:cs="Arial"/>
          <w:sz w:val="24"/>
        </w:rPr>
        <w:t>, sva objašnjenja koja je pružio</w:t>
      </w:r>
      <w:r w:rsidR="00737518" w:rsidRPr="001A1606">
        <w:rPr>
          <w:rFonts w:ascii="Cambria" w:hAnsi="Cambria" w:cs="Arial"/>
          <w:sz w:val="24"/>
        </w:rPr>
        <w:t xml:space="preserve"> </w:t>
      </w:r>
      <w:r w:rsidRPr="001A1606">
        <w:rPr>
          <w:rFonts w:ascii="Cambria" w:hAnsi="Cambria" w:cs="Arial"/>
          <w:sz w:val="24"/>
        </w:rPr>
        <w:t>revizorski tim kao dopunu dokazima u revizorskim fajlovima.</w:t>
      </w:r>
    </w:p>
    <w:p w:rsidR="00737518" w:rsidRPr="001A1606" w:rsidRDefault="00737518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737518" w:rsidRPr="00EA0125" w:rsidRDefault="00EA0125" w:rsidP="00EA0125">
      <w:pPr>
        <w:pStyle w:val="Heading1"/>
        <w:rPr>
          <w:rFonts w:ascii="Cambria" w:hAnsi="Cambria" w:cs="Arial"/>
          <w:b/>
          <w:color w:val="auto"/>
          <w:sz w:val="26"/>
          <w:szCs w:val="26"/>
        </w:rPr>
      </w:pPr>
      <w:bookmarkStart w:id="4" w:name="_Toc161837393"/>
      <w:r w:rsidRPr="00EA0125">
        <w:rPr>
          <w:rFonts w:ascii="Cambria" w:hAnsi="Cambria" w:cs="Arial"/>
          <w:b/>
          <w:color w:val="auto"/>
          <w:sz w:val="26"/>
          <w:szCs w:val="26"/>
        </w:rPr>
        <w:t xml:space="preserve">III </w:t>
      </w:r>
      <w:r w:rsidR="00A67BE5" w:rsidRPr="00EA0125">
        <w:rPr>
          <w:rFonts w:ascii="Cambria" w:hAnsi="Cambria" w:cs="Arial"/>
          <w:b/>
          <w:color w:val="auto"/>
          <w:sz w:val="26"/>
          <w:szCs w:val="26"/>
        </w:rPr>
        <w:t xml:space="preserve">Pregled društava </w:t>
      </w:r>
      <w:r w:rsidR="00737518" w:rsidRPr="00EA0125">
        <w:rPr>
          <w:rFonts w:ascii="Cambria" w:hAnsi="Cambria" w:cs="Arial"/>
          <w:b/>
          <w:color w:val="auto"/>
          <w:sz w:val="26"/>
          <w:szCs w:val="26"/>
        </w:rPr>
        <w:t xml:space="preserve">za reviziju koja </w:t>
      </w:r>
      <w:r w:rsidR="00A67BE5" w:rsidRPr="00EA0125">
        <w:rPr>
          <w:rFonts w:ascii="Cambria" w:hAnsi="Cambria" w:cs="Arial"/>
          <w:b/>
          <w:color w:val="auto"/>
          <w:sz w:val="26"/>
          <w:szCs w:val="26"/>
        </w:rPr>
        <w:t>imaju dozvolu za rad Crnoj Gori</w:t>
      </w:r>
      <w:bookmarkEnd w:id="4"/>
    </w:p>
    <w:p w:rsidR="00737518" w:rsidRPr="001A1606" w:rsidRDefault="00737518" w:rsidP="00676A8A">
      <w:pPr>
        <w:spacing w:after="0" w:line="240" w:lineRule="auto"/>
        <w:jc w:val="both"/>
        <w:rPr>
          <w:rFonts w:ascii="Cambria" w:hAnsi="Cambria" w:cs="Arial"/>
          <w:b/>
          <w:sz w:val="24"/>
        </w:rPr>
      </w:pPr>
    </w:p>
    <w:p w:rsidR="00737518" w:rsidRPr="001A1606" w:rsidRDefault="00737518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U Crnoj Gori dozvolu za rad imaju sl</w:t>
      </w:r>
      <w:r w:rsidR="0060539F" w:rsidRPr="001A1606">
        <w:rPr>
          <w:rFonts w:ascii="Cambria" w:hAnsi="Cambria" w:cs="Arial"/>
          <w:sz w:val="24"/>
        </w:rPr>
        <w:t>j</w:t>
      </w:r>
      <w:r w:rsidRPr="001A1606">
        <w:rPr>
          <w:rFonts w:ascii="Cambria" w:hAnsi="Cambria" w:cs="Arial"/>
          <w:sz w:val="24"/>
        </w:rPr>
        <w:t>edeća društva</w:t>
      </w:r>
      <w:r w:rsidR="00E4070E">
        <w:rPr>
          <w:rFonts w:ascii="Cambria" w:hAnsi="Cambria" w:cs="Arial"/>
          <w:sz w:val="24"/>
        </w:rPr>
        <w:t xml:space="preserve"> za reviziju</w:t>
      </w:r>
      <w:r w:rsidRPr="001A1606">
        <w:rPr>
          <w:rFonts w:ascii="Cambria" w:hAnsi="Cambria" w:cs="Arial"/>
          <w:sz w:val="24"/>
        </w:rPr>
        <w:t>:</w:t>
      </w:r>
    </w:p>
    <w:p w:rsidR="00737518" w:rsidRPr="001A1606" w:rsidRDefault="00737518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tbl>
      <w:tblPr>
        <w:tblW w:w="8944" w:type="dxa"/>
        <w:tblLook w:val="04A0" w:firstRow="1" w:lastRow="0" w:firstColumn="1" w:lastColumn="0" w:noHBand="0" w:noVBand="1"/>
      </w:tblPr>
      <w:tblGrid>
        <w:gridCol w:w="980"/>
        <w:gridCol w:w="5367"/>
        <w:gridCol w:w="2597"/>
      </w:tblGrid>
      <w:tr w:rsidR="005E39AC" w:rsidRPr="009D1D82" w:rsidTr="009D1D82">
        <w:trPr>
          <w:trHeight w:val="28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E39AC" w:rsidRPr="009D1D82" w:rsidRDefault="005E39AC" w:rsidP="00F71A92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1D8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n-GB"/>
              </w:rPr>
              <w:t>Redni broj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39AC" w:rsidRPr="009D1D82" w:rsidRDefault="005E39AC" w:rsidP="00F71A9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D1D8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n-GB"/>
              </w:rPr>
              <w:t>Naziv društva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E39AC" w:rsidRPr="009D1D82" w:rsidRDefault="005E39AC" w:rsidP="00F71A92">
            <w:pPr>
              <w:spacing w:after="0" w:line="240" w:lineRule="auto"/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val="sr-Latn-ME" w:eastAsia="en-GB"/>
              </w:rPr>
            </w:pPr>
            <w:r w:rsidRPr="009D1D82">
              <w:rPr>
                <w:rFonts w:ascii="Cambria" w:eastAsia="Times New Roman" w:hAnsi="Cambria" w:cs="Arial"/>
                <w:b/>
                <w:bCs/>
                <w:color w:val="000000"/>
                <w:sz w:val="24"/>
                <w:szCs w:val="24"/>
                <w:lang w:eastAsia="en-GB"/>
              </w:rPr>
              <w:t>Broj dozvole za obavljanje revizije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  <w:bCs/>
                <w:color w:val="000000"/>
                <w:lang w:eastAsia="en-GB"/>
              </w:rPr>
            </w:pPr>
            <w:r w:rsidRPr="009D1D82">
              <w:rPr>
                <w:rFonts w:ascii="Cambria" w:eastAsia="Times New Roman" w:hAnsi="Cambria" w:cs="Arial"/>
                <w:bCs/>
                <w:color w:val="000000"/>
                <w:lang w:eastAsia="en-GB"/>
              </w:rPr>
              <w:t>1</w:t>
            </w:r>
            <w:r w:rsidR="00E4070E" w:rsidRPr="009D1D82">
              <w:rPr>
                <w:rFonts w:ascii="Cambria" w:eastAsia="Times New Roman" w:hAnsi="Cambria" w:cs="Arial"/>
                <w:bCs/>
                <w:color w:val="000000"/>
                <w:lang w:eastAsia="en-GB"/>
              </w:rPr>
              <w:t>.</w:t>
            </w:r>
          </w:p>
        </w:tc>
        <w:tc>
          <w:tcPr>
            <w:tcW w:w="53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A&amp;C COMPANY DOO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04 – 17681/2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ABC GLOBAL FINANCIAL SERVICES GROUP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02-1268/2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3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AUDIT COM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02-4236/2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4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AUDIT STANDARD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08 - 401/23-521/2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5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AUDITOR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02-5340/2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6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BDO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02-5140/2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7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BMB AUDIT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11-401/24-628/2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8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CATTARO AUDIT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05 -16892/1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9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CERTITUDO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05 -15870/2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10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CROWE MNE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05-14634/2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11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DELOITTE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02-10051/2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12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DFK SPIN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08-430/23-488/2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13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ERC SYSTEM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02-9819/2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14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ERNST &amp; YOUNG MONTENEGRO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02-5615/2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15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EUROREV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01-1247/2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16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FINEXCELLENCE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05 -11150/2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17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GRANT THORNTON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08 - 430/23-490/2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18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HLB MONT AUDIT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05-15755/2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19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M.</w:t>
            </w:r>
            <w:proofErr w:type="gramStart"/>
            <w:r w:rsidRPr="009D1D82">
              <w:rPr>
                <w:rFonts w:ascii="Cambria" w:hAnsi="Cambria"/>
              </w:rPr>
              <w:t>S.MIHALJEVIĆ</w:t>
            </w:r>
            <w:proofErr w:type="gramEnd"/>
            <w:r w:rsidRPr="009D1D82">
              <w:rPr>
                <w:rFonts w:ascii="Cambria" w:hAnsi="Cambria"/>
              </w:rPr>
              <w:t xml:space="preserve">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30-01-06787-6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20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MV KONSALT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02-10988/2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21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NORMA FIX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02-3784/2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22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OMEGA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02-3374/2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23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PRICEWATERHOUSE COOPERS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02-2687/2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24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R&amp;P AUDITING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02-11278/2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25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RACIO-MONT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02/3373/2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26</w:t>
            </w:r>
            <w:r w:rsidR="00E4070E" w:rsidRPr="009D1D82">
              <w:rPr>
                <w:rFonts w:ascii="Cambria" w:eastAsia="Times New Roman" w:hAnsi="Cambria" w:cs="Arial"/>
              </w:rPr>
              <w:t>.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RAČUNOVODSTVO I REVIZIJA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02-4130/2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27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REVIKO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02-3867/2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lastRenderedPageBreak/>
              <w:t>28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 xml:space="preserve">SFAI </w:t>
            </w:r>
            <w:r w:rsidR="004517CE" w:rsidRPr="009D1D82">
              <w:rPr>
                <w:rFonts w:ascii="Cambria" w:hAnsi="Cambria"/>
              </w:rPr>
              <w:t>MONTENEGRO</w:t>
            </w:r>
            <w:r w:rsidRPr="009D1D82">
              <w:rPr>
                <w:rFonts w:ascii="Cambria" w:hAnsi="Cambria"/>
              </w:rPr>
              <w:t xml:space="preserve">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08 - 430/22-543/2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29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TPA AUDIT TAX &amp; ACCOUNTING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05 -18556/2</w:t>
            </w:r>
          </w:p>
        </w:tc>
      </w:tr>
      <w:tr w:rsidR="00AE3039" w:rsidRPr="009D1D82" w:rsidTr="009D1D82">
        <w:trPr>
          <w:trHeight w:val="28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30</w:t>
            </w: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VM KOD DOO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02-3544/2</w:t>
            </w:r>
          </w:p>
        </w:tc>
      </w:tr>
      <w:tr w:rsidR="00AE3039" w:rsidRPr="009D1D82" w:rsidTr="009D1D82">
        <w:trPr>
          <w:trHeight w:val="65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E3039" w:rsidRPr="009D1D82" w:rsidRDefault="00AE3039" w:rsidP="00B8000A">
            <w:pPr>
              <w:spacing w:after="0" w:line="240" w:lineRule="auto"/>
              <w:jc w:val="center"/>
              <w:rPr>
                <w:rFonts w:ascii="Cambria" w:eastAsia="Times New Roman" w:hAnsi="Cambria" w:cs="Arial"/>
              </w:rPr>
            </w:pPr>
            <w:r w:rsidRPr="009D1D82">
              <w:rPr>
                <w:rFonts w:ascii="Cambria" w:eastAsia="Times New Roman" w:hAnsi="Cambria" w:cs="Arial"/>
              </w:rPr>
              <w:t>3</w:t>
            </w:r>
            <w:r w:rsidRPr="009D1D82">
              <w:rPr>
                <w:rFonts w:ascii="Cambria" w:eastAsia="Times New Roman" w:hAnsi="Cambria"/>
              </w:rPr>
              <w:t>1</w:t>
            </w:r>
          </w:p>
        </w:tc>
        <w:tc>
          <w:tcPr>
            <w:tcW w:w="53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ZIREX-REVIZOR DOO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3039" w:rsidRPr="009D1D82" w:rsidRDefault="00AE3039" w:rsidP="009D1D82">
            <w:pPr>
              <w:spacing w:after="0"/>
              <w:rPr>
                <w:rFonts w:ascii="Cambria" w:hAnsi="Cambria"/>
              </w:rPr>
            </w:pPr>
            <w:r w:rsidRPr="009D1D82">
              <w:rPr>
                <w:rFonts w:ascii="Cambria" w:hAnsi="Cambria"/>
              </w:rPr>
              <w:t>02-11355/2</w:t>
            </w:r>
          </w:p>
        </w:tc>
      </w:tr>
    </w:tbl>
    <w:p w:rsidR="00737518" w:rsidRPr="00EA0125" w:rsidRDefault="00EA0125" w:rsidP="00EA0125">
      <w:pPr>
        <w:pStyle w:val="Heading1"/>
        <w:rPr>
          <w:rFonts w:ascii="Cambria" w:hAnsi="Cambria" w:cs="Arial"/>
          <w:b/>
          <w:color w:val="auto"/>
          <w:sz w:val="26"/>
          <w:szCs w:val="26"/>
        </w:rPr>
      </w:pPr>
      <w:bookmarkStart w:id="5" w:name="_Toc161837394"/>
      <w:r w:rsidRPr="00EA0125">
        <w:rPr>
          <w:rFonts w:ascii="Cambria" w:hAnsi="Cambria" w:cs="Arial"/>
          <w:b/>
          <w:color w:val="auto"/>
          <w:sz w:val="26"/>
          <w:szCs w:val="26"/>
        </w:rPr>
        <w:t xml:space="preserve">IV </w:t>
      </w:r>
      <w:r w:rsidR="00A67BE5" w:rsidRPr="00EA0125">
        <w:rPr>
          <w:rFonts w:ascii="Cambria" w:hAnsi="Cambria" w:cs="Arial"/>
          <w:b/>
          <w:color w:val="auto"/>
          <w:sz w:val="26"/>
          <w:szCs w:val="26"/>
        </w:rPr>
        <w:t>Način odabira društava za reviziju za kontrolu</w:t>
      </w:r>
      <w:bookmarkEnd w:id="5"/>
    </w:p>
    <w:p w:rsidR="00A67BE5" w:rsidRPr="001A1606" w:rsidRDefault="00A67BE5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7242DE" w:rsidRPr="001A1606" w:rsidRDefault="00737518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Analizom </w:t>
      </w:r>
      <w:r w:rsidR="00A233EC" w:rsidRPr="001A1606">
        <w:rPr>
          <w:rFonts w:ascii="Cambria" w:hAnsi="Cambria" w:cs="Arial"/>
          <w:sz w:val="24"/>
        </w:rPr>
        <w:t xml:space="preserve">dostavljenih </w:t>
      </w:r>
      <w:r w:rsidRPr="001A1606">
        <w:rPr>
          <w:rFonts w:ascii="Cambria" w:hAnsi="Cambria" w:cs="Arial"/>
          <w:sz w:val="24"/>
        </w:rPr>
        <w:t>upitnika o</w:t>
      </w:r>
      <w:r w:rsidR="007242DE" w:rsidRPr="001A1606">
        <w:rPr>
          <w:rFonts w:ascii="Cambria" w:hAnsi="Cambria" w:cs="Arial"/>
          <w:sz w:val="24"/>
        </w:rPr>
        <w:t>d strane Ministarstva finansija</w:t>
      </w:r>
      <w:r w:rsidR="00A233EC" w:rsidRPr="001A1606">
        <w:rPr>
          <w:rFonts w:ascii="Cambria" w:hAnsi="Cambria" w:cs="Arial"/>
          <w:sz w:val="24"/>
        </w:rPr>
        <w:t xml:space="preserve"> </w:t>
      </w:r>
      <w:r w:rsidR="007242DE" w:rsidRPr="001A1606">
        <w:rPr>
          <w:rFonts w:ascii="Cambria" w:hAnsi="Cambria" w:cs="Arial"/>
          <w:sz w:val="24"/>
        </w:rPr>
        <w:t>razvi</w:t>
      </w:r>
      <w:r w:rsidR="00A233EC" w:rsidRPr="001A1606">
        <w:rPr>
          <w:rFonts w:ascii="Cambria" w:hAnsi="Cambria" w:cs="Arial"/>
          <w:sz w:val="24"/>
        </w:rPr>
        <w:t>jeni</w:t>
      </w:r>
      <w:r w:rsidR="007242DE" w:rsidRPr="001A1606">
        <w:rPr>
          <w:rFonts w:ascii="Cambria" w:hAnsi="Cambria" w:cs="Arial"/>
          <w:sz w:val="24"/>
        </w:rPr>
        <w:t xml:space="preserve"> s</w:t>
      </w:r>
      <w:r w:rsidR="00A233EC" w:rsidRPr="001A1606">
        <w:rPr>
          <w:rFonts w:ascii="Cambria" w:hAnsi="Cambria" w:cs="Arial"/>
          <w:sz w:val="24"/>
        </w:rPr>
        <w:t xml:space="preserve">u </w:t>
      </w:r>
      <w:r w:rsidR="00036C60" w:rsidRPr="001A1606">
        <w:rPr>
          <w:rFonts w:ascii="Cambria" w:hAnsi="Cambria" w:cs="Arial"/>
          <w:sz w:val="24"/>
        </w:rPr>
        <w:t>sl</w:t>
      </w:r>
      <w:r w:rsidR="004517CE">
        <w:rPr>
          <w:rFonts w:ascii="Cambria" w:hAnsi="Cambria" w:cs="Arial"/>
          <w:sz w:val="24"/>
        </w:rPr>
        <w:t>j</w:t>
      </w:r>
      <w:r w:rsidR="00036C60" w:rsidRPr="001A1606">
        <w:rPr>
          <w:rFonts w:ascii="Cambria" w:hAnsi="Cambria" w:cs="Arial"/>
          <w:sz w:val="24"/>
        </w:rPr>
        <w:t>edeć</w:t>
      </w:r>
      <w:r w:rsidR="00A233EC" w:rsidRPr="001A1606">
        <w:rPr>
          <w:rFonts w:ascii="Cambria" w:hAnsi="Cambria" w:cs="Arial"/>
          <w:sz w:val="24"/>
        </w:rPr>
        <w:t>i</w:t>
      </w:r>
      <w:r w:rsidR="00036C60" w:rsidRPr="001A1606">
        <w:rPr>
          <w:rFonts w:ascii="Cambria" w:hAnsi="Cambria" w:cs="Arial"/>
          <w:sz w:val="24"/>
        </w:rPr>
        <w:t xml:space="preserve"> </w:t>
      </w:r>
      <w:r w:rsidR="007242DE" w:rsidRPr="001A1606">
        <w:rPr>
          <w:rFonts w:ascii="Cambria" w:hAnsi="Cambria" w:cs="Arial"/>
          <w:sz w:val="24"/>
        </w:rPr>
        <w:t>indikator</w:t>
      </w:r>
      <w:r w:rsidR="00A233EC" w:rsidRPr="001A1606">
        <w:rPr>
          <w:rFonts w:ascii="Cambria" w:hAnsi="Cambria" w:cs="Arial"/>
          <w:sz w:val="24"/>
        </w:rPr>
        <w:t>i</w:t>
      </w:r>
      <w:r w:rsidR="007242DE" w:rsidRPr="001A1606">
        <w:rPr>
          <w:rFonts w:ascii="Cambria" w:hAnsi="Cambria" w:cs="Arial"/>
          <w:sz w:val="24"/>
        </w:rPr>
        <w:t xml:space="preserve"> </w:t>
      </w:r>
      <w:r w:rsidR="004C7630" w:rsidRPr="001A1606">
        <w:rPr>
          <w:rFonts w:ascii="Cambria" w:hAnsi="Cambria" w:cs="Arial"/>
          <w:sz w:val="24"/>
        </w:rPr>
        <w:t>kako bi odredili koja društva za reviziju trebaju biti kontrolisana i kojim redosledom</w:t>
      </w:r>
      <w:r w:rsidR="007242DE" w:rsidRPr="001A1606">
        <w:rPr>
          <w:rFonts w:ascii="Cambria" w:hAnsi="Cambria" w:cs="Arial"/>
          <w:sz w:val="24"/>
        </w:rPr>
        <w:t>:</w:t>
      </w:r>
    </w:p>
    <w:p w:rsidR="00565A66" w:rsidRPr="001A1606" w:rsidRDefault="00565A66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F439EB" w:rsidRPr="001A1606" w:rsidRDefault="00094227" w:rsidP="004517C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>Da li je</w:t>
      </w:r>
      <w:r w:rsidR="00E70B15" w:rsidRPr="001A1606">
        <w:rPr>
          <w:rFonts w:ascii="Cambria" w:hAnsi="Cambria" w:cs="Arial"/>
          <w:sz w:val="24"/>
        </w:rPr>
        <w:t xml:space="preserve"> dostavljen</w:t>
      </w:r>
      <w:r w:rsidR="00F439EB" w:rsidRPr="001A1606">
        <w:rPr>
          <w:rFonts w:ascii="Cambria" w:hAnsi="Cambria" w:cs="Arial"/>
          <w:sz w:val="24"/>
        </w:rPr>
        <w:t xml:space="preserve"> upitnik o revizorskim angažmanima;</w:t>
      </w:r>
    </w:p>
    <w:p w:rsidR="00565A66" w:rsidRPr="001A1606" w:rsidRDefault="00565A66" w:rsidP="004517C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Broj revizorskih angažmana društva za reviziju u odnosu na ukupan broj revizorskih angažmana svih d</w:t>
      </w:r>
      <w:r w:rsidR="002149B1" w:rsidRPr="001A1606">
        <w:rPr>
          <w:rFonts w:ascii="Cambria" w:hAnsi="Cambria" w:cs="Arial"/>
          <w:sz w:val="24"/>
        </w:rPr>
        <w:t>r</w:t>
      </w:r>
      <w:r w:rsidRPr="001A1606">
        <w:rPr>
          <w:rFonts w:ascii="Cambria" w:hAnsi="Cambria" w:cs="Arial"/>
          <w:sz w:val="24"/>
        </w:rPr>
        <w:t>uštava u Crnoj Gori</w:t>
      </w:r>
      <w:r w:rsidR="00F439EB" w:rsidRPr="001A1606">
        <w:rPr>
          <w:rFonts w:ascii="Cambria" w:hAnsi="Cambria" w:cs="Arial"/>
          <w:sz w:val="24"/>
        </w:rPr>
        <w:t>;</w:t>
      </w:r>
    </w:p>
    <w:p w:rsidR="00565A66" w:rsidRPr="001A1606" w:rsidRDefault="00565A66" w:rsidP="004517C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Broj revizorskih angažmana u odnosu na broj osoblja u reviziji</w:t>
      </w:r>
      <w:r w:rsidR="00F439EB" w:rsidRPr="001A1606">
        <w:rPr>
          <w:rFonts w:ascii="Cambria" w:hAnsi="Cambria" w:cs="Arial"/>
          <w:sz w:val="24"/>
        </w:rPr>
        <w:t>;</w:t>
      </w:r>
    </w:p>
    <w:p w:rsidR="00565A66" w:rsidRPr="001A1606" w:rsidRDefault="00565A66" w:rsidP="004517C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Indikator za „naknadu</w:t>
      </w:r>
      <w:r w:rsidR="00F439EB" w:rsidRPr="001A1606">
        <w:rPr>
          <w:rFonts w:ascii="Cambria" w:hAnsi="Cambria" w:cs="Arial"/>
          <w:sz w:val="24"/>
        </w:rPr>
        <w:t xml:space="preserve"> po satu“;</w:t>
      </w:r>
    </w:p>
    <w:p w:rsidR="00565A66" w:rsidRPr="001A1606" w:rsidRDefault="00565A66" w:rsidP="004517CE">
      <w:pPr>
        <w:pStyle w:val="ListParagraph"/>
        <w:numPr>
          <w:ilvl w:val="0"/>
          <w:numId w:val="19"/>
        </w:numPr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Broj revizija subjekata od javnog interesa</w:t>
      </w:r>
      <w:r w:rsidR="00F439EB" w:rsidRPr="001A1606">
        <w:rPr>
          <w:rFonts w:ascii="Cambria" w:hAnsi="Cambria" w:cs="Arial"/>
          <w:sz w:val="24"/>
        </w:rPr>
        <w:t>;</w:t>
      </w:r>
    </w:p>
    <w:p w:rsidR="00565A66" w:rsidRPr="001A1606" w:rsidRDefault="00565A66" w:rsidP="004517CE">
      <w:pPr>
        <w:pStyle w:val="ListParagraph"/>
        <w:numPr>
          <w:ilvl w:val="0"/>
          <w:numId w:val="19"/>
        </w:numPr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Indikator koji se odnosi na broj časova partnera u reviziji</w:t>
      </w:r>
      <w:r w:rsidR="00F439EB" w:rsidRPr="001A1606">
        <w:rPr>
          <w:rFonts w:ascii="Cambria" w:hAnsi="Cambria" w:cs="Arial"/>
          <w:sz w:val="24"/>
        </w:rPr>
        <w:t xml:space="preserve"> sa uk</w:t>
      </w:r>
      <w:r w:rsidR="00105862">
        <w:rPr>
          <w:rFonts w:ascii="Cambria" w:hAnsi="Cambria" w:cs="Arial"/>
          <w:sz w:val="24"/>
        </w:rPr>
        <w:t>u</w:t>
      </w:r>
      <w:r w:rsidR="00F439EB" w:rsidRPr="001A1606">
        <w:rPr>
          <w:rFonts w:ascii="Cambria" w:hAnsi="Cambria" w:cs="Arial"/>
          <w:sz w:val="24"/>
        </w:rPr>
        <w:t>pnim časovima angažmana;</w:t>
      </w:r>
    </w:p>
    <w:p w:rsidR="00565A66" w:rsidRPr="001A1606" w:rsidRDefault="00565A66" w:rsidP="004517CE">
      <w:pPr>
        <w:pStyle w:val="ListParagraph"/>
        <w:numPr>
          <w:ilvl w:val="0"/>
          <w:numId w:val="19"/>
        </w:numPr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drugi faktori kao npr: </w:t>
      </w:r>
    </w:p>
    <w:p w:rsidR="00565A66" w:rsidRPr="001A1606" w:rsidRDefault="00565A66" w:rsidP="004517CE">
      <w:pPr>
        <w:pStyle w:val="ListParagraph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broj i vrste revizorskih mišljenja izdatih od strane društava za reviziju;</w:t>
      </w:r>
    </w:p>
    <w:p w:rsidR="00565A66" w:rsidRPr="001A1606" w:rsidRDefault="00565A66" w:rsidP="004517CE">
      <w:pPr>
        <w:pStyle w:val="ListParagraph"/>
        <w:numPr>
          <w:ilvl w:val="0"/>
          <w:numId w:val="20"/>
        </w:numPr>
        <w:spacing w:after="0" w:line="240" w:lineRule="auto"/>
        <w:ind w:left="993" w:hanging="284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ostale dostupne informacije.</w:t>
      </w:r>
    </w:p>
    <w:p w:rsidR="00982559" w:rsidRPr="001A1606" w:rsidRDefault="00982559" w:rsidP="00982559">
      <w:pPr>
        <w:pStyle w:val="ListParagraph"/>
        <w:spacing w:after="0" w:line="240" w:lineRule="auto"/>
        <w:ind w:left="993"/>
        <w:jc w:val="both"/>
        <w:rPr>
          <w:rFonts w:ascii="Cambria" w:hAnsi="Cambria" w:cs="Arial"/>
          <w:sz w:val="24"/>
        </w:rPr>
      </w:pPr>
    </w:p>
    <w:p w:rsidR="00982559" w:rsidRPr="001A1606" w:rsidRDefault="00982559" w:rsidP="00982559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Takođe, prilikom odabira društava za revizij</w:t>
      </w:r>
      <w:r w:rsidR="004517CE">
        <w:rPr>
          <w:rFonts w:ascii="Cambria" w:hAnsi="Cambria" w:cs="Arial"/>
          <w:sz w:val="24"/>
        </w:rPr>
        <w:t>u</w:t>
      </w:r>
      <w:r w:rsidRPr="001A1606">
        <w:rPr>
          <w:rFonts w:ascii="Cambria" w:hAnsi="Cambria" w:cs="Arial"/>
          <w:sz w:val="24"/>
        </w:rPr>
        <w:t xml:space="preserve"> koja će biti predmet kontrole kao krajnji faktor je korišćen vremenski </w:t>
      </w:r>
      <w:r w:rsidR="004517CE">
        <w:rPr>
          <w:rFonts w:ascii="Cambria" w:hAnsi="Cambria" w:cs="Arial"/>
          <w:sz w:val="24"/>
        </w:rPr>
        <w:t>factor,</w:t>
      </w:r>
      <w:r w:rsidRPr="001A1606">
        <w:rPr>
          <w:rFonts w:ascii="Cambria" w:hAnsi="Cambria" w:cs="Arial"/>
          <w:sz w:val="24"/>
        </w:rPr>
        <w:t xml:space="preserve"> koji je eliminisao sva dr</w:t>
      </w:r>
      <w:r w:rsidR="00105862">
        <w:rPr>
          <w:rFonts w:ascii="Cambria" w:hAnsi="Cambria" w:cs="Arial"/>
          <w:sz w:val="24"/>
        </w:rPr>
        <w:t>u</w:t>
      </w:r>
      <w:r w:rsidRPr="001A1606">
        <w:rPr>
          <w:rFonts w:ascii="Cambria" w:hAnsi="Cambria" w:cs="Arial"/>
          <w:sz w:val="24"/>
        </w:rPr>
        <w:t>štva koja su kontrolisana u 202</w:t>
      </w:r>
      <w:r w:rsidR="00105862">
        <w:rPr>
          <w:rFonts w:ascii="Cambria" w:hAnsi="Cambria" w:cs="Arial"/>
          <w:sz w:val="24"/>
        </w:rPr>
        <w:t>4</w:t>
      </w:r>
      <w:r w:rsidRPr="001A1606">
        <w:rPr>
          <w:rFonts w:ascii="Cambria" w:hAnsi="Cambria" w:cs="Arial"/>
          <w:sz w:val="24"/>
        </w:rPr>
        <w:t xml:space="preserve">. </w:t>
      </w:r>
      <w:r w:rsidR="009D1D82">
        <w:rPr>
          <w:rFonts w:ascii="Cambria" w:hAnsi="Cambria" w:cs="Arial"/>
          <w:sz w:val="24"/>
        </w:rPr>
        <w:t>g</w:t>
      </w:r>
      <w:r w:rsidR="004517CE">
        <w:rPr>
          <w:rFonts w:ascii="Cambria" w:hAnsi="Cambria" w:cs="Arial"/>
          <w:sz w:val="24"/>
        </w:rPr>
        <w:t xml:space="preserve">odini. </w:t>
      </w:r>
      <w:r w:rsidRPr="001A1606">
        <w:rPr>
          <w:rFonts w:ascii="Cambria" w:hAnsi="Cambria" w:cs="Arial"/>
          <w:sz w:val="24"/>
        </w:rPr>
        <w:t xml:space="preserve">Ovaj faktor je korišćen iz razloga da bi se postiglo da sva </w:t>
      </w:r>
      <w:r w:rsidR="00B96D5A">
        <w:rPr>
          <w:rFonts w:ascii="Cambria" w:hAnsi="Cambria" w:cs="Arial"/>
          <w:sz w:val="24"/>
        </w:rPr>
        <w:t xml:space="preserve">aktivna </w:t>
      </w:r>
      <w:r w:rsidRPr="001A1606">
        <w:rPr>
          <w:rFonts w:ascii="Cambria" w:hAnsi="Cambria" w:cs="Arial"/>
          <w:sz w:val="24"/>
        </w:rPr>
        <w:t>društva za revizij</w:t>
      </w:r>
      <w:r w:rsidR="00364E46">
        <w:rPr>
          <w:rFonts w:ascii="Cambria" w:hAnsi="Cambria" w:cs="Arial"/>
          <w:sz w:val="24"/>
        </w:rPr>
        <w:t>u</w:t>
      </w:r>
      <w:r w:rsidRPr="001A1606">
        <w:rPr>
          <w:rFonts w:ascii="Cambria" w:hAnsi="Cambria" w:cs="Arial"/>
          <w:sz w:val="24"/>
        </w:rPr>
        <w:t xml:space="preserve"> budu predmet kontrole u period</w:t>
      </w:r>
      <w:r w:rsidR="00364E46">
        <w:rPr>
          <w:rFonts w:ascii="Cambria" w:hAnsi="Cambria" w:cs="Arial"/>
          <w:sz w:val="24"/>
        </w:rPr>
        <w:t>u</w:t>
      </w:r>
      <w:r w:rsidRPr="001A1606">
        <w:rPr>
          <w:rFonts w:ascii="Cambria" w:hAnsi="Cambria" w:cs="Arial"/>
          <w:sz w:val="24"/>
        </w:rPr>
        <w:t xml:space="preserve"> od 3 godine.</w:t>
      </w:r>
    </w:p>
    <w:p w:rsidR="00C53828" w:rsidRPr="001A1606" w:rsidRDefault="00C53828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134B52" w:rsidRPr="001A1606" w:rsidRDefault="00E70B15" w:rsidP="00676A8A">
      <w:pPr>
        <w:spacing w:after="0" w:line="240" w:lineRule="auto"/>
        <w:jc w:val="both"/>
        <w:rPr>
          <w:rFonts w:ascii="Cambria" w:hAnsi="Cambria" w:cs="Arial"/>
          <w:color w:val="FF0000"/>
          <w:sz w:val="24"/>
        </w:rPr>
      </w:pPr>
      <w:r w:rsidRPr="001A1606">
        <w:rPr>
          <w:rFonts w:ascii="Cambria" w:hAnsi="Cambria" w:cs="Arial"/>
          <w:color w:val="000000" w:themeColor="text1"/>
          <w:sz w:val="24"/>
        </w:rPr>
        <w:t xml:space="preserve">Sva </w:t>
      </w:r>
      <w:r w:rsidR="00C53828" w:rsidRPr="001A1606">
        <w:rPr>
          <w:rFonts w:ascii="Cambria" w:hAnsi="Cambria" w:cs="Arial"/>
          <w:color w:val="000000" w:themeColor="text1"/>
          <w:sz w:val="24"/>
        </w:rPr>
        <w:t xml:space="preserve">aktivna </w:t>
      </w:r>
      <w:r w:rsidRPr="001A1606">
        <w:rPr>
          <w:rFonts w:ascii="Cambria" w:hAnsi="Cambria" w:cs="Arial"/>
          <w:color w:val="000000" w:themeColor="text1"/>
          <w:sz w:val="24"/>
        </w:rPr>
        <w:t>društva za reviz</w:t>
      </w:r>
      <w:r w:rsidR="00377C2C">
        <w:rPr>
          <w:rFonts w:ascii="Cambria" w:hAnsi="Cambria" w:cs="Arial"/>
          <w:color w:val="000000" w:themeColor="text1"/>
          <w:sz w:val="24"/>
        </w:rPr>
        <w:t>i</w:t>
      </w:r>
      <w:r w:rsidRPr="001A1606">
        <w:rPr>
          <w:rFonts w:ascii="Cambria" w:hAnsi="Cambria" w:cs="Arial"/>
          <w:color w:val="000000" w:themeColor="text1"/>
          <w:sz w:val="24"/>
        </w:rPr>
        <w:t>ju</w:t>
      </w:r>
      <w:r w:rsidR="00552A56" w:rsidRPr="001A1606">
        <w:rPr>
          <w:rFonts w:ascii="Cambria" w:hAnsi="Cambria" w:cs="Arial"/>
          <w:color w:val="000000" w:themeColor="text1"/>
          <w:sz w:val="24"/>
        </w:rPr>
        <w:t xml:space="preserve"> </w:t>
      </w:r>
      <w:r w:rsidRPr="001A1606">
        <w:rPr>
          <w:rFonts w:ascii="Cambria" w:hAnsi="Cambria" w:cs="Arial"/>
          <w:color w:val="000000" w:themeColor="text1"/>
          <w:sz w:val="24"/>
        </w:rPr>
        <w:t xml:space="preserve">su dostavila upitnik o </w:t>
      </w:r>
      <w:r w:rsidR="00377C2C">
        <w:rPr>
          <w:rFonts w:ascii="Cambria" w:hAnsi="Cambria" w:cs="Arial"/>
          <w:color w:val="000000" w:themeColor="text1"/>
          <w:sz w:val="24"/>
        </w:rPr>
        <w:t xml:space="preserve">opštim informacijama i upitnik o </w:t>
      </w:r>
      <w:r w:rsidRPr="001A1606">
        <w:rPr>
          <w:rFonts w:ascii="Cambria" w:hAnsi="Cambria" w:cs="Arial"/>
          <w:color w:val="000000" w:themeColor="text1"/>
          <w:sz w:val="24"/>
        </w:rPr>
        <w:t>revizorskim angažmanima</w:t>
      </w:r>
      <w:r w:rsidR="00982559" w:rsidRPr="001A1606">
        <w:rPr>
          <w:rFonts w:ascii="Cambria" w:hAnsi="Cambria" w:cs="Arial"/>
          <w:color w:val="000000" w:themeColor="text1"/>
          <w:sz w:val="24"/>
        </w:rPr>
        <w:t>.</w:t>
      </w:r>
      <w:r w:rsidRPr="001A1606">
        <w:rPr>
          <w:rFonts w:ascii="Cambria" w:hAnsi="Cambria" w:cs="Arial"/>
          <w:color w:val="FF0000"/>
          <w:sz w:val="24"/>
        </w:rPr>
        <w:t xml:space="preserve"> </w:t>
      </w:r>
    </w:p>
    <w:p w:rsidR="00E70B15" w:rsidRPr="001A1606" w:rsidRDefault="00E70B15" w:rsidP="00676A8A">
      <w:pPr>
        <w:spacing w:after="0" w:line="240" w:lineRule="auto"/>
        <w:jc w:val="both"/>
        <w:rPr>
          <w:rFonts w:ascii="Cambria" w:hAnsi="Cambria" w:cs="Arial"/>
          <w:color w:val="FF0000"/>
          <w:sz w:val="24"/>
        </w:rPr>
      </w:pPr>
    </w:p>
    <w:p w:rsidR="00C53828" w:rsidRPr="001A1606" w:rsidRDefault="00176135" w:rsidP="00176135">
      <w:pPr>
        <w:tabs>
          <w:tab w:val="left" w:pos="6855"/>
        </w:tabs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ab/>
      </w:r>
    </w:p>
    <w:p w:rsidR="00C52775" w:rsidRPr="00300C68" w:rsidRDefault="00C52775" w:rsidP="00300C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b/>
          <w:sz w:val="24"/>
        </w:rPr>
      </w:pPr>
      <w:r w:rsidRPr="00300C68">
        <w:rPr>
          <w:rFonts w:ascii="Cambria" w:hAnsi="Cambria" w:cs="Arial"/>
          <w:b/>
          <w:sz w:val="24"/>
        </w:rPr>
        <w:t>Broj revizorskih angažmana društva za reviziju u odnosu na ukupan broj revizorskih angažmana sv</w:t>
      </w:r>
      <w:r w:rsidR="00DB1170" w:rsidRPr="00300C68">
        <w:rPr>
          <w:rFonts w:ascii="Cambria" w:hAnsi="Cambria" w:cs="Arial"/>
          <w:b/>
          <w:sz w:val="24"/>
        </w:rPr>
        <w:t>i</w:t>
      </w:r>
      <w:r w:rsidR="000B1C59" w:rsidRPr="00300C68">
        <w:rPr>
          <w:rFonts w:ascii="Cambria" w:hAnsi="Cambria" w:cs="Arial"/>
          <w:b/>
          <w:sz w:val="24"/>
        </w:rPr>
        <w:t>h duštava u Crnoj Gori</w:t>
      </w:r>
    </w:p>
    <w:p w:rsidR="001572EF" w:rsidRPr="001A1606" w:rsidRDefault="001572EF" w:rsidP="00565A66">
      <w:pPr>
        <w:spacing w:after="0" w:line="240" w:lineRule="auto"/>
        <w:jc w:val="both"/>
        <w:rPr>
          <w:rFonts w:ascii="Cambria" w:hAnsi="Cambria" w:cs="Arial"/>
          <w:b/>
          <w:sz w:val="24"/>
        </w:rPr>
      </w:pPr>
    </w:p>
    <w:p w:rsidR="001572EF" w:rsidRPr="001A1606" w:rsidRDefault="00BA0383" w:rsidP="001572EF">
      <w:pPr>
        <w:spacing w:after="0" w:line="240" w:lineRule="auto"/>
        <w:jc w:val="both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>Pretpostavka je da z</w:t>
      </w:r>
      <w:r w:rsidR="001572EF" w:rsidRPr="001A1606">
        <w:rPr>
          <w:rFonts w:ascii="Cambria" w:hAnsi="Cambria" w:cs="Arial"/>
          <w:sz w:val="24"/>
        </w:rPr>
        <w:t>a društva</w:t>
      </w:r>
      <w:r w:rsidR="000A5ED5">
        <w:rPr>
          <w:rFonts w:ascii="Cambria" w:hAnsi="Cambria" w:cs="Arial"/>
          <w:sz w:val="24"/>
        </w:rPr>
        <w:t xml:space="preserve"> za reviziju</w:t>
      </w:r>
      <w:r w:rsidR="001572EF" w:rsidRPr="001A1606">
        <w:rPr>
          <w:rFonts w:ascii="Cambria" w:hAnsi="Cambria" w:cs="Arial"/>
          <w:sz w:val="24"/>
        </w:rPr>
        <w:t xml:space="preserve"> koja su imala više revizorskih angažmana postoji i veći rizik da nijesu ispoštovana sva pravi</w:t>
      </w:r>
      <w:r w:rsidR="0074703A" w:rsidRPr="001A1606">
        <w:rPr>
          <w:rFonts w:ascii="Cambria" w:hAnsi="Cambria" w:cs="Arial"/>
          <w:sz w:val="24"/>
        </w:rPr>
        <w:t>l</w:t>
      </w:r>
      <w:r w:rsidR="001572EF" w:rsidRPr="001A1606">
        <w:rPr>
          <w:rFonts w:ascii="Cambria" w:hAnsi="Cambria" w:cs="Arial"/>
          <w:sz w:val="24"/>
        </w:rPr>
        <w:t>a revizorske struke</w:t>
      </w:r>
      <w:r w:rsidR="000A5ED5">
        <w:rPr>
          <w:rFonts w:ascii="Cambria" w:hAnsi="Cambria" w:cs="Arial"/>
          <w:sz w:val="24"/>
        </w:rPr>
        <w:t>.</w:t>
      </w:r>
      <w:r w:rsidR="000A5ED5" w:rsidRPr="000A5ED5">
        <w:rPr>
          <w:rFonts w:ascii="Cambria" w:hAnsi="Cambria" w:cs="Arial"/>
          <w:sz w:val="24"/>
        </w:rPr>
        <w:t xml:space="preserve"> </w:t>
      </w:r>
      <w:r w:rsidR="000A5ED5">
        <w:rPr>
          <w:rFonts w:ascii="Cambria" w:hAnsi="Cambria" w:cs="Arial"/>
          <w:sz w:val="24"/>
        </w:rPr>
        <w:t>O</w:t>
      </w:r>
      <w:r w:rsidR="000A5ED5" w:rsidRPr="000A5ED5">
        <w:rPr>
          <w:rFonts w:ascii="Cambria" w:hAnsi="Cambria" w:cs="Arial"/>
          <w:sz w:val="24"/>
        </w:rPr>
        <w:t>bavljanje ve</w:t>
      </w:r>
      <w:r w:rsidR="000A5ED5">
        <w:rPr>
          <w:rFonts w:ascii="Cambria" w:hAnsi="Cambria" w:cs="Arial"/>
          <w:sz w:val="24"/>
        </w:rPr>
        <w:t>likog</w:t>
      </w:r>
      <w:r w:rsidR="000A5ED5" w:rsidRPr="000A5ED5">
        <w:rPr>
          <w:rFonts w:ascii="Cambria" w:hAnsi="Cambria" w:cs="Arial"/>
          <w:sz w:val="24"/>
        </w:rPr>
        <w:t xml:space="preserve"> broja angažmana potencijalno može uticati na kvalitet</w:t>
      </w:r>
      <w:r w:rsidR="007C450E">
        <w:rPr>
          <w:rFonts w:ascii="Cambria" w:hAnsi="Cambria" w:cs="Arial"/>
          <w:sz w:val="24"/>
        </w:rPr>
        <w:t xml:space="preserve"> samog angažmana</w:t>
      </w:r>
      <w:r w:rsidR="000A5ED5" w:rsidRPr="000A5ED5">
        <w:rPr>
          <w:rFonts w:ascii="Cambria" w:hAnsi="Cambria" w:cs="Arial"/>
          <w:sz w:val="24"/>
        </w:rPr>
        <w:t xml:space="preserve">. </w:t>
      </w:r>
      <w:r w:rsidR="000A5ED5">
        <w:rPr>
          <w:rFonts w:ascii="Cambria" w:hAnsi="Cambria" w:cs="Arial"/>
          <w:sz w:val="24"/>
        </w:rPr>
        <w:t xml:space="preserve"> </w:t>
      </w:r>
      <w:r w:rsidR="001572EF" w:rsidRPr="001A1606">
        <w:rPr>
          <w:rFonts w:ascii="Cambria" w:hAnsi="Cambria" w:cs="Arial"/>
          <w:sz w:val="24"/>
        </w:rPr>
        <w:t>Prosječan broj revizija koje su izvršila društva za reviziju je</w:t>
      </w:r>
      <w:r w:rsidR="001572EF" w:rsidRPr="001A1606">
        <w:rPr>
          <w:rFonts w:ascii="Cambria" w:hAnsi="Cambria" w:cs="Arial"/>
          <w:color w:val="FF0000"/>
          <w:sz w:val="24"/>
        </w:rPr>
        <w:t xml:space="preserve"> </w:t>
      </w:r>
      <w:r w:rsidR="00982559" w:rsidRPr="001A1606">
        <w:rPr>
          <w:rFonts w:ascii="Cambria" w:hAnsi="Cambria" w:cs="Arial"/>
          <w:color w:val="000000" w:themeColor="text1"/>
          <w:sz w:val="24"/>
        </w:rPr>
        <w:t>1</w:t>
      </w:r>
      <w:r w:rsidR="00A23CA4">
        <w:rPr>
          <w:rFonts w:ascii="Cambria" w:hAnsi="Cambria" w:cs="Arial"/>
          <w:color w:val="000000" w:themeColor="text1"/>
          <w:sz w:val="24"/>
        </w:rPr>
        <w:t>8</w:t>
      </w:r>
      <w:r w:rsidR="001572EF" w:rsidRPr="001A1606">
        <w:rPr>
          <w:rFonts w:ascii="Cambria" w:hAnsi="Cambria" w:cs="Arial"/>
          <w:sz w:val="24"/>
        </w:rPr>
        <w:t xml:space="preserve">. Društva koja su izvršila više od ovog iznosa ulaze u rizičniju grupu, odnosno </w:t>
      </w:r>
      <w:r w:rsidR="00982559" w:rsidRPr="001A1606">
        <w:rPr>
          <w:rFonts w:ascii="Cambria" w:hAnsi="Cambria" w:cs="Arial"/>
          <w:color w:val="000000" w:themeColor="text1"/>
          <w:sz w:val="24"/>
        </w:rPr>
        <w:t>1</w:t>
      </w:r>
      <w:r w:rsidR="00306331">
        <w:rPr>
          <w:rFonts w:ascii="Cambria" w:hAnsi="Cambria" w:cs="Arial"/>
          <w:color w:val="000000" w:themeColor="text1"/>
          <w:sz w:val="24"/>
        </w:rPr>
        <w:t>1</w:t>
      </w:r>
      <w:r w:rsidR="001572EF" w:rsidRPr="001A1606">
        <w:rPr>
          <w:rFonts w:ascii="Cambria" w:hAnsi="Cambria" w:cs="Arial"/>
          <w:sz w:val="24"/>
        </w:rPr>
        <w:t xml:space="preserve"> društava je imalo više </w:t>
      </w:r>
      <w:r w:rsidR="00AB0B63" w:rsidRPr="001A1606">
        <w:rPr>
          <w:rFonts w:ascii="Cambria" w:hAnsi="Cambria" w:cs="Arial"/>
          <w:sz w:val="24"/>
        </w:rPr>
        <w:t xml:space="preserve">od </w:t>
      </w:r>
      <w:r w:rsidR="00982559" w:rsidRPr="001A1606">
        <w:rPr>
          <w:rFonts w:ascii="Cambria" w:hAnsi="Cambria" w:cs="Arial"/>
          <w:color w:val="000000" w:themeColor="text1"/>
          <w:sz w:val="24"/>
        </w:rPr>
        <w:t>1</w:t>
      </w:r>
      <w:r w:rsidR="00306331">
        <w:rPr>
          <w:rFonts w:ascii="Cambria" w:hAnsi="Cambria" w:cs="Arial"/>
          <w:color w:val="000000" w:themeColor="text1"/>
          <w:sz w:val="24"/>
        </w:rPr>
        <w:t>8</w:t>
      </w:r>
      <w:r w:rsidR="001572EF" w:rsidRPr="001A1606">
        <w:rPr>
          <w:rFonts w:ascii="Cambria" w:hAnsi="Cambria" w:cs="Arial"/>
          <w:sz w:val="24"/>
        </w:rPr>
        <w:t xml:space="preserve"> angažmana u toku godine.</w:t>
      </w:r>
    </w:p>
    <w:p w:rsidR="000A5ED5" w:rsidRPr="001A1606" w:rsidRDefault="000A5ED5" w:rsidP="009B42A1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057EDF" w:rsidRPr="00300C68" w:rsidRDefault="00A67BE5" w:rsidP="00300C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b/>
          <w:sz w:val="24"/>
        </w:rPr>
      </w:pPr>
      <w:r w:rsidRPr="00300C68">
        <w:rPr>
          <w:rFonts w:ascii="Cambria" w:hAnsi="Cambria" w:cs="Arial"/>
          <w:b/>
          <w:sz w:val="24"/>
        </w:rPr>
        <w:t>Broj revizorskih angažmana u odnosu na broj osoblja u reviziji</w:t>
      </w:r>
    </w:p>
    <w:p w:rsidR="001572EF" w:rsidRPr="001A1606" w:rsidRDefault="001572EF" w:rsidP="00565A66">
      <w:pPr>
        <w:spacing w:after="0" w:line="240" w:lineRule="auto"/>
        <w:jc w:val="both"/>
        <w:rPr>
          <w:rFonts w:ascii="Cambria" w:hAnsi="Cambria" w:cs="Arial"/>
          <w:b/>
          <w:sz w:val="24"/>
        </w:rPr>
      </w:pPr>
    </w:p>
    <w:p w:rsidR="00271566" w:rsidRDefault="00271566" w:rsidP="001572EF">
      <w:pPr>
        <w:spacing w:after="0" w:line="240" w:lineRule="auto"/>
        <w:jc w:val="both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 xml:space="preserve">Broj revizorskih angažmana koje jedan revizor može da obavi u toku godine zavisi od više različitih faktora, kao što su obim i složenost poslova, dostupnost resursa, iskustvo revizora itd. </w:t>
      </w:r>
    </w:p>
    <w:p w:rsidR="001572EF" w:rsidRDefault="00271566" w:rsidP="001572EF">
      <w:pPr>
        <w:spacing w:after="0" w:line="240" w:lineRule="auto"/>
        <w:jc w:val="both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lastRenderedPageBreak/>
        <w:t>Na osnovu analize une</w:t>
      </w:r>
      <w:r w:rsidR="005C64DA">
        <w:rPr>
          <w:rFonts w:ascii="Cambria" w:hAnsi="Cambria" w:cs="Arial"/>
          <w:sz w:val="24"/>
        </w:rPr>
        <w:t>š</w:t>
      </w:r>
      <w:r>
        <w:rPr>
          <w:rFonts w:ascii="Cambria" w:hAnsi="Cambria" w:cs="Arial"/>
          <w:sz w:val="24"/>
        </w:rPr>
        <w:t xml:space="preserve">enih podataka </w:t>
      </w:r>
      <w:r w:rsidR="005C64DA">
        <w:rPr>
          <w:rFonts w:ascii="Cambria" w:hAnsi="Cambria" w:cs="Arial"/>
          <w:sz w:val="24"/>
        </w:rPr>
        <w:t>utvrđeno</w:t>
      </w:r>
      <w:r>
        <w:rPr>
          <w:rFonts w:ascii="Cambria" w:hAnsi="Cambria" w:cs="Arial"/>
          <w:sz w:val="24"/>
        </w:rPr>
        <w:t xml:space="preserve"> je da je p</w:t>
      </w:r>
      <w:r w:rsidR="001572EF" w:rsidRPr="001A1606">
        <w:rPr>
          <w:rFonts w:ascii="Cambria" w:hAnsi="Cambria" w:cs="Arial"/>
          <w:sz w:val="24"/>
        </w:rPr>
        <w:t xml:space="preserve">rosječna vijednost ovog indikatora </w:t>
      </w:r>
      <w:r w:rsidR="00814B64" w:rsidRPr="001A1606">
        <w:rPr>
          <w:rFonts w:ascii="Cambria" w:hAnsi="Cambria" w:cs="Arial"/>
          <w:sz w:val="24"/>
        </w:rPr>
        <w:t>3</w:t>
      </w:r>
      <w:r w:rsidR="00C46559" w:rsidRPr="001A1606">
        <w:rPr>
          <w:rFonts w:ascii="Cambria" w:hAnsi="Cambria" w:cs="Arial"/>
          <w:sz w:val="24"/>
        </w:rPr>
        <w:t>,</w:t>
      </w:r>
      <w:r w:rsidR="003F4EF9">
        <w:rPr>
          <w:rFonts w:ascii="Cambria" w:hAnsi="Cambria" w:cs="Arial"/>
          <w:sz w:val="24"/>
        </w:rPr>
        <w:t>13</w:t>
      </w:r>
      <w:r w:rsidR="001572EF" w:rsidRPr="001A1606">
        <w:rPr>
          <w:rFonts w:ascii="Cambria" w:hAnsi="Cambria" w:cs="Arial"/>
          <w:sz w:val="24"/>
        </w:rPr>
        <w:t>. Sva društva</w:t>
      </w:r>
      <w:r w:rsidR="004517CE">
        <w:rPr>
          <w:rFonts w:ascii="Cambria" w:hAnsi="Cambria" w:cs="Arial"/>
          <w:sz w:val="24"/>
        </w:rPr>
        <w:t xml:space="preserve"> za reviziju</w:t>
      </w:r>
      <w:r w:rsidR="001572EF" w:rsidRPr="001A1606">
        <w:rPr>
          <w:rFonts w:ascii="Cambria" w:hAnsi="Cambria" w:cs="Arial"/>
          <w:sz w:val="24"/>
        </w:rPr>
        <w:t xml:space="preserve"> </w:t>
      </w:r>
      <w:r w:rsidR="00A42DE1" w:rsidRPr="001A1606">
        <w:rPr>
          <w:rFonts w:ascii="Cambria" w:hAnsi="Cambria" w:cs="Arial"/>
          <w:sz w:val="24"/>
        </w:rPr>
        <w:t>(</w:t>
      </w:r>
      <w:r w:rsidR="00A42DE1" w:rsidRPr="001A1606">
        <w:rPr>
          <w:rFonts w:ascii="Cambria" w:hAnsi="Cambria" w:cs="Arial"/>
          <w:color w:val="000000" w:themeColor="text1"/>
          <w:sz w:val="24"/>
        </w:rPr>
        <w:t>njih 1</w:t>
      </w:r>
      <w:r w:rsidR="00D86717">
        <w:rPr>
          <w:rFonts w:ascii="Cambria" w:hAnsi="Cambria" w:cs="Arial"/>
          <w:color w:val="000000" w:themeColor="text1"/>
          <w:sz w:val="24"/>
        </w:rPr>
        <w:t>2</w:t>
      </w:r>
      <w:r w:rsidR="00A42DE1" w:rsidRPr="001A1606">
        <w:rPr>
          <w:rFonts w:ascii="Cambria" w:hAnsi="Cambria" w:cs="Arial"/>
          <w:sz w:val="24"/>
        </w:rPr>
        <w:t xml:space="preserve">) </w:t>
      </w:r>
      <w:r w:rsidR="001572EF" w:rsidRPr="001A1606">
        <w:rPr>
          <w:rFonts w:ascii="Cambria" w:hAnsi="Cambria" w:cs="Arial"/>
          <w:sz w:val="24"/>
        </w:rPr>
        <w:t xml:space="preserve">koja su imala indikator u iznosu većem od </w:t>
      </w:r>
      <w:r w:rsidR="00814B64" w:rsidRPr="001A1606">
        <w:rPr>
          <w:rFonts w:ascii="Cambria" w:hAnsi="Cambria" w:cs="Arial"/>
          <w:sz w:val="24"/>
        </w:rPr>
        <w:t>3</w:t>
      </w:r>
      <w:r w:rsidR="00A42DE1" w:rsidRPr="001A1606">
        <w:rPr>
          <w:rFonts w:ascii="Cambria" w:hAnsi="Cambria" w:cs="Arial"/>
          <w:sz w:val="24"/>
        </w:rPr>
        <w:t>,</w:t>
      </w:r>
      <w:r w:rsidR="003F4EF9">
        <w:rPr>
          <w:rFonts w:ascii="Cambria" w:hAnsi="Cambria" w:cs="Arial"/>
          <w:sz w:val="24"/>
        </w:rPr>
        <w:t>13</w:t>
      </w:r>
      <w:r w:rsidR="001572EF" w:rsidRPr="001A1606">
        <w:rPr>
          <w:rFonts w:ascii="Cambria" w:hAnsi="Cambria" w:cs="Arial"/>
          <w:sz w:val="24"/>
        </w:rPr>
        <w:t xml:space="preserve"> ulaze u zonu rizika da ne mogu adekvatno odgovoriti na sve zahtjeve MSR i relevantne etičke zahtjeve, sa postojećim brojem angažovanog osoblja. </w:t>
      </w:r>
    </w:p>
    <w:p w:rsidR="00A42DE1" w:rsidRPr="001A1606" w:rsidRDefault="00A42DE1" w:rsidP="00F439EB">
      <w:pPr>
        <w:spacing w:after="0" w:line="240" w:lineRule="auto"/>
        <w:jc w:val="both"/>
        <w:rPr>
          <w:rFonts w:ascii="Cambria" w:hAnsi="Cambria" w:cs="Arial"/>
          <w:b/>
          <w:sz w:val="24"/>
        </w:rPr>
      </w:pPr>
    </w:p>
    <w:p w:rsidR="004143FA" w:rsidRPr="00300C68" w:rsidRDefault="000B1C59" w:rsidP="00300C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b/>
          <w:sz w:val="24"/>
        </w:rPr>
      </w:pPr>
      <w:r w:rsidRPr="00300C68">
        <w:rPr>
          <w:rFonts w:ascii="Cambria" w:hAnsi="Cambria" w:cs="Arial"/>
          <w:b/>
          <w:sz w:val="24"/>
        </w:rPr>
        <w:t xml:space="preserve">Indikator za „naknadu po </w:t>
      </w:r>
      <w:proofErr w:type="gramStart"/>
      <w:r w:rsidRPr="00300C68">
        <w:rPr>
          <w:rFonts w:ascii="Cambria" w:hAnsi="Cambria" w:cs="Arial"/>
          <w:b/>
          <w:sz w:val="24"/>
        </w:rPr>
        <w:t>satu“</w:t>
      </w:r>
      <w:proofErr w:type="gramEnd"/>
    </w:p>
    <w:p w:rsidR="004143FA" w:rsidRPr="001A1606" w:rsidRDefault="004143FA" w:rsidP="004143FA">
      <w:pPr>
        <w:pStyle w:val="ListParagraph"/>
        <w:spacing w:after="0" w:line="240" w:lineRule="auto"/>
        <w:jc w:val="both"/>
        <w:rPr>
          <w:rFonts w:ascii="Cambria" w:hAnsi="Cambria" w:cs="Arial"/>
          <w:sz w:val="24"/>
        </w:rPr>
      </w:pPr>
    </w:p>
    <w:p w:rsidR="001D3EAF" w:rsidRPr="001A1606" w:rsidRDefault="007242DE" w:rsidP="00F439EB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Ovaj indik</w:t>
      </w:r>
      <w:r w:rsidR="001D3EAF" w:rsidRPr="001A1606">
        <w:rPr>
          <w:rFonts w:ascii="Cambria" w:hAnsi="Cambria" w:cs="Arial"/>
          <w:sz w:val="24"/>
        </w:rPr>
        <w:t>ator</w:t>
      </w:r>
      <w:r w:rsidRPr="001A1606">
        <w:rPr>
          <w:rFonts w:ascii="Cambria" w:hAnsi="Cambria" w:cs="Arial"/>
          <w:sz w:val="24"/>
        </w:rPr>
        <w:t xml:space="preserve"> ukazuje na to da</w:t>
      </w:r>
      <w:r w:rsidR="001D3EAF" w:rsidRPr="001A1606">
        <w:rPr>
          <w:rFonts w:ascii="Cambria" w:hAnsi="Cambria" w:cs="Arial"/>
          <w:sz w:val="24"/>
        </w:rPr>
        <w:t xml:space="preserve"> </w:t>
      </w:r>
      <w:r w:rsidRPr="001A1606">
        <w:rPr>
          <w:rFonts w:ascii="Cambria" w:hAnsi="Cambria" w:cs="Arial"/>
          <w:sz w:val="24"/>
        </w:rPr>
        <w:t>li je bilo rea</w:t>
      </w:r>
      <w:r w:rsidR="001D3EAF" w:rsidRPr="001A1606">
        <w:rPr>
          <w:rFonts w:ascii="Cambria" w:hAnsi="Cambria" w:cs="Arial"/>
          <w:sz w:val="24"/>
        </w:rPr>
        <w:t>l</w:t>
      </w:r>
      <w:r w:rsidRPr="001A1606">
        <w:rPr>
          <w:rFonts w:ascii="Cambria" w:hAnsi="Cambria" w:cs="Arial"/>
          <w:sz w:val="24"/>
        </w:rPr>
        <w:t xml:space="preserve">no da se </w:t>
      </w:r>
      <w:r w:rsidR="001D3EAF" w:rsidRPr="001A1606">
        <w:rPr>
          <w:rFonts w:ascii="Cambria" w:hAnsi="Cambria" w:cs="Arial"/>
          <w:sz w:val="24"/>
        </w:rPr>
        <w:t>adekvatno sprovede revizorski angažman</w:t>
      </w:r>
      <w:r w:rsidRPr="001A1606">
        <w:rPr>
          <w:rFonts w:ascii="Cambria" w:hAnsi="Cambria" w:cs="Arial"/>
          <w:sz w:val="24"/>
        </w:rPr>
        <w:t xml:space="preserve"> sa resurs</w:t>
      </w:r>
      <w:r w:rsidR="001D3EAF" w:rsidRPr="001A1606">
        <w:rPr>
          <w:rFonts w:ascii="Cambria" w:hAnsi="Cambria" w:cs="Arial"/>
          <w:sz w:val="24"/>
        </w:rPr>
        <w:t>ima</w:t>
      </w:r>
      <w:r w:rsidRPr="001A1606">
        <w:rPr>
          <w:rFonts w:ascii="Cambria" w:hAnsi="Cambria" w:cs="Arial"/>
          <w:sz w:val="24"/>
        </w:rPr>
        <w:t xml:space="preserve"> koj</w:t>
      </w:r>
      <w:r w:rsidR="00D86717">
        <w:rPr>
          <w:rFonts w:ascii="Cambria" w:hAnsi="Cambria" w:cs="Arial"/>
          <w:sz w:val="24"/>
        </w:rPr>
        <w:t>i</w:t>
      </w:r>
      <w:r w:rsidRPr="001A1606">
        <w:rPr>
          <w:rFonts w:ascii="Cambria" w:hAnsi="Cambria" w:cs="Arial"/>
          <w:sz w:val="24"/>
        </w:rPr>
        <w:t xml:space="preserve"> su bili na ra</w:t>
      </w:r>
      <w:r w:rsidR="005C64DA">
        <w:rPr>
          <w:rFonts w:ascii="Cambria" w:hAnsi="Cambria" w:cs="Arial"/>
          <w:sz w:val="24"/>
        </w:rPr>
        <w:t>s</w:t>
      </w:r>
      <w:r w:rsidRPr="001A1606">
        <w:rPr>
          <w:rFonts w:ascii="Cambria" w:hAnsi="Cambria" w:cs="Arial"/>
          <w:sz w:val="24"/>
        </w:rPr>
        <w:t xml:space="preserve">polaganju. </w:t>
      </w:r>
      <w:r w:rsidR="001D3EAF" w:rsidRPr="001A1606">
        <w:rPr>
          <w:rFonts w:ascii="Cambria" w:hAnsi="Cambria" w:cs="Arial"/>
          <w:sz w:val="24"/>
        </w:rPr>
        <w:t>Indikator</w:t>
      </w:r>
      <w:r w:rsidRPr="001A1606">
        <w:rPr>
          <w:rFonts w:ascii="Cambria" w:hAnsi="Cambria" w:cs="Arial"/>
          <w:sz w:val="24"/>
        </w:rPr>
        <w:t xml:space="preserve"> ukazuje na mogu</w:t>
      </w:r>
      <w:r w:rsidR="001D3EAF" w:rsidRPr="001A1606">
        <w:rPr>
          <w:rFonts w:ascii="Cambria" w:hAnsi="Cambria" w:cs="Arial"/>
          <w:sz w:val="24"/>
        </w:rPr>
        <w:t>ć</w:t>
      </w:r>
      <w:r w:rsidRPr="001A1606">
        <w:rPr>
          <w:rFonts w:ascii="Cambria" w:hAnsi="Cambria" w:cs="Arial"/>
          <w:sz w:val="24"/>
        </w:rPr>
        <w:t xml:space="preserve">i problem </w:t>
      </w:r>
      <w:r w:rsidR="001D3EAF" w:rsidRPr="001A1606">
        <w:rPr>
          <w:rFonts w:ascii="Cambria" w:hAnsi="Cambria" w:cs="Arial"/>
          <w:sz w:val="24"/>
        </w:rPr>
        <w:t>ukoliko je naknada po satu pre</w:t>
      </w:r>
      <w:r w:rsidR="00D86717">
        <w:rPr>
          <w:rFonts w:ascii="Cambria" w:hAnsi="Cambria" w:cs="Arial"/>
          <w:sz w:val="24"/>
        </w:rPr>
        <w:t>vi</w:t>
      </w:r>
      <w:r w:rsidR="00D86717">
        <w:rPr>
          <w:rFonts w:ascii="Cambria" w:hAnsi="Cambria" w:cs="Arial"/>
          <w:sz w:val="24"/>
          <w:lang w:val="sr-Latn-BA"/>
        </w:rPr>
        <w:t xml:space="preserve">še </w:t>
      </w:r>
      <w:r w:rsidR="001D3EAF" w:rsidRPr="001A1606">
        <w:rPr>
          <w:rFonts w:ascii="Cambria" w:hAnsi="Cambria" w:cs="Arial"/>
          <w:sz w:val="24"/>
        </w:rPr>
        <w:t>niska ili visoka u odnosnu na prosječnu cijenu revizije po satu (</w:t>
      </w:r>
      <w:r w:rsidR="005B4020" w:rsidRPr="001A1606">
        <w:rPr>
          <w:rFonts w:ascii="Cambria" w:hAnsi="Cambria" w:cs="Arial"/>
          <w:color w:val="000000" w:themeColor="text1"/>
          <w:sz w:val="24"/>
        </w:rPr>
        <w:t>3</w:t>
      </w:r>
      <w:r w:rsidR="003F3044">
        <w:rPr>
          <w:rFonts w:ascii="Cambria" w:hAnsi="Cambria" w:cs="Arial"/>
          <w:color w:val="000000" w:themeColor="text1"/>
          <w:sz w:val="24"/>
        </w:rPr>
        <w:t>4</w:t>
      </w:r>
      <w:r w:rsidR="00C46559" w:rsidRPr="001A1606">
        <w:rPr>
          <w:rFonts w:ascii="Cambria" w:hAnsi="Cambria" w:cs="Arial"/>
          <w:color w:val="000000" w:themeColor="text1"/>
          <w:sz w:val="24"/>
        </w:rPr>
        <w:t xml:space="preserve"> €</w:t>
      </w:r>
      <w:r w:rsidR="001D3EAF" w:rsidRPr="001A1606">
        <w:rPr>
          <w:rFonts w:ascii="Cambria" w:hAnsi="Cambria" w:cs="Arial"/>
          <w:color w:val="000000" w:themeColor="text1"/>
          <w:sz w:val="24"/>
        </w:rPr>
        <w:t>)</w:t>
      </w:r>
      <w:r w:rsidRPr="001A1606">
        <w:rPr>
          <w:rFonts w:ascii="Cambria" w:hAnsi="Cambria" w:cs="Arial"/>
          <w:color w:val="000000" w:themeColor="text1"/>
          <w:sz w:val="24"/>
        </w:rPr>
        <w:t xml:space="preserve">. </w:t>
      </w:r>
      <w:r w:rsidR="003754FE">
        <w:rPr>
          <w:rFonts w:ascii="Cambria" w:hAnsi="Cambria" w:cs="Arial"/>
          <w:color w:val="000000" w:themeColor="text1"/>
          <w:sz w:val="24"/>
        </w:rPr>
        <w:t>C</w:t>
      </w:r>
      <w:r w:rsidR="00BA4F3E">
        <w:rPr>
          <w:rFonts w:ascii="Cambria" w:hAnsi="Cambria" w:cs="Arial"/>
          <w:color w:val="000000" w:themeColor="text1"/>
          <w:sz w:val="24"/>
        </w:rPr>
        <w:t>ijena</w:t>
      </w:r>
      <w:r w:rsidR="003754FE">
        <w:rPr>
          <w:rFonts w:ascii="Cambria" w:hAnsi="Cambria" w:cs="Arial"/>
          <w:color w:val="000000" w:themeColor="text1"/>
          <w:sz w:val="24"/>
        </w:rPr>
        <w:t xml:space="preserve"> revizija po satu se dobija kao odnos </w:t>
      </w:r>
      <w:r w:rsidR="003F3044">
        <w:rPr>
          <w:rFonts w:ascii="Cambria" w:hAnsi="Cambria" w:cs="Arial"/>
          <w:color w:val="000000" w:themeColor="text1"/>
          <w:sz w:val="24"/>
        </w:rPr>
        <w:t xml:space="preserve">godišnje </w:t>
      </w:r>
      <w:r w:rsidR="003754FE">
        <w:rPr>
          <w:rFonts w:ascii="Cambria" w:hAnsi="Cambria" w:cs="Arial"/>
          <w:color w:val="000000" w:themeColor="text1"/>
          <w:sz w:val="24"/>
        </w:rPr>
        <w:t xml:space="preserve">naknade za </w:t>
      </w:r>
      <w:r w:rsidR="003F3044">
        <w:rPr>
          <w:rFonts w:ascii="Cambria" w:hAnsi="Cambria" w:cs="Arial"/>
          <w:color w:val="000000" w:themeColor="text1"/>
          <w:sz w:val="24"/>
        </w:rPr>
        <w:t>us</w:t>
      </w:r>
      <w:r w:rsidR="004517CE">
        <w:rPr>
          <w:rFonts w:ascii="Cambria" w:hAnsi="Cambria" w:cs="Arial"/>
          <w:color w:val="000000" w:themeColor="text1"/>
          <w:sz w:val="24"/>
        </w:rPr>
        <w:t>l</w:t>
      </w:r>
      <w:r w:rsidR="003F3044">
        <w:rPr>
          <w:rFonts w:ascii="Cambria" w:hAnsi="Cambria" w:cs="Arial"/>
          <w:color w:val="000000" w:themeColor="text1"/>
          <w:sz w:val="24"/>
        </w:rPr>
        <w:t>uge revizije</w:t>
      </w:r>
      <w:r w:rsidR="003754FE">
        <w:rPr>
          <w:rFonts w:ascii="Cambria" w:hAnsi="Cambria" w:cs="Arial"/>
          <w:color w:val="000000" w:themeColor="text1"/>
          <w:sz w:val="24"/>
        </w:rPr>
        <w:t xml:space="preserve"> i </w:t>
      </w:r>
      <w:r w:rsidR="003F3044">
        <w:rPr>
          <w:rFonts w:ascii="Cambria" w:hAnsi="Cambria" w:cs="Arial"/>
          <w:color w:val="000000" w:themeColor="text1"/>
          <w:sz w:val="24"/>
        </w:rPr>
        <w:t xml:space="preserve">ukupnog </w:t>
      </w:r>
      <w:r w:rsidR="003754FE">
        <w:rPr>
          <w:rFonts w:ascii="Cambria" w:hAnsi="Cambria" w:cs="Arial"/>
          <w:color w:val="000000" w:themeColor="text1"/>
          <w:sz w:val="24"/>
        </w:rPr>
        <w:t xml:space="preserve">broja sati </w:t>
      </w:r>
      <w:r w:rsidR="003F3044">
        <w:rPr>
          <w:rFonts w:ascii="Cambria" w:hAnsi="Cambria" w:cs="Arial"/>
          <w:color w:val="000000" w:themeColor="text1"/>
          <w:sz w:val="24"/>
        </w:rPr>
        <w:t>utrošenog na poslovima revizije</w:t>
      </w:r>
      <w:r w:rsidR="003754FE">
        <w:rPr>
          <w:rFonts w:ascii="Cambria" w:hAnsi="Cambria" w:cs="Arial"/>
          <w:color w:val="000000" w:themeColor="text1"/>
          <w:sz w:val="24"/>
        </w:rPr>
        <w:t xml:space="preserve">. </w:t>
      </w:r>
      <w:r w:rsidR="004C7630" w:rsidRPr="001A1606">
        <w:rPr>
          <w:rFonts w:ascii="Cambria" w:hAnsi="Cambria" w:cs="Arial"/>
          <w:sz w:val="24"/>
        </w:rPr>
        <w:t>U obzir su uzete i specifičnosti pojedinih društava koje većinom rade revizije subjekata od javnog interesa.</w:t>
      </w:r>
    </w:p>
    <w:p w:rsidR="00D32105" w:rsidRPr="001A1606" w:rsidRDefault="00D32105" w:rsidP="00F439EB">
      <w:pPr>
        <w:spacing w:after="0" w:line="240" w:lineRule="auto"/>
        <w:jc w:val="both"/>
        <w:rPr>
          <w:rFonts w:ascii="Cambria" w:hAnsi="Cambria" w:cs="Arial"/>
          <w:b/>
          <w:sz w:val="24"/>
        </w:rPr>
      </w:pPr>
    </w:p>
    <w:p w:rsidR="00DB39DE" w:rsidRPr="00300C68" w:rsidRDefault="00DB39DE" w:rsidP="00300C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 w:cs="Arial"/>
          <w:b/>
          <w:sz w:val="24"/>
        </w:rPr>
      </w:pPr>
      <w:r w:rsidRPr="00300C68">
        <w:rPr>
          <w:rFonts w:ascii="Cambria" w:hAnsi="Cambria" w:cs="Arial"/>
          <w:b/>
          <w:sz w:val="24"/>
        </w:rPr>
        <w:t>Broj revizija subjekata od javnog interesa</w:t>
      </w:r>
    </w:p>
    <w:p w:rsidR="001572EF" w:rsidRPr="001A1606" w:rsidRDefault="001572EF" w:rsidP="00F439EB">
      <w:pPr>
        <w:spacing w:after="0" w:line="240" w:lineRule="auto"/>
        <w:jc w:val="both"/>
        <w:rPr>
          <w:rFonts w:ascii="Cambria" w:hAnsi="Cambria" w:cs="Arial"/>
          <w:b/>
          <w:sz w:val="24"/>
        </w:rPr>
      </w:pPr>
    </w:p>
    <w:p w:rsidR="001572EF" w:rsidRPr="001A1606" w:rsidRDefault="001572EF" w:rsidP="001572EF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S obzirom da su revizije subjekata od javnog interesa kompleksnije u odnosu na revizije drugih pravnih lica postoji veći rizik da nijesu ispoštovana sva pravila revizorske struke kod društava za reviziju kojima su klijenti bili dominantno subjekti od javnog interesa.</w:t>
      </w:r>
      <w:r w:rsidR="00141CE1">
        <w:rPr>
          <w:rFonts w:ascii="Cambria" w:hAnsi="Cambria" w:cs="Arial"/>
          <w:sz w:val="24"/>
        </w:rPr>
        <w:t xml:space="preserve"> </w:t>
      </w:r>
      <w:r w:rsidR="00C37938">
        <w:rPr>
          <w:rFonts w:ascii="Cambria" w:hAnsi="Cambria" w:cs="Arial"/>
          <w:sz w:val="24"/>
        </w:rPr>
        <w:t>D</w:t>
      </w:r>
      <w:r w:rsidR="00141CE1">
        <w:rPr>
          <w:rFonts w:ascii="Cambria" w:hAnsi="Cambria" w:cs="Arial"/>
          <w:sz w:val="24"/>
        </w:rPr>
        <w:t xml:space="preserve">ruštva za reviziju (njih </w:t>
      </w:r>
      <w:r w:rsidR="00C37938">
        <w:rPr>
          <w:rFonts w:ascii="Cambria" w:hAnsi="Cambria" w:cs="Arial"/>
          <w:sz w:val="24"/>
        </w:rPr>
        <w:t>1</w:t>
      </w:r>
      <w:r w:rsidR="003F4EF9">
        <w:rPr>
          <w:rFonts w:ascii="Cambria" w:hAnsi="Cambria" w:cs="Arial"/>
          <w:sz w:val="24"/>
        </w:rPr>
        <w:t>2</w:t>
      </w:r>
      <w:r w:rsidR="00141CE1">
        <w:rPr>
          <w:rFonts w:ascii="Cambria" w:hAnsi="Cambria" w:cs="Arial"/>
          <w:sz w:val="24"/>
        </w:rPr>
        <w:t>) čiji su predmet revizije</w:t>
      </w:r>
      <w:r w:rsidR="00CF7215">
        <w:rPr>
          <w:rFonts w:ascii="Cambria" w:hAnsi="Cambria" w:cs="Arial"/>
          <w:sz w:val="24"/>
        </w:rPr>
        <w:t xml:space="preserve"> dominantno</w:t>
      </w:r>
      <w:r w:rsidR="00141CE1">
        <w:rPr>
          <w:rFonts w:ascii="Cambria" w:hAnsi="Cambria" w:cs="Arial"/>
          <w:sz w:val="24"/>
        </w:rPr>
        <w:t xml:space="preserve"> bili subjekti od javnog interesa, u procentima većim od </w:t>
      </w:r>
      <w:r w:rsidR="00C37938">
        <w:rPr>
          <w:rFonts w:ascii="Cambria" w:hAnsi="Cambria" w:cs="Arial"/>
          <w:sz w:val="24"/>
        </w:rPr>
        <w:t>4</w:t>
      </w:r>
      <w:r w:rsidR="00141CE1">
        <w:rPr>
          <w:rFonts w:ascii="Cambria" w:hAnsi="Cambria" w:cs="Arial"/>
          <w:sz w:val="24"/>
        </w:rPr>
        <w:t>0% ulaze u zonu rizika.</w:t>
      </w:r>
    </w:p>
    <w:p w:rsidR="00DB39DE" w:rsidRPr="001A1606" w:rsidRDefault="00DB39DE" w:rsidP="00134B52">
      <w:pPr>
        <w:pStyle w:val="ListParagraph"/>
        <w:spacing w:after="0" w:line="240" w:lineRule="auto"/>
        <w:jc w:val="both"/>
        <w:rPr>
          <w:rFonts w:ascii="Cambria" w:hAnsi="Cambria" w:cs="Arial"/>
          <w:sz w:val="24"/>
        </w:rPr>
      </w:pPr>
    </w:p>
    <w:p w:rsidR="004143FA" w:rsidRPr="00300C68" w:rsidRDefault="00057EDF" w:rsidP="00300C68">
      <w:pPr>
        <w:pStyle w:val="ListParagraph"/>
        <w:numPr>
          <w:ilvl w:val="0"/>
          <w:numId w:val="22"/>
        </w:numPr>
        <w:spacing w:after="0" w:line="240" w:lineRule="auto"/>
        <w:jc w:val="both"/>
        <w:rPr>
          <w:rFonts w:ascii="Cambria" w:hAnsi="Cambria"/>
          <w:lang w:val="en-US"/>
        </w:rPr>
      </w:pPr>
      <w:r w:rsidRPr="00300C68">
        <w:rPr>
          <w:rFonts w:ascii="Cambria" w:hAnsi="Cambria" w:cs="Arial"/>
          <w:b/>
          <w:sz w:val="24"/>
        </w:rPr>
        <w:t>I</w:t>
      </w:r>
      <w:r w:rsidR="001D3EAF" w:rsidRPr="00300C68">
        <w:rPr>
          <w:rFonts w:ascii="Cambria" w:hAnsi="Cambria" w:cs="Arial"/>
          <w:b/>
          <w:sz w:val="24"/>
        </w:rPr>
        <w:t>ndik</w:t>
      </w:r>
      <w:r w:rsidR="007242DE" w:rsidRPr="00300C68">
        <w:rPr>
          <w:rFonts w:ascii="Cambria" w:hAnsi="Cambria" w:cs="Arial"/>
          <w:b/>
          <w:sz w:val="24"/>
        </w:rPr>
        <w:t xml:space="preserve">ator </w:t>
      </w:r>
      <w:r w:rsidRPr="00300C68">
        <w:rPr>
          <w:rFonts w:ascii="Cambria" w:hAnsi="Cambria" w:cs="Arial"/>
          <w:b/>
          <w:sz w:val="24"/>
        </w:rPr>
        <w:t>koji se</w:t>
      </w:r>
      <w:r w:rsidR="001D3EAF" w:rsidRPr="00300C68">
        <w:rPr>
          <w:rFonts w:ascii="Cambria" w:hAnsi="Cambria" w:cs="Arial"/>
          <w:b/>
          <w:sz w:val="24"/>
        </w:rPr>
        <w:t xml:space="preserve"> odnos</w:t>
      </w:r>
      <w:r w:rsidRPr="00300C68">
        <w:rPr>
          <w:rFonts w:ascii="Cambria" w:hAnsi="Cambria" w:cs="Arial"/>
          <w:b/>
          <w:sz w:val="24"/>
        </w:rPr>
        <w:t>i</w:t>
      </w:r>
      <w:r w:rsidR="001D3EAF" w:rsidRPr="00300C68">
        <w:rPr>
          <w:rFonts w:ascii="Cambria" w:hAnsi="Cambria" w:cs="Arial"/>
          <w:b/>
          <w:sz w:val="24"/>
        </w:rPr>
        <w:t xml:space="preserve"> </w:t>
      </w:r>
      <w:r w:rsidRPr="00300C68">
        <w:rPr>
          <w:rFonts w:ascii="Cambria" w:hAnsi="Cambria" w:cs="Arial"/>
          <w:b/>
          <w:sz w:val="24"/>
        </w:rPr>
        <w:t xml:space="preserve">na </w:t>
      </w:r>
      <w:r w:rsidR="001D3EAF" w:rsidRPr="00300C68">
        <w:rPr>
          <w:rFonts w:ascii="Cambria" w:hAnsi="Cambria" w:cs="Arial"/>
          <w:b/>
          <w:sz w:val="24"/>
        </w:rPr>
        <w:t>broj ča</w:t>
      </w:r>
      <w:r w:rsidR="007242DE" w:rsidRPr="00300C68">
        <w:rPr>
          <w:rFonts w:ascii="Cambria" w:hAnsi="Cambria" w:cs="Arial"/>
          <w:b/>
          <w:sz w:val="24"/>
        </w:rPr>
        <w:t>sova partner</w:t>
      </w:r>
      <w:r w:rsidR="004C7630" w:rsidRPr="00300C68">
        <w:rPr>
          <w:rFonts w:ascii="Cambria" w:hAnsi="Cambria" w:cs="Arial"/>
          <w:b/>
          <w:sz w:val="24"/>
        </w:rPr>
        <w:t>a</w:t>
      </w:r>
      <w:r w:rsidR="007242DE" w:rsidRPr="00300C68">
        <w:rPr>
          <w:rFonts w:ascii="Cambria" w:hAnsi="Cambria" w:cs="Arial"/>
          <w:b/>
          <w:sz w:val="24"/>
        </w:rPr>
        <w:t xml:space="preserve"> </w:t>
      </w:r>
      <w:r w:rsidR="001D3EAF" w:rsidRPr="00300C68">
        <w:rPr>
          <w:rFonts w:ascii="Cambria" w:hAnsi="Cambria" w:cs="Arial"/>
          <w:b/>
          <w:sz w:val="24"/>
        </w:rPr>
        <w:t xml:space="preserve">u reviziji </w:t>
      </w:r>
      <w:r w:rsidR="007242DE" w:rsidRPr="00300C68">
        <w:rPr>
          <w:rFonts w:ascii="Cambria" w:hAnsi="Cambria" w:cs="Arial"/>
          <w:b/>
          <w:sz w:val="24"/>
        </w:rPr>
        <w:t>sa uk</w:t>
      </w:r>
      <w:r w:rsidR="009B42A1">
        <w:rPr>
          <w:rFonts w:ascii="Cambria" w:hAnsi="Cambria" w:cs="Arial"/>
          <w:b/>
          <w:sz w:val="24"/>
        </w:rPr>
        <w:t>u</w:t>
      </w:r>
      <w:r w:rsidR="007242DE" w:rsidRPr="00300C68">
        <w:rPr>
          <w:rFonts w:ascii="Cambria" w:hAnsi="Cambria" w:cs="Arial"/>
          <w:b/>
          <w:sz w:val="24"/>
        </w:rPr>
        <w:t>pn</w:t>
      </w:r>
      <w:r w:rsidR="001D3EAF" w:rsidRPr="00300C68">
        <w:rPr>
          <w:rFonts w:ascii="Cambria" w:hAnsi="Cambria" w:cs="Arial"/>
          <w:b/>
          <w:sz w:val="24"/>
        </w:rPr>
        <w:t>im</w:t>
      </w:r>
      <w:r w:rsidR="007242DE" w:rsidRPr="00300C68">
        <w:rPr>
          <w:rFonts w:ascii="Cambria" w:hAnsi="Cambria" w:cs="Arial"/>
          <w:b/>
          <w:sz w:val="24"/>
        </w:rPr>
        <w:t xml:space="preserve"> </w:t>
      </w:r>
      <w:r w:rsidR="001D3EAF" w:rsidRPr="00300C68">
        <w:rPr>
          <w:rFonts w:ascii="Cambria" w:hAnsi="Cambria" w:cs="Arial"/>
          <w:b/>
          <w:sz w:val="24"/>
        </w:rPr>
        <w:t xml:space="preserve">časovima </w:t>
      </w:r>
      <w:r w:rsidR="007242DE" w:rsidRPr="00300C68">
        <w:rPr>
          <w:rFonts w:ascii="Cambria" w:hAnsi="Cambria" w:cs="Arial"/>
          <w:b/>
          <w:sz w:val="24"/>
        </w:rPr>
        <w:t>anga</w:t>
      </w:r>
      <w:r w:rsidR="004C7630" w:rsidRPr="00300C68">
        <w:rPr>
          <w:rFonts w:ascii="Cambria" w:hAnsi="Cambria" w:cs="Arial"/>
          <w:b/>
          <w:sz w:val="24"/>
        </w:rPr>
        <w:t>ž</w:t>
      </w:r>
      <w:r w:rsidR="007242DE" w:rsidRPr="00300C68">
        <w:rPr>
          <w:rFonts w:ascii="Cambria" w:hAnsi="Cambria" w:cs="Arial"/>
          <w:b/>
          <w:sz w:val="24"/>
        </w:rPr>
        <w:t>mana</w:t>
      </w:r>
    </w:p>
    <w:p w:rsidR="004143FA" w:rsidRPr="001A1606" w:rsidRDefault="004143FA" w:rsidP="004143FA">
      <w:pPr>
        <w:pStyle w:val="ListParagraph"/>
        <w:spacing w:after="0" w:line="240" w:lineRule="auto"/>
        <w:jc w:val="both"/>
        <w:rPr>
          <w:rFonts w:ascii="Cambria" w:hAnsi="Cambria"/>
          <w:lang w:val="en-US"/>
        </w:rPr>
      </w:pPr>
    </w:p>
    <w:p w:rsidR="007242DE" w:rsidRPr="002504FF" w:rsidRDefault="00374D54" w:rsidP="001572EF">
      <w:pPr>
        <w:spacing w:after="0" w:line="240" w:lineRule="auto"/>
        <w:jc w:val="both"/>
        <w:rPr>
          <w:rFonts w:ascii="Cambria" w:hAnsi="Cambria" w:cs="Arial"/>
          <w:sz w:val="24"/>
          <w:lang w:val="sr-Latn-ME"/>
        </w:rPr>
      </w:pPr>
      <w:r>
        <w:rPr>
          <w:rFonts w:ascii="Cambria" w:hAnsi="Cambria" w:cs="Arial"/>
          <w:sz w:val="24"/>
        </w:rPr>
        <w:t>I</w:t>
      </w:r>
      <w:r w:rsidR="001D3EAF" w:rsidRPr="002504FF">
        <w:rPr>
          <w:rFonts w:ascii="Cambria" w:hAnsi="Cambria" w:cs="Arial"/>
          <w:sz w:val="24"/>
        </w:rPr>
        <w:t>ndikator</w:t>
      </w:r>
      <w:r>
        <w:rPr>
          <w:rFonts w:ascii="Cambria" w:hAnsi="Cambria" w:cs="Arial"/>
          <w:sz w:val="24"/>
        </w:rPr>
        <w:t xml:space="preserve"> broja časova partnera u reviziji je od velikog značaja s obzirom na važnost učešća partnera u angažmanima, kako zbog održavanja kontrole kvaliteta rada društva za reviziju na visokom nivou tako i zbog poštovanja principa nezavisnosti.  Indikator je </w:t>
      </w:r>
      <w:r w:rsidR="00364E46" w:rsidRPr="002504FF">
        <w:rPr>
          <w:rFonts w:ascii="Cambria" w:hAnsi="Cambria" w:cs="Arial"/>
          <w:sz w:val="24"/>
        </w:rPr>
        <w:t xml:space="preserve">postavljen tako da </w:t>
      </w:r>
      <w:r w:rsidR="002504FF" w:rsidRPr="002504FF">
        <w:rPr>
          <w:rFonts w:ascii="Cambria" w:hAnsi="Cambria" w:cs="Arial"/>
          <w:sz w:val="24"/>
        </w:rPr>
        <w:t xml:space="preserve">odnos broja časova partnera u reviziji </w:t>
      </w:r>
      <w:r>
        <w:rPr>
          <w:rFonts w:ascii="Cambria" w:hAnsi="Cambria" w:cs="Arial"/>
          <w:sz w:val="24"/>
        </w:rPr>
        <w:t xml:space="preserve">u </w:t>
      </w:r>
      <w:r w:rsidR="002504FF" w:rsidRPr="002504FF">
        <w:rPr>
          <w:rFonts w:ascii="Cambria" w:hAnsi="Cambria" w:cs="Arial"/>
          <w:sz w:val="24"/>
        </w:rPr>
        <w:t>ukupni</w:t>
      </w:r>
      <w:r w:rsidR="008F2811">
        <w:rPr>
          <w:rFonts w:ascii="Cambria" w:hAnsi="Cambria" w:cs="Arial"/>
          <w:sz w:val="24"/>
        </w:rPr>
        <w:t>m</w:t>
      </w:r>
      <w:r w:rsidR="002504FF" w:rsidRPr="002504FF">
        <w:rPr>
          <w:rFonts w:ascii="Cambria" w:hAnsi="Cambria" w:cs="Arial"/>
          <w:sz w:val="24"/>
        </w:rPr>
        <w:t xml:space="preserve"> časov</w:t>
      </w:r>
      <w:r w:rsidR="00E97868">
        <w:rPr>
          <w:rFonts w:ascii="Cambria" w:hAnsi="Cambria" w:cs="Arial"/>
          <w:sz w:val="24"/>
        </w:rPr>
        <w:t>a</w:t>
      </w:r>
      <w:r w:rsidR="002504FF" w:rsidRPr="002504FF">
        <w:rPr>
          <w:rFonts w:ascii="Cambria" w:hAnsi="Cambria" w:cs="Arial"/>
          <w:sz w:val="24"/>
        </w:rPr>
        <w:t xml:space="preserve"> anga</w:t>
      </w:r>
      <w:r w:rsidR="002504FF" w:rsidRPr="002504FF">
        <w:rPr>
          <w:rFonts w:ascii="Cambria" w:hAnsi="Cambria" w:cs="Arial"/>
          <w:sz w:val="24"/>
          <w:lang w:val="sr-Latn-ME"/>
        </w:rPr>
        <w:t xml:space="preserve">žmana ne bi trebao da bude </w:t>
      </w:r>
      <w:r>
        <w:rPr>
          <w:rFonts w:ascii="Cambria" w:hAnsi="Cambria" w:cs="Arial"/>
          <w:sz w:val="24"/>
          <w:lang w:val="sr-Latn-ME"/>
        </w:rPr>
        <w:t>manji</w:t>
      </w:r>
      <w:r w:rsidR="002504FF" w:rsidRPr="002504FF">
        <w:rPr>
          <w:rFonts w:ascii="Cambria" w:hAnsi="Cambria" w:cs="Arial"/>
          <w:sz w:val="24"/>
          <w:lang w:val="sr-Latn-ME"/>
        </w:rPr>
        <w:t xml:space="preserve"> od </w:t>
      </w:r>
      <w:r>
        <w:rPr>
          <w:rFonts w:ascii="Cambria" w:hAnsi="Cambria" w:cs="Arial"/>
          <w:sz w:val="24"/>
          <w:lang w:val="sr-Latn-ME"/>
        </w:rPr>
        <w:t>2</w:t>
      </w:r>
      <w:r w:rsidR="002504FF" w:rsidRPr="002504FF">
        <w:rPr>
          <w:rFonts w:ascii="Cambria" w:hAnsi="Cambria" w:cs="Arial"/>
          <w:sz w:val="24"/>
          <w:lang w:val="sr-Latn-ME"/>
        </w:rPr>
        <w:t>%</w:t>
      </w:r>
      <w:r>
        <w:rPr>
          <w:rFonts w:ascii="Cambria" w:hAnsi="Cambria" w:cs="Arial"/>
          <w:sz w:val="24"/>
          <w:lang w:val="sr-Latn-ME"/>
        </w:rPr>
        <w:t xml:space="preserve"> a ni veći od 20%, što je u praksi maksimalan broj časova koje partner realno odvoji za jednu reviziju.</w:t>
      </w:r>
    </w:p>
    <w:p w:rsidR="00DB39DE" w:rsidRPr="001A1606" w:rsidRDefault="00DB39DE" w:rsidP="00DB39DE">
      <w:pPr>
        <w:pStyle w:val="ListParagraph"/>
        <w:spacing w:after="0" w:line="240" w:lineRule="auto"/>
        <w:jc w:val="both"/>
        <w:rPr>
          <w:rFonts w:ascii="Cambria" w:hAnsi="Cambria"/>
          <w:lang w:val="en-US"/>
        </w:rPr>
      </w:pPr>
    </w:p>
    <w:p w:rsidR="007242DE" w:rsidRPr="001A1606" w:rsidRDefault="004C7630" w:rsidP="004C7630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Prilikom analize korišćeni su i drugi faktori kao npr</w:t>
      </w:r>
      <w:r w:rsidR="007242DE" w:rsidRPr="001A1606">
        <w:rPr>
          <w:rFonts w:ascii="Cambria" w:hAnsi="Cambria" w:cs="Arial"/>
          <w:sz w:val="24"/>
        </w:rPr>
        <w:t xml:space="preserve">: </w:t>
      </w:r>
    </w:p>
    <w:p w:rsidR="004C7630" w:rsidRPr="001A1606" w:rsidRDefault="004C7630" w:rsidP="00676A8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broj i vrste revizorskih mišljenja izdatih</w:t>
      </w:r>
      <w:r w:rsidR="00374D54">
        <w:rPr>
          <w:rFonts w:ascii="Cambria" w:hAnsi="Cambria" w:cs="Arial"/>
          <w:sz w:val="24"/>
        </w:rPr>
        <w:t xml:space="preserve"> od</w:t>
      </w:r>
      <w:r w:rsidRPr="001A1606">
        <w:rPr>
          <w:rFonts w:ascii="Cambria" w:hAnsi="Cambria" w:cs="Arial"/>
          <w:sz w:val="24"/>
        </w:rPr>
        <w:t xml:space="preserve"> strane društava za reviziju;</w:t>
      </w:r>
    </w:p>
    <w:p w:rsidR="004C7630" w:rsidRPr="001A1606" w:rsidRDefault="004C7630" w:rsidP="00676A8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ostale dostupne informacije.</w:t>
      </w:r>
    </w:p>
    <w:p w:rsidR="00EE1FC6" w:rsidRDefault="004C7630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 xml:space="preserve"> </w:t>
      </w:r>
    </w:p>
    <w:p w:rsidR="00EE1FC6" w:rsidRPr="00EE1FC6" w:rsidRDefault="00EE1FC6" w:rsidP="00094EAD">
      <w:pPr>
        <w:pStyle w:val="Heading1"/>
        <w:rPr>
          <w:rFonts w:ascii="Cambria" w:hAnsi="Cambria" w:cs="Arial"/>
          <w:b/>
          <w:color w:val="auto"/>
          <w:sz w:val="26"/>
          <w:szCs w:val="26"/>
        </w:rPr>
      </w:pPr>
      <w:bookmarkStart w:id="6" w:name="_Toc161837395"/>
      <w:r w:rsidRPr="00EE1FC6">
        <w:rPr>
          <w:rFonts w:ascii="Cambria" w:hAnsi="Cambria" w:cs="Arial"/>
          <w:b/>
          <w:color w:val="auto"/>
          <w:sz w:val="26"/>
          <w:szCs w:val="26"/>
        </w:rPr>
        <w:t>V Pregled društava za revizij</w:t>
      </w:r>
      <w:r>
        <w:rPr>
          <w:rFonts w:ascii="Cambria" w:hAnsi="Cambria" w:cs="Arial"/>
          <w:b/>
          <w:sz w:val="26"/>
          <w:szCs w:val="26"/>
        </w:rPr>
        <w:t>u</w:t>
      </w:r>
      <w:r w:rsidRPr="00EE1FC6">
        <w:rPr>
          <w:rFonts w:ascii="Cambria" w:hAnsi="Cambria" w:cs="Arial"/>
          <w:b/>
          <w:color w:val="auto"/>
          <w:sz w:val="26"/>
          <w:szCs w:val="26"/>
        </w:rPr>
        <w:t xml:space="preserve"> koja će biti predmet kontrole u 202</w:t>
      </w:r>
      <w:r w:rsidR="00300C68">
        <w:rPr>
          <w:rFonts w:ascii="Cambria" w:hAnsi="Cambria" w:cs="Arial"/>
          <w:b/>
          <w:color w:val="auto"/>
          <w:sz w:val="26"/>
          <w:szCs w:val="26"/>
        </w:rPr>
        <w:t>5</w:t>
      </w:r>
      <w:r w:rsidRPr="00EE1FC6">
        <w:rPr>
          <w:rFonts w:ascii="Cambria" w:hAnsi="Cambria" w:cs="Arial"/>
          <w:b/>
          <w:color w:val="auto"/>
          <w:sz w:val="26"/>
          <w:szCs w:val="26"/>
        </w:rPr>
        <w:t>. godini</w:t>
      </w:r>
      <w:bookmarkEnd w:id="6"/>
    </w:p>
    <w:p w:rsidR="00EE1FC6" w:rsidRPr="001A1606" w:rsidRDefault="00EE1FC6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8338D4" w:rsidRPr="001A1606" w:rsidRDefault="00EE1FC6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>N</w:t>
      </w:r>
      <w:r w:rsidR="00364E46">
        <w:rPr>
          <w:rFonts w:ascii="Cambria" w:hAnsi="Cambria" w:cs="Arial"/>
          <w:sz w:val="24"/>
        </w:rPr>
        <w:t xml:space="preserve">akon izvršene procjene rizika na bazi navedenih indikatora, dat </w:t>
      </w:r>
      <w:r>
        <w:rPr>
          <w:rFonts w:ascii="Cambria" w:hAnsi="Cambria" w:cs="Arial"/>
          <w:sz w:val="24"/>
        </w:rPr>
        <w:t xml:space="preserve">je </w:t>
      </w:r>
      <w:r w:rsidR="00364E46">
        <w:rPr>
          <w:rFonts w:ascii="Cambria" w:hAnsi="Cambria" w:cs="Arial"/>
          <w:sz w:val="24"/>
        </w:rPr>
        <w:t xml:space="preserve">pregled društava za reviziju koja spadaju u visokorizične, srednje i niskorizične. </w:t>
      </w:r>
      <w:r w:rsidR="00D06F2A">
        <w:rPr>
          <w:rFonts w:ascii="Cambria" w:hAnsi="Cambria" w:cs="Arial"/>
          <w:sz w:val="24"/>
        </w:rPr>
        <w:t>Od 3</w:t>
      </w:r>
      <w:r w:rsidR="00374D54">
        <w:rPr>
          <w:rFonts w:ascii="Cambria" w:hAnsi="Cambria" w:cs="Arial"/>
          <w:sz w:val="24"/>
        </w:rPr>
        <w:t>1</w:t>
      </w:r>
      <w:r w:rsidR="00D06F2A">
        <w:rPr>
          <w:rFonts w:ascii="Cambria" w:hAnsi="Cambria" w:cs="Arial"/>
          <w:sz w:val="24"/>
        </w:rPr>
        <w:t xml:space="preserve"> društ</w:t>
      </w:r>
      <w:r w:rsidR="004517CE">
        <w:rPr>
          <w:rFonts w:ascii="Cambria" w:hAnsi="Cambria" w:cs="Arial"/>
          <w:sz w:val="24"/>
        </w:rPr>
        <w:t>va</w:t>
      </w:r>
      <w:r w:rsidR="00D06F2A">
        <w:rPr>
          <w:rFonts w:ascii="Cambria" w:hAnsi="Cambria" w:cs="Arial"/>
          <w:sz w:val="24"/>
        </w:rPr>
        <w:t xml:space="preserve"> za reviziju 1</w:t>
      </w:r>
      <w:r w:rsidR="008F2811">
        <w:rPr>
          <w:rFonts w:ascii="Cambria" w:hAnsi="Cambria" w:cs="Arial"/>
          <w:sz w:val="24"/>
        </w:rPr>
        <w:t>2</w:t>
      </w:r>
      <w:r w:rsidR="00D06F2A">
        <w:rPr>
          <w:rFonts w:ascii="Cambria" w:hAnsi="Cambria" w:cs="Arial"/>
          <w:sz w:val="24"/>
        </w:rPr>
        <w:t xml:space="preserve"> je nisko rizičnih, </w:t>
      </w:r>
      <w:r w:rsidR="00385F33">
        <w:rPr>
          <w:rFonts w:ascii="Cambria" w:hAnsi="Cambria" w:cs="Arial"/>
          <w:sz w:val="24"/>
        </w:rPr>
        <w:t>1</w:t>
      </w:r>
      <w:r w:rsidR="008F2811">
        <w:rPr>
          <w:rFonts w:ascii="Cambria" w:hAnsi="Cambria" w:cs="Arial"/>
          <w:sz w:val="24"/>
        </w:rPr>
        <w:t>1</w:t>
      </w:r>
      <w:r w:rsidR="00D06F2A">
        <w:rPr>
          <w:rFonts w:ascii="Cambria" w:hAnsi="Cambria" w:cs="Arial"/>
          <w:sz w:val="24"/>
        </w:rPr>
        <w:t xml:space="preserve"> sa srednjim rizikom </w:t>
      </w:r>
      <w:r w:rsidR="006569D7">
        <w:rPr>
          <w:rFonts w:ascii="Cambria" w:hAnsi="Cambria" w:cs="Arial"/>
          <w:sz w:val="24"/>
        </w:rPr>
        <w:t>i</w:t>
      </w:r>
      <w:r w:rsidR="00D06F2A">
        <w:rPr>
          <w:rFonts w:ascii="Cambria" w:hAnsi="Cambria" w:cs="Arial"/>
          <w:sz w:val="24"/>
        </w:rPr>
        <w:t xml:space="preserve"> </w:t>
      </w:r>
      <w:r w:rsidR="00385F33">
        <w:rPr>
          <w:rFonts w:ascii="Cambria" w:hAnsi="Cambria" w:cs="Arial"/>
          <w:sz w:val="24"/>
        </w:rPr>
        <w:t>8</w:t>
      </w:r>
      <w:r w:rsidR="00D06F2A">
        <w:rPr>
          <w:rFonts w:ascii="Cambria" w:hAnsi="Cambria" w:cs="Arial"/>
          <w:sz w:val="24"/>
        </w:rPr>
        <w:t xml:space="preserve"> </w:t>
      </w:r>
      <w:r w:rsidR="004368DE">
        <w:rPr>
          <w:rFonts w:ascii="Cambria" w:hAnsi="Cambria" w:cs="Arial"/>
          <w:sz w:val="24"/>
        </w:rPr>
        <w:t xml:space="preserve">društava je </w:t>
      </w:r>
      <w:r w:rsidR="007204E7">
        <w:rPr>
          <w:rFonts w:ascii="Cambria" w:hAnsi="Cambria" w:cs="Arial"/>
          <w:sz w:val="24"/>
        </w:rPr>
        <w:t>visoko</w:t>
      </w:r>
      <w:r w:rsidR="00D06F2A">
        <w:rPr>
          <w:rFonts w:ascii="Cambria" w:hAnsi="Cambria" w:cs="Arial"/>
          <w:sz w:val="24"/>
        </w:rPr>
        <w:t>rizičnih.</w:t>
      </w:r>
    </w:p>
    <w:p w:rsidR="00EE1FC6" w:rsidRDefault="00EE1FC6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EE1FC6" w:rsidRPr="001A1606" w:rsidRDefault="00EE1FC6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8338D4" w:rsidRDefault="008338D4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10014A" w:rsidRDefault="0010014A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CF1859" w:rsidRDefault="00CF1859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CF1859" w:rsidRDefault="00A10C30" w:rsidP="00676A8A">
      <w:pPr>
        <w:spacing w:after="0" w:line="240" w:lineRule="auto"/>
        <w:jc w:val="both"/>
        <w:rPr>
          <w:rFonts w:ascii="Cambria" w:hAnsi="Cambria" w:cs="Arial"/>
          <w:sz w:val="24"/>
        </w:rPr>
      </w:pPr>
      <w:r w:rsidRPr="00A10C30">
        <w:rPr>
          <w:noProof/>
        </w:rPr>
        <w:lastRenderedPageBreak/>
        <w:drawing>
          <wp:inline distT="0" distB="0" distL="0" distR="0">
            <wp:extent cx="5730875" cy="5533599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458" cy="5546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3A3" w:rsidRPr="001A1606" w:rsidRDefault="00EE1FC6" w:rsidP="009D1D82">
      <w:pPr>
        <w:spacing w:before="120" w:after="120" w:line="240" w:lineRule="auto"/>
        <w:jc w:val="both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>Sva društva za revizij</w:t>
      </w:r>
      <w:r w:rsidR="00D06F2A">
        <w:rPr>
          <w:rFonts w:ascii="Cambria" w:hAnsi="Cambria" w:cs="Arial"/>
          <w:sz w:val="24"/>
        </w:rPr>
        <w:t>u</w:t>
      </w:r>
      <w:r>
        <w:rPr>
          <w:rFonts w:ascii="Cambria" w:hAnsi="Cambria" w:cs="Arial"/>
          <w:sz w:val="24"/>
        </w:rPr>
        <w:t xml:space="preserve"> koja su imala 2 ili manje pozitivn</w:t>
      </w:r>
      <w:r w:rsidR="006569D7">
        <w:rPr>
          <w:rFonts w:ascii="Cambria" w:hAnsi="Cambria" w:cs="Arial"/>
          <w:sz w:val="24"/>
        </w:rPr>
        <w:t>ih</w:t>
      </w:r>
      <w:r>
        <w:rPr>
          <w:rFonts w:ascii="Cambria" w:hAnsi="Cambria" w:cs="Arial"/>
          <w:sz w:val="24"/>
        </w:rPr>
        <w:t xml:space="preserve"> indikatora svrstana su u društva sa niskim rizikom, društva </w:t>
      </w:r>
      <w:r w:rsidR="00D06F2A">
        <w:rPr>
          <w:rFonts w:ascii="Cambria" w:hAnsi="Cambria" w:cs="Arial"/>
          <w:sz w:val="24"/>
        </w:rPr>
        <w:t>sa 3 pozitivna indikatora su srednjerizična a visokorizična društva su sa 4 ili više pozitivnih indikatora</w:t>
      </w:r>
      <w:r w:rsidR="009D1D82">
        <w:rPr>
          <w:rFonts w:ascii="Cambria" w:hAnsi="Cambria" w:cs="Arial"/>
          <w:sz w:val="24"/>
        </w:rPr>
        <w:t>.</w:t>
      </w:r>
    </w:p>
    <w:p w:rsidR="00250091" w:rsidRDefault="008451F7" w:rsidP="009D1D82">
      <w:pPr>
        <w:spacing w:after="120" w:line="240" w:lineRule="auto"/>
        <w:jc w:val="both"/>
        <w:rPr>
          <w:rFonts w:ascii="Cambria" w:hAnsi="Cambria" w:cs="Arial"/>
          <w:sz w:val="24"/>
        </w:rPr>
      </w:pPr>
      <w:r w:rsidRPr="001A1606">
        <w:rPr>
          <w:rFonts w:ascii="Cambria" w:hAnsi="Cambria" w:cs="Arial"/>
          <w:sz w:val="24"/>
        </w:rPr>
        <w:t>Predlažemo da u toku 202</w:t>
      </w:r>
      <w:r w:rsidR="00CF1859">
        <w:rPr>
          <w:rFonts w:ascii="Cambria" w:hAnsi="Cambria" w:cs="Arial"/>
          <w:sz w:val="24"/>
        </w:rPr>
        <w:t>5</w:t>
      </w:r>
      <w:r w:rsidRPr="001A1606">
        <w:rPr>
          <w:rFonts w:ascii="Cambria" w:hAnsi="Cambria" w:cs="Arial"/>
          <w:sz w:val="24"/>
        </w:rPr>
        <w:t>. godine bud</w:t>
      </w:r>
      <w:r w:rsidR="00952E3E" w:rsidRPr="001A1606">
        <w:rPr>
          <w:rFonts w:ascii="Cambria" w:hAnsi="Cambria" w:cs="Arial"/>
          <w:sz w:val="24"/>
        </w:rPr>
        <w:t>e</w:t>
      </w:r>
      <w:r w:rsidRPr="001A1606">
        <w:rPr>
          <w:rFonts w:ascii="Cambria" w:hAnsi="Cambria" w:cs="Arial"/>
          <w:sz w:val="24"/>
        </w:rPr>
        <w:t xml:space="preserve"> sproveden</w:t>
      </w:r>
      <w:r w:rsidR="00952E3E" w:rsidRPr="001A1606">
        <w:rPr>
          <w:rFonts w:ascii="Cambria" w:hAnsi="Cambria" w:cs="Arial"/>
          <w:sz w:val="24"/>
        </w:rPr>
        <w:t>o</w:t>
      </w:r>
      <w:r w:rsidR="00952E3E" w:rsidRPr="001A1606">
        <w:rPr>
          <w:rFonts w:ascii="Cambria" w:hAnsi="Cambria" w:cs="Arial"/>
          <w:color w:val="FF0000"/>
          <w:sz w:val="24"/>
        </w:rPr>
        <w:t xml:space="preserve"> </w:t>
      </w:r>
      <w:r w:rsidR="00CF1859">
        <w:rPr>
          <w:rFonts w:ascii="Cambria" w:hAnsi="Cambria" w:cs="Arial"/>
          <w:sz w:val="24"/>
        </w:rPr>
        <w:t>9</w:t>
      </w:r>
      <w:r w:rsidRPr="001A1606">
        <w:rPr>
          <w:rFonts w:ascii="Cambria" w:hAnsi="Cambria" w:cs="Arial"/>
          <w:color w:val="FF0000"/>
          <w:sz w:val="24"/>
        </w:rPr>
        <w:t xml:space="preserve"> </w:t>
      </w:r>
      <w:r w:rsidRPr="001A1606">
        <w:rPr>
          <w:rFonts w:ascii="Cambria" w:hAnsi="Cambria" w:cs="Arial"/>
          <w:sz w:val="24"/>
        </w:rPr>
        <w:t>kontrol</w:t>
      </w:r>
      <w:r w:rsidR="00952E3E" w:rsidRPr="001A1606">
        <w:rPr>
          <w:rFonts w:ascii="Cambria" w:hAnsi="Cambria" w:cs="Arial"/>
          <w:sz w:val="24"/>
        </w:rPr>
        <w:t>a</w:t>
      </w:r>
      <w:r w:rsidRPr="001A1606">
        <w:rPr>
          <w:rFonts w:ascii="Cambria" w:hAnsi="Cambria" w:cs="Arial"/>
          <w:sz w:val="24"/>
        </w:rPr>
        <w:t xml:space="preserve"> društava za reviziju</w:t>
      </w:r>
      <w:r w:rsidR="008C3484" w:rsidRPr="001A1606">
        <w:rPr>
          <w:rFonts w:ascii="Cambria" w:hAnsi="Cambria" w:cs="Arial"/>
          <w:sz w:val="24"/>
        </w:rPr>
        <w:t xml:space="preserve"> </w:t>
      </w:r>
      <w:r w:rsidR="00364E46">
        <w:rPr>
          <w:rFonts w:ascii="Cambria" w:hAnsi="Cambria" w:cs="Arial"/>
          <w:sz w:val="24"/>
        </w:rPr>
        <w:t xml:space="preserve">koja su nakon prethodno </w:t>
      </w:r>
      <w:r w:rsidR="00D06F2A">
        <w:rPr>
          <w:rFonts w:ascii="Cambria" w:hAnsi="Cambria" w:cs="Arial"/>
          <w:sz w:val="24"/>
        </w:rPr>
        <w:t>sprovedene procjene rizika</w:t>
      </w:r>
      <w:r w:rsidR="00364E46">
        <w:rPr>
          <w:rFonts w:ascii="Cambria" w:hAnsi="Cambria" w:cs="Arial"/>
          <w:sz w:val="24"/>
        </w:rPr>
        <w:t xml:space="preserve"> svrstana u društva </w:t>
      </w:r>
      <w:r w:rsidR="008C3484" w:rsidRPr="001A1606">
        <w:rPr>
          <w:rFonts w:ascii="Cambria" w:hAnsi="Cambria" w:cs="Arial"/>
          <w:sz w:val="24"/>
        </w:rPr>
        <w:t>sa visokim</w:t>
      </w:r>
      <w:r w:rsidR="00952E3E" w:rsidRPr="001A1606">
        <w:rPr>
          <w:rFonts w:ascii="Cambria" w:hAnsi="Cambria" w:cs="Arial"/>
          <w:sz w:val="24"/>
        </w:rPr>
        <w:t xml:space="preserve"> </w:t>
      </w:r>
      <w:r w:rsidR="008860EB">
        <w:rPr>
          <w:rFonts w:ascii="Cambria" w:hAnsi="Cambria" w:cs="Arial"/>
          <w:sz w:val="24"/>
        </w:rPr>
        <w:t xml:space="preserve">i </w:t>
      </w:r>
      <w:r w:rsidR="00250091">
        <w:rPr>
          <w:rFonts w:ascii="Cambria" w:hAnsi="Cambria" w:cs="Arial"/>
          <w:sz w:val="24"/>
        </w:rPr>
        <w:t xml:space="preserve">srednjim </w:t>
      </w:r>
      <w:r w:rsidR="00952E3E" w:rsidRPr="001A1606">
        <w:rPr>
          <w:rFonts w:ascii="Cambria" w:hAnsi="Cambria" w:cs="Arial"/>
          <w:sz w:val="24"/>
        </w:rPr>
        <w:t>riziko</w:t>
      </w:r>
      <w:r w:rsidR="009652F9" w:rsidRPr="001A1606">
        <w:rPr>
          <w:rFonts w:ascii="Cambria" w:hAnsi="Cambria" w:cs="Arial"/>
          <w:sz w:val="24"/>
        </w:rPr>
        <w:t>m</w:t>
      </w:r>
      <w:r w:rsidR="00A10C30">
        <w:rPr>
          <w:rFonts w:ascii="Cambria" w:hAnsi="Cambria" w:cs="Arial"/>
          <w:sz w:val="24"/>
        </w:rPr>
        <w:t>, pri čemu će se voditi računa o vremenskom faktoru, odnosno da se obavi kontrola kod onih društava za reviziju kod kojih nije obavljena u prethodne 2 godine.</w:t>
      </w:r>
    </w:p>
    <w:p w:rsidR="003844D0" w:rsidRDefault="00D10ACF" w:rsidP="003844D0">
      <w:pPr>
        <w:spacing w:after="0" w:line="240" w:lineRule="auto"/>
        <w:jc w:val="both"/>
        <w:rPr>
          <w:rFonts w:ascii="Cambria" w:hAnsi="Cambria" w:cs="Arial"/>
          <w:sz w:val="24"/>
        </w:rPr>
      </w:pPr>
      <w:r>
        <w:rPr>
          <w:rFonts w:ascii="Cambria" w:hAnsi="Cambria" w:cs="Arial"/>
          <w:sz w:val="24"/>
        </w:rPr>
        <w:t>U skladu sa kadrovskim kapacitetima smatramo da je predložen broj kontrola i optimalan broj kako bi se post</w:t>
      </w:r>
      <w:r w:rsidR="00D06F2A">
        <w:rPr>
          <w:rFonts w:ascii="Cambria" w:hAnsi="Cambria" w:cs="Arial"/>
          <w:sz w:val="24"/>
        </w:rPr>
        <w:t>i</w:t>
      </w:r>
      <w:r>
        <w:rPr>
          <w:rFonts w:ascii="Cambria" w:hAnsi="Cambria" w:cs="Arial"/>
          <w:sz w:val="24"/>
        </w:rPr>
        <w:t>glo da nadzor nad radom društava za revizij</w:t>
      </w:r>
      <w:r w:rsidR="00D06F2A">
        <w:rPr>
          <w:rFonts w:ascii="Cambria" w:hAnsi="Cambria" w:cs="Arial"/>
          <w:sz w:val="24"/>
        </w:rPr>
        <w:t>u</w:t>
      </w:r>
      <w:r>
        <w:rPr>
          <w:rFonts w:ascii="Cambria" w:hAnsi="Cambria" w:cs="Arial"/>
          <w:sz w:val="24"/>
        </w:rPr>
        <w:t xml:space="preserve"> i ovlašćenih revizora bude obavljen u skladu sa zahtjevima koje propisuje Zakon o reviziji.</w:t>
      </w:r>
    </w:p>
    <w:p w:rsidR="00635DBE" w:rsidRPr="001A1606" w:rsidRDefault="00635DBE" w:rsidP="008338D4">
      <w:pPr>
        <w:spacing w:after="0" w:line="240" w:lineRule="auto"/>
        <w:jc w:val="both"/>
        <w:rPr>
          <w:rFonts w:ascii="Cambria" w:hAnsi="Cambria" w:cs="Arial"/>
          <w:sz w:val="24"/>
        </w:rPr>
      </w:pPr>
    </w:p>
    <w:p w:rsidR="009D1D82" w:rsidRDefault="009D1D82" w:rsidP="00B23A08">
      <w:pPr>
        <w:spacing w:after="0" w:line="240" w:lineRule="auto"/>
        <w:jc w:val="right"/>
        <w:rPr>
          <w:rFonts w:ascii="Cambria" w:hAnsi="Cambria" w:cs="Arial"/>
          <w:sz w:val="26"/>
          <w:szCs w:val="26"/>
        </w:rPr>
      </w:pPr>
    </w:p>
    <w:p w:rsidR="00B23A08" w:rsidRPr="009D1D82" w:rsidRDefault="00B23A08" w:rsidP="00B23A08">
      <w:pPr>
        <w:spacing w:after="0" w:line="240" w:lineRule="auto"/>
        <w:jc w:val="right"/>
        <w:rPr>
          <w:rFonts w:ascii="Cambria" w:hAnsi="Cambria" w:cs="Arial"/>
          <w:b/>
          <w:sz w:val="26"/>
          <w:szCs w:val="26"/>
        </w:rPr>
      </w:pPr>
      <w:r w:rsidRPr="00B23A08">
        <w:rPr>
          <w:rFonts w:ascii="Cambria" w:hAnsi="Cambria" w:cs="Arial"/>
          <w:sz w:val="26"/>
          <w:szCs w:val="26"/>
        </w:rPr>
        <w:t xml:space="preserve"> </w:t>
      </w:r>
      <w:r w:rsidRPr="009D1D82">
        <w:rPr>
          <w:rFonts w:ascii="Cambria" w:hAnsi="Cambria" w:cs="Arial"/>
          <w:b/>
          <w:sz w:val="26"/>
          <w:szCs w:val="26"/>
        </w:rPr>
        <w:t>Glavno ovlašćeno službeno lice</w:t>
      </w:r>
    </w:p>
    <w:p w:rsidR="00635DBE" w:rsidRPr="00B23A08" w:rsidRDefault="00B23A08" w:rsidP="00B23A08">
      <w:pPr>
        <w:spacing w:after="0" w:line="240" w:lineRule="auto"/>
        <w:jc w:val="center"/>
        <w:rPr>
          <w:rFonts w:ascii="Cambria" w:hAnsi="Cambria" w:cs="Arial"/>
          <w:sz w:val="26"/>
          <w:szCs w:val="26"/>
        </w:rPr>
        <w:sectPr w:rsidR="00635DBE" w:rsidRPr="00B23A08">
          <w:head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D1D82">
        <w:rPr>
          <w:rFonts w:ascii="Cambria" w:hAnsi="Cambria" w:cs="Arial"/>
          <w:b/>
          <w:sz w:val="26"/>
          <w:szCs w:val="26"/>
        </w:rPr>
        <w:t xml:space="preserve">                                                                                               Marija Vujović</w:t>
      </w:r>
    </w:p>
    <w:p w:rsidR="00C653A3" w:rsidRDefault="00C653A3" w:rsidP="008338D4">
      <w:pPr>
        <w:spacing w:after="0" w:line="240" w:lineRule="auto"/>
        <w:jc w:val="both"/>
        <w:rPr>
          <w:rFonts w:ascii="Cambria" w:hAnsi="Cambria" w:cs="Arial"/>
          <w:color w:val="FF0000"/>
          <w:sz w:val="24"/>
          <w:lang w:val="sr-Latn-ME"/>
        </w:rPr>
      </w:pPr>
    </w:p>
    <w:p w:rsidR="00141CE1" w:rsidRDefault="00141CE1" w:rsidP="008338D4">
      <w:pPr>
        <w:spacing w:after="0" w:line="240" w:lineRule="auto"/>
        <w:jc w:val="both"/>
        <w:rPr>
          <w:rFonts w:ascii="Cambria" w:hAnsi="Cambria" w:cs="Arial"/>
          <w:color w:val="FF0000"/>
          <w:sz w:val="24"/>
          <w:lang w:val="sr-Latn-ME"/>
        </w:rPr>
      </w:pPr>
      <w:r>
        <w:rPr>
          <w:rFonts w:ascii="Cambria" w:hAnsi="Cambria" w:cs="Arial"/>
          <w:color w:val="FF0000"/>
          <w:sz w:val="24"/>
          <w:lang w:val="sr-Latn-ME"/>
        </w:rPr>
        <w:t xml:space="preserve">                                                                                                        </w:t>
      </w:r>
    </w:p>
    <w:p w:rsidR="00141CE1" w:rsidRDefault="00141CE1" w:rsidP="008338D4">
      <w:pPr>
        <w:spacing w:after="0" w:line="240" w:lineRule="auto"/>
        <w:jc w:val="both"/>
        <w:rPr>
          <w:rFonts w:ascii="Cambria" w:hAnsi="Cambria" w:cs="Arial"/>
          <w:color w:val="FF0000"/>
          <w:sz w:val="24"/>
          <w:lang w:val="sr-Latn-ME"/>
        </w:rPr>
      </w:pPr>
    </w:p>
    <w:p w:rsidR="00141CE1" w:rsidRDefault="00141CE1" w:rsidP="008338D4">
      <w:pPr>
        <w:spacing w:after="0" w:line="240" w:lineRule="auto"/>
        <w:jc w:val="both"/>
        <w:rPr>
          <w:rFonts w:ascii="Cambria" w:hAnsi="Cambria" w:cs="Arial"/>
          <w:color w:val="FF0000"/>
          <w:sz w:val="24"/>
          <w:lang w:val="sr-Latn-ME"/>
        </w:rPr>
      </w:pPr>
    </w:p>
    <w:p w:rsidR="00141CE1" w:rsidRPr="00A10C30" w:rsidRDefault="00250091" w:rsidP="008338D4">
      <w:pPr>
        <w:spacing w:after="0" w:line="240" w:lineRule="auto"/>
        <w:jc w:val="both"/>
        <w:rPr>
          <w:rFonts w:ascii="Cambria" w:hAnsi="Cambria" w:cs="Arial"/>
          <w:sz w:val="24"/>
          <w:lang w:val="sr-Latn-ME"/>
        </w:rPr>
      </w:pPr>
      <w:r w:rsidRPr="00B23A08">
        <w:rPr>
          <w:rFonts w:ascii="Cambria" w:hAnsi="Cambria" w:cs="Arial"/>
          <w:sz w:val="24"/>
          <w:lang w:val="sr-Latn-ME"/>
        </w:rPr>
        <w:t xml:space="preserve">             _______________________________________</w:t>
      </w:r>
    </w:p>
    <w:p w:rsidR="00141CE1" w:rsidRDefault="00141CE1" w:rsidP="008338D4">
      <w:pPr>
        <w:spacing w:after="0" w:line="240" w:lineRule="auto"/>
        <w:jc w:val="both"/>
        <w:rPr>
          <w:rFonts w:ascii="Cambria" w:hAnsi="Cambria" w:cs="Arial"/>
          <w:color w:val="FF0000"/>
          <w:sz w:val="24"/>
          <w:lang w:val="sr-Latn-ME"/>
        </w:rPr>
      </w:pPr>
      <w:r>
        <w:rPr>
          <w:rFonts w:ascii="Cambria" w:hAnsi="Cambria" w:cs="Arial"/>
          <w:color w:val="FF0000"/>
          <w:sz w:val="24"/>
          <w:lang w:val="sr-Latn-ME"/>
        </w:rPr>
        <w:t xml:space="preserve">                              </w:t>
      </w:r>
    </w:p>
    <w:sectPr w:rsidR="00141CE1" w:rsidSect="00141CE1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4F8" w:rsidRDefault="00D354F8" w:rsidP="00B77B45">
      <w:pPr>
        <w:spacing w:after="0" w:line="240" w:lineRule="auto"/>
      </w:pPr>
      <w:r>
        <w:separator/>
      </w:r>
    </w:p>
  </w:endnote>
  <w:endnote w:type="continuationSeparator" w:id="0">
    <w:p w:rsidR="00D354F8" w:rsidRDefault="00D354F8" w:rsidP="00B77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4F8" w:rsidRDefault="00D354F8" w:rsidP="00B77B45">
      <w:pPr>
        <w:spacing w:after="0" w:line="240" w:lineRule="auto"/>
      </w:pPr>
      <w:r>
        <w:separator/>
      </w:r>
    </w:p>
  </w:footnote>
  <w:footnote w:type="continuationSeparator" w:id="0">
    <w:p w:rsidR="00D354F8" w:rsidRDefault="00D354F8" w:rsidP="00B77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3828" w:rsidRDefault="00C53828" w:rsidP="00B77B4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5290A"/>
    <w:multiLevelType w:val="multilevel"/>
    <w:tmpl w:val="44C479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F6AE5"/>
    <w:multiLevelType w:val="hybridMultilevel"/>
    <w:tmpl w:val="9AD8000E"/>
    <w:lvl w:ilvl="0" w:tplc="5996379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F43C5"/>
    <w:multiLevelType w:val="multilevel"/>
    <w:tmpl w:val="1A4679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063CBD"/>
    <w:multiLevelType w:val="hybridMultilevel"/>
    <w:tmpl w:val="9C481D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11BEF"/>
    <w:multiLevelType w:val="hybridMultilevel"/>
    <w:tmpl w:val="B1B4EBEE"/>
    <w:lvl w:ilvl="0" w:tplc="F60CD3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805782"/>
    <w:multiLevelType w:val="hybridMultilevel"/>
    <w:tmpl w:val="951E22FA"/>
    <w:lvl w:ilvl="0" w:tplc="F60CD3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B5268"/>
    <w:multiLevelType w:val="hybridMultilevel"/>
    <w:tmpl w:val="3C8632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3250A"/>
    <w:multiLevelType w:val="hybridMultilevel"/>
    <w:tmpl w:val="53BCC1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B0"/>
    <w:multiLevelType w:val="hybridMultilevel"/>
    <w:tmpl w:val="BCAA61CC"/>
    <w:lvl w:ilvl="0" w:tplc="B7744C1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292D"/>
    <w:multiLevelType w:val="multilevel"/>
    <w:tmpl w:val="AC8CF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BB1EB9"/>
    <w:multiLevelType w:val="hybridMultilevel"/>
    <w:tmpl w:val="247E40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C35BB"/>
    <w:multiLevelType w:val="hybridMultilevel"/>
    <w:tmpl w:val="2B12B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F7CA9"/>
    <w:multiLevelType w:val="hybridMultilevel"/>
    <w:tmpl w:val="01569F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817012"/>
    <w:multiLevelType w:val="multilevel"/>
    <w:tmpl w:val="48D0B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619A5"/>
    <w:multiLevelType w:val="hybridMultilevel"/>
    <w:tmpl w:val="735AE2C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55D8C"/>
    <w:multiLevelType w:val="hybridMultilevel"/>
    <w:tmpl w:val="0F56D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7B2C0C"/>
    <w:multiLevelType w:val="hybridMultilevel"/>
    <w:tmpl w:val="D0060F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C449D"/>
    <w:multiLevelType w:val="hybridMultilevel"/>
    <w:tmpl w:val="D8000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FB3858"/>
    <w:multiLevelType w:val="hybridMultilevel"/>
    <w:tmpl w:val="A05801C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482A5B"/>
    <w:multiLevelType w:val="hybridMultilevel"/>
    <w:tmpl w:val="33B2AD5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00E7A"/>
    <w:multiLevelType w:val="hybridMultilevel"/>
    <w:tmpl w:val="9BD270B2"/>
    <w:lvl w:ilvl="0" w:tplc="CFB4EAD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20C0D"/>
    <w:multiLevelType w:val="hybridMultilevel"/>
    <w:tmpl w:val="243ECAC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9"/>
  </w:num>
  <w:num w:numId="4">
    <w:abstractNumId w:val="18"/>
  </w:num>
  <w:num w:numId="5">
    <w:abstractNumId w:val="21"/>
  </w:num>
  <w:num w:numId="6">
    <w:abstractNumId w:val="6"/>
  </w:num>
  <w:num w:numId="7">
    <w:abstractNumId w:val="10"/>
  </w:num>
  <w:num w:numId="8">
    <w:abstractNumId w:val="15"/>
  </w:num>
  <w:num w:numId="9">
    <w:abstractNumId w:val="16"/>
  </w:num>
  <w:num w:numId="10">
    <w:abstractNumId w:val="12"/>
  </w:num>
  <w:num w:numId="11">
    <w:abstractNumId w:val="3"/>
  </w:num>
  <w:num w:numId="12">
    <w:abstractNumId w:val="7"/>
  </w:num>
  <w:num w:numId="13">
    <w:abstractNumId w:val="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7"/>
  </w:num>
  <w:num w:numId="20">
    <w:abstractNumId w:val="4"/>
  </w:num>
  <w:num w:numId="21">
    <w:abstractNumId w:val="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436"/>
    <w:rsid w:val="00007FB9"/>
    <w:rsid w:val="00010AFE"/>
    <w:rsid w:val="00022260"/>
    <w:rsid w:val="00036C60"/>
    <w:rsid w:val="000401ED"/>
    <w:rsid w:val="00051598"/>
    <w:rsid w:val="00057EDF"/>
    <w:rsid w:val="00074CE3"/>
    <w:rsid w:val="00081B65"/>
    <w:rsid w:val="000918EF"/>
    <w:rsid w:val="00094227"/>
    <w:rsid w:val="00094EAD"/>
    <w:rsid w:val="000A3727"/>
    <w:rsid w:val="000A5ED5"/>
    <w:rsid w:val="000B1C59"/>
    <w:rsid w:val="000C304C"/>
    <w:rsid w:val="000E2FE8"/>
    <w:rsid w:val="000F788C"/>
    <w:rsid w:val="0010014A"/>
    <w:rsid w:val="00105862"/>
    <w:rsid w:val="00134B52"/>
    <w:rsid w:val="001366E6"/>
    <w:rsid w:val="00141CE1"/>
    <w:rsid w:val="001454CB"/>
    <w:rsid w:val="001546B9"/>
    <w:rsid w:val="001572EF"/>
    <w:rsid w:val="00162E3A"/>
    <w:rsid w:val="00176135"/>
    <w:rsid w:val="001A1606"/>
    <w:rsid w:val="001A1620"/>
    <w:rsid w:val="001A6255"/>
    <w:rsid w:val="001D364B"/>
    <w:rsid w:val="001D3EAF"/>
    <w:rsid w:val="001F5184"/>
    <w:rsid w:val="00203B07"/>
    <w:rsid w:val="002075E9"/>
    <w:rsid w:val="002149B1"/>
    <w:rsid w:val="002152BB"/>
    <w:rsid w:val="00231F64"/>
    <w:rsid w:val="00245541"/>
    <w:rsid w:val="00250091"/>
    <w:rsid w:val="002504FF"/>
    <w:rsid w:val="00266650"/>
    <w:rsid w:val="00271566"/>
    <w:rsid w:val="0028101A"/>
    <w:rsid w:val="002A5298"/>
    <w:rsid w:val="002B7D2D"/>
    <w:rsid w:val="002F2122"/>
    <w:rsid w:val="002F6B53"/>
    <w:rsid w:val="00300C68"/>
    <w:rsid w:val="00306331"/>
    <w:rsid w:val="00320272"/>
    <w:rsid w:val="00336487"/>
    <w:rsid w:val="00336498"/>
    <w:rsid w:val="00347E04"/>
    <w:rsid w:val="00353332"/>
    <w:rsid w:val="00364E46"/>
    <w:rsid w:val="00365FF2"/>
    <w:rsid w:val="00374D54"/>
    <w:rsid w:val="003754FE"/>
    <w:rsid w:val="00377C2C"/>
    <w:rsid w:val="003844D0"/>
    <w:rsid w:val="00385F33"/>
    <w:rsid w:val="00396E8C"/>
    <w:rsid w:val="003B0948"/>
    <w:rsid w:val="003C6787"/>
    <w:rsid w:val="003D3E11"/>
    <w:rsid w:val="003E4F93"/>
    <w:rsid w:val="003E738D"/>
    <w:rsid w:val="003F3044"/>
    <w:rsid w:val="003F4573"/>
    <w:rsid w:val="003F4EF9"/>
    <w:rsid w:val="004143FA"/>
    <w:rsid w:val="004167E8"/>
    <w:rsid w:val="00421A8E"/>
    <w:rsid w:val="00435473"/>
    <w:rsid w:val="004368DE"/>
    <w:rsid w:val="00437384"/>
    <w:rsid w:val="0044001D"/>
    <w:rsid w:val="004517CE"/>
    <w:rsid w:val="00462182"/>
    <w:rsid w:val="00486079"/>
    <w:rsid w:val="004937B4"/>
    <w:rsid w:val="004B0759"/>
    <w:rsid w:val="004C7630"/>
    <w:rsid w:val="004D3002"/>
    <w:rsid w:val="004F3B58"/>
    <w:rsid w:val="0052594F"/>
    <w:rsid w:val="0053644B"/>
    <w:rsid w:val="00552A56"/>
    <w:rsid w:val="00565A66"/>
    <w:rsid w:val="00571EC5"/>
    <w:rsid w:val="005A11C6"/>
    <w:rsid w:val="005B4020"/>
    <w:rsid w:val="005C2EEC"/>
    <w:rsid w:val="005C45AD"/>
    <w:rsid w:val="005C5E61"/>
    <w:rsid w:val="005C64DA"/>
    <w:rsid w:val="005E39AC"/>
    <w:rsid w:val="005E7ABA"/>
    <w:rsid w:val="005F188E"/>
    <w:rsid w:val="005F5C7F"/>
    <w:rsid w:val="0060539F"/>
    <w:rsid w:val="0061008A"/>
    <w:rsid w:val="00610431"/>
    <w:rsid w:val="006160F4"/>
    <w:rsid w:val="00624DA2"/>
    <w:rsid w:val="006277BC"/>
    <w:rsid w:val="00635DBE"/>
    <w:rsid w:val="00652C62"/>
    <w:rsid w:val="006569D7"/>
    <w:rsid w:val="00666EA7"/>
    <w:rsid w:val="006708BC"/>
    <w:rsid w:val="00671815"/>
    <w:rsid w:val="00676A8A"/>
    <w:rsid w:val="00692AF7"/>
    <w:rsid w:val="006D2BF5"/>
    <w:rsid w:val="006D465C"/>
    <w:rsid w:val="006F1C32"/>
    <w:rsid w:val="007175D9"/>
    <w:rsid w:val="00717932"/>
    <w:rsid w:val="007204E7"/>
    <w:rsid w:val="00721178"/>
    <w:rsid w:val="007242DE"/>
    <w:rsid w:val="007301AF"/>
    <w:rsid w:val="00733D30"/>
    <w:rsid w:val="00733E85"/>
    <w:rsid w:val="00735577"/>
    <w:rsid w:val="00737518"/>
    <w:rsid w:val="00743B95"/>
    <w:rsid w:val="0074703A"/>
    <w:rsid w:val="0076663B"/>
    <w:rsid w:val="0078228F"/>
    <w:rsid w:val="007828C4"/>
    <w:rsid w:val="007A5F4B"/>
    <w:rsid w:val="007C450E"/>
    <w:rsid w:val="007C4CDB"/>
    <w:rsid w:val="007E1B5A"/>
    <w:rsid w:val="007E5947"/>
    <w:rsid w:val="007F7651"/>
    <w:rsid w:val="00814B64"/>
    <w:rsid w:val="008338D4"/>
    <w:rsid w:val="008451F7"/>
    <w:rsid w:val="0084635F"/>
    <w:rsid w:val="00853683"/>
    <w:rsid w:val="00854118"/>
    <w:rsid w:val="0086135A"/>
    <w:rsid w:val="008641FF"/>
    <w:rsid w:val="008860EB"/>
    <w:rsid w:val="00892507"/>
    <w:rsid w:val="008927DA"/>
    <w:rsid w:val="00896793"/>
    <w:rsid w:val="008979D3"/>
    <w:rsid w:val="008A334F"/>
    <w:rsid w:val="008C3484"/>
    <w:rsid w:val="008E5A7B"/>
    <w:rsid w:val="008F2811"/>
    <w:rsid w:val="00916250"/>
    <w:rsid w:val="00916357"/>
    <w:rsid w:val="0092073A"/>
    <w:rsid w:val="00941A71"/>
    <w:rsid w:val="00947DFC"/>
    <w:rsid w:val="0095185F"/>
    <w:rsid w:val="00952E3E"/>
    <w:rsid w:val="009652F9"/>
    <w:rsid w:val="00982559"/>
    <w:rsid w:val="00984D06"/>
    <w:rsid w:val="009854B0"/>
    <w:rsid w:val="00996596"/>
    <w:rsid w:val="009A7F0C"/>
    <w:rsid w:val="009B42A1"/>
    <w:rsid w:val="009C5F1B"/>
    <w:rsid w:val="009D1D82"/>
    <w:rsid w:val="00A03B2E"/>
    <w:rsid w:val="00A10C30"/>
    <w:rsid w:val="00A17EF6"/>
    <w:rsid w:val="00A233EC"/>
    <w:rsid w:val="00A23CA4"/>
    <w:rsid w:val="00A334FC"/>
    <w:rsid w:val="00A42DE1"/>
    <w:rsid w:val="00A526A3"/>
    <w:rsid w:val="00A5785A"/>
    <w:rsid w:val="00A6246A"/>
    <w:rsid w:val="00A64BD5"/>
    <w:rsid w:val="00A67BE5"/>
    <w:rsid w:val="00A97A0A"/>
    <w:rsid w:val="00AB0B63"/>
    <w:rsid w:val="00AC2D05"/>
    <w:rsid w:val="00AD342F"/>
    <w:rsid w:val="00AD7F73"/>
    <w:rsid w:val="00AE3039"/>
    <w:rsid w:val="00B23A08"/>
    <w:rsid w:val="00B409CB"/>
    <w:rsid w:val="00B5285C"/>
    <w:rsid w:val="00B64186"/>
    <w:rsid w:val="00B75A1A"/>
    <w:rsid w:val="00B766F8"/>
    <w:rsid w:val="00B77B45"/>
    <w:rsid w:val="00B8000A"/>
    <w:rsid w:val="00B941B0"/>
    <w:rsid w:val="00B96D5A"/>
    <w:rsid w:val="00BA0383"/>
    <w:rsid w:val="00BA1109"/>
    <w:rsid w:val="00BA4F3E"/>
    <w:rsid w:val="00BB4751"/>
    <w:rsid w:val="00BD77C4"/>
    <w:rsid w:val="00C2423D"/>
    <w:rsid w:val="00C314CE"/>
    <w:rsid w:val="00C37938"/>
    <w:rsid w:val="00C46559"/>
    <w:rsid w:val="00C52775"/>
    <w:rsid w:val="00C53828"/>
    <w:rsid w:val="00C653A3"/>
    <w:rsid w:val="00C8009B"/>
    <w:rsid w:val="00C83E8B"/>
    <w:rsid w:val="00C9246A"/>
    <w:rsid w:val="00CA0CFD"/>
    <w:rsid w:val="00CC4834"/>
    <w:rsid w:val="00CF1859"/>
    <w:rsid w:val="00CF7215"/>
    <w:rsid w:val="00D06F2A"/>
    <w:rsid w:val="00D10ACF"/>
    <w:rsid w:val="00D312F0"/>
    <w:rsid w:val="00D32105"/>
    <w:rsid w:val="00D354F8"/>
    <w:rsid w:val="00D47FB7"/>
    <w:rsid w:val="00D517A0"/>
    <w:rsid w:val="00D67110"/>
    <w:rsid w:val="00D86717"/>
    <w:rsid w:val="00D938C8"/>
    <w:rsid w:val="00DB1170"/>
    <w:rsid w:val="00DB39DE"/>
    <w:rsid w:val="00DC5F86"/>
    <w:rsid w:val="00DD1436"/>
    <w:rsid w:val="00DF42B0"/>
    <w:rsid w:val="00E065F4"/>
    <w:rsid w:val="00E17639"/>
    <w:rsid w:val="00E24310"/>
    <w:rsid w:val="00E4070E"/>
    <w:rsid w:val="00E43186"/>
    <w:rsid w:val="00E43805"/>
    <w:rsid w:val="00E513A8"/>
    <w:rsid w:val="00E52171"/>
    <w:rsid w:val="00E530CB"/>
    <w:rsid w:val="00E64334"/>
    <w:rsid w:val="00E70B15"/>
    <w:rsid w:val="00E84018"/>
    <w:rsid w:val="00E95214"/>
    <w:rsid w:val="00E97868"/>
    <w:rsid w:val="00EA0125"/>
    <w:rsid w:val="00EA0907"/>
    <w:rsid w:val="00EB2AFF"/>
    <w:rsid w:val="00EE1FC6"/>
    <w:rsid w:val="00F439EB"/>
    <w:rsid w:val="00F51BE3"/>
    <w:rsid w:val="00F52484"/>
    <w:rsid w:val="00F65ADE"/>
    <w:rsid w:val="00F66226"/>
    <w:rsid w:val="00F70986"/>
    <w:rsid w:val="00F71A92"/>
    <w:rsid w:val="00F72243"/>
    <w:rsid w:val="00F75E16"/>
    <w:rsid w:val="00F90822"/>
    <w:rsid w:val="00F935B2"/>
    <w:rsid w:val="00FA3975"/>
    <w:rsid w:val="00FB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CE969E-90AC-47FA-B0B3-2AF67B57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1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4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2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77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77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77B4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77B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B45"/>
  </w:style>
  <w:style w:type="character" w:customStyle="1" w:styleId="Heading1Char">
    <w:name w:val="Heading 1 Char"/>
    <w:basedOn w:val="DefaultParagraphFont"/>
    <w:link w:val="Heading1"/>
    <w:uiPriority w:val="9"/>
    <w:rsid w:val="00EA01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A0125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A012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A01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69349-0082-4C47-A443-E3AC42E3C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Vlahovic</dc:creator>
  <cp:lastModifiedBy>Bojana Delic</cp:lastModifiedBy>
  <cp:revision>2</cp:revision>
  <cp:lastPrinted>2023-03-14T09:00:00Z</cp:lastPrinted>
  <dcterms:created xsi:type="dcterms:W3CDTF">2025-02-20T07:54:00Z</dcterms:created>
  <dcterms:modified xsi:type="dcterms:W3CDTF">2025-02-20T07:54:00Z</dcterms:modified>
</cp:coreProperties>
</file>