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429ED" w14:textId="22D6EABB" w:rsidR="00325BCC" w:rsidRDefault="00325BCC" w:rsidP="00325BCC">
      <w:pPr>
        <w:jc w:val="center"/>
        <w:rPr>
          <w:b/>
          <w:color w:val="002060"/>
          <w:sz w:val="24"/>
          <w:szCs w:val="24"/>
          <w:lang w:val="en-GB"/>
        </w:rPr>
      </w:pPr>
      <w:bookmarkStart w:id="0" w:name="_Hlk200467995"/>
      <w:bookmarkEnd w:id="0"/>
      <w:r>
        <w:rPr>
          <w:rFonts w:cstheme="minorHAnsi"/>
          <w:noProof/>
          <w:lang w:eastAsia="hr-HR"/>
        </w:rPr>
        <w:drawing>
          <wp:inline distT="0" distB="0" distL="0" distR="0" wp14:anchorId="1CAA4E59" wp14:editId="4C8C5F48">
            <wp:extent cx="1038225" cy="542925"/>
            <wp:effectExtent l="0" t="0" r="9525" b="9525"/>
            <wp:docPr id="7" name="Picture 7" descr="Zastava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stava Crne Gor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38225" cy="542925"/>
                    </a:xfrm>
                    <a:prstGeom prst="rect">
                      <a:avLst/>
                    </a:prstGeom>
                    <a:noFill/>
                    <a:ln>
                      <a:noFill/>
                    </a:ln>
                  </pic:spPr>
                </pic:pic>
              </a:graphicData>
            </a:graphic>
          </wp:inline>
        </w:drawing>
      </w:r>
      <w:r>
        <w:rPr>
          <w:rFonts w:cstheme="minorHAnsi"/>
          <w:noProof/>
          <w:lang w:eastAsia="hr-HR"/>
        </w:rPr>
        <w:drawing>
          <wp:inline distT="0" distB="0" distL="0" distR="0" wp14:anchorId="40303AC7" wp14:editId="261F157F">
            <wp:extent cx="781050" cy="542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81050" cy="542925"/>
                    </a:xfrm>
                    <a:prstGeom prst="rect">
                      <a:avLst/>
                    </a:prstGeom>
                    <a:noFill/>
                    <a:ln>
                      <a:noFill/>
                    </a:ln>
                  </pic:spPr>
                </pic:pic>
              </a:graphicData>
            </a:graphic>
          </wp:inline>
        </w:drawing>
      </w:r>
      <w:r>
        <w:rPr>
          <w:rFonts w:cstheme="minorHAnsi"/>
          <w:noProof/>
          <w:lang w:eastAsia="hr-HR"/>
        </w:rPr>
        <w:drawing>
          <wp:inline distT="0" distB="0" distL="0" distR="0" wp14:anchorId="144BA13A" wp14:editId="3474EC1D">
            <wp:extent cx="1009650" cy="542925"/>
            <wp:effectExtent l="0" t="0" r="0" b="9525"/>
            <wp:docPr id="9" name="Picture 9" descr="Zastava Republike 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stava Republike Hrvatsk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p>
    <w:p w14:paraId="2FB92CC2" w14:textId="77777777" w:rsidR="00325BCC" w:rsidRPr="00905F7F" w:rsidRDefault="00325BCC" w:rsidP="00325BCC">
      <w:pPr>
        <w:rPr>
          <w:rFonts w:ascii="Arial" w:hAnsi="Arial" w:cs="Arial"/>
          <w:b/>
          <w:color w:val="002060"/>
          <w:lang w:val="en-GB"/>
        </w:rPr>
      </w:pPr>
    </w:p>
    <w:p w14:paraId="17D1CF7E" w14:textId="77777777" w:rsidR="002F7BA5" w:rsidRPr="00905F7F" w:rsidRDefault="002F7BA5" w:rsidP="002F7BA5">
      <w:pPr>
        <w:jc w:val="center"/>
        <w:rPr>
          <w:rFonts w:ascii="Arial" w:hAnsi="Arial" w:cs="Arial"/>
          <w:b/>
          <w:color w:val="002060"/>
          <w:lang w:val="en-GB"/>
        </w:rPr>
      </w:pPr>
      <w:r w:rsidRPr="00905F7F">
        <w:rPr>
          <w:rFonts w:ascii="Arial" w:hAnsi="Arial" w:cs="Arial"/>
          <w:b/>
          <w:color w:val="002060"/>
          <w:lang w:val="en-GB"/>
        </w:rPr>
        <w:t>TWL project Further enhancing the functioning of Montenegrin AFCOS system with the aim of efficient protection of EU financial interests”</w:t>
      </w:r>
    </w:p>
    <w:p w14:paraId="07F65D3E" w14:textId="7488123E" w:rsidR="00595BCD" w:rsidRPr="00905F7F" w:rsidRDefault="00595BCD" w:rsidP="00595BCD">
      <w:pPr>
        <w:jc w:val="center"/>
        <w:rPr>
          <w:rFonts w:ascii="Arial" w:hAnsi="Arial" w:cs="Arial"/>
          <w:b/>
          <w:color w:val="002060"/>
          <w:lang w:val="en-GB"/>
        </w:rPr>
      </w:pPr>
      <w:r w:rsidRPr="00905F7F">
        <w:rPr>
          <w:rFonts w:ascii="Arial" w:hAnsi="Arial" w:cs="Arial"/>
          <w:b/>
          <w:color w:val="002060"/>
          <w:lang w:val="en-GB"/>
        </w:rPr>
        <w:t>Protecting EU Financial Interests: National conference held in Podgorica</w:t>
      </w:r>
    </w:p>
    <w:p w14:paraId="39DCCCD0" w14:textId="77777777" w:rsidR="00905F7F" w:rsidRDefault="00905F7F" w:rsidP="001059BD">
      <w:pPr>
        <w:spacing w:line="276" w:lineRule="auto"/>
        <w:jc w:val="both"/>
        <w:rPr>
          <w:rFonts w:ascii="Arial" w:hAnsi="Arial" w:cs="Arial"/>
          <w:bCs/>
          <w:iCs/>
          <w:lang w:val="en-GB"/>
        </w:rPr>
      </w:pPr>
    </w:p>
    <w:p w14:paraId="3AA5DE13" w14:textId="6B83C9AC" w:rsidR="005B29CB" w:rsidRPr="00905F7F" w:rsidRDefault="00267F54" w:rsidP="001059BD">
      <w:pPr>
        <w:spacing w:line="276" w:lineRule="auto"/>
        <w:jc w:val="both"/>
        <w:rPr>
          <w:rFonts w:ascii="Arial" w:hAnsi="Arial" w:cs="Arial"/>
          <w:bCs/>
          <w:iCs/>
          <w:lang w:val="en-GB"/>
        </w:rPr>
      </w:pPr>
      <w:r w:rsidRPr="00905F7F">
        <w:rPr>
          <w:rFonts w:ascii="Arial" w:hAnsi="Arial" w:cs="Arial"/>
          <w:bCs/>
          <w:iCs/>
          <w:lang w:val="en-GB"/>
        </w:rPr>
        <w:t xml:space="preserve">As part of the Twinning light project "Further enhancing the functioning of the Montenegrin AFCOS system with the aim of efficient protection of EU financial interests", a National Conference dedicated to the protection of the European Union’s financial interests was held on 6 June 2025 in Podgorica. </w:t>
      </w:r>
    </w:p>
    <w:p w14:paraId="33BB6805" w14:textId="0629B0B0" w:rsidR="00C06B72" w:rsidRPr="00905F7F" w:rsidRDefault="00267F54" w:rsidP="001059BD">
      <w:pPr>
        <w:spacing w:line="276" w:lineRule="auto"/>
        <w:jc w:val="both"/>
        <w:rPr>
          <w:rFonts w:ascii="Arial" w:hAnsi="Arial" w:cs="Arial"/>
          <w:bCs/>
          <w:iCs/>
          <w:lang w:val="en-GB"/>
        </w:rPr>
      </w:pPr>
      <w:r w:rsidRPr="00905F7F">
        <w:rPr>
          <w:rFonts w:ascii="Arial" w:hAnsi="Arial" w:cs="Arial"/>
          <w:bCs/>
          <w:iCs/>
          <w:lang w:val="en-GB"/>
        </w:rPr>
        <w:t>The event was jointly organized by the Ministry of Finance of Montenegro and the Ministry of Finance of the Republic of Croatia, with the aim of strengthening administrative capacities and improving institutional cooperation</w:t>
      </w:r>
      <w:r w:rsidR="005E6978" w:rsidRPr="00905F7F">
        <w:rPr>
          <w:rFonts w:ascii="Arial" w:hAnsi="Arial" w:cs="Arial"/>
          <w:bCs/>
          <w:iCs/>
          <w:lang w:val="en-GB"/>
        </w:rPr>
        <w:t xml:space="preserve"> by giving an </w:t>
      </w:r>
      <w:r w:rsidR="00C06B72" w:rsidRPr="00905F7F">
        <w:rPr>
          <w:rFonts w:ascii="Arial" w:hAnsi="Arial" w:cs="Arial"/>
          <w:bCs/>
          <w:iCs/>
          <w:lang w:val="en-GB"/>
        </w:rPr>
        <w:t>overview of</w:t>
      </w:r>
      <w:r w:rsidR="00B213A3" w:rsidRPr="00905F7F">
        <w:rPr>
          <w:rFonts w:ascii="Arial" w:hAnsi="Arial" w:cs="Arial"/>
          <w:bCs/>
          <w:iCs/>
          <w:lang w:val="en-GB"/>
        </w:rPr>
        <w:t xml:space="preserve"> the </w:t>
      </w:r>
      <w:r w:rsidR="00C06B72" w:rsidRPr="00905F7F">
        <w:rPr>
          <w:rFonts w:ascii="Arial" w:hAnsi="Arial" w:cs="Arial"/>
          <w:bCs/>
          <w:iCs/>
          <w:lang w:val="en-GB"/>
        </w:rPr>
        <w:t xml:space="preserve">conducted </w:t>
      </w:r>
      <w:r w:rsidR="00B213A3" w:rsidRPr="00905F7F">
        <w:rPr>
          <w:rFonts w:ascii="Arial" w:hAnsi="Arial" w:cs="Arial"/>
          <w:bCs/>
          <w:iCs/>
          <w:lang w:val="en-GB"/>
        </w:rPr>
        <w:t xml:space="preserve">project activities and its outcomes, </w:t>
      </w:r>
      <w:r w:rsidR="00C06B72" w:rsidRPr="00905F7F">
        <w:rPr>
          <w:rFonts w:ascii="Arial" w:hAnsi="Arial" w:cs="Arial"/>
          <w:bCs/>
          <w:iCs/>
          <w:lang w:val="en-GB"/>
        </w:rPr>
        <w:t xml:space="preserve">and </w:t>
      </w:r>
      <w:r w:rsidR="00B213A3" w:rsidRPr="00905F7F">
        <w:rPr>
          <w:rFonts w:ascii="Arial" w:hAnsi="Arial" w:cs="Arial"/>
          <w:bCs/>
          <w:iCs/>
          <w:lang w:val="en-GB"/>
        </w:rPr>
        <w:t>exchanging knowledge and experience related to the prote</w:t>
      </w:r>
      <w:r w:rsidR="00C06B72" w:rsidRPr="00905F7F">
        <w:rPr>
          <w:rFonts w:ascii="Arial" w:hAnsi="Arial" w:cs="Arial"/>
          <w:bCs/>
          <w:iCs/>
          <w:lang w:val="en-GB"/>
        </w:rPr>
        <w:t>ction of EU financial interests.</w:t>
      </w:r>
    </w:p>
    <w:p w14:paraId="3F4A9F33" w14:textId="5F984A8D" w:rsidR="00267F54" w:rsidRPr="00905F7F" w:rsidRDefault="00267F54" w:rsidP="001059BD">
      <w:pPr>
        <w:spacing w:line="276" w:lineRule="auto"/>
        <w:jc w:val="both"/>
        <w:rPr>
          <w:rFonts w:ascii="Arial" w:hAnsi="Arial" w:cs="Arial"/>
          <w:bCs/>
          <w:iCs/>
          <w:lang w:val="en-GB"/>
        </w:rPr>
      </w:pPr>
      <w:r w:rsidRPr="00905F7F">
        <w:rPr>
          <w:rFonts w:ascii="Arial" w:hAnsi="Arial" w:cs="Arial"/>
          <w:bCs/>
          <w:iCs/>
          <w:lang w:val="en-GB"/>
        </w:rPr>
        <w:t xml:space="preserve">The conference brought together around 30 participants from institutions involved in the </w:t>
      </w:r>
      <w:r w:rsidR="00B213A3" w:rsidRPr="00905F7F">
        <w:rPr>
          <w:rFonts w:ascii="Arial" w:hAnsi="Arial" w:cs="Arial"/>
          <w:bCs/>
          <w:iCs/>
          <w:lang w:val="en-GB"/>
        </w:rPr>
        <w:t xml:space="preserve">Montenegrin </w:t>
      </w:r>
      <w:r w:rsidRPr="00905F7F">
        <w:rPr>
          <w:rFonts w:ascii="Arial" w:hAnsi="Arial" w:cs="Arial"/>
          <w:bCs/>
          <w:iCs/>
          <w:lang w:val="en-GB"/>
        </w:rPr>
        <w:t xml:space="preserve">AFCOS system – </w:t>
      </w:r>
      <w:r w:rsidR="00B213A3" w:rsidRPr="00905F7F">
        <w:rPr>
          <w:rFonts w:ascii="Arial" w:hAnsi="Arial" w:cs="Arial"/>
          <w:bCs/>
          <w:iCs/>
          <w:lang w:val="en-GB"/>
        </w:rPr>
        <w:t xml:space="preserve">representatives of </w:t>
      </w:r>
      <w:r w:rsidR="005B29CB" w:rsidRPr="00905F7F">
        <w:rPr>
          <w:rFonts w:ascii="Arial" w:hAnsi="Arial" w:cs="Arial"/>
          <w:bCs/>
          <w:iCs/>
          <w:lang w:val="en-GB"/>
        </w:rPr>
        <w:t>the</w:t>
      </w:r>
      <w:r w:rsidRPr="00905F7F">
        <w:rPr>
          <w:rFonts w:ascii="Arial" w:hAnsi="Arial" w:cs="Arial"/>
          <w:bCs/>
          <w:iCs/>
          <w:lang w:val="en-GB"/>
        </w:rPr>
        <w:t xml:space="preserve"> irregularit</w:t>
      </w:r>
      <w:r w:rsidR="00B213A3" w:rsidRPr="00905F7F">
        <w:rPr>
          <w:rFonts w:ascii="Arial" w:hAnsi="Arial" w:cs="Arial"/>
          <w:bCs/>
          <w:iCs/>
          <w:lang w:val="en-GB"/>
        </w:rPr>
        <w:t>y reporting system</w:t>
      </w:r>
      <w:r w:rsidRPr="00905F7F">
        <w:rPr>
          <w:rFonts w:ascii="Arial" w:hAnsi="Arial" w:cs="Arial"/>
          <w:bCs/>
          <w:iCs/>
          <w:lang w:val="en-GB"/>
        </w:rPr>
        <w:t xml:space="preserve">, </w:t>
      </w:r>
      <w:r w:rsidR="00B213A3" w:rsidRPr="00905F7F">
        <w:rPr>
          <w:rFonts w:ascii="Arial" w:hAnsi="Arial" w:cs="Arial"/>
          <w:bCs/>
          <w:iCs/>
          <w:lang w:val="en-GB"/>
        </w:rPr>
        <w:t xml:space="preserve">representatives of </w:t>
      </w:r>
      <w:r w:rsidRPr="00905F7F">
        <w:rPr>
          <w:rFonts w:ascii="Arial" w:hAnsi="Arial" w:cs="Arial"/>
          <w:bCs/>
          <w:iCs/>
          <w:lang w:val="en-GB"/>
        </w:rPr>
        <w:t>the AFCOS network</w:t>
      </w:r>
      <w:r w:rsidR="00B213A3" w:rsidRPr="00905F7F">
        <w:rPr>
          <w:rFonts w:ascii="Arial" w:hAnsi="Arial" w:cs="Arial"/>
          <w:bCs/>
          <w:iCs/>
          <w:lang w:val="en-GB"/>
        </w:rPr>
        <w:t xml:space="preserve"> bodies</w:t>
      </w:r>
      <w:r w:rsidRPr="00905F7F">
        <w:rPr>
          <w:rFonts w:ascii="Arial" w:hAnsi="Arial" w:cs="Arial"/>
          <w:bCs/>
          <w:iCs/>
          <w:lang w:val="en-GB"/>
        </w:rPr>
        <w:t xml:space="preserve">, representatives of </w:t>
      </w:r>
      <w:r w:rsidR="005B29CB" w:rsidRPr="00905F7F">
        <w:rPr>
          <w:rFonts w:ascii="Arial" w:hAnsi="Arial" w:cs="Arial"/>
          <w:bCs/>
          <w:iCs/>
          <w:lang w:val="en-GB"/>
        </w:rPr>
        <w:t xml:space="preserve">relevant </w:t>
      </w:r>
      <w:r w:rsidRPr="00905F7F">
        <w:rPr>
          <w:rFonts w:ascii="Arial" w:hAnsi="Arial" w:cs="Arial"/>
          <w:bCs/>
          <w:iCs/>
          <w:lang w:val="en-GB"/>
        </w:rPr>
        <w:t>European institutions</w:t>
      </w:r>
      <w:r w:rsidR="005B29CB" w:rsidRPr="00905F7F">
        <w:rPr>
          <w:rFonts w:ascii="Arial" w:hAnsi="Arial" w:cs="Arial"/>
          <w:bCs/>
          <w:iCs/>
          <w:lang w:val="en-GB"/>
        </w:rPr>
        <w:t>;</w:t>
      </w:r>
      <w:r w:rsidRPr="00905F7F">
        <w:rPr>
          <w:rFonts w:ascii="Arial" w:hAnsi="Arial" w:cs="Arial"/>
          <w:bCs/>
          <w:iCs/>
          <w:lang w:val="en-GB"/>
        </w:rPr>
        <w:t xml:space="preserve"> European Anti-Fraud Office (OLAF)</w:t>
      </w:r>
      <w:r w:rsidR="005B29CB" w:rsidRPr="00905F7F">
        <w:rPr>
          <w:rFonts w:ascii="Arial" w:hAnsi="Arial" w:cs="Arial"/>
          <w:bCs/>
          <w:iCs/>
          <w:lang w:val="en-GB"/>
        </w:rPr>
        <w:t xml:space="preserve"> and</w:t>
      </w:r>
      <w:r w:rsidRPr="00905F7F">
        <w:rPr>
          <w:rFonts w:ascii="Arial" w:hAnsi="Arial" w:cs="Arial"/>
          <w:bCs/>
          <w:iCs/>
          <w:lang w:val="en-GB"/>
        </w:rPr>
        <w:t xml:space="preserve"> European Public Prosecutor’s Office (EPPO), </w:t>
      </w:r>
      <w:r w:rsidR="005B29CB" w:rsidRPr="00905F7F">
        <w:rPr>
          <w:rFonts w:ascii="Arial" w:hAnsi="Arial" w:cs="Arial"/>
          <w:bCs/>
          <w:iCs/>
          <w:lang w:val="en-GB"/>
        </w:rPr>
        <w:t xml:space="preserve">together with representatives of </w:t>
      </w:r>
      <w:r w:rsidRPr="00905F7F">
        <w:rPr>
          <w:rFonts w:ascii="Arial" w:hAnsi="Arial" w:cs="Arial"/>
          <w:bCs/>
          <w:iCs/>
          <w:lang w:val="en-GB"/>
        </w:rPr>
        <w:t>the Delegation of the European Union to Montenegro (DEU).</w:t>
      </w:r>
    </w:p>
    <w:p w14:paraId="6382E41E" w14:textId="5AA15416" w:rsidR="00267F54" w:rsidRPr="00905F7F" w:rsidRDefault="00267F54" w:rsidP="001059BD">
      <w:pPr>
        <w:spacing w:line="276" w:lineRule="auto"/>
        <w:jc w:val="both"/>
        <w:rPr>
          <w:rFonts w:ascii="Arial" w:hAnsi="Arial" w:cs="Arial"/>
          <w:bCs/>
          <w:iCs/>
          <w:lang w:val="en-GB"/>
        </w:rPr>
      </w:pPr>
      <w:r w:rsidRPr="00905F7F">
        <w:rPr>
          <w:rFonts w:ascii="Arial" w:hAnsi="Arial" w:cs="Arial"/>
          <w:bCs/>
          <w:iCs/>
          <w:lang w:val="en-GB"/>
        </w:rPr>
        <w:t xml:space="preserve">The conference was officially opened with introductory speeches by Ms </w:t>
      </w:r>
      <w:proofErr w:type="spellStart"/>
      <w:r w:rsidRPr="00905F7F">
        <w:rPr>
          <w:rFonts w:ascii="Arial" w:hAnsi="Arial" w:cs="Arial"/>
          <w:bCs/>
          <w:iCs/>
          <w:lang w:val="en-GB"/>
        </w:rPr>
        <w:t>Agata</w:t>
      </w:r>
      <w:proofErr w:type="spellEnd"/>
      <w:r w:rsidRPr="00905F7F">
        <w:rPr>
          <w:rFonts w:ascii="Arial" w:hAnsi="Arial" w:cs="Arial"/>
          <w:bCs/>
          <w:iCs/>
          <w:lang w:val="en-GB"/>
        </w:rPr>
        <w:t xml:space="preserve"> </w:t>
      </w:r>
      <w:proofErr w:type="spellStart"/>
      <w:r w:rsidRPr="00905F7F">
        <w:rPr>
          <w:rFonts w:ascii="Arial" w:hAnsi="Arial" w:cs="Arial"/>
          <w:bCs/>
          <w:iCs/>
          <w:lang w:val="en-GB"/>
        </w:rPr>
        <w:t>Stasiak</w:t>
      </w:r>
      <w:proofErr w:type="spellEnd"/>
      <w:r w:rsidRPr="00905F7F">
        <w:rPr>
          <w:rFonts w:ascii="Arial" w:hAnsi="Arial" w:cs="Arial"/>
          <w:bCs/>
          <w:iCs/>
          <w:lang w:val="en-GB"/>
        </w:rPr>
        <w:t xml:space="preserve">, Head of the Finance, Contracts and Audit Section at the </w:t>
      </w:r>
      <w:r w:rsidR="001059BD" w:rsidRPr="00905F7F">
        <w:rPr>
          <w:rFonts w:ascii="Arial" w:hAnsi="Arial" w:cs="Arial"/>
          <w:bCs/>
          <w:iCs/>
          <w:lang w:val="en-GB"/>
        </w:rPr>
        <w:t>DEU</w:t>
      </w:r>
      <w:r w:rsidRPr="00905F7F">
        <w:rPr>
          <w:rFonts w:ascii="Arial" w:hAnsi="Arial" w:cs="Arial"/>
          <w:bCs/>
          <w:iCs/>
          <w:lang w:val="en-GB"/>
        </w:rPr>
        <w:t xml:space="preserve">; Ms Radmila </w:t>
      </w:r>
      <w:proofErr w:type="spellStart"/>
      <w:r w:rsidRPr="00905F7F">
        <w:rPr>
          <w:rFonts w:ascii="Arial" w:hAnsi="Arial" w:cs="Arial"/>
          <w:bCs/>
          <w:iCs/>
          <w:lang w:val="en-GB"/>
        </w:rPr>
        <w:t>Ivanović</w:t>
      </w:r>
      <w:proofErr w:type="spellEnd"/>
      <w:r w:rsidRPr="00905F7F">
        <w:rPr>
          <w:rFonts w:ascii="Arial" w:hAnsi="Arial" w:cs="Arial"/>
          <w:bCs/>
          <w:iCs/>
          <w:lang w:val="en-GB"/>
        </w:rPr>
        <w:t xml:space="preserve">, Head of the Directorate for Inspection and Protection of EU Financial Interests at the Ministry of Finance of Montenegro; and H.E. Mr </w:t>
      </w:r>
      <w:proofErr w:type="spellStart"/>
      <w:r w:rsidRPr="00905F7F">
        <w:rPr>
          <w:rFonts w:ascii="Arial" w:hAnsi="Arial" w:cs="Arial"/>
          <w:bCs/>
          <w:iCs/>
          <w:lang w:val="en-GB"/>
        </w:rPr>
        <w:t>Veselko</w:t>
      </w:r>
      <w:proofErr w:type="spellEnd"/>
      <w:r w:rsidRPr="00905F7F">
        <w:rPr>
          <w:rFonts w:ascii="Arial" w:hAnsi="Arial" w:cs="Arial"/>
          <w:bCs/>
          <w:iCs/>
          <w:lang w:val="en-GB"/>
        </w:rPr>
        <w:t xml:space="preserve"> </w:t>
      </w:r>
      <w:proofErr w:type="spellStart"/>
      <w:r w:rsidRPr="00905F7F">
        <w:rPr>
          <w:rFonts w:ascii="Arial" w:hAnsi="Arial" w:cs="Arial"/>
          <w:bCs/>
          <w:iCs/>
          <w:lang w:val="en-GB"/>
        </w:rPr>
        <w:t>Grubišić</w:t>
      </w:r>
      <w:proofErr w:type="spellEnd"/>
      <w:r w:rsidRPr="00905F7F">
        <w:rPr>
          <w:rFonts w:ascii="Arial" w:hAnsi="Arial" w:cs="Arial"/>
          <w:bCs/>
          <w:iCs/>
          <w:lang w:val="en-GB"/>
        </w:rPr>
        <w:t xml:space="preserve">, Ambassador of the Republic of Croatia to Montenegro. They </w:t>
      </w:r>
      <w:r w:rsidR="00C06B72" w:rsidRPr="00905F7F">
        <w:rPr>
          <w:rFonts w:ascii="Arial" w:hAnsi="Arial" w:cs="Arial"/>
          <w:bCs/>
          <w:iCs/>
          <w:lang w:val="en-GB"/>
        </w:rPr>
        <w:t xml:space="preserve">all </w:t>
      </w:r>
      <w:r w:rsidRPr="00905F7F">
        <w:rPr>
          <w:rFonts w:ascii="Arial" w:hAnsi="Arial" w:cs="Arial"/>
          <w:bCs/>
          <w:iCs/>
          <w:lang w:val="en-GB"/>
        </w:rPr>
        <w:t>emphasized the importance of continued efforts to combat irregularities</w:t>
      </w:r>
      <w:r w:rsidR="00C06B72" w:rsidRPr="00905F7F">
        <w:rPr>
          <w:rFonts w:ascii="Arial" w:hAnsi="Arial" w:cs="Arial"/>
          <w:bCs/>
          <w:iCs/>
          <w:lang w:val="en-GB"/>
        </w:rPr>
        <w:t xml:space="preserve"> and fraud</w:t>
      </w:r>
      <w:r w:rsidRPr="00905F7F">
        <w:rPr>
          <w:rFonts w:ascii="Arial" w:hAnsi="Arial" w:cs="Arial"/>
          <w:bCs/>
          <w:iCs/>
          <w:lang w:val="en-GB"/>
        </w:rPr>
        <w:t xml:space="preserve"> in the use of EU funds, particularly in the context of closing Negotiating Chapter 32 by the end of 2025. </w:t>
      </w:r>
      <w:r w:rsidR="00C06B72" w:rsidRPr="00905F7F">
        <w:rPr>
          <w:rFonts w:ascii="Arial" w:hAnsi="Arial" w:cs="Arial"/>
          <w:bCs/>
          <w:iCs/>
          <w:lang w:val="en-GB"/>
        </w:rPr>
        <w:t>Furthermore, t</w:t>
      </w:r>
      <w:r w:rsidRPr="00905F7F">
        <w:rPr>
          <w:rFonts w:ascii="Arial" w:hAnsi="Arial" w:cs="Arial"/>
          <w:bCs/>
          <w:iCs/>
          <w:lang w:val="en-GB"/>
        </w:rPr>
        <w:t xml:space="preserve">he need for </w:t>
      </w:r>
      <w:r w:rsidR="00C06B72" w:rsidRPr="00905F7F">
        <w:rPr>
          <w:rFonts w:ascii="Arial" w:hAnsi="Arial" w:cs="Arial"/>
          <w:bCs/>
          <w:iCs/>
          <w:lang w:val="en-GB"/>
        </w:rPr>
        <w:t>continuous</w:t>
      </w:r>
      <w:r w:rsidRPr="00905F7F">
        <w:rPr>
          <w:rFonts w:ascii="Arial" w:hAnsi="Arial" w:cs="Arial"/>
          <w:bCs/>
          <w:iCs/>
          <w:lang w:val="en-GB"/>
        </w:rPr>
        <w:t xml:space="preserve"> capacity building, development of </w:t>
      </w:r>
      <w:r w:rsidR="005B29CB" w:rsidRPr="00905F7F">
        <w:rPr>
          <w:rFonts w:ascii="Arial" w:hAnsi="Arial" w:cs="Arial"/>
          <w:bCs/>
          <w:iCs/>
          <w:lang w:val="en-GB"/>
        </w:rPr>
        <w:t xml:space="preserve">legal, institutional and </w:t>
      </w:r>
      <w:r w:rsidRPr="00905F7F">
        <w:rPr>
          <w:rFonts w:ascii="Arial" w:hAnsi="Arial" w:cs="Arial"/>
          <w:bCs/>
          <w:iCs/>
          <w:lang w:val="en-GB"/>
        </w:rPr>
        <w:t xml:space="preserve">strategic framework, and raising public awareness was strongly highlighted </w:t>
      </w:r>
      <w:r w:rsidR="00C06B72" w:rsidRPr="00905F7F">
        <w:rPr>
          <w:rFonts w:ascii="Arial" w:hAnsi="Arial" w:cs="Arial"/>
          <w:bCs/>
          <w:iCs/>
          <w:lang w:val="en-GB"/>
        </w:rPr>
        <w:t xml:space="preserve">as an important factor </w:t>
      </w:r>
      <w:r w:rsidRPr="00905F7F">
        <w:rPr>
          <w:rFonts w:ascii="Arial" w:hAnsi="Arial" w:cs="Arial"/>
          <w:bCs/>
          <w:iCs/>
          <w:lang w:val="en-GB"/>
        </w:rPr>
        <w:t>to ensure transparency and effectiveness in EU funds management.</w:t>
      </w:r>
    </w:p>
    <w:p w14:paraId="4A5D9B40" w14:textId="2F1F30D6" w:rsidR="00C06B72" w:rsidRPr="00905F7F" w:rsidRDefault="00267F54" w:rsidP="001059BD">
      <w:pPr>
        <w:spacing w:line="276" w:lineRule="auto"/>
        <w:jc w:val="both"/>
        <w:rPr>
          <w:rFonts w:ascii="Arial" w:hAnsi="Arial" w:cs="Arial"/>
          <w:bCs/>
          <w:iCs/>
          <w:lang w:val="en-GB"/>
        </w:rPr>
      </w:pPr>
      <w:r w:rsidRPr="00905F7F">
        <w:rPr>
          <w:rFonts w:ascii="Arial" w:hAnsi="Arial" w:cs="Arial"/>
          <w:bCs/>
          <w:iCs/>
          <w:lang w:val="en-GB"/>
        </w:rPr>
        <w:t>During the working session,</w:t>
      </w:r>
      <w:r w:rsidR="004554A6" w:rsidRPr="00905F7F">
        <w:rPr>
          <w:rFonts w:ascii="Arial" w:hAnsi="Arial" w:cs="Arial"/>
          <w:bCs/>
          <w:iCs/>
          <w:lang w:val="en-GB"/>
        </w:rPr>
        <w:t xml:space="preserve"> </w:t>
      </w:r>
      <w:r w:rsidR="00C06B72" w:rsidRPr="00905F7F">
        <w:rPr>
          <w:rFonts w:ascii="Arial" w:hAnsi="Arial" w:cs="Arial"/>
          <w:bCs/>
          <w:iCs/>
          <w:lang w:val="en-GB"/>
        </w:rPr>
        <w:t>Croatian, Latvian and Montenegrin legal framework established for the protection of EU financial interests, including the experiences and challenges in the development of National Anti-Fraud Strategy (NAFS) and cooperation with relevant authorities was presented.</w:t>
      </w:r>
    </w:p>
    <w:p w14:paraId="7874E724" w14:textId="303DC46D" w:rsidR="00267F54" w:rsidRPr="00905F7F" w:rsidRDefault="00267F54" w:rsidP="001059BD">
      <w:pPr>
        <w:spacing w:line="276" w:lineRule="auto"/>
        <w:jc w:val="both"/>
        <w:rPr>
          <w:rFonts w:ascii="Arial" w:hAnsi="Arial" w:cs="Arial"/>
          <w:bCs/>
          <w:iCs/>
          <w:lang w:val="en-GB"/>
        </w:rPr>
      </w:pPr>
      <w:r w:rsidRPr="00905F7F">
        <w:rPr>
          <w:rFonts w:ascii="Arial" w:hAnsi="Arial" w:cs="Arial"/>
          <w:bCs/>
          <w:iCs/>
          <w:lang w:val="en-GB"/>
        </w:rPr>
        <w:t xml:space="preserve">Ms Mirjana Jurić, Project Leader from the Member State and </w:t>
      </w:r>
      <w:bookmarkStart w:id="1" w:name="_Hlk200538440"/>
      <w:r w:rsidRPr="00905F7F">
        <w:rPr>
          <w:rFonts w:ascii="Arial" w:hAnsi="Arial" w:cs="Arial"/>
          <w:bCs/>
          <w:iCs/>
          <w:lang w:val="en-GB"/>
        </w:rPr>
        <w:t xml:space="preserve">Head of the Sector for Coordination of the Irregularities and Fraud Prevention System in the </w:t>
      </w:r>
      <w:r w:rsidR="006130C6" w:rsidRPr="00905F7F">
        <w:rPr>
          <w:rFonts w:ascii="Arial" w:hAnsi="Arial" w:cs="Arial"/>
          <w:bCs/>
          <w:iCs/>
          <w:lang w:val="en-GB"/>
        </w:rPr>
        <w:t>u</w:t>
      </w:r>
      <w:r w:rsidRPr="00905F7F">
        <w:rPr>
          <w:rFonts w:ascii="Arial" w:hAnsi="Arial" w:cs="Arial"/>
          <w:bCs/>
          <w:iCs/>
          <w:lang w:val="en-GB"/>
        </w:rPr>
        <w:t xml:space="preserve">se of EU Funds (AFCOS Unit, Croatia), </w:t>
      </w:r>
      <w:bookmarkEnd w:id="1"/>
      <w:r w:rsidRPr="00905F7F">
        <w:rPr>
          <w:rFonts w:ascii="Arial" w:hAnsi="Arial" w:cs="Arial"/>
          <w:bCs/>
          <w:iCs/>
          <w:lang w:val="en-GB"/>
        </w:rPr>
        <w:t>gave a detailed overview of the Croatian legal framework, institutional responsibilities, and inter-institutional cooperation</w:t>
      </w:r>
      <w:r w:rsidR="00C06B72" w:rsidRPr="00905F7F">
        <w:rPr>
          <w:rFonts w:ascii="Arial" w:hAnsi="Arial" w:cs="Arial"/>
          <w:bCs/>
          <w:iCs/>
          <w:lang w:val="en-GB"/>
        </w:rPr>
        <w:t xml:space="preserve"> whereas</w:t>
      </w:r>
      <w:r w:rsidR="00091599">
        <w:rPr>
          <w:rFonts w:ascii="Arial" w:hAnsi="Arial" w:cs="Arial"/>
          <w:bCs/>
          <w:iCs/>
          <w:lang w:val="en-GB"/>
        </w:rPr>
        <w:t xml:space="preserve"> </w:t>
      </w:r>
      <w:bookmarkStart w:id="2" w:name="_GoBack"/>
      <w:bookmarkEnd w:id="2"/>
      <w:r w:rsidRPr="00905F7F">
        <w:rPr>
          <w:rFonts w:ascii="Arial" w:hAnsi="Arial" w:cs="Arial"/>
          <w:bCs/>
          <w:iCs/>
          <w:lang w:val="en-GB"/>
        </w:rPr>
        <w:t>Ms Inese Levana, short-term expert in the TWL project and representative of the Latvian Ministry of Finance, presented Latvia's experience since the establishment of AFCOS in 2002, including key challenges, solutions, cooperation with OLAF, and the development of the N</w:t>
      </w:r>
      <w:r w:rsidR="00C06B72" w:rsidRPr="00905F7F">
        <w:rPr>
          <w:rFonts w:ascii="Arial" w:hAnsi="Arial" w:cs="Arial"/>
          <w:bCs/>
          <w:iCs/>
          <w:lang w:val="en-GB"/>
        </w:rPr>
        <w:t>AFS</w:t>
      </w:r>
      <w:r w:rsidRPr="00905F7F">
        <w:rPr>
          <w:rFonts w:ascii="Arial" w:hAnsi="Arial" w:cs="Arial"/>
          <w:bCs/>
          <w:iCs/>
          <w:lang w:val="en-GB"/>
        </w:rPr>
        <w:t>.</w:t>
      </w:r>
    </w:p>
    <w:p w14:paraId="64E8250B" w14:textId="55E1B30B" w:rsidR="00267F54" w:rsidRPr="00905F7F" w:rsidRDefault="00267F54" w:rsidP="001059BD">
      <w:pPr>
        <w:spacing w:line="276" w:lineRule="auto"/>
        <w:jc w:val="both"/>
        <w:rPr>
          <w:rFonts w:ascii="Arial" w:hAnsi="Arial" w:cs="Arial"/>
          <w:bCs/>
          <w:iCs/>
          <w:lang w:val="en-GB"/>
        </w:rPr>
      </w:pPr>
      <w:r w:rsidRPr="00905F7F">
        <w:rPr>
          <w:rFonts w:ascii="Arial" w:hAnsi="Arial" w:cs="Arial"/>
          <w:bCs/>
          <w:iCs/>
          <w:lang w:val="en-GB"/>
        </w:rPr>
        <w:lastRenderedPageBreak/>
        <w:t xml:space="preserve">Concluding the session, Ms </w:t>
      </w:r>
      <w:proofErr w:type="spellStart"/>
      <w:r w:rsidRPr="00905F7F">
        <w:rPr>
          <w:rFonts w:ascii="Arial" w:hAnsi="Arial" w:cs="Arial"/>
          <w:bCs/>
          <w:iCs/>
          <w:lang w:val="en-GB"/>
        </w:rPr>
        <w:t>Nataša</w:t>
      </w:r>
      <w:proofErr w:type="spellEnd"/>
      <w:r w:rsidRPr="00905F7F">
        <w:rPr>
          <w:rFonts w:ascii="Arial" w:hAnsi="Arial" w:cs="Arial"/>
          <w:bCs/>
          <w:iCs/>
          <w:lang w:val="en-GB"/>
        </w:rPr>
        <w:t xml:space="preserve"> </w:t>
      </w:r>
      <w:proofErr w:type="spellStart"/>
      <w:r w:rsidRPr="00905F7F">
        <w:rPr>
          <w:rFonts w:ascii="Arial" w:hAnsi="Arial" w:cs="Arial"/>
          <w:bCs/>
          <w:iCs/>
          <w:lang w:val="en-GB"/>
        </w:rPr>
        <w:t>Kovačević</w:t>
      </w:r>
      <w:proofErr w:type="spellEnd"/>
      <w:r w:rsidRPr="00905F7F">
        <w:rPr>
          <w:rFonts w:ascii="Arial" w:hAnsi="Arial" w:cs="Arial"/>
          <w:bCs/>
          <w:iCs/>
          <w:lang w:val="en-GB"/>
        </w:rPr>
        <w:t xml:space="preserve">, Project Leader from the Beneficiary Country and Head </w:t>
      </w:r>
      <w:proofErr w:type="gramStart"/>
      <w:r w:rsidRPr="00905F7F">
        <w:rPr>
          <w:rFonts w:ascii="Arial" w:hAnsi="Arial" w:cs="Arial"/>
          <w:bCs/>
          <w:iCs/>
          <w:lang w:val="en-GB"/>
        </w:rPr>
        <w:t>of  D</w:t>
      </w:r>
      <w:r w:rsidR="000F0C27" w:rsidRPr="00905F7F">
        <w:rPr>
          <w:rFonts w:ascii="Arial" w:hAnsi="Arial" w:cs="Arial"/>
          <w:bCs/>
          <w:iCs/>
          <w:lang w:val="en-GB"/>
        </w:rPr>
        <w:t>epartment</w:t>
      </w:r>
      <w:proofErr w:type="gramEnd"/>
      <w:r w:rsidR="000F0C27" w:rsidRPr="00905F7F">
        <w:rPr>
          <w:rFonts w:ascii="Arial" w:hAnsi="Arial" w:cs="Arial"/>
          <w:bCs/>
          <w:iCs/>
          <w:lang w:val="en-GB"/>
        </w:rPr>
        <w:t xml:space="preserve"> </w:t>
      </w:r>
      <w:r w:rsidRPr="00905F7F">
        <w:rPr>
          <w:rFonts w:ascii="Arial" w:hAnsi="Arial" w:cs="Arial"/>
          <w:bCs/>
          <w:iCs/>
          <w:lang w:val="en-GB"/>
        </w:rPr>
        <w:t xml:space="preserve"> for Protection of </w:t>
      </w:r>
      <w:r w:rsidR="003A4EE3" w:rsidRPr="00905F7F">
        <w:rPr>
          <w:rFonts w:ascii="Arial" w:hAnsi="Arial" w:cs="Arial"/>
          <w:bCs/>
          <w:iCs/>
          <w:lang w:val="en-GB"/>
        </w:rPr>
        <w:t xml:space="preserve">the </w:t>
      </w:r>
      <w:r w:rsidRPr="00905F7F">
        <w:rPr>
          <w:rFonts w:ascii="Arial" w:hAnsi="Arial" w:cs="Arial"/>
          <w:bCs/>
          <w:iCs/>
          <w:lang w:val="en-GB"/>
        </w:rPr>
        <w:t>EU</w:t>
      </w:r>
      <w:r w:rsidR="000F0C27" w:rsidRPr="00905F7F">
        <w:rPr>
          <w:rFonts w:ascii="Arial" w:hAnsi="Arial" w:cs="Arial"/>
          <w:bCs/>
          <w:iCs/>
          <w:lang w:val="en-GB"/>
        </w:rPr>
        <w:t>’s</w:t>
      </w:r>
      <w:r w:rsidRPr="00905F7F">
        <w:rPr>
          <w:rFonts w:ascii="Arial" w:hAnsi="Arial" w:cs="Arial"/>
          <w:bCs/>
          <w:iCs/>
          <w:lang w:val="en-GB"/>
        </w:rPr>
        <w:t xml:space="preserve"> Financial Interests at the Ministry of Finance of Montenegro, presented the institutional framework of the Montenegrin AFCOS system, its achieved results, ongoing activities, and future plans, with a particular focus on the challenges in aligning national legislation with the EU acquis and the importance of protecting pre-accession funds.</w:t>
      </w:r>
    </w:p>
    <w:p w14:paraId="7356A846" w14:textId="504DF15A" w:rsidR="00267F54" w:rsidRPr="00905F7F" w:rsidRDefault="00267F54" w:rsidP="004554A6">
      <w:pPr>
        <w:spacing w:line="276" w:lineRule="auto"/>
        <w:jc w:val="both"/>
        <w:rPr>
          <w:rFonts w:ascii="Arial" w:hAnsi="Arial" w:cs="Arial"/>
          <w:bCs/>
          <w:iCs/>
          <w:lang w:val="en-GB"/>
        </w:rPr>
      </w:pPr>
      <w:r w:rsidRPr="00905F7F">
        <w:rPr>
          <w:rFonts w:ascii="Arial" w:hAnsi="Arial" w:cs="Arial"/>
          <w:bCs/>
          <w:iCs/>
          <w:lang w:val="en-GB"/>
        </w:rPr>
        <w:t>The conference was further enriched by online contributions from high-level EU officials. Mr Johannes Noack, Head of the Unit for Inter-institutional and International Relations and Communication at OLAF, highlighted the</w:t>
      </w:r>
      <w:r w:rsidR="000F0C27" w:rsidRPr="00905F7F">
        <w:rPr>
          <w:rFonts w:ascii="Arial" w:hAnsi="Arial" w:cs="Arial"/>
          <w:bCs/>
          <w:iCs/>
          <w:lang w:val="en-GB"/>
        </w:rPr>
        <w:t xml:space="preserve"> significant amount of</w:t>
      </w:r>
      <w:r w:rsidRPr="00905F7F">
        <w:rPr>
          <w:rFonts w:ascii="Arial" w:hAnsi="Arial" w:cs="Arial"/>
          <w:bCs/>
          <w:iCs/>
          <w:lang w:val="en-GB"/>
        </w:rPr>
        <w:t xml:space="preserve"> funds recovered through anti-fraud measures and underlined that although Montenegro is not yet an EU Member State, it already </w:t>
      </w:r>
      <w:r w:rsidR="000F0C27" w:rsidRPr="00905F7F">
        <w:rPr>
          <w:rFonts w:ascii="Arial" w:hAnsi="Arial" w:cs="Arial"/>
          <w:bCs/>
          <w:iCs/>
          <w:lang w:val="en-GB"/>
        </w:rPr>
        <w:t xml:space="preserve">greatly </w:t>
      </w:r>
      <w:r w:rsidRPr="00905F7F">
        <w:rPr>
          <w:rFonts w:ascii="Arial" w:hAnsi="Arial" w:cs="Arial"/>
          <w:bCs/>
          <w:iCs/>
          <w:lang w:val="en-GB"/>
        </w:rPr>
        <w:t xml:space="preserve">benefits from </w:t>
      </w:r>
      <w:r w:rsidR="000F0C27" w:rsidRPr="00905F7F">
        <w:rPr>
          <w:rFonts w:ascii="Arial" w:hAnsi="Arial" w:cs="Arial"/>
          <w:bCs/>
          <w:iCs/>
          <w:lang w:val="en-GB"/>
        </w:rPr>
        <w:t xml:space="preserve">the </w:t>
      </w:r>
      <w:r w:rsidRPr="00905F7F">
        <w:rPr>
          <w:rFonts w:ascii="Arial" w:hAnsi="Arial" w:cs="Arial"/>
          <w:bCs/>
          <w:iCs/>
          <w:lang w:val="en-GB"/>
        </w:rPr>
        <w:t xml:space="preserve">pre-accession funds — </w:t>
      </w:r>
      <w:r w:rsidR="000F0C27" w:rsidRPr="00905F7F">
        <w:rPr>
          <w:rFonts w:ascii="Arial" w:hAnsi="Arial" w:cs="Arial"/>
          <w:bCs/>
          <w:iCs/>
          <w:lang w:val="en-GB"/>
        </w:rPr>
        <w:t xml:space="preserve">which is </w:t>
      </w:r>
      <w:r w:rsidRPr="00905F7F">
        <w:rPr>
          <w:rFonts w:ascii="Arial" w:hAnsi="Arial" w:cs="Arial"/>
          <w:bCs/>
          <w:iCs/>
          <w:lang w:val="en-GB"/>
        </w:rPr>
        <w:t>a solid foundation for future.</w:t>
      </w:r>
      <w:r w:rsidR="004554A6" w:rsidRPr="00905F7F">
        <w:rPr>
          <w:rFonts w:ascii="Arial" w:hAnsi="Arial" w:cs="Arial"/>
          <w:bCs/>
          <w:iCs/>
          <w:lang w:val="en-GB"/>
        </w:rPr>
        <w:t xml:space="preserve"> </w:t>
      </w:r>
      <w:r w:rsidRPr="00905F7F">
        <w:rPr>
          <w:rFonts w:ascii="Arial" w:eastAsia="Times New Roman" w:hAnsi="Arial" w:cs="Arial"/>
          <w:lang w:eastAsia="hr-HR"/>
        </w:rPr>
        <w:t xml:space="preserve">Mr Tomislav Kamber, European Delegated Prosecutor at EPPO, presented the structure, competencies, and operational role of EPPO in fighting fraud, including its cooperation with </w:t>
      </w:r>
      <w:r w:rsidR="000F0C27" w:rsidRPr="00905F7F">
        <w:rPr>
          <w:rFonts w:ascii="Arial" w:eastAsia="Times New Roman" w:hAnsi="Arial" w:cs="Arial"/>
          <w:lang w:eastAsia="hr-HR"/>
        </w:rPr>
        <w:t xml:space="preserve">Member states and </w:t>
      </w:r>
      <w:r w:rsidRPr="00905F7F">
        <w:rPr>
          <w:rFonts w:ascii="Arial" w:eastAsia="Times New Roman" w:hAnsi="Arial" w:cs="Arial"/>
          <w:lang w:eastAsia="hr-HR"/>
        </w:rPr>
        <w:t>candidate countries.</w:t>
      </w:r>
    </w:p>
    <w:p w14:paraId="614ADA62" w14:textId="77777777" w:rsidR="003B2AF3" w:rsidRPr="00905F7F" w:rsidRDefault="003B2AF3" w:rsidP="003B2AF3">
      <w:pPr>
        <w:spacing w:before="100" w:beforeAutospacing="1" w:after="100" w:afterAutospacing="1" w:line="276" w:lineRule="auto"/>
        <w:jc w:val="both"/>
        <w:rPr>
          <w:rFonts w:ascii="Arial" w:eastAsia="Times New Roman" w:hAnsi="Arial" w:cs="Arial"/>
          <w:lang w:eastAsia="hr-HR"/>
        </w:rPr>
      </w:pPr>
      <w:r w:rsidRPr="00905F7F">
        <w:rPr>
          <w:rFonts w:ascii="Arial" w:eastAsia="Times New Roman" w:hAnsi="Arial" w:cs="Arial"/>
          <w:lang w:eastAsia="hr-HR"/>
        </w:rPr>
        <w:t>Participants also got an opportunity to see a promotional video created for Europe Day, aimed at raising public awareness about importance of responsible spending of EU funds and reporting on irregularities to the relevant authorities.</w:t>
      </w:r>
    </w:p>
    <w:p w14:paraId="11D910E2" w14:textId="5AC982EF" w:rsidR="003B2AF3" w:rsidRPr="00905F7F" w:rsidRDefault="00267F54" w:rsidP="001059BD">
      <w:pPr>
        <w:spacing w:before="100" w:beforeAutospacing="1" w:after="100" w:afterAutospacing="1" w:line="276" w:lineRule="auto"/>
        <w:jc w:val="both"/>
        <w:rPr>
          <w:rFonts w:ascii="Arial" w:eastAsia="Times New Roman" w:hAnsi="Arial" w:cs="Arial"/>
          <w:lang w:eastAsia="hr-HR"/>
        </w:rPr>
      </w:pPr>
      <w:r w:rsidRPr="00905F7F">
        <w:rPr>
          <w:rFonts w:ascii="Arial" w:eastAsia="Times New Roman" w:hAnsi="Arial" w:cs="Arial"/>
          <w:lang w:eastAsia="hr-HR"/>
        </w:rPr>
        <w:t xml:space="preserve">The final part of the conference focused on presenting the project’s results, emphasizing achieved objectives and recommendations for the future. </w:t>
      </w:r>
      <w:r w:rsidR="003B2AF3" w:rsidRPr="00905F7F">
        <w:rPr>
          <w:rFonts w:ascii="Arial" w:eastAsia="Times New Roman" w:hAnsi="Arial" w:cs="Arial"/>
          <w:lang w:eastAsia="hr-HR"/>
        </w:rPr>
        <w:t>It also demonstrated a high level of interest and commitment among all stakeholders to further strengthen both national and international cooperation in the field of protection of EU financial interests.</w:t>
      </w:r>
    </w:p>
    <w:p w14:paraId="2408B9D6" w14:textId="21EAE2D7" w:rsidR="00325BCC" w:rsidRPr="00905F7F" w:rsidRDefault="00325BCC">
      <w:pPr>
        <w:rPr>
          <w:rFonts w:ascii="Arial" w:hAnsi="Arial" w:cs="Arial"/>
        </w:rPr>
      </w:pPr>
    </w:p>
    <w:p w14:paraId="08398689" w14:textId="3264D503" w:rsidR="00623831" w:rsidRPr="00905F7F" w:rsidRDefault="001059BD" w:rsidP="002F7BA5">
      <w:pPr>
        <w:rPr>
          <w:rFonts w:ascii="Arial" w:hAnsi="Arial" w:cs="Arial"/>
        </w:rPr>
      </w:pPr>
      <w:r w:rsidRPr="00905F7F">
        <w:rPr>
          <w:rFonts w:ascii="Arial" w:hAnsi="Arial" w:cs="Arial"/>
          <w:noProof/>
          <w:lang w:eastAsia="hr-HR"/>
        </w:rPr>
        <w:drawing>
          <wp:inline distT="0" distB="0" distL="0" distR="0" wp14:anchorId="286A60B1" wp14:editId="3CC9D5E2">
            <wp:extent cx="2457450" cy="542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7450" cy="542925"/>
                    </a:xfrm>
                    <a:prstGeom prst="rect">
                      <a:avLst/>
                    </a:prstGeom>
                    <a:noFill/>
                    <a:ln>
                      <a:noFill/>
                    </a:ln>
                  </pic:spPr>
                </pic:pic>
              </a:graphicData>
            </a:graphic>
          </wp:inline>
        </w:drawing>
      </w:r>
    </w:p>
    <w:p w14:paraId="5535E11C" w14:textId="5D1C761E" w:rsidR="00325BCC" w:rsidRPr="00905F7F" w:rsidRDefault="00325BCC" w:rsidP="00325BCC">
      <w:pPr>
        <w:jc w:val="center"/>
        <w:rPr>
          <w:rFonts w:ascii="Arial" w:hAnsi="Arial" w:cs="Arial"/>
          <w:b/>
          <w:color w:val="002060"/>
          <w:lang w:val="en-GB"/>
        </w:rPr>
      </w:pPr>
    </w:p>
    <w:p w14:paraId="10DB8AC2" w14:textId="77777777" w:rsidR="00325BCC" w:rsidRPr="00905F7F" w:rsidRDefault="00325BCC" w:rsidP="00325BCC">
      <w:pPr>
        <w:jc w:val="center"/>
        <w:rPr>
          <w:rFonts w:ascii="Arial" w:hAnsi="Arial" w:cs="Arial"/>
          <w:b/>
          <w:i/>
          <w:color w:val="002060"/>
        </w:rPr>
      </w:pPr>
    </w:p>
    <w:p w14:paraId="127483AF" w14:textId="27EC4CEB" w:rsidR="00325BCC" w:rsidRPr="00905F7F" w:rsidRDefault="00325BCC" w:rsidP="00325BCC">
      <w:pPr>
        <w:jc w:val="center"/>
        <w:rPr>
          <w:rFonts w:ascii="Arial" w:hAnsi="Arial" w:cs="Arial"/>
          <w:b/>
          <w:i/>
          <w:color w:val="002060"/>
        </w:rPr>
      </w:pPr>
    </w:p>
    <w:p w14:paraId="2F4F9C0E" w14:textId="77777777" w:rsidR="00905F7F" w:rsidRPr="00905F7F" w:rsidRDefault="00905F7F" w:rsidP="00325BCC">
      <w:pPr>
        <w:jc w:val="center"/>
        <w:rPr>
          <w:rFonts w:ascii="Arial" w:hAnsi="Arial" w:cs="Arial"/>
          <w:b/>
          <w:i/>
          <w:color w:val="002060"/>
        </w:rPr>
      </w:pPr>
    </w:p>
    <w:p w14:paraId="1AEC8627" w14:textId="5972C832" w:rsidR="00325BCC" w:rsidRDefault="00325BCC" w:rsidP="00325BCC">
      <w:pPr>
        <w:jc w:val="center"/>
        <w:rPr>
          <w:rFonts w:cstheme="minorHAnsi"/>
          <w:b/>
          <w:i/>
          <w:color w:val="002060"/>
          <w:sz w:val="24"/>
          <w:szCs w:val="24"/>
        </w:rPr>
      </w:pPr>
    </w:p>
    <w:p w14:paraId="237703D4" w14:textId="27DA9171" w:rsidR="00905F7F" w:rsidRDefault="00905F7F" w:rsidP="00325BCC">
      <w:pPr>
        <w:jc w:val="center"/>
        <w:rPr>
          <w:rFonts w:cstheme="minorHAnsi"/>
          <w:b/>
          <w:i/>
          <w:color w:val="002060"/>
          <w:sz w:val="24"/>
          <w:szCs w:val="24"/>
        </w:rPr>
      </w:pPr>
    </w:p>
    <w:p w14:paraId="070A6316" w14:textId="3487FDF6" w:rsidR="00905F7F" w:rsidRDefault="00905F7F" w:rsidP="00325BCC">
      <w:pPr>
        <w:jc w:val="center"/>
        <w:rPr>
          <w:rFonts w:cstheme="minorHAnsi"/>
          <w:b/>
          <w:i/>
          <w:color w:val="002060"/>
          <w:sz w:val="24"/>
          <w:szCs w:val="24"/>
        </w:rPr>
      </w:pPr>
    </w:p>
    <w:p w14:paraId="60269E55" w14:textId="44950629" w:rsidR="00905F7F" w:rsidRDefault="00905F7F" w:rsidP="00325BCC">
      <w:pPr>
        <w:jc w:val="center"/>
        <w:rPr>
          <w:rFonts w:cstheme="minorHAnsi"/>
          <w:b/>
          <w:i/>
          <w:color w:val="002060"/>
          <w:sz w:val="24"/>
          <w:szCs w:val="24"/>
        </w:rPr>
      </w:pPr>
    </w:p>
    <w:p w14:paraId="241A2039" w14:textId="1952EF92" w:rsidR="00905F7F" w:rsidRDefault="00905F7F" w:rsidP="00325BCC">
      <w:pPr>
        <w:jc w:val="center"/>
        <w:rPr>
          <w:rFonts w:cstheme="minorHAnsi"/>
          <w:b/>
          <w:i/>
          <w:color w:val="002060"/>
          <w:sz w:val="24"/>
          <w:szCs w:val="24"/>
        </w:rPr>
      </w:pPr>
    </w:p>
    <w:p w14:paraId="1DBD64BF" w14:textId="05CEA96A" w:rsidR="00905F7F" w:rsidRDefault="00905F7F" w:rsidP="00325BCC">
      <w:pPr>
        <w:jc w:val="center"/>
        <w:rPr>
          <w:rFonts w:cstheme="minorHAnsi"/>
          <w:b/>
          <w:i/>
          <w:color w:val="002060"/>
          <w:sz w:val="24"/>
          <w:szCs w:val="24"/>
        </w:rPr>
      </w:pPr>
    </w:p>
    <w:p w14:paraId="6445F98F" w14:textId="77777777" w:rsidR="00905F7F" w:rsidRPr="00905F7F" w:rsidRDefault="00905F7F" w:rsidP="00325BCC">
      <w:pPr>
        <w:jc w:val="center"/>
        <w:rPr>
          <w:rFonts w:cstheme="minorHAnsi"/>
          <w:b/>
          <w:i/>
          <w:color w:val="002060"/>
          <w:sz w:val="24"/>
          <w:szCs w:val="24"/>
        </w:rPr>
      </w:pPr>
    </w:p>
    <w:p w14:paraId="7EE334C5" w14:textId="77777777" w:rsidR="00325BCC" w:rsidRPr="00905F7F" w:rsidRDefault="00325BCC" w:rsidP="00325BCC">
      <w:pPr>
        <w:jc w:val="center"/>
        <w:rPr>
          <w:rFonts w:cstheme="minorHAnsi"/>
          <w:b/>
          <w:i/>
          <w:color w:val="002060"/>
          <w:sz w:val="24"/>
          <w:szCs w:val="24"/>
        </w:rPr>
      </w:pPr>
    </w:p>
    <w:p w14:paraId="2EFD47FD" w14:textId="6A3FDD71" w:rsidR="00325BCC" w:rsidRPr="00A70469" w:rsidRDefault="00325BCC" w:rsidP="00267F54">
      <w:pPr>
        <w:rPr>
          <w:rFonts w:cstheme="minorHAnsi"/>
          <w:b/>
          <w:i/>
          <w:color w:val="002060"/>
          <w:sz w:val="24"/>
          <w:szCs w:val="24"/>
          <w:lang w:val="en-GB"/>
        </w:rPr>
      </w:pPr>
    </w:p>
    <w:p w14:paraId="52EE2574" w14:textId="66095F56" w:rsidR="00325BCC" w:rsidRDefault="00325BCC" w:rsidP="00267F54">
      <w:pPr>
        <w:jc w:val="center"/>
        <w:rPr>
          <w:b/>
          <w:color w:val="002060"/>
          <w:sz w:val="24"/>
          <w:szCs w:val="24"/>
          <w:lang w:val="en-GB"/>
        </w:rPr>
      </w:pPr>
      <w:r>
        <w:rPr>
          <w:rFonts w:cstheme="minorHAnsi"/>
          <w:noProof/>
          <w:lang w:eastAsia="hr-HR"/>
        </w:rPr>
        <w:lastRenderedPageBreak/>
        <w:drawing>
          <wp:inline distT="0" distB="0" distL="0" distR="0" wp14:anchorId="61E0BA42" wp14:editId="3F37D1DC">
            <wp:extent cx="1038225" cy="542925"/>
            <wp:effectExtent l="0" t="0" r="9525" b="9525"/>
            <wp:docPr id="15" name="Picture 15" descr="Zastava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Zastava Crne Gor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38225" cy="542925"/>
                    </a:xfrm>
                    <a:prstGeom prst="rect">
                      <a:avLst/>
                    </a:prstGeom>
                    <a:noFill/>
                    <a:ln>
                      <a:noFill/>
                    </a:ln>
                  </pic:spPr>
                </pic:pic>
              </a:graphicData>
            </a:graphic>
          </wp:inline>
        </w:drawing>
      </w:r>
      <w:r>
        <w:rPr>
          <w:rFonts w:cstheme="minorHAnsi"/>
          <w:noProof/>
          <w:lang w:eastAsia="hr-HR"/>
        </w:rPr>
        <w:drawing>
          <wp:inline distT="0" distB="0" distL="0" distR="0" wp14:anchorId="05566DA4" wp14:editId="77E4E93C">
            <wp:extent cx="781050" cy="542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81050" cy="542925"/>
                    </a:xfrm>
                    <a:prstGeom prst="rect">
                      <a:avLst/>
                    </a:prstGeom>
                    <a:noFill/>
                    <a:ln>
                      <a:noFill/>
                    </a:ln>
                  </pic:spPr>
                </pic:pic>
              </a:graphicData>
            </a:graphic>
          </wp:inline>
        </w:drawing>
      </w:r>
      <w:r>
        <w:rPr>
          <w:rFonts w:cstheme="minorHAnsi"/>
          <w:noProof/>
          <w:lang w:eastAsia="hr-HR"/>
        </w:rPr>
        <w:drawing>
          <wp:inline distT="0" distB="0" distL="0" distR="0" wp14:anchorId="5FB8E320" wp14:editId="2FF26122">
            <wp:extent cx="1009650" cy="542925"/>
            <wp:effectExtent l="0" t="0" r="0" b="9525"/>
            <wp:docPr id="13" name="Picture 13" descr="Zastava Republike 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astava Republike Hrvatsk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p>
    <w:p w14:paraId="41F4999B" w14:textId="77777777" w:rsidR="00905F7F" w:rsidRPr="00905F7F" w:rsidRDefault="00C64BAF" w:rsidP="00905F7F">
      <w:pPr>
        <w:pStyle w:val="NormalWeb"/>
        <w:jc w:val="center"/>
        <w:rPr>
          <w:rStyle w:val="Strong"/>
          <w:rFonts w:ascii="Arial" w:hAnsi="Arial" w:cs="Arial"/>
          <w:color w:val="1F3864" w:themeColor="accent1" w:themeShade="80"/>
          <w:sz w:val="22"/>
          <w:szCs w:val="22"/>
        </w:rPr>
      </w:pPr>
      <w:r w:rsidRPr="00905F7F">
        <w:rPr>
          <w:rStyle w:val="Strong"/>
          <w:rFonts w:ascii="Arial" w:hAnsi="Arial" w:cs="Arial"/>
          <w:color w:val="1F3864" w:themeColor="accent1" w:themeShade="80"/>
          <w:sz w:val="22"/>
          <w:szCs w:val="22"/>
        </w:rPr>
        <w:t>Twinning light projekat „Dalje unapređenje funkcionisanja crnogorskog AFCOS sistema u cilju efikasne zaštite finansijskih interesa EU“</w:t>
      </w:r>
      <w:r w:rsidRPr="00905F7F">
        <w:rPr>
          <w:rFonts w:ascii="Arial" w:hAnsi="Arial" w:cs="Arial"/>
          <w:color w:val="1F3864" w:themeColor="accent1" w:themeShade="80"/>
          <w:sz w:val="22"/>
          <w:szCs w:val="22"/>
        </w:rPr>
        <w:br/>
      </w:r>
    </w:p>
    <w:p w14:paraId="0EC54A64" w14:textId="2B785228" w:rsidR="00C64BAF" w:rsidRPr="00905F7F" w:rsidRDefault="00C64BAF" w:rsidP="00905F7F">
      <w:pPr>
        <w:pStyle w:val="NormalWeb"/>
        <w:jc w:val="center"/>
        <w:rPr>
          <w:rFonts w:ascii="Arial" w:hAnsi="Arial" w:cs="Arial"/>
          <w:color w:val="1F3864" w:themeColor="accent1" w:themeShade="80"/>
          <w:sz w:val="22"/>
          <w:szCs w:val="22"/>
        </w:rPr>
      </w:pPr>
      <w:r w:rsidRPr="00905F7F">
        <w:rPr>
          <w:rStyle w:val="Strong"/>
          <w:rFonts w:ascii="Arial" w:hAnsi="Arial" w:cs="Arial"/>
          <w:color w:val="1F3864" w:themeColor="accent1" w:themeShade="80"/>
          <w:sz w:val="22"/>
          <w:szCs w:val="22"/>
        </w:rPr>
        <w:t>Održana Nacionalna konferencija o zaštiti finansijskih interesa EU</w:t>
      </w:r>
    </w:p>
    <w:p w14:paraId="5AAD8BFF" w14:textId="77777777" w:rsidR="00905F7F" w:rsidRDefault="00905F7F" w:rsidP="00905F7F">
      <w:pPr>
        <w:pStyle w:val="NormalWeb"/>
        <w:jc w:val="both"/>
        <w:rPr>
          <w:rFonts w:ascii="Arial" w:hAnsi="Arial" w:cs="Arial"/>
          <w:sz w:val="22"/>
          <w:szCs w:val="22"/>
        </w:rPr>
      </w:pPr>
    </w:p>
    <w:p w14:paraId="41C391F4" w14:textId="71FB8F18" w:rsidR="00C64BAF" w:rsidRPr="00905F7F" w:rsidRDefault="00C64BAF" w:rsidP="00905F7F">
      <w:pPr>
        <w:pStyle w:val="NormalWeb"/>
        <w:jc w:val="both"/>
        <w:rPr>
          <w:rFonts w:ascii="Arial" w:hAnsi="Arial" w:cs="Arial"/>
          <w:sz w:val="22"/>
          <w:szCs w:val="22"/>
        </w:rPr>
      </w:pPr>
      <w:r w:rsidRPr="00905F7F">
        <w:rPr>
          <w:rFonts w:ascii="Arial" w:hAnsi="Arial" w:cs="Arial"/>
          <w:sz w:val="22"/>
          <w:szCs w:val="22"/>
        </w:rPr>
        <w:t>U okviru Twinning light projekta „Dalje unapređenje funkcionisanja crnogorskog AFCOS sistema u cilju efikasne zaštite finansijskih interesa EU“, 6. juna 2025. godine u Podgorici je održana Nacionalna konferencija posvećena zaštiti finansijskih interesa Evropske unije. Konferenciju su zajednički organizovali Ministarstvo finansija Crne Gore i Ministarstvo finansija Republike Hrvatske, s ciljem jačanja administrativnih kapaciteta i unapređenja institucionalne saradnje.</w:t>
      </w:r>
    </w:p>
    <w:p w14:paraId="06C31D41" w14:textId="0DD53355" w:rsidR="00C64BAF" w:rsidRPr="00905F7F" w:rsidRDefault="00C64BAF" w:rsidP="00905F7F">
      <w:pPr>
        <w:pStyle w:val="NormalWeb"/>
        <w:jc w:val="both"/>
        <w:rPr>
          <w:rFonts w:ascii="Arial" w:hAnsi="Arial" w:cs="Arial"/>
          <w:sz w:val="22"/>
          <w:szCs w:val="22"/>
        </w:rPr>
      </w:pPr>
      <w:r w:rsidRPr="00905F7F">
        <w:rPr>
          <w:rFonts w:ascii="Arial" w:hAnsi="Arial" w:cs="Arial"/>
          <w:sz w:val="22"/>
          <w:szCs w:val="22"/>
        </w:rPr>
        <w:t>Konferencija je okupila oko 30 učesnika iz institucija uključenih u AFCOS sistem – tijela za izvještavanje o nepravilnostima, članove AFCOS mreže, kao i predstavnike ključnih evropskih i međunarodnih institucija: Evropske kancelarije za borbu protiv prevara (OLAF), Evropskog javnog tužilaštva (EPPO) i Delegacije Evropske unije u Crnoj Gori (DEU).</w:t>
      </w:r>
    </w:p>
    <w:p w14:paraId="62A927D4" w14:textId="77777777" w:rsidR="00C64BAF" w:rsidRPr="00905F7F" w:rsidRDefault="00C64BAF" w:rsidP="00C64BAF">
      <w:pPr>
        <w:pStyle w:val="NormalWeb"/>
        <w:jc w:val="both"/>
        <w:rPr>
          <w:rFonts w:ascii="Arial" w:hAnsi="Arial" w:cs="Arial"/>
          <w:sz w:val="22"/>
          <w:szCs w:val="22"/>
        </w:rPr>
      </w:pPr>
      <w:r w:rsidRPr="00905F7F">
        <w:rPr>
          <w:rFonts w:ascii="Arial" w:hAnsi="Arial" w:cs="Arial"/>
          <w:sz w:val="22"/>
          <w:szCs w:val="22"/>
        </w:rPr>
        <w:t>Konferenciju su uvodnim obraćanjima otvorili gđa Agata Stasiak, šefica Odsjeka za finansije, ugovore i reviziju pri Delegaciji EU u Crnoj Gori, gđa Radmila Ivanović, v.d.generalne direktorice Direktorata za inspekciski nadzor i zaštitu finansijskih interesa EU u Ministarstvu finansija Crne Gore, te ambasador Republike Hrvatske u Crnoj Gori, Njegova Ekselencija g. Veselko Grubišić. Istakli su značaj kontinuirane borbe protiv prevara i nepravilnosti u korišćenju sredstava EU, naročito u kontekstu zatvaranja pregovaračkog Poglavlja 32 do kraja 2025. godine. Takođe, snažno je istaknuta potreba za kontinuiranim daljim jačanjem kapaciteta, razvojem pravnog, institucionalnog i strateškog okvira, kao i podizanjem svijesti javnosti, kao važnim faktorom za obezbjeđivanje transparentnosti i efikasnosti u upravljanju EU fondovima.</w:t>
      </w:r>
    </w:p>
    <w:p w14:paraId="444AA507" w14:textId="39BDE807" w:rsidR="00C64BAF" w:rsidRPr="00905F7F" w:rsidRDefault="00C64BAF" w:rsidP="00905F7F">
      <w:pPr>
        <w:pStyle w:val="NormalWeb"/>
        <w:jc w:val="both"/>
        <w:rPr>
          <w:rFonts w:ascii="Arial" w:hAnsi="Arial" w:cs="Arial"/>
          <w:sz w:val="22"/>
          <w:szCs w:val="22"/>
        </w:rPr>
      </w:pPr>
      <w:r w:rsidRPr="00905F7F">
        <w:rPr>
          <w:rFonts w:ascii="Arial" w:hAnsi="Arial" w:cs="Arial"/>
          <w:sz w:val="22"/>
          <w:szCs w:val="22"/>
        </w:rPr>
        <w:t>U radnom dijelu konferencije predstavljeni su modeli zaštite finansijskih interesa u Hrvatskoj i Letoniji i njihovo poređenje sa crnogorskim modelom. Gđa Mirjana Jurić, rukovoditeljka projekta iz države članice i načelnica Sektora za koordinaciju sistema za suzbijanje nepravilnosti i prevara u korišćenju EU fondova (AFCOS jedinica), dala je detaljan prikaz pravnog okvira, nadležnosti i međuinstitucionalne saradnje u Hrvatskoj. Kratkoročna ekspertkinja na TWL projektu i predstavnica Ministarstva finansija Letonije, gđa Inese Levana, predstavila je letonsko iskustvo od osnivanja AFCOS-a 2002. godine, uključujući izazove, rješenja i sistemsku saradnju sa OLAF-om, kao i razvoj Nacionalne antikorupcijske strategije. Zaključno, gđa Nataša Kovačević, rukovoditeljka projekta zemlje korisnice i načelnica Direkcije za zaštitu finansijskih interesa EU pri Ministarstvu finansija Crne Gore, predstavila je institucionalni okvir AFCOS sistema u Crnoj Gori, dosadašnje rezultate, aktuelne aktivnosti i buduće planove, s posebnim naglaskom na izazove u usklađivanju zakonodavstva sa pravnom tekovinom EU i važnost zaštite pretpristupnih fondova.</w:t>
      </w:r>
    </w:p>
    <w:p w14:paraId="7EA9E89D" w14:textId="77777777" w:rsidR="00C64BAF" w:rsidRPr="00905F7F" w:rsidRDefault="00C64BAF" w:rsidP="00905F7F">
      <w:pPr>
        <w:pStyle w:val="NormalWeb"/>
        <w:jc w:val="both"/>
        <w:rPr>
          <w:rFonts w:ascii="Arial" w:hAnsi="Arial" w:cs="Arial"/>
          <w:sz w:val="22"/>
          <w:szCs w:val="22"/>
        </w:rPr>
      </w:pPr>
      <w:r w:rsidRPr="00905F7F">
        <w:rPr>
          <w:rFonts w:ascii="Arial" w:hAnsi="Arial" w:cs="Arial"/>
          <w:sz w:val="22"/>
          <w:szCs w:val="22"/>
        </w:rPr>
        <w:t xml:space="preserve">Dodatnu vrijednost događaju dala su onlajn izlaganja visokih predstavnika evropskih institucija. Gospodin Johannes Noack, šef Jedinice za međuinstitucionalne i međunarodne odnose i komunikaciju pri OLAF-u, govorio je o sredstvima iz EU fondova koja su vraćena zahvaljujući mjerama protiv prevara, te istakao da Crna Gora, iako još nije članica EU, već koristi pretpristupne fondove, što predstavlja snažan temelj za buduće punopravno članstvo. Evropski delegirani tužilac pri EPPO-u, g. Tomislav Kamber, predstavio je strukturu, </w:t>
      </w:r>
      <w:r w:rsidRPr="00905F7F">
        <w:rPr>
          <w:rFonts w:ascii="Arial" w:hAnsi="Arial" w:cs="Arial"/>
          <w:sz w:val="22"/>
          <w:szCs w:val="22"/>
        </w:rPr>
        <w:lastRenderedPageBreak/>
        <w:t>nadležnosti i konkretne aktivnosti EPPO-a u borbi protiv prevara, uključujući saradnju sa zemljama kandidatima.</w:t>
      </w:r>
    </w:p>
    <w:p w14:paraId="574DBE87" w14:textId="77777777" w:rsidR="00C64BAF" w:rsidRPr="00905F7F" w:rsidRDefault="00C64BAF" w:rsidP="00905F7F">
      <w:pPr>
        <w:pStyle w:val="NormalWeb"/>
        <w:jc w:val="both"/>
        <w:rPr>
          <w:rFonts w:ascii="Arial" w:hAnsi="Arial" w:cs="Arial"/>
          <w:sz w:val="22"/>
          <w:szCs w:val="22"/>
        </w:rPr>
      </w:pPr>
      <w:r w:rsidRPr="00905F7F">
        <w:rPr>
          <w:rFonts w:ascii="Arial" w:hAnsi="Arial" w:cs="Arial"/>
          <w:sz w:val="22"/>
          <w:szCs w:val="22"/>
        </w:rPr>
        <w:t>Završni dio konferencije bio je posvećen rezultatima projekta, s akcentom na ostvarene ciljeve i preporuke za buduće djelovanje. Učesnicima je prikazan i promotivni video izrađen povodom Dana Evrope, koji ističe značaj pravilnog trošenja sredstava EU i prijavljivanja nepravilnosti.</w:t>
      </w:r>
    </w:p>
    <w:p w14:paraId="5C9325AC" w14:textId="77777777" w:rsidR="00C64BAF" w:rsidRPr="00905F7F" w:rsidRDefault="00C64BAF" w:rsidP="00905F7F">
      <w:pPr>
        <w:pStyle w:val="NormalWeb"/>
        <w:jc w:val="both"/>
        <w:rPr>
          <w:rFonts w:ascii="Arial" w:hAnsi="Arial" w:cs="Arial"/>
          <w:sz w:val="22"/>
          <w:szCs w:val="22"/>
        </w:rPr>
      </w:pPr>
      <w:r w:rsidRPr="00905F7F">
        <w:rPr>
          <w:rFonts w:ascii="Arial" w:hAnsi="Arial" w:cs="Arial"/>
          <w:sz w:val="22"/>
          <w:szCs w:val="22"/>
        </w:rPr>
        <w:t>Diskusija među učesnicima pokazala je visok nivo interesovanja i spremnosti za jačanje međuinstitucionalne i međunarodne saradnje u ovoj oblasti. U zaključcima konferencije izdvojene su ključne preporuke:</w:t>
      </w:r>
    </w:p>
    <w:p w14:paraId="14190F27" w14:textId="77777777" w:rsidR="00C64BAF" w:rsidRPr="00905F7F" w:rsidRDefault="00C64BAF" w:rsidP="00905F7F">
      <w:pPr>
        <w:pStyle w:val="NormalWeb"/>
        <w:numPr>
          <w:ilvl w:val="0"/>
          <w:numId w:val="6"/>
        </w:numPr>
        <w:jc w:val="both"/>
        <w:rPr>
          <w:rFonts w:ascii="Arial" w:hAnsi="Arial" w:cs="Arial"/>
          <w:sz w:val="22"/>
          <w:szCs w:val="22"/>
        </w:rPr>
      </w:pPr>
      <w:r w:rsidRPr="00905F7F">
        <w:rPr>
          <w:rFonts w:ascii="Arial" w:hAnsi="Arial" w:cs="Arial"/>
          <w:sz w:val="22"/>
          <w:szCs w:val="22"/>
        </w:rPr>
        <w:t>usvajanje zakonodavnih akata vezanih za zaštitu finansijskih interesa EU u Crnoj Gori</w:t>
      </w:r>
    </w:p>
    <w:p w14:paraId="20671294" w14:textId="77777777" w:rsidR="00C64BAF" w:rsidRPr="00905F7F" w:rsidRDefault="00C64BAF" w:rsidP="00905F7F">
      <w:pPr>
        <w:pStyle w:val="NormalWeb"/>
        <w:numPr>
          <w:ilvl w:val="0"/>
          <w:numId w:val="6"/>
        </w:numPr>
        <w:jc w:val="both"/>
        <w:rPr>
          <w:rFonts w:ascii="Arial" w:hAnsi="Arial" w:cs="Arial"/>
          <w:sz w:val="22"/>
          <w:szCs w:val="22"/>
        </w:rPr>
      </w:pPr>
      <w:r w:rsidRPr="00905F7F">
        <w:rPr>
          <w:rFonts w:ascii="Arial" w:hAnsi="Arial" w:cs="Arial"/>
          <w:sz w:val="22"/>
          <w:szCs w:val="22"/>
        </w:rPr>
        <w:t>dodatna usklađivanja nacionalnog zakonodavstva sa pravnom tekovinom EU</w:t>
      </w:r>
    </w:p>
    <w:p w14:paraId="2D406F37" w14:textId="77777777" w:rsidR="00C64BAF" w:rsidRPr="00905F7F" w:rsidRDefault="00C64BAF" w:rsidP="00905F7F">
      <w:pPr>
        <w:pStyle w:val="NormalWeb"/>
        <w:numPr>
          <w:ilvl w:val="0"/>
          <w:numId w:val="6"/>
        </w:numPr>
        <w:jc w:val="both"/>
        <w:rPr>
          <w:rFonts w:ascii="Arial" w:hAnsi="Arial" w:cs="Arial"/>
          <w:sz w:val="22"/>
          <w:szCs w:val="22"/>
        </w:rPr>
      </w:pPr>
      <w:r w:rsidRPr="00905F7F">
        <w:rPr>
          <w:rFonts w:ascii="Arial" w:hAnsi="Arial" w:cs="Arial"/>
          <w:sz w:val="22"/>
          <w:szCs w:val="22"/>
        </w:rPr>
        <w:t>donošenje i sprovođenje Nacionalne strategije protiv prevara (2025–2028) i njenog Akcionog plana</w:t>
      </w:r>
    </w:p>
    <w:p w14:paraId="1BF75458" w14:textId="77777777" w:rsidR="00C64BAF" w:rsidRPr="00905F7F" w:rsidRDefault="00C64BAF" w:rsidP="00905F7F">
      <w:pPr>
        <w:pStyle w:val="NormalWeb"/>
        <w:numPr>
          <w:ilvl w:val="0"/>
          <w:numId w:val="6"/>
        </w:numPr>
        <w:jc w:val="both"/>
        <w:rPr>
          <w:rFonts w:ascii="Arial" w:hAnsi="Arial" w:cs="Arial"/>
          <w:sz w:val="22"/>
          <w:szCs w:val="22"/>
        </w:rPr>
      </w:pPr>
      <w:r w:rsidRPr="00905F7F">
        <w:rPr>
          <w:rFonts w:ascii="Arial" w:hAnsi="Arial" w:cs="Arial"/>
          <w:sz w:val="22"/>
          <w:szCs w:val="22"/>
        </w:rPr>
        <w:t>razvoj Komunikacione strategije i Akcionog plana (2026–2029)</w:t>
      </w:r>
    </w:p>
    <w:p w14:paraId="7A6B72C1" w14:textId="598C74E5" w:rsidR="00C64BAF" w:rsidRPr="00905F7F" w:rsidRDefault="00C64BAF" w:rsidP="00905F7F">
      <w:pPr>
        <w:pStyle w:val="NormalWeb"/>
        <w:numPr>
          <w:ilvl w:val="0"/>
          <w:numId w:val="6"/>
        </w:numPr>
        <w:jc w:val="both"/>
        <w:rPr>
          <w:rFonts w:ascii="Arial" w:hAnsi="Arial" w:cs="Arial"/>
          <w:sz w:val="22"/>
          <w:szCs w:val="22"/>
        </w:rPr>
      </w:pPr>
      <w:r w:rsidRPr="00905F7F">
        <w:rPr>
          <w:rFonts w:ascii="Arial" w:hAnsi="Arial" w:cs="Arial"/>
          <w:sz w:val="22"/>
          <w:szCs w:val="22"/>
        </w:rPr>
        <w:t xml:space="preserve">kontinuirano jačanje kapaciteta AFCOS </w:t>
      </w:r>
      <w:r w:rsidR="00954525">
        <w:rPr>
          <w:rFonts w:ascii="Arial" w:hAnsi="Arial" w:cs="Arial"/>
          <w:sz w:val="22"/>
          <w:szCs w:val="22"/>
        </w:rPr>
        <w:t>sistema</w:t>
      </w:r>
      <w:r w:rsidRPr="00905F7F">
        <w:rPr>
          <w:rFonts w:ascii="Arial" w:hAnsi="Arial" w:cs="Arial"/>
          <w:sz w:val="22"/>
          <w:szCs w:val="22"/>
        </w:rPr>
        <w:t xml:space="preserve"> kroz edukacije i razmjenu iskustava</w:t>
      </w:r>
    </w:p>
    <w:p w14:paraId="071E5E90" w14:textId="77777777" w:rsidR="00C64BAF" w:rsidRPr="00905F7F" w:rsidRDefault="00C64BAF" w:rsidP="00905F7F">
      <w:pPr>
        <w:pStyle w:val="NormalWeb"/>
        <w:numPr>
          <w:ilvl w:val="0"/>
          <w:numId w:val="6"/>
        </w:numPr>
        <w:jc w:val="both"/>
        <w:rPr>
          <w:rFonts w:ascii="Arial" w:hAnsi="Arial" w:cs="Arial"/>
          <w:sz w:val="22"/>
          <w:szCs w:val="22"/>
        </w:rPr>
      </w:pPr>
      <w:r w:rsidRPr="00905F7F">
        <w:rPr>
          <w:rFonts w:ascii="Arial" w:hAnsi="Arial" w:cs="Arial"/>
          <w:sz w:val="22"/>
          <w:szCs w:val="22"/>
        </w:rPr>
        <w:t>podizanje svijesti građana o važnosti prijavljivanja nepravilnosti</w:t>
      </w:r>
    </w:p>
    <w:p w14:paraId="22920FF2" w14:textId="4EE08E47" w:rsidR="00325BCC" w:rsidRDefault="00C64BAF" w:rsidP="00325BCC">
      <w:pPr>
        <w:rPr>
          <w:rFonts w:ascii="Arial" w:hAnsi="Arial" w:cs="Arial"/>
        </w:rPr>
      </w:pPr>
      <w:r w:rsidRPr="00905F7F">
        <w:rPr>
          <w:rFonts w:ascii="Arial" w:hAnsi="Arial" w:cs="Arial"/>
        </w:rPr>
        <w:t>Konferencija je predstavljala značajan korak u jačanju institucionalne spremnosti Crne Gore za punopravno članstvo u Evropskoj uniji i konkretan doprinos zaštiti zajedničkih finansijskih interesa.</w:t>
      </w:r>
    </w:p>
    <w:p w14:paraId="17BF0F10" w14:textId="77777777" w:rsidR="00905F7F" w:rsidRPr="00905F7F" w:rsidRDefault="00905F7F" w:rsidP="00325BCC">
      <w:pPr>
        <w:rPr>
          <w:rFonts w:ascii="Arial" w:hAnsi="Arial" w:cs="Arial"/>
          <w:b/>
          <w:i/>
          <w:color w:val="002060"/>
        </w:rPr>
      </w:pPr>
    </w:p>
    <w:p w14:paraId="64A50A22" w14:textId="5753D384" w:rsidR="00325BCC" w:rsidRPr="00905F7F" w:rsidRDefault="00267F54" w:rsidP="00267F54">
      <w:pPr>
        <w:rPr>
          <w:rFonts w:ascii="Arial" w:hAnsi="Arial" w:cs="Arial"/>
          <w:b/>
          <w:i/>
          <w:color w:val="002060"/>
          <w:lang w:val="en-GB"/>
        </w:rPr>
      </w:pPr>
      <w:r w:rsidRPr="00905F7F">
        <w:rPr>
          <w:rFonts w:ascii="Arial" w:hAnsi="Arial" w:cs="Arial"/>
          <w:noProof/>
          <w:lang w:eastAsia="hr-HR"/>
        </w:rPr>
        <w:drawing>
          <wp:inline distT="0" distB="0" distL="0" distR="0" wp14:anchorId="355B63BF" wp14:editId="0E0E5808">
            <wp:extent cx="2076450" cy="552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6450" cy="552450"/>
                    </a:xfrm>
                    <a:prstGeom prst="rect">
                      <a:avLst/>
                    </a:prstGeom>
                    <a:noFill/>
                    <a:ln>
                      <a:noFill/>
                    </a:ln>
                  </pic:spPr>
                </pic:pic>
              </a:graphicData>
            </a:graphic>
          </wp:inline>
        </w:drawing>
      </w:r>
    </w:p>
    <w:sectPr w:rsidR="00325BCC" w:rsidRPr="00905F7F" w:rsidSect="00306A3A">
      <w:pgSz w:w="11906" w:h="16838"/>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24AF"/>
    <w:multiLevelType w:val="multilevel"/>
    <w:tmpl w:val="0B7C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37A05"/>
    <w:multiLevelType w:val="multilevel"/>
    <w:tmpl w:val="CFCE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200B5"/>
    <w:multiLevelType w:val="multilevel"/>
    <w:tmpl w:val="77D2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254F0"/>
    <w:multiLevelType w:val="multilevel"/>
    <w:tmpl w:val="7CF4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F5156"/>
    <w:multiLevelType w:val="multilevel"/>
    <w:tmpl w:val="0CF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0B7E3E"/>
    <w:multiLevelType w:val="multilevel"/>
    <w:tmpl w:val="C76A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80"/>
    <w:rsid w:val="000257FF"/>
    <w:rsid w:val="00057637"/>
    <w:rsid w:val="00091599"/>
    <w:rsid w:val="000F0C27"/>
    <w:rsid w:val="001059BD"/>
    <w:rsid w:val="00267F54"/>
    <w:rsid w:val="002F7BA5"/>
    <w:rsid w:val="00306A3A"/>
    <w:rsid w:val="00325BCC"/>
    <w:rsid w:val="003A4EE3"/>
    <w:rsid w:val="003B2AF3"/>
    <w:rsid w:val="0045273C"/>
    <w:rsid w:val="004554A6"/>
    <w:rsid w:val="004B307D"/>
    <w:rsid w:val="004C7E80"/>
    <w:rsid w:val="004F40E6"/>
    <w:rsid w:val="00501B04"/>
    <w:rsid w:val="00595BCD"/>
    <w:rsid w:val="005B29CB"/>
    <w:rsid w:val="005E6978"/>
    <w:rsid w:val="006130C6"/>
    <w:rsid w:val="00623831"/>
    <w:rsid w:val="00641DC3"/>
    <w:rsid w:val="00814D94"/>
    <w:rsid w:val="00905F7F"/>
    <w:rsid w:val="00954525"/>
    <w:rsid w:val="00A526E0"/>
    <w:rsid w:val="00A70469"/>
    <w:rsid w:val="00AF760A"/>
    <w:rsid w:val="00B213A3"/>
    <w:rsid w:val="00B457C3"/>
    <w:rsid w:val="00C06B72"/>
    <w:rsid w:val="00C21976"/>
    <w:rsid w:val="00C64BAF"/>
    <w:rsid w:val="00CC20D9"/>
    <w:rsid w:val="00F41955"/>
    <w:rsid w:val="00FC70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C0BC"/>
  <w15:chartTrackingRefBased/>
  <w15:docId w15:val="{6A2D852A-7CC0-406E-AAAC-A80E0F7B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760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AF760A"/>
    <w:rPr>
      <w:b/>
      <w:bCs/>
    </w:rPr>
  </w:style>
  <w:style w:type="character" w:styleId="Emphasis">
    <w:name w:val="Emphasis"/>
    <w:basedOn w:val="DefaultParagraphFont"/>
    <w:uiPriority w:val="20"/>
    <w:qFormat/>
    <w:rsid w:val="00306A3A"/>
    <w:rPr>
      <w:i/>
      <w:iCs/>
    </w:rPr>
  </w:style>
  <w:style w:type="paragraph" w:styleId="Revision">
    <w:name w:val="Revision"/>
    <w:hidden/>
    <w:uiPriority w:val="99"/>
    <w:semiHidden/>
    <w:rsid w:val="00501B04"/>
    <w:pPr>
      <w:spacing w:after="0" w:line="240" w:lineRule="auto"/>
    </w:pPr>
  </w:style>
  <w:style w:type="paragraph" w:styleId="BalloonText">
    <w:name w:val="Balloon Text"/>
    <w:basedOn w:val="Normal"/>
    <w:link w:val="BalloonTextChar"/>
    <w:uiPriority w:val="99"/>
    <w:semiHidden/>
    <w:unhideWhenUsed/>
    <w:rsid w:val="005E6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978"/>
    <w:rPr>
      <w:rFonts w:ascii="Segoe UI" w:hAnsi="Segoe UI" w:cs="Segoe UI"/>
      <w:sz w:val="18"/>
      <w:szCs w:val="18"/>
    </w:rPr>
  </w:style>
  <w:style w:type="character" w:styleId="CommentReference">
    <w:name w:val="annotation reference"/>
    <w:basedOn w:val="DefaultParagraphFont"/>
    <w:uiPriority w:val="99"/>
    <w:semiHidden/>
    <w:unhideWhenUsed/>
    <w:rsid w:val="004554A6"/>
    <w:rPr>
      <w:sz w:val="16"/>
      <w:szCs w:val="16"/>
    </w:rPr>
  </w:style>
  <w:style w:type="paragraph" w:styleId="CommentText">
    <w:name w:val="annotation text"/>
    <w:basedOn w:val="Normal"/>
    <w:link w:val="CommentTextChar"/>
    <w:uiPriority w:val="99"/>
    <w:semiHidden/>
    <w:unhideWhenUsed/>
    <w:rsid w:val="004554A6"/>
    <w:pPr>
      <w:spacing w:line="240" w:lineRule="auto"/>
    </w:pPr>
    <w:rPr>
      <w:sz w:val="20"/>
      <w:szCs w:val="20"/>
    </w:rPr>
  </w:style>
  <w:style w:type="character" w:customStyle="1" w:styleId="CommentTextChar">
    <w:name w:val="Comment Text Char"/>
    <w:basedOn w:val="DefaultParagraphFont"/>
    <w:link w:val="CommentText"/>
    <w:uiPriority w:val="99"/>
    <w:semiHidden/>
    <w:rsid w:val="004554A6"/>
    <w:rPr>
      <w:sz w:val="20"/>
      <w:szCs w:val="20"/>
    </w:rPr>
  </w:style>
  <w:style w:type="paragraph" w:styleId="CommentSubject">
    <w:name w:val="annotation subject"/>
    <w:basedOn w:val="CommentText"/>
    <w:next w:val="CommentText"/>
    <w:link w:val="CommentSubjectChar"/>
    <w:uiPriority w:val="99"/>
    <w:semiHidden/>
    <w:unhideWhenUsed/>
    <w:rsid w:val="004554A6"/>
    <w:rPr>
      <w:b/>
      <w:bCs/>
    </w:rPr>
  </w:style>
  <w:style w:type="character" w:customStyle="1" w:styleId="CommentSubjectChar">
    <w:name w:val="Comment Subject Char"/>
    <w:basedOn w:val="CommentTextChar"/>
    <w:link w:val="CommentSubject"/>
    <w:uiPriority w:val="99"/>
    <w:semiHidden/>
    <w:rsid w:val="004554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6354">
      <w:bodyDiv w:val="1"/>
      <w:marLeft w:val="0"/>
      <w:marRight w:val="0"/>
      <w:marTop w:val="0"/>
      <w:marBottom w:val="0"/>
      <w:divBdr>
        <w:top w:val="none" w:sz="0" w:space="0" w:color="auto"/>
        <w:left w:val="none" w:sz="0" w:space="0" w:color="auto"/>
        <w:bottom w:val="none" w:sz="0" w:space="0" w:color="auto"/>
        <w:right w:val="none" w:sz="0" w:space="0" w:color="auto"/>
      </w:divBdr>
    </w:div>
    <w:div w:id="329716990">
      <w:bodyDiv w:val="1"/>
      <w:marLeft w:val="0"/>
      <w:marRight w:val="0"/>
      <w:marTop w:val="0"/>
      <w:marBottom w:val="0"/>
      <w:divBdr>
        <w:top w:val="none" w:sz="0" w:space="0" w:color="auto"/>
        <w:left w:val="none" w:sz="0" w:space="0" w:color="auto"/>
        <w:bottom w:val="none" w:sz="0" w:space="0" w:color="auto"/>
        <w:right w:val="none" w:sz="0" w:space="0" w:color="auto"/>
      </w:divBdr>
    </w:div>
    <w:div w:id="369771393">
      <w:bodyDiv w:val="1"/>
      <w:marLeft w:val="0"/>
      <w:marRight w:val="0"/>
      <w:marTop w:val="0"/>
      <w:marBottom w:val="0"/>
      <w:divBdr>
        <w:top w:val="none" w:sz="0" w:space="0" w:color="auto"/>
        <w:left w:val="none" w:sz="0" w:space="0" w:color="auto"/>
        <w:bottom w:val="none" w:sz="0" w:space="0" w:color="auto"/>
        <w:right w:val="none" w:sz="0" w:space="0" w:color="auto"/>
      </w:divBdr>
    </w:div>
    <w:div w:id="568926377">
      <w:bodyDiv w:val="1"/>
      <w:marLeft w:val="0"/>
      <w:marRight w:val="0"/>
      <w:marTop w:val="0"/>
      <w:marBottom w:val="0"/>
      <w:divBdr>
        <w:top w:val="none" w:sz="0" w:space="0" w:color="auto"/>
        <w:left w:val="none" w:sz="0" w:space="0" w:color="auto"/>
        <w:bottom w:val="none" w:sz="0" w:space="0" w:color="auto"/>
        <w:right w:val="none" w:sz="0" w:space="0" w:color="auto"/>
      </w:divBdr>
    </w:div>
    <w:div w:id="813330094">
      <w:bodyDiv w:val="1"/>
      <w:marLeft w:val="0"/>
      <w:marRight w:val="0"/>
      <w:marTop w:val="0"/>
      <w:marBottom w:val="0"/>
      <w:divBdr>
        <w:top w:val="none" w:sz="0" w:space="0" w:color="auto"/>
        <w:left w:val="none" w:sz="0" w:space="0" w:color="auto"/>
        <w:bottom w:val="none" w:sz="0" w:space="0" w:color="auto"/>
        <w:right w:val="none" w:sz="0" w:space="0" w:color="auto"/>
      </w:divBdr>
    </w:div>
    <w:div w:id="1177229547">
      <w:bodyDiv w:val="1"/>
      <w:marLeft w:val="0"/>
      <w:marRight w:val="0"/>
      <w:marTop w:val="0"/>
      <w:marBottom w:val="0"/>
      <w:divBdr>
        <w:top w:val="none" w:sz="0" w:space="0" w:color="auto"/>
        <w:left w:val="none" w:sz="0" w:space="0" w:color="auto"/>
        <w:bottom w:val="none" w:sz="0" w:space="0" w:color="auto"/>
        <w:right w:val="none" w:sz="0" w:space="0" w:color="auto"/>
      </w:divBdr>
    </w:div>
    <w:div w:id="1218930065">
      <w:bodyDiv w:val="1"/>
      <w:marLeft w:val="0"/>
      <w:marRight w:val="0"/>
      <w:marTop w:val="0"/>
      <w:marBottom w:val="0"/>
      <w:divBdr>
        <w:top w:val="none" w:sz="0" w:space="0" w:color="auto"/>
        <w:left w:val="none" w:sz="0" w:space="0" w:color="auto"/>
        <w:bottom w:val="none" w:sz="0" w:space="0" w:color="auto"/>
        <w:right w:val="none" w:sz="0" w:space="0" w:color="auto"/>
      </w:divBdr>
    </w:div>
    <w:div w:id="1482235672">
      <w:bodyDiv w:val="1"/>
      <w:marLeft w:val="0"/>
      <w:marRight w:val="0"/>
      <w:marTop w:val="0"/>
      <w:marBottom w:val="0"/>
      <w:divBdr>
        <w:top w:val="none" w:sz="0" w:space="0" w:color="auto"/>
        <w:left w:val="none" w:sz="0" w:space="0" w:color="auto"/>
        <w:bottom w:val="none" w:sz="0" w:space="0" w:color="auto"/>
        <w:right w:val="none" w:sz="0" w:space="0" w:color="auto"/>
      </w:divBdr>
    </w:div>
    <w:div w:id="1659193564">
      <w:bodyDiv w:val="1"/>
      <w:marLeft w:val="0"/>
      <w:marRight w:val="0"/>
      <w:marTop w:val="0"/>
      <w:marBottom w:val="0"/>
      <w:divBdr>
        <w:top w:val="none" w:sz="0" w:space="0" w:color="auto"/>
        <w:left w:val="none" w:sz="0" w:space="0" w:color="auto"/>
        <w:bottom w:val="none" w:sz="0" w:space="0" w:color="auto"/>
        <w:right w:val="none" w:sz="0" w:space="0" w:color="auto"/>
      </w:divBdr>
    </w:div>
    <w:div w:id="1727948032">
      <w:bodyDiv w:val="1"/>
      <w:marLeft w:val="0"/>
      <w:marRight w:val="0"/>
      <w:marTop w:val="0"/>
      <w:marBottom w:val="0"/>
      <w:divBdr>
        <w:top w:val="none" w:sz="0" w:space="0" w:color="auto"/>
        <w:left w:val="none" w:sz="0" w:space="0" w:color="auto"/>
        <w:bottom w:val="none" w:sz="0" w:space="0" w:color="auto"/>
        <w:right w:val="none" w:sz="0" w:space="0" w:color="auto"/>
      </w:divBdr>
    </w:div>
    <w:div w:id="1767920986">
      <w:bodyDiv w:val="1"/>
      <w:marLeft w:val="0"/>
      <w:marRight w:val="0"/>
      <w:marTop w:val="0"/>
      <w:marBottom w:val="0"/>
      <w:divBdr>
        <w:top w:val="none" w:sz="0" w:space="0" w:color="auto"/>
        <w:left w:val="none" w:sz="0" w:space="0" w:color="auto"/>
        <w:bottom w:val="none" w:sz="0" w:space="0" w:color="auto"/>
        <w:right w:val="none" w:sz="0" w:space="0" w:color="auto"/>
      </w:divBdr>
    </w:div>
    <w:div w:id="1998071769">
      <w:bodyDiv w:val="1"/>
      <w:marLeft w:val="0"/>
      <w:marRight w:val="0"/>
      <w:marTop w:val="0"/>
      <w:marBottom w:val="0"/>
      <w:divBdr>
        <w:top w:val="none" w:sz="0" w:space="0" w:color="auto"/>
        <w:left w:val="none" w:sz="0" w:space="0" w:color="auto"/>
        <w:bottom w:val="none" w:sz="0" w:space="0" w:color="auto"/>
        <w:right w:val="none" w:sz="0" w:space="0" w:color="auto"/>
      </w:divBdr>
    </w:div>
    <w:div w:id="214692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cid:image002.png@01DA7608.D3F0A3B0"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cid:image001.png@01DA7608.D3F0A3B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3.png@01DA7608.D3F0A3B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819AB-7A00-4B50-89B8-64366B8C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CFCA</dc:creator>
  <cp:keywords/>
  <dc:description/>
  <cp:lastModifiedBy>Natasa Kovacevic</cp:lastModifiedBy>
  <cp:revision>6</cp:revision>
  <dcterms:created xsi:type="dcterms:W3CDTF">2025-06-17T06:10:00Z</dcterms:created>
  <dcterms:modified xsi:type="dcterms:W3CDTF">2025-06-25T06:32:00Z</dcterms:modified>
</cp:coreProperties>
</file>