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32B8" w14:textId="4071C4AA" w:rsidR="00067FCF" w:rsidRPr="00065514" w:rsidRDefault="00A07773" w:rsidP="00065514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Cs w:val="24"/>
          <w:lang w:val="sr-Latn-ME"/>
        </w:rPr>
      </w:pPr>
      <w:r w:rsidRPr="0082037C">
        <w:rPr>
          <w:rFonts w:ascii="Arial" w:hAnsi="Arial" w:cs="Arial"/>
          <w:b/>
          <w:color w:val="365F91" w:themeColor="accent1" w:themeShade="BF"/>
          <w:szCs w:val="24"/>
          <w:lang w:val="sr-Latn-ME"/>
        </w:rPr>
        <w:t>OBRAZAC</w:t>
      </w: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92"/>
        <w:gridCol w:w="5448"/>
      </w:tblGrid>
      <w:tr w:rsidR="00C72668" w:rsidRPr="0082037C" w14:paraId="62FD514A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2A79B4B" w14:textId="77777777" w:rsidR="00C72668" w:rsidRPr="0082037C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>IZVJEŠTAJ</w:t>
            </w:r>
            <w:r w:rsidR="005F6D49" w:rsidRPr="0082037C">
              <w:rPr>
                <w:rFonts w:ascii="Arial" w:hAnsi="Arial" w:cs="Arial"/>
                <w:color w:val="365F91" w:themeColor="accent1" w:themeShade="BF"/>
                <w:szCs w:val="24"/>
                <w:lang w:val="sr-Latn-ME"/>
              </w:rPr>
              <w:t xml:space="preserve"> O SPROVEDENOJ ANALIZI PROCJENE UTICAJA PROPISA</w:t>
            </w:r>
          </w:p>
        </w:tc>
      </w:tr>
      <w:tr w:rsidR="008322D4" w:rsidRPr="0082037C" w14:paraId="15CBE9B3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2B247F8E" w14:textId="77777777" w:rsidR="008322D4" w:rsidRPr="0082037C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PREDLAGA</w:t>
            </w:r>
            <w:r w:rsidR="005F6D49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Č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323E2987" w14:textId="77777777" w:rsidR="008322D4" w:rsidRPr="0082037C" w:rsidRDefault="008322D4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8322D4" w:rsidRPr="0082037C" w14:paraId="6344013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AD140B5" w14:textId="77777777" w:rsidR="008322D4" w:rsidRPr="0082037C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NA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ZIV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58AC40EF" w14:textId="6750085C" w:rsidR="008322D4" w:rsidRPr="0082037C" w:rsidRDefault="00B96D6F" w:rsidP="008322D4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  <w:lang w:val="sr-Latn-ME"/>
              </w:rPr>
              <w:t>Nacrt Zakona o izmjenama i dopunama Zakona o stečaju</w:t>
            </w:r>
          </w:p>
        </w:tc>
      </w:tr>
      <w:tr w:rsidR="008322D4" w:rsidRPr="0082037C" w14:paraId="47A7857C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2EF8681" w14:textId="77777777" w:rsidR="008322D4" w:rsidRPr="0082037C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1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Definisanje problema</w:t>
            </w:r>
          </w:p>
          <w:p w14:paraId="7A07CF70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probleme</w:t>
            </w:r>
            <w:r w:rsid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5F03ED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treba da r</w:t>
            </w:r>
            <w:r w:rsidR="006A1B2C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5F03ED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ješi predloženi akt?</w:t>
            </w:r>
          </w:p>
          <w:p w14:paraId="18ADEDF5" w14:textId="77777777" w:rsidR="00A07773" w:rsidRPr="0082037C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oji 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uzroci problema?</w:t>
            </w:r>
          </w:p>
          <w:p w14:paraId="638E83A1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su posljedice problema?</w:t>
            </w:r>
          </w:p>
          <w:p w14:paraId="6D5C9718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="00972845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su subjekti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oštećen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na koji način i 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 kojoj mjeri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14:paraId="141D6B3B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ako 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bi problem evoluirao bez promjene propisa (</w:t>
            </w:r>
            <w:r w:rsidR="005F03ED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“status quo” </w:t>
            </w:r>
            <w:r w:rsidR="008322D4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opcija)?</w:t>
            </w:r>
          </w:p>
        </w:tc>
      </w:tr>
      <w:tr w:rsidR="008322D4" w:rsidRPr="0082037C" w14:paraId="3930321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B17FCDE" w14:textId="1E624BEA" w:rsidR="00B96D6F" w:rsidRPr="00B96D6F" w:rsidRDefault="00B96D6F" w:rsidP="00B96D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B96D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U toku sprovodenja Zakona o stečaju ("Službeni list CG”, br. 1/11 i 53/16) pokazalo se neophodnim izvršiti izmjene pojedinih odredbi ovog propisa kako bi se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stvorile pretpostavke za unapređ</w:t>
            </w:r>
            <w:r w:rsidRPr="00B96D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ivanje ostvarivanja ekonomičnosti, racionalnosti i efikasnosti stečajnog postupka. U tom cilju, pristupilo se izradi izmjena i dopuna ovog zakonskog akta koje se odnose na preciziranje o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dredenih normi u smislu obezbjeđ</w:t>
            </w:r>
            <w:r w:rsidRPr="00B96D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ivanja njihove efikasnije primjene, otklanjanja odredenih slabosti koje su se pokazale u praksi i skraćenja pojedinih rokova.</w:t>
            </w:r>
          </w:p>
          <w:p w14:paraId="5F36177E" w14:textId="0A3EBAFA" w:rsidR="00295BF7" w:rsidRPr="005A1975" w:rsidRDefault="00B96D6F" w:rsidP="00B96D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B96D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Potrebno je naglasiti da se značajne novine ovog zakonskog rješenja od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nose na uvodenje stručnog ispita</w:t>
            </w:r>
            <w:r w:rsidRPr="00B96D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, licence i ispita provjere znanja za stečajne upravnike, koji imaju za cilj pružanje dodatnih garancija da će stečajni upravnici obavljati svoje dužnosti stručno i profesionalno. Dodatno, uvedena je i lista stečajnih upravnika i preciziran kriterijum za imenovanje stečajnih upravnika, koji</w:t>
            </w:r>
            <w:r w:rsid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je nedostajao u važećem zakonu.</w:t>
            </w:r>
          </w:p>
        </w:tc>
      </w:tr>
      <w:tr w:rsidR="008322D4" w:rsidRPr="0082037C" w14:paraId="0464B04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8FF4740" w14:textId="77777777" w:rsidR="008322D4" w:rsidRPr="0082037C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2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Ciljevi</w:t>
            </w:r>
          </w:p>
          <w:p w14:paraId="445D0504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oji ciljevi se postižu predloženim propisom?</w:t>
            </w:r>
          </w:p>
          <w:p w14:paraId="3F964F15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avesti 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usklađenost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ovih ciljeva sa postojećim strategijama ili programima Vlade, ako je primjenljivo.</w:t>
            </w:r>
          </w:p>
        </w:tc>
      </w:tr>
      <w:tr w:rsidR="008322D4" w:rsidRPr="0082037C" w14:paraId="739FB9F5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51FE4F7" w14:textId="0CA67884" w:rsidR="00AA117E" w:rsidRPr="006A72A3" w:rsidRDefault="006A72A3" w:rsidP="0065286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Osnovni cilj izrade ovog zakonskog akta j</w:t>
            </w:r>
            <w:r w:rsidR="002F635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este da se predlože rešenja kojima</w:t>
            </w:r>
            <w:r w:rsidRP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se prevazilaze problemi u prim</w:t>
            </w:r>
            <w:r w:rsidR="002F635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P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eni postojećeg zakona, poboljša položaj pov</w:t>
            </w:r>
            <w:r w:rsidR="002F635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P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erilaca uz zaštitu interesa i očuva položaj preduzeća u stečaju sa ciljem da stečaj u praksi bude način da privre</w:t>
            </w:r>
            <w:r w:rsidR="002F635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dni subjekt prevaziđ</w:t>
            </w:r>
            <w:r w:rsidRPr="006A72A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e poteškoće u poslovanju.</w:t>
            </w:r>
          </w:p>
        </w:tc>
      </w:tr>
      <w:tr w:rsidR="008322D4" w:rsidRPr="0082037C" w14:paraId="34511201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1ADF13A" w14:textId="77777777" w:rsidR="008322D4" w:rsidRPr="0082037C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3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Opcije</w:t>
            </w:r>
          </w:p>
          <w:p w14:paraId="190C166A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donošenja predloženog propisa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)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7FC499E6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brazložiti preferiranu opciju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</w:tc>
      </w:tr>
      <w:tr w:rsidR="008322D4" w:rsidRPr="0082037C" w14:paraId="0BEFFA7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16B4984" w14:textId="7BFEAD87" w:rsidR="00953283" w:rsidRPr="00CF3075" w:rsidRDefault="00C35FAB" w:rsidP="0065286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Prilikom analize razmatrane</w:t>
            </w:r>
            <w:r w:rsidR="00CF3075" w:rsidRPr="00CF3075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su potrebe za promjenom regulatornog okvira ali i niz opcija u vezi sa rješavanjem pojedinačnih problema. Opcija status quo odnosno odsustvo regulatorne promjene nije prihvaćena jer niz navedenih problema nije mogao biti otklonjen bez izmjena regulatornog okvira.</w:t>
            </w:r>
          </w:p>
        </w:tc>
      </w:tr>
      <w:tr w:rsidR="00282840" w:rsidRPr="0082037C" w14:paraId="1534958C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06757FC" w14:textId="77777777" w:rsidR="00282840" w:rsidRPr="0082037C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4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Analiza uticaja</w:t>
            </w:r>
          </w:p>
          <w:p w14:paraId="67A70D7D" w14:textId="77777777" w:rsidR="00A07773" w:rsidRPr="0065286D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</w:pPr>
            <w:r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N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a koga će i kako će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najvjerovatnije uticati rješenja u propisu - 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abrojati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pozitivne i negativne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uticaje,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direktne i indirektne</w:t>
            </w:r>
            <w:r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.</w:t>
            </w:r>
          </w:p>
          <w:p w14:paraId="0EBD59AE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K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oje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troškove će primjena propisa </w:t>
            </w:r>
            <w:r w:rsidR="00067FC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izazvati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građanima i privredi (naročito malim i srednjim preduzećima)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11261B2A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pozitivne posljedice donošenja propisa opravdava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ju troškove koje će on stvoriti.</w:t>
            </w:r>
          </w:p>
          <w:p w14:paraId="7DECE183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se propisom podržava stvaranje novih privrednih subjekata na tržištu i tržišna 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konkurencija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39454D5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ključiti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procjenu administrativnih opterećenja i biznis barijera.</w:t>
            </w:r>
          </w:p>
          <w:p w14:paraId="6C8714C4" w14:textId="77777777" w:rsidR="00D27C82" w:rsidRPr="0082037C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282840" w:rsidRPr="0082037C" w14:paraId="669126A3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CAF0487" w14:textId="6AAFDF12" w:rsidR="006A1178" w:rsidRDefault="00D04503" w:rsidP="00786F2D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Predloženo zakonsko rješenje, prvenstveno, će uticati na privredna društva</w:t>
            </w:r>
            <w:r w:rsidR="00D7048B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u smislu efikasnijeg sprovođenja postupka stečaja. U tom cilju, ovo zakonsko rješenje prvenstveno se odnosi na stečajne upravnike kroz uvođenje stručnog ispita, licenciranje i provjeru znanja stečajnih upravnika i načina izbora stečajnih upravnika. </w:t>
            </w:r>
          </w:p>
          <w:p w14:paraId="20E820C7" w14:textId="77777777" w:rsidR="00D7048B" w:rsidRDefault="00D7048B" w:rsidP="00786F2D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Regulatorna rješenja uvedena u ovaj zakonski tekst utvrđena su i struktuirana na način koji omogućuje relativno</w:t>
            </w:r>
            <w:r w:rsidR="002523F4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jednostavnu shodnu primjenu njegovih normi na postupak stečaja. Primjena ovog propisa pozitivno će uticati na rad privrednih društava sa aspekta unaprjeđenja i razvoja poslovnog i investicionog ambijenta.</w:t>
            </w:r>
          </w:p>
          <w:p w14:paraId="5B22F155" w14:textId="310B6E9D" w:rsidR="002523F4" w:rsidRPr="0082037C" w:rsidRDefault="002523F4" w:rsidP="00786F2D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Ujedno, konstatujemo da ne postoje negativni uticaji sprovođenja Zakona, da primjena propisa ne stvara dodatne troškove, administrativna opterećenja i biznis barijere u poslovanju.</w:t>
            </w:r>
          </w:p>
        </w:tc>
      </w:tr>
      <w:tr w:rsidR="00702CFF" w:rsidRPr="0082037C" w14:paraId="4D9033E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9843678" w14:textId="77777777" w:rsidR="00673F68" w:rsidRPr="0082037C" w:rsidRDefault="00673F68" w:rsidP="00673F68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5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="00702CF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Procjena fiskalnog uticaja</w:t>
            </w:r>
          </w:p>
          <w:p w14:paraId="102A9215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je potrebno obezbjeđenje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finansijskih sredstava</w:t>
            </w:r>
            <w:r w:rsidR="00972845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 iz budžeta</w:t>
            </w:r>
            <w:r w:rsidR="00972845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Crne Gore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za impleme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ntaciju propisa i u kom iznosu?</w:t>
            </w:r>
          </w:p>
          <w:p w14:paraId="4C32E61A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je obezbjeđenje finansijskih sredstava jednokratno, ili tokom određenog vremenskog perioda?</w:t>
            </w:r>
            <w:r w:rsid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673F68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Obrazložiti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57B24F4E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implementacijom propisa proizilaze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međunarodne finansijske obaveze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 Obrazložiti.</w:t>
            </w:r>
          </w:p>
          <w:p w14:paraId="6E9957B2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su neophodna finansijska sredstva obezbijeđena u budžetu za tekuću fiskalnu godinu, odnosno da li su planirana u bud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žetu za narednu fiska</w:t>
            </w:r>
            <w:r w:rsid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l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nu godinu?</w:t>
            </w:r>
          </w:p>
          <w:p w14:paraId="0BC64B3E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je usvajanjem propisa predviđeno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donošenje podzakonskih akata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iz kojih će proisteći finansijske obaveze?</w:t>
            </w:r>
          </w:p>
          <w:p w14:paraId="51413B80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će se implementacijom propisa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ostvariti prihod za budžet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Crne Gore?</w:t>
            </w:r>
          </w:p>
          <w:p w14:paraId="4E947D42" w14:textId="77777777" w:rsidR="00A07773" w:rsidRPr="0065286D" w:rsidRDefault="0082037C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Obrazložiti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metodologiju koja je korišćenja prilikom obračun</w:t>
            </w:r>
            <w:r w:rsidR="0000426F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a finansijskih izdataka/prihoda.</w:t>
            </w:r>
          </w:p>
          <w:p w14:paraId="31962C10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 li su postojali problemi u preciznom obračunu finansijskih izdataka/prihoda? Obrazložiti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6925288B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 li su postojale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sugestije Ministarstva finansija </w:t>
            </w:r>
            <w:r w:rsidR="00A265F9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na nac</w:t>
            </w:r>
            <w:r w:rsidR="00736E8D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r</w:t>
            </w:r>
            <w:r w:rsidR="00A265F9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t</w:t>
            </w:r>
            <w:r w:rsidR="00A265F9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/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predlog propisa?</w:t>
            </w:r>
          </w:p>
          <w:p w14:paraId="51914851" w14:textId="77777777" w:rsidR="00A07773" w:rsidRPr="0082037C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D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a li su dobijene primjedbe </w:t>
            </w:r>
            <w:r w:rsidR="0000426F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uključene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 u tekst propisa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 Obrazložiti.</w:t>
            </w:r>
          </w:p>
        </w:tc>
      </w:tr>
      <w:tr w:rsidR="00702CFF" w:rsidRPr="0082037C" w14:paraId="2A504A0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B7ABDD8" w14:textId="34C8950B" w:rsidR="001B0144" w:rsidRDefault="002523F4" w:rsidP="00CB5E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Za implementaciju ovog propisa predviđena su izdvajanja finansijskih sredstva po osnovu rada Komisije za polaganje stručnog ispita za stečajnog upravnika</w:t>
            </w:r>
            <w:r w:rsidR="00AA070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Ova sredstva biće planirana</w:t>
            </w:r>
            <w:r w:rsid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kroz Budžet Ministarstva pravde u 2022. godini koje će obrazovati i isplaćivati pomenut</w:t>
            </w:r>
            <w:r w:rsidR="0054172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komisij</w:t>
            </w:r>
            <w:r w:rsidR="0054172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4EB33E8" w14:textId="77777777" w:rsidR="00254CC0" w:rsidRDefault="00254CC0" w:rsidP="00CB5E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Implementacijom propisa ne proizilaze međunarodne finansijske obaveze.</w:t>
            </w:r>
          </w:p>
          <w:p w14:paraId="45495BB7" w14:textId="5DD732FD" w:rsidR="00254CC0" w:rsidRPr="0082037C" w:rsidRDefault="00254CC0" w:rsidP="00CB5EA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Ovaj Nacrt zakona direktono ne dovodi do povećanja prihoda u budžetu i pri njegovoj izradi nije korišćena ni jedna metodologija obračuna finansijskih izdataka/prihoda.</w:t>
            </w:r>
          </w:p>
        </w:tc>
      </w:tr>
      <w:tr w:rsidR="00282840" w:rsidRPr="0082037C" w14:paraId="23CDB30C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533EFFD" w14:textId="77777777" w:rsidR="00282840" w:rsidRPr="0082037C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6</w:t>
            </w:r>
            <w:r w:rsidR="001D0BF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. </w:t>
            </w:r>
            <w:r w:rsidR="00282840" w:rsidRPr="00D90B7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28284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onsultacije zainteresovanih strana</w:t>
            </w:r>
          </w:p>
          <w:p w14:paraId="148A9EC5" w14:textId="77777777" w:rsidR="00A07773" w:rsidRPr="0082037C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Naznačiti da li je korišćena </w:t>
            </w:r>
            <w:r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eksterna </w:t>
            </w:r>
            <w:r w:rsidR="0000426F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ekspertska podrška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i ako da, kako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24F9A796" w14:textId="77777777" w:rsidR="00A07773" w:rsidRPr="0082037C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aznačiti koje su grupe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zainteresovanih strana konsultovane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, u kojoj fazi RIA procesa i kako (javne ili ciljane konsultacije)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189EEBED" w14:textId="77777777" w:rsidR="00A07773" w:rsidRPr="0082037C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aznačiti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glavne rezultate</w:t>
            </w:r>
            <w:r w:rsidR="00D4308A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 xml:space="preserve"> konsultacija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, i </w:t>
            </w:r>
            <w:r w:rsidR="00D4308A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koji su predlozi i sugestije zainteresovanih strana prihv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aćeni odnosno nijesu prihvaćeni.</w:t>
            </w:r>
            <w:r w:rsidR="00D4308A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Obrazložiti</w:t>
            </w:r>
            <w:r w:rsidR="0000426F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</w:tc>
      </w:tr>
      <w:tr w:rsidR="00282840" w:rsidRPr="0082037C" w14:paraId="4D6111E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174FB27" w14:textId="77777777" w:rsidR="00DB04BB" w:rsidRDefault="00254CC0" w:rsidP="0078453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Nije korišćena eksterna ekspretska podrška u postupku izrade Nacrta zakona.</w:t>
            </w:r>
          </w:p>
          <w:p w14:paraId="5D94B5D5" w14:textId="77777777" w:rsidR="00254CC0" w:rsidRDefault="00254CC0" w:rsidP="00254CC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Ministasrvo ekonomskog razvoja je </w:t>
            </w:r>
            <w:r w:rsidRP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uputilo poziv za javne konsultacije zainteresovane javnosti 31. maja sa naznakom da će iste trajati do 23-eg juna tekuće godine.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P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Poslednjeg dana javnih konsultacija, 23. maja 2021. godine, u organizaciji Sekretarijata Savjeta za konkurentnost, </w:t>
            </w:r>
            <w:r w:rsidRPr="00254CC0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Ministarstva ekonomskog razvoja i Udruženja pravnika, održan je okrugli sto na temu konsultovanje zainteresovane javnosti o izmjenama i dopunama Zakona o stečaju na kojem su iznijete inicijative, predlozi, sugestije i komentari pristutnih učesnika kao i učesnika koji su pratili Okrugli sto putem zoom aplikacije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B441187" w14:textId="24C4696C" w:rsidR="00254CC0" w:rsidRPr="00D97582" w:rsidRDefault="00254CC0" w:rsidP="00254CC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 odnosu na važeći Zakon o stečaju, prihvaćeni su komentari i sugestije i isti su definisani u Nacrtu Zakona o izmjenama i dopunama Zakona o stečaju.</w:t>
            </w:r>
          </w:p>
        </w:tc>
      </w:tr>
      <w:tr w:rsidR="00282840" w:rsidRPr="0082037C" w14:paraId="5E66945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FF99F8B" w14:textId="77777777" w:rsidR="00282840" w:rsidRPr="0082037C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7</w:t>
            </w:r>
            <w:r w:rsidR="00282840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: Monitoring i evaluacija</w:t>
            </w:r>
          </w:p>
          <w:p w14:paraId="466A674B" w14:textId="77777777" w:rsidR="0000426F" w:rsidRPr="0082037C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oje su potencijalne </w:t>
            </w:r>
            <w:r w:rsidR="00A07773" w:rsidRPr="0065286D">
              <w:rPr>
                <w:rFonts w:ascii="Arial" w:hAnsi="Arial" w:cs="Arial"/>
                <w:color w:val="365F91" w:themeColor="accent1" w:themeShade="BF"/>
                <w:sz w:val="20"/>
                <w:szCs w:val="20"/>
                <w:u w:val="single"/>
                <w:lang w:val="sr-Latn-ME"/>
              </w:rPr>
              <w:t>prepreke za implementaciju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 xml:space="preserve"> propisa? </w:t>
            </w:r>
          </w:p>
          <w:p w14:paraId="7B09933E" w14:textId="77777777" w:rsidR="00A07773" w:rsidRPr="0082037C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oje će mjere biti preduzete tokom primjene propisa da bi se ispunili ciljevi</w:t>
            </w: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14:paraId="39629A0D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oji su glavni indikatori prema kojima će se mjeriti ispunjenje ciljeva?</w:t>
            </w:r>
          </w:p>
          <w:p w14:paraId="16BCA730" w14:textId="77777777" w:rsidR="00A07773" w:rsidRPr="0082037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lang w:val="sr-Latn-ME"/>
              </w:rPr>
            </w:pPr>
            <w:r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82037C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o će biti zadužen za sprovođenje monitoringa i evaluacije primjene propisa?</w:t>
            </w:r>
          </w:p>
        </w:tc>
      </w:tr>
      <w:tr w:rsidR="00282840" w:rsidRPr="0082037C" w14:paraId="5F48958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E674B8C" w14:textId="77777777" w:rsidR="00EB7461" w:rsidRDefault="00C8551C" w:rsidP="00E0051F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Za implementaciju ovog propisa nema prepreka.</w:t>
            </w:r>
          </w:p>
          <w:p w14:paraId="618F52B9" w14:textId="77777777" w:rsidR="00C8551C" w:rsidRDefault="00C8551C" w:rsidP="00E0051F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U smislu ispunjenosti ciljeva ne postoje indikatori kojima će se isti mjeriti.</w:t>
            </w:r>
          </w:p>
          <w:p w14:paraId="27115723" w14:textId="4E5876D3" w:rsidR="00C8551C" w:rsidRPr="0082037C" w:rsidRDefault="00C8551C" w:rsidP="00E0051F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  <w:t>Za monitoring i evaluaciju primjene akta biće zaduženo Ministarstvo ekonomskog razvoja, Ministarstvo pravde, ljudskih i manjinskih prava i Privredni sud Crne Gore.</w:t>
            </w:r>
          </w:p>
        </w:tc>
      </w:tr>
    </w:tbl>
    <w:p w14:paraId="7A600C10" w14:textId="7A49572F" w:rsidR="004A4396" w:rsidRPr="0082037C" w:rsidRDefault="004A4396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  <w:lang w:val="sr-Latn-ME"/>
        </w:rPr>
      </w:pPr>
    </w:p>
    <w:p w14:paraId="51BBACA9" w14:textId="77777777" w:rsidR="004A4396" w:rsidRPr="0082037C" w:rsidRDefault="004A4396">
      <w:pPr>
        <w:rPr>
          <w:color w:val="365F91" w:themeColor="accent1" w:themeShade="BF"/>
          <w:lang w:val="sr-Latn-ME"/>
        </w:rPr>
      </w:pPr>
    </w:p>
    <w:p w14:paraId="27DBAA22" w14:textId="77777777" w:rsidR="00972845" w:rsidRPr="0082037C" w:rsidRDefault="00BD4282">
      <w:pPr>
        <w:rPr>
          <w:rFonts w:ascii="Arial" w:hAnsi="Arial" w:cs="Arial"/>
          <w:b/>
          <w:color w:val="365F91" w:themeColor="accent1" w:themeShade="BF"/>
          <w:lang w:val="sr-Latn-ME"/>
        </w:rPr>
      </w:pPr>
      <w:r w:rsidRPr="0082037C">
        <w:rPr>
          <w:rFonts w:ascii="Arial" w:hAnsi="Arial" w:cs="Arial"/>
          <w:b/>
          <w:color w:val="365F91" w:themeColor="accent1" w:themeShade="BF"/>
          <w:lang w:val="sr-Latn-ME"/>
        </w:rPr>
        <w:t>Datum i mjesto</w:t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ab/>
      </w:r>
      <w:r w:rsidR="001F2F6E">
        <w:rPr>
          <w:rFonts w:ascii="Arial" w:hAnsi="Arial" w:cs="Arial"/>
          <w:b/>
          <w:color w:val="365F91" w:themeColor="accent1" w:themeShade="BF"/>
          <w:lang w:val="sr-Latn-ME"/>
        </w:rPr>
        <w:t xml:space="preserve">                      </w:t>
      </w:r>
      <w:r w:rsidR="00972845" w:rsidRPr="0082037C">
        <w:rPr>
          <w:rFonts w:ascii="Arial" w:hAnsi="Arial" w:cs="Arial"/>
          <w:b/>
          <w:color w:val="365F91" w:themeColor="accent1" w:themeShade="BF"/>
          <w:lang w:val="sr-Latn-ME"/>
        </w:rPr>
        <w:t xml:space="preserve">Starješina </w:t>
      </w:r>
    </w:p>
    <w:p w14:paraId="311AB2EB" w14:textId="77777777" w:rsidR="001F2F6E" w:rsidRDefault="001F2F6E" w:rsidP="001F2F6E">
      <w:pPr>
        <w:rPr>
          <w:rFonts w:ascii="Arial" w:hAnsi="Arial" w:cs="Arial"/>
          <w:color w:val="365F91" w:themeColor="accent1" w:themeShade="BF"/>
          <w:lang w:val="sr-Latn-ME"/>
        </w:rPr>
      </w:pPr>
    </w:p>
    <w:p w14:paraId="684EAFAB" w14:textId="77777777" w:rsidR="001F2F6E" w:rsidRPr="001F2F6E" w:rsidRDefault="001F2F6E" w:rsidP="001F2F6E">
      <w:pPr>
        <w:rPr>
          <w:rFonts w:ascii="Arial" w:hAnsi="Arial" w:cs="Arial"/>
          <w:color w:val="365F91" w:themeColor="accent1" w:themeShade="BF"/>
          <w:lang w:val="sr-Latn-ME"/>
        </w:rPr>
      </w:pPr>
      <w:r w:rsidRPr="001F2F6E">
        <w:rPr>
          <w:rFonts w:ascii="Arial" w:hAnsi="Arial" w:cs="Arial"/>
          <w:color w:val="365F91" w:themeColor="accent1" w:themeShade="BF"/>
          <w:lang w:val="sr-Latn-ME"/>
        </w:rPr>
        <w:t>Podgorica</w:t>
      </w:r>
    </w:p>
    <w:p w14:paraId="2DB62C35" w14:textId="64E31D2C" w:rsidR="001F2F6E" w:rsidRDefault="001F2F6E" w:rsidP="001F2F6E">
      <w:pPr>
        <w:rPr>
          <w:rFonts w:ascii="Arial" w:hAnsi="Arial" w:cs="Arial"/>
          <w:b/>
          <w:color w:val="365F91" w:themeColor="accent1" w:themeShade="BF"/>
          <w:lang w:val="sr-Latn-CS"/>
        </w:rPr>
      </w:pP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  <w:t xml:space="preserve"> </w:t>
      </w:r>
      <w:r>
        <w:rPr>
          <w:rFonts w:ascii="Arial" w:hAnsi="Arial" w:cs="Arial"/>
          <w:color w:val="365F91" w:themeColor="accent1" w:themeShade="BF"/>
          <w:lang w:val="sr-Latn-ME"/>
        </w:rPr>
        <w:tab/>
        <w:t xml:space="preserve">                                                               </w:t>
      </w:r>
      <w:r w:rsidR="00786F2D">
        <w:rPr>
          <w:rFonts w:ascii="Arial" w:hAnsi="Arial" w:cs="Arial"/>
          <w:b/>
          <w:color w:val="365F91" w:themeColor="accent1" w:themeShade="BF"/>
          <w:lang w:val="sr-Latn-CS"/>
        </w:rPr>
        <w:t>DRŽAVNA SEKRETARKA</w:t>
      </w:r>
      <w:r w:rsidRPr="001F2F6E">
        <w:rPr>
          <w:rFonts w:ascii="Arial" w:hAnsi="Arial" w:cs="Arial"/>
          <w:b/>
          <w:color w:val="365F91" w:themeColor="accent1" w:themeShade="BF"/>
          <w:lang w:val="sr-Latn-CS"/>
        </w:rPr>
        <w:t xml:space="preserve"> </w:t>
      </w:r>
    </w:p>
    <w:p w14:paraId="40CAB51C" w14:textId="7AE76EB2" w:rsidR="001F2F6E" w:rsidRDefault="001F2F6E" w:rsidP="001F2F6E">
      <w:pPr>
        <w:jc w:val="left"/>
        <w:rPr>
          <w:rFonts w:ascii="Arial" w:hAnsi="Arial" w:cs="Arial"/>
          <w:b/>
          <w:color w:val="365F91" w:themeColor="accent1" w:themeShade="BF"/>
          <w:lang w:val="sr-Latn-CS"/>
        </w:rPr>
      </w:pPr>
      <w:r>
        <w:rPr>
          <w:rFonts w:ascii="Arial" w:hAnsi="Arial" w:cs="Arial"/>
          <w:b/>
          <w:color w:val="365F91" w:themeColor="accent1" w:themeShade="BF"/>
          <w:lang w:val="sr-Latn-CS"/>
        </w:rPr>
        <w:t xml:space="preserve">                                                                        </w:t>
      </w:r>
    </w:p>
    <w:p w14:paraId="3B92D46E" w14:textId="0A28B8FD" w:rsidR="001F2F6E" w:rsidRPr="001F2F6E" w:rsidRDefault="001F2F6E" w:rsidP="001F2F6E">
      <w:pPr>
        <w:jc w:val="center"/>
        <w:rPr>
          <w:rFonts w:ascii="Arial" w:hAnsi="Arial" w:cs="Arial"/>
          <w:b/>
          <w:color w:val="365F91" w:themeColor="accent1" w:themeShade="BF"/>
          <w:lang w:val="sr-Latn-CS"/>
        </w:rPr>
      </w:pPr>
      <w:r>
        <w:rPr>
          <w:rFonts w:ascii="Arial" w:hAnsi="Arial" w:cs="Arial"/>
          <w:b/>
          <w:color w:val="365F91" w:themeColor="accent1" w:themeShade="BF"/>
          <w:lang w:val="sr-Latn-CS"/>
        </w:rPr>
        <w:t xml:space="preserve">                                                                                                  </w:t>
      </w:r>
      <w:r w:rsidR="00786F2D">
        <w:rPr>
          <w:rFonts w:ascii="Arial" w:hAnsi="Arial" w:cs="Arial"/>
          <w:b/>
          <w:color w:val="365F91" w:themeColor="accent1" w:themeShade="BF"/>
          <w:lang w:val="sr-Latn-CS"/>
        </w:rPr>
        <w:t>Milena Lipovina-Božović</w:t>
      </w:r>
    </w:p>
    <w:p w14:paraId="0AEC50F6" w14:textId="77777777" w:rsidR="001F2F6E" w:rsidRDefault="001F2F6E" w:rsidP="001F2F6E">
      <w:pPr>
        <w:rPr>
          <w:rFonts w:ascii="Arial" w:hAnsi="Arial" w:cs="Arial"/>
          <w:b/>
          <w:color w:val="365F91" w:themeColor="accent1" w:themeShade="BF"/>
          <w:lang w:val="sr-Latn-ME"/>
        </w:rPr>
      </w:pPr>
    </w:p>
    <w:p w14:paraId="26EAAE68" w14:textId="77777777" w:rsidR="001F2F6E" w:rsidRDefault="001F2F6E" w:rsidP="001F2F6E">
      <w:pPr>
        <w:rPr>
          <w:rFonts w:ascii="Arial" w:hAnsi="Arial" w:cs="Arial"/>
          <w:b/>
          <w:color w:val="365F91" w:themeColor="accent1" w:themeShade="BF"/>
          <w:lang w:val="sr-Latn-ME"/>
        </w:rPr>
      </w:pPr>
    </w:p>
    <w:p w14:paraId="143198BC" w14:textId="77777777" w:rsidR="001F2F6E" w:rsidRPr="001F2F6E" w:rsidRDefault="001F2F6E" w:rsidP="001F2F6E">
      <w:pPr>
        <w:jc w:val="right"/>
        <w:rPr>
          <w:rFonts w:ascii="Arial" w:hAnsi="Arial" w:cs="Arial"/>
          <w:color w:val="365F91" w:themeColor="accent1" w:themeShade="BF"/>
          <w:lang w:val="sr-Latn-ME"/>
        </w:rPr>
      </w:pP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</w:r>
      <w:r>
        <w:rPr>
          <w:rFonts w:ascii="Arial" w:hAnsi="Arial" w:cs="Arial"/>
          <w:color w:val="365F91" w:themeColor="accent1" w:themeShade="BF"/>
          <w:lang w:val="sr-Latn-ME"/>
        </w:rPr>
        <w:tab/>
        <w:t xml:space="preserve">   </w:t>
      </w:r>
    </w:p>
    <w:p w14:paraId="6D67D484" w14:textId="12CECF05" w:rsidR="00972845" w:rsidRPr="0082037C" w:rsidRDefault="00972845">
      <w:pPr>
        <w:rPr>
          <w:rFonts w:ascii="Arial" w:hAnsi="Arial" w:cs="Arial"/>
          <w:color w:val="1F497D" w:themeColor="text2"/>
          <w:lang w:val="sr-Latn-ME"/>
        </w:rPr>
      </w:pPr>
      <w:r w:rsidRPr="0082037C">
        <w:rPr>
          <w:rFonts w:ascii="Arial" w:hAnsi="Arial" w:cs="Arial"/>
          <w:color w:val="1F497D" w:themeColor="text2"/>
          <w:lang w:val="sr-Latn-ME"/>
        </w:rPr>
        <w:tab/>
      </w:r>
      <w:r w:rsidRPr="0082037C">
        <w:rPr>
          <w:rFonts w:ascii="Arial" w:hAnsi="Arial" w:cs="Arial"/>
          <w:color w:val="1F497D" w:themeColor="text2"/>
          <w:lang w:val="sr-Latn-ME"/>
        </w:rPr>
        <w:tab/>
      </w:r>
    </w:p>
    <w:p w14:paraId="4350CCD4" w14:textId="77777777" w:rsidR="00972845" w:rsidRPr="0082037C" w:rsidRDefault="00972845">
      <w:pPr>
        <w:rPr>
          <w:rFonts w:ascii="Arial" w:hAnsi="Arial" w:cs="Arial"/>
          <w:color w:val="365F91" w:themeColor="accent1" w:themeShade="BF"/>
          <w:lang w:val="sr-Latn-ME"/>
        </w:rPr>
      </w:pPr>
    </w:p>
    <w:sectPr w:rsidR="00972845" w:rsidRPr="0082037C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E917" w14:textId="77777777" w:rsidR="006E0069" w:rsidRDefault="006E0069" w:rsidP="00BA7396">
      <w:r>
        <w:separator/>
      </w:r>
    </w:p>
  </w:endnote>
  <w:endnote w:type="continuationSeparator" w:id="0">
    <w:p w14:paraId="7440E940" w14:textId="77777777" w:rsidR="006E0069" w:rsidRDefault="006E0069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0FDC" w14:textId="77777777" w:rsidR="006E0069" w:rsidRDefault="006E0069" w:rsidP="00BA7396">
      <w:r>
        <w:separator/>
      </w:r>
    </w:p>
  </w:footnote>
  <w:footnote w:type="continuationSeparator" w:id="0">
    <w:p w14:paraId="5F9F56C8" w14:textId="77777777" w:rsidR="006E0069" w:rsidRDefault="006E0069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4095F"/>
    <w:multiLevelType w:val="hybridMultilevel"/>
    <w:tmpl w:val="77100896"/>
    <w:lvl w:ilvl="0" w:tplc="A72CF6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10"/>
  </w:num>
  <w:num w:numId="11">
    <w:abstractNumId w:val="4"/>
  </w:num>
  <w:num w:numId="12">
    <w:abstractNumId w:val="5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426F"/>
    <w:rsid w:val="00043DCA"/>
    <w:rsid w:val="000511F0"/>
    <w:rsid w:val="00054B14"/>
    <w:rsid w:val="00065514"/>
    <w:rsid w:val="00067FCF"/>
    <w:rsid w:val="000716AC"/>
    <w:rsid w:val="00075306"/>
    <w:rsid w:val="000A2110"/>
    <w:rsid w:val="000E5392"/>
    <w:rsid w:val="0010243E"/>
    <w:rsid w:val="00142CA8"/>
    <w:rsid w:val="00162BB1"/>
    <w:rsid w:val="00182D12"/>
    <w:rsid w:val="001B0144"/>
    <w:rsid w:val="001C3202"/>
    <w:rsid w:val="001C7348"/>
    <w:rsid w:val="001D0BF0"/>
    <w:rsid w:val="001D7399"/>
    <w:rsid w:val="001E1794"/>
    <w:rsid w:val="001F2F6E"/>
    <w:rsid w:val="00201553"/>
    <w:rsid w:val="002523F4"/>
    <w:rsid w:val="00254CC0"/>
    <w:rsid w:val="00282840"/>
    <w:rsid w:val="00284A91"/>
    <w:rsid w:val="00294662"/>
    <w:rsid w:val="00295023"/>
    <w:rsid w:val="00295BF7"/>
    <w:rsid w:val="002E0D80"/>
    <w:rsid w:val="002E7569"/>
    <w:rsid w:val="002F635C"/>
    <w:rsid w:val="00300CB3"/>
    <w:rsid w:val="00310915"/>
    <w:rsid w:val="00352E20"/>
    <w:rsid w:val="00357476"/>
    <w:rsid w:val="00392F99"/>
    <w:rsid w:val="00395587"/>
    <w:rsid w:val="003A0AF9"/>
    <w:rsid w:val="003F334E"/>
    <w:rsid w:val="00427BF4"/>
    <w:rsid w:val="004734E7"/>
    <w:rsid w:val="00476585"/>
    <w:rsid w:val="00492175"/>
    <w:rsid w:val="004A4396"/>
    <w:rsid w:val="004F3147"/>
    <w:rsid w:val="00506E18"/>
    <w:rsid w:val="00534CED"/>
    <w:rsid w:val="00541720"/>
    <w:rsid w:val="0054756C"/>
    <w:rsid w:val="005805F3"/>
    <w:rsid w:val="0059070C"/>
    <w:rsid w:val="00590748"/>
    <w:rsid w:val="005A1975"/>
    <w:rsid w:val="005B49C4"/>
    <w:rsid w:val="005C4266"/>
    <w:rsid w:val="005F03ED"/>
    <w:rsid w:val="005F6D49"/>
    <w:rsid w:val="00601210"/>
    <w:rsid w:val="006129CD"/>
    <w:rsid w:val="0065286D"/>
    <w:rsid w:val="006559D5"/>
    <w:rsid w:val="00673F68"/>
    <w:rsid w:val="00681DE1"/>
    <w:rsid w:val="00686538"/>
    <w:rsid w:val="006A1178"/>
    <w:rsid w:val="006A1B2C"/>
    <w:rsid w:val="006A3B25"/>
    <w:rsid w:val="006A72A3"/>
    <w:rsid w:val="006E0069"/>
    <w:rsid w:val="006E4E97"/>
    <w:rsid w:val="006E6289"/>
    <w:rsid w:val="00702CFF"/>
    <w:rsid w:val="00714648"/>
    <w:rsid w:val="00721DB9"/>
    <w:rsid w:val="00733149"/>
    <w:rsid w:val="00736E8D"/>
    <w:rsid w:val="0078098B"/>
    <w:rsid w:val="00784532"/>
    <w:rsid w:val="00786F2D"/>
    <w:rsid w:val="007904F4"/>
    <w:rsid w:val="00793F11"/>
    <w:rsid w:val="00795E27"/>
    <w:rsid w:val="007A1C7D"/>
    <w:rsid w:val="007C12EB"/>
    <w:rsid w:val="007F24A8"/>
    <w:rsid w:val="0082037C"/>
    <w:rsid w:val="008301C9"/>
    <w:rsid w:val="008322D4"/>
    <w:rsid w:val="00833765"/>
    <w:rsid w:val="00835010"/>
    <w:rsid w:val="0085327D"/>
    <w:rsid w:val="00870EAD"/>
    <w:rsid w:val="00871235"/>
    <w:rsid w:val="00871A14"/>
    <w:rsid w:val="0087740E"/>
    <w:rsid w:val="008B09E9"/>
    <w:rsid w:val="008D728E"/>
    <w:rsid w:val="008E6FB2"/>
    <w:rsid w:val="00936C84"/>
    <w:rsid w:val="00953283"/>
    <w:rsid w:val="0095628D"/>
    <w:rsid w:val="00960A46"/>
    <w:rsid w:val="00972845"/>
    <w:rsid w:val="00985932"/>
    <w:rsid w:val="009B1A80"/>
    <w:rsid w:val="009B5EC1"/>
    <w:rsid w:val="009C0C74"/>
    <w:rsid w:val="009F0E53"/>
    <w:rsid w:val="00A07773"/>
    <w:rsid w:val="00A265F9"/>
    <w:rsid w:val="00A34FDD"/>
    <w:rsid w:val="00A378D2"/>
    <w:rsid w:val="00A71595"/>
    <w:rsid w:val="00A818BD"/>
    <w:rsid w:val="00A958BE"/>
    <w:rsid w:val="00AA070D"/>
    <w:rsid w:val="00AA117E"/>
    <w:rsid w:val="00AD100C"/>
    <w:rsid w:val="00AD3648"/>
    <w:rsid w:val="00AF243D"/>
    <w:rsid w:val="00B2646E"/>
    <w:rsid w:val="00B65A60"/>
    <w:rsid w:val="00B96D6F"/>
    <w:rsid w:val="00BA4349"/>
    <w:rsid w:val="00BA7396"/>
    <w:rsid w:val="00BD4282"/>
    <w:rsid w:val="00C179F9"/>
    <w:rsid w:val="00C27BB0"/>
    <w:rsid w:val="00C35FAB"/>
    <w:rsid w:val="00C5148C"/>
    <w:rsid w:val="00C72668"/>
    <w:rsid w:val="00C8551C"/>
    <w:rsid w:val="00C87DA2"/>
    <w:rsid w:val="00C9252B"/>
    <w:rsid w:val="00CB5EAF"/>
    <w:rsid w:val="00CF3075"/>
    <w:rsid w:val="00D04503"/>
    <w:rsid w:val="00D06D2A"/>
    <w:rsid w:val="00D27C82"/>
    <w:rsid w:val="00D4308A"/>
    <w:rsid w:val="00D7048B"/>
    <w:rsid w:val="00D76159"/>
    <w:rsid w:val="00D8097B"/>
    <w:rsid w:val="00D90B7F"/>
    <w:rsid w:val="00D97582"/>
    <w:rsid w:val="00DB04BB"/>
    <w:rsid w:val="00DB3BA0"/>
    <w:rsid w:val="00DF0B2E"/>
    <w:rsid w:val="00E0051F"/>
    <w:rsid w:val="00E10B5E"/>
    <w:rsid w:val="00E3478E"/>
    <w:rsid w:val="00E433DD"/>
    <w:rsid w:val="00E57F29"/>
    <w:rsid w:val="00E612CA"/>
    <w:rsid w:val="00E721E9"/>
    <w:rsid w:val="00EB7461"/>
    <w:rsid w:val="00ED0AF4"/>
    <w:rsid w:val="00ED4766"/>
    <w:rsid w:val="00F06721"/>
    <w:rsid w:val="00F6425E"/>
    <w:rsid w:val="00F6497A"/>
    <w:rsid w:val="00F668B9"/>
    <w:rsid w:val="00F7433F"/>
    <w:rsid w:val="00F92419"/>
    <w:rsid w:val="00FB6BD5"/>
    <w:rsid w:val="00FB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C3704"/>
  <w15:docId w15:val="{53AB2D87-FD29-422E-A855-B1B3E1F6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sr-Latn-RS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1C775-BF2E-4302-83AA-E5E35717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Lidija Radovic</cp:lastModifiedBy>
  <cp:revision>31</cp:revision>
  <cp:lastPrinted>2012-02-02T11:17:00Z</cp:lastPrinted>
  <dcterms:created xsi:type="dcterms:W3CDTF">2021-05-12T14:33:00Z</dcterms:created>
  <dcterms:modified xsi:type="dcterms:W3CDTF">2021-07-27T10:25:00Z</dcterms:modified>
</cp:coreProperties>
</file>