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B5C4A">
      <w:pPr>
        <w:pStyle w:val="2zakon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Uredba o obilježavanju duvanskih proizvoda i alkoholnih pića akciznim markicama</w:t>
      </w:r>
    </w:p>
    <w:p w:rsidR="00000000" w:rsidRDefault="006B5C4A">
      <w:pPr>
        <w:pStyle w:val="3mesto"/>
        <w:rPr>
          <w:rFonts w:ascii="Tahoma" w:hAnsi="Tahoma" w:cs="Tahoma"/>
        </w:rPr>
      </w:pPr>
      <w:r>
        <w:rPr>
          <w:rFonts w:ascii="Tahoma" w:hAnsi="Tahoma" w:cs="Tahoma"/>
        </w:rPr>
        <w:t xml:space="preserve">Uredba je objavljena u "Službenom listu CG", br. </w:t>
      </w:r>
      <w:hyperlink r:id="rId4" w:history="1">
        <w:r>
          <w:rPr>
            <w:rStyle w:val="Hyperlink"/>
            <w:rFonts w:ascii="Tahoma" w:hAnsi="Tahoma" w:cs="Tahoma"/>
            <w:color w:val="CC0000"/>
          </w:rPr>
          <w:t>28/2019</w:t>
        </w:r>
      </w:hyperlink>
      <w:r>
        <w:rPr>
          <w:rFonts w:ascii="Tahoma" w:hAnsi="Tahoma" w:cs="Tahoma"/>
        </w:rPr>
        <w:t xml:space="preserve">, </w:t>
      </w:r>
      <w:hyperlink r:id="rId5" w:history="1">
        <w:r>
          <w:rPr>
            <w:rStyle w:val="Hyperlink"/>
            <w:rFonts w:ascii="Tahoma" w:hAnsi="Tahoma" w:cs="Tahoma"/>
          </w:rPr>
          <w:t>28/2021</w:t>
        </w:r>
      </w:hyperlink>
      <w:r>
        <w:rPr>
          <w:rFonts w:ascii="Tahoma" w:hAnsi="Tahoma" w:cs="Tahoma"/>
        </w:rPr>
        <w:t xml:space="preserve"> i </w:t>
      </w:r>
      <w:hyperlink r:id="rId6" w:history="1">
        <w:r>
          <w:rPr>
            <w:rStyle w:val="Hyperlink"/>
            <w:rFonts w:ascii="Tahoma" w:hAnsi="Tahoma" w:cs="Tahoma"/>
          </w:rPr>
          <w:t>64/2023</w:t>
        </w:r>
      </w:hyperlink>
      <w:r>
        <w:rPr>
          <w:rFonts w:ascii="Tahoma" w:hAnsi="Tahoma" w:cs="Tahoma"/>
        </w:rPr>
        <w:t>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Predmet</w:t>
      </w:r>
    </w:p>
    <w:p w:rsidR="00000000" w:rsidRDefault="006B5C4A">
      <w:pPr>
        <w:jc w:val="center"/>
        <w:divId w:val="76526615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Ovom uredbom propisuje se izgled i sadržaj kontrolne i posebne akcizne markice, način i postupak odobravanja, štampanja i izdavanja akciznih markica i način vođenja evidencija o izdatim, iskorišćenim i neiskorišćenim akciznim markic</w:t>
      </w:r>
      <w:r>
        <w:rPr>
          <w:rFonts w:ascii="Tahoma" w:hAnsi="Tahoma" w:cs="Tahoma"/>
        </w:rPr>
        <w:t>ama za duvanske proizvode i alkoholna pića.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Stavljanje u slobodan promet duvanskih proizvoda i alkoholnih pića</w:t>
      </w:r>
    </w:p>
    <w:p w:rsidR="00000000" w:rsidRDefault="006B5C4A">
      <w:pPr>
        <w:jc w:val="center"/>
        <w:divId w:val="39219794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Duvanski proizvodi i alkoholna pića, osim piva i stonog vina, mogu se staviti u slobodan promet, odnosno upotrebu, ako su obilježeni akciz</w:t>
      </w:r>
      <w:r>
        <w:rPr>
          <w:rFonts w:ascii="Tahoma" w:hAnsi="Tahoma" w:cs="Tahoma"/>
        </w:rPr>
        <w:t>nom markicom u skladu sa čl. 3 do 6 ove uredbe.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Sadržaj kontrolne i posebne akcizne markice za duvanske proizvode</w:t>
      </w:r>
    </w:p>
    <w:p w:rsidR="00000000" w:rsidRDefault="006B5C4A">
      <w:pPr>
        <w:jc w:val="center"/>
        <w:divId w:val="80971432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3 ﻿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Kontrolna akcizna markica za obilježavanje duvanskih proizvoda, sadrži: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slovnu oznaku za duvanske proizvode: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a) koji su proizveden</w:t>
      </w:r>
      <w:r>
        <w:rPr>
          <w:rFonts w:ascii="Tahoma" w:hAnsi="Tahoma" w:cs="Tahoma"/>
        </w:rPr>
        <w:t>i u državi - D;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b) iz uvoza - U;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c) iz podtač. a) i b) ove tačke, u nedostatku akciznih markica - R;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grb Crne Gore i natpis: "Crna Gora/Ministarstvo finansija";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identifikacioni broj akcizne markice;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riječi: "for export only", za duvanske proizvode</w:t>
      </w:r>
      <w:r>
        <w:rPr>
          <w:rFonts w:ascii="Tahoma" w:hAnsi="Tahoma" w:cs="Tahoma"/>
        </w:rPr>
        <w:t xml:space="preserve"> koji se otpremaju, radi prodaje u slobodnim carinskim prodavnicama;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hologramsku traku;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bezbjednosni QR kod.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Posebna akcizna markica za obilježavanje duvanskih proizvoda, pored podataka iz stava 1 tač. 2, 3, 5 i 6 ovog člana, sadrži i slovnu oznaku z</w:t>
      </w:r>
      <w:r>
        <w:rPr>
          <w:rFonts w:ascii="Tahoma" w:hAnsi="Tahoma" w:cs="Tahoma"/>
        </w:rPr>
        <w:t>a duvanske proizvode koji se izvoze, a za koje ino-dobavljač nije dostavio posebnu akciznu markicu - E.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Akciznom markicom iz stava 1 tačka 1 podtačka a) ovog člana obilježavaju se i duvanski proizvodi, koji se u skladu sa carinskim propisima u okviru carin</w:t>
      </w:r>
      <w:r>
        <w:rPr>
          <w:rFonts w:ascii="Tahoma" w:hAnsi="Tahoma" w:cs="Tahoma"/>
        </w:rPr>
        <w:t>skog postupka aktivnog oplemenjivanja robe, stavljaju u slobodan promet na tržište Crne Gore.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Akcizna markica iz st. 1 i 2 ovog člana za obilježavanje duvanskih proizvoda je pravougaonog oblika, veličine 45x19 mm.</w:t>
      </w:r>
    </w:p>
    <w:p w:rsidR="00000000" w:rsidRDefault="006B5C4A">
      <w:pPr>
        <w:jc w:val="center"/>
        <w:divId w:val="175093011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Član 4 ﻿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Akcizne markice iz člana 3 ove u</w:t>
      </w:r>
      <w:r>
        <w:rPr>
          <w:rFonts w:ascii="Tahoma" w:hAnsi="Tahoma" w:cs="Tahoma"/>
        </w:rPr>
        <w:t>redbe, štampaju se u posebnim bojama, i to u: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žutoj boji za duvanske proizvode koji su proizvedeni u zemlji (oznaka D);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crvenoj boji za duvanske proizvode iz uvoza (oznaka U);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ljubičastoj boji za duvanske proizvode koji se otpremaju radi prodaje u</w:t>
      </w:r>
      <w:r>
        <w:rPr>
          <w:rFonts w:ascii="Tahoma" w:hAnsi="Tahoma" w:cs="Tahoma"/>
        </w:rPr>
        <w:t xml:space="preserve"> slobodnim carinskim prodavnicama ("for export only");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tamno crvenoj (bordo) boji za duvanske proizvode koji se izvoze, a za koje ino-dobavljač nije dostavio akcizne markice (oznaka E);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braon boji za duvanske proizvode iz tač. 1 i 2 ovog </w:t>
      </w:r>
      <w:r>
        <w:rPr>
          <w:rFonts w:ascii="Tahoma" w:hAnsi="Tahoma" w:cs="Tahoma"/>
        </w:rPr>
        <w:t>stava, u nedostatku akciznih markica (oznaka R).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Slovne oznake akciznih markica iz stava 1 ovog člana, za obilježavanje duvanskih proizvoda ispisuju se velikim štampanim slovima.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Sadržaj kontrolne i posebne akcizne markice za alkoholna pića</w:t>
      </w:r>
    </w:p>
    <w:p w:rsidR="00000000" w:rsidRDefault="006B5C4A">
      <w:pPr>
        <w:jc w:val="center"/>
        <w:divId w:val="103746175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5 ﻿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Kontr</w:t>
      </w:r>
      <w:r>
        <w:rPr>
          <w:rFonts w:ascii="Tahoma" w:hAnsi="Tahoma" w:cs="Tahoma"/>
        </w:rPr>
        <w:t>olna akcizna markica za obilježavanje alkoholnih pića, sadrži: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slovnu oznaku za alkoholna pića: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a) koja su proizvedena u državi - D;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b) iz uvoza - U;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c) za alkoholna pića iz podtač. a) i b) ove tačke, u nedostatku akciznih markica - R;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grb Crne Gore </w:t>
      </w:r>
      <w:r>
        <w:rPr>
          <w:rFonts w:ascii="Tahoma" w:hAnsi="Tahoma" w:cs="Tahoma"/>
        </w:rPr>
        <w:t>i natpis: "Crna Gora - Ministarstvo finansija";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identifikacioni broj akcizne markice;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riječi "for export only", za alkoholna pića koja se otpremaju, radi prodaje u slobodnim carinskim prodavnicama;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hologramsku traku;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bezbjednosni QR kod.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Posebn</w:t>
      </w:r>
      <w:r>
        <w:rPr>
          <w:rFonts w:ascii="Tahoma" w:hAnsi="Tahoma" w:cs="Tahoma"/>
        </w:rPr>
        <w:t>a akcizna markica za obilježavanje alkoholnih pića, pored podataka iz stava 1 tač. 2, 3, 5 i 6 ovog člana, sadrži i slovnu oznaku za alkoholna pića koja se izvoze, a za koja ino-dobavljač nije dostavio posebnu akciznu markicu - E.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Akciznom markicom iz stav</w:t>
      </w:r>
      <w:r>
        <w:rPr>
          <w:rFonts w:ascii="Tahoma" w:hAnsi="Tahoma" w:cs="Tahoma"/>
        </w:rPr>
        <w:t>a 1 tačka 1 podtačka a) ovog člana obilježavaju se i alkoholna pića, koja se u skladu sa carinskim propisima u okviru carinskog postupka aktivnog oplemenjivanja robe, stavljaju u slobodan promet na tržište Crne Gore.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Akcizna markica iz st. 1 i 2 ovog člana</w:t>
      </w:r>
      <w:r>
        <w:rPr>
          <w:rFonts w:ascii="Tahoma" w:hAnsi="Tahoma" w:cs="Tahoma"/>
        </w:rPr>
        <w:t xml:space="preserve"> za obilježavanje alkoholnih pića je pravougaonog oblika: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veličine 90 x 19 mm, za alkoholna pića upakovana u ambalaži preko 300 ml; ili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veličine 45 h 19 mm, za alkoholna pića upakovana u ambalaži do 300 ml.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U slučaju nemogućnosti obilježavanja alkoholn</w:t>
      </w:r>
      <w:r>
        <w:rPr>
          <w:rFonts w:ascii="Tahoma" w:hAnsi="Tahoma" w:cs="Tahoma"/>
        </w:rPr>
        <w:t>ih pića kontrolnim akciznim markicama odgovarajuće veličine u zavisnosti od zapremine ambalaže u skladu sa stavom 4 ovog člana, alkoholna pića mogu se, dok traje ta nemogućnost, obilježavati kontrolnim akciznim markicama iste veličine bez obzira na zapremi</w:t>
      </w:r>
      <w:r>
        <w:rPr>
          <w:rFonts w:ascii="Tahoma" w:hAnsi="Tahoma" w:cs="Tahoma"/>
        </w:rPr>
        <w:t>nu ambalaže.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Izgled akcizne markice za alkoholna pića</w:t>
      </w:r>
    </w:p>
    <w:p w:rsidR="00000000" w:rsidRDefault="006B5C4A">
      <w:pPr>
        <w:jc w:val="center"/>
        <w:divId w:val="197899311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6 ﻿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Akcizne markice iz člana 5 ove uredbe, štampaju se u posebnim bojama, i to u: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plavoj boji za alkoholna pića proizvedena u zemlji (oznaka D);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zelenoj boji za alkoholna pića iz uvoza (ozna</w:t>
      </w:r>
      <w:r>
        <w:rPr>
          <w:rFonts w:ascii="Tahoma" w:hAnsi="Tahoma" w:cs="Tahoma"/>
        </w:rPr>
        <w:t>ka U);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ljubičastoj boji za alkoholna pića koja se otpremaju radi prodaje u slobodnim carinskim prodavnicama - ("for export only");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tamno crvenoj (bordo) boji za alkoholna pića koja se izvoze, a za koje ino-dobavljač nije dostavio akcizne markice - (o</w:t>
      </w:r>
      <w:r>
        <w:rPr>
          <w:rFonts w:ascii="Tahoma" w:hAnsi="Tahoma" w:cs="Tahoma"/>
        </w:rPr>
        <w:t>znaka E);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braon boji za alkoholna pića iz tač. 1 i 2 ovog stava, u nedostatku akciznih markica (oznaka R).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Slovne oznake akciznih markica iz stava 1 ovog člana, za obilježavanje alkoholnih pića ispisuju se velikim štampanim slovima.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Način obilježavanja duvanskih proizvoda i alkoholnih pića akciznim markicama</w:t>
      </w:r>
    </w:p>
    <w:p w:rsidR="00000000" w:rsidRDefault="006B5C4A">
      <w:pPr>
        <w:jc w:val="center"/>
        <w:divId w:val="197593949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7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Obilježavanje duvanskih proizvoda i alkoholnih pića, vrši se lijepljenjem akcizne markice na kutiji (paklici), odnosno flaši ili drugoj ambalaži u koju se pakuju proizvodi,</w:t>
      </w:r>
      <w:r>
        <w:rPr>
          <w:rFonts w:ascii="Tahoma" w:hAnsi="Tahoma" w:cs="Tahoma"/>
        </w:rPr>
        <w:t xml:space="preserve"> na način kojima se obezbjeđuje vidljivost podataka.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Akcizna markica za obilježavanje duvanskih proizvoda mora da bude nalijepljena na ambalaži ispod celofanskog ili drugog omotača, tako da je vidljiva i da se ne može odstraniti, a da se ne ošteti ambalaža</w:t>
      </w:r>
      <w:r>
        <w:rPr>
          <w:rFonts w:ascii="Tahoma" w:hAnsi="Tahoma" w:cs="Tahoma"/>
        </w:rPr>
        <w:t>, osim kod originalne ambalaže za cigare i cigarilose, koja ne sadrži celofanski ili drugi omotač, gdje akcizna markica može da bude nalijepljena direktno na ambalažu.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Akcizna markica za obilježavanje alkoholnih pića lijepi se preko zatvarača flaše ili dru</w:t>
      </w:r>
      <w:r>
        <w:rPr>
          <w:rFonts w:ascii="Tahoma" w:hAnsi="Tahoma" w:cs="Tahoma"/>
        </w:rPr>
        <w:t>ge ambalaže, odnosno preko drugog mjesta predviđenog za otvaranje ambalaže, tako da se flaša ili druga ambalaža ne može otvoriti, a da se akcizna markica ne iscijepa.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Štampanje akciznih markica</w:t>
      </w:r>
    </w:p>
    <w:p w:rsidR="00000000" w:rsidRDefault="006B5C4A">
      <w:pPr>
        <w:jc w:val="center"/>
        <w:divId w:val="120082066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8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Štampanje akciznih markica vrši pravno lice sa kojim se</w:t>
      </w:r>
      <w:r>
        <w:rPr>
          <w:rFonts w:ascii="Tahoma" w:hAnsi="Tahoma" w:cs="Tahoma"/>
        </w:rPr>
        <w:t xml:space="preserve"> zaključi ugovor o štampanju kontrolnih i posebnih akciznih markica, nakon sprovedenog postupka u skladu sa zakonom kojim se uređuju javne nabavke.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Akcizna markica iz stava 1 ovog člana, za duvanske proizvode štampa se na bezdrvnom papiru, koji omogućava n</w:t>
      </w:r>
      <w:r>
        <w:rPr>
          <w:rFonts w:ascii="Tahoma" w:hAnsi="Tahoma" w:cs="Tahoma"/>
        </w:rPr>
        <w:t>anošenje lijepka prilikom lijepljenja akcizne markice.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Akcizna markica iz stava 1 ovog člana, za alkoholna pića štampa se na samoljepljivoj naljepnici.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Akcizne markice iz st. 2 i 3 ovog člana, treba da sadrže: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podatke iz čl. 3 do 6 ove uredbe;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boju pro</w:t>
      </w:r>
      <w:r>
        <w:rPr>
          <w:rFonts w:ascii="Tahoma" w:hAnsi="Tahoma" w:cs="Tahoma"/>
        </w:rPr>
        <w:t>tiv kopiranja;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giloš linije;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sigurnosno isijecanje/rezanje akcizne markice.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Kontrola porudžbine, odobravanja, štampanja i izdavanja kontrolnih i posebnih akciznih markica vrši se putem informacionog sistema, koji treba da omogući i kontrolu upotrebe ko</w:t>
      </w:r>
      <w:r>
        <w:rPr>
          <w:rFonts w:ascii="Tahoma" w:hAnsi="Tahoma" w:cs="Tahoma"/>
        </w:rPr>
        <w:t>ntrolnih i posebnih akciznih markica (verifikaciju proizvoda), i to provjerom: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 identifikacionog broja akcizne markice,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bezbjedonosnog QR koda,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digitalnih i drugih sigurnosnih elemenata.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Kontrola upotrebe kontrolnih i posebnih akciznih markica, vrši s</w:t>
      </w:r>
      <w:r>
        <w:rPr>
          <w:rFonts w:ascii="Tahoma" w:hAnsi="Tahoma" w:cs="Tahoma"/>
        </w:rPr>
        <w:t>e pristupom informacionom sistemu iz stava 5 ovog člana i sa udaljene lokacije.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Uslovi koje treba da ispuni proizvođač, odnosno uvoznik duvanskih proizvoda</w:t>
      </w:r>
    </w:p>
    <w:p w:rsidR="00000000" w:rsidRDefault="006B5C4A">
      <w:pPr>
        <w:jc w:val="center"/>
        <w:divId w:val="133464614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9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Zahtjev za izdavanje kontrolnih i posebnih akciznih markica za obilježavanje duvanskih proizv</w:t>
      </w:r>
      <w:r>
        <w:rPr>
          <w:rFonts w:ascii="Tahoma" w:hAnsi="Tahoma" w:cs="Tahoma"/>
        </w:rPr>
        <w:t>oda podnosi proizvođač, odnosno uvoznik duvanskih proizvoda, ako je: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upisan u Centralni registar privrednih subjekata (u daljem tekstu: CRPS) za obavljanje djelatnosti proizvodnje i prometa duvanskih proizvoda;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registrovan kao akcizni obveznik kod or</w:t>
      </w:r>
      <w:r>
        <w:rPr>
          <w:rFonts w:ascii="Tahoma" w:hAnsi="Tahoma" w:cs="Tahoma"/>
        </w:rPr>
        <w:t>gana uprave nadležnog za poslove carina (u daljem tekstu: Uprava);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duvanski proizvod, za koji se traži izdavanje akciznih markica, upisan u Registar o markama duvanskih proizvoda;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maloprodajna cijena cigareta za koje se zahtijeva </w:t>
      </w:r>
      <w:r>
        <w:rPr>
          <w:rFonts w:ascii="Tahoma" w:hAnsi="Tahoma" w:cs="Tahoma"/>
        </w:rPr>
        <w:t>izdavanje akciznih markica objavljena u "Službenom listu Crne Gore".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Uslovi koje treba da ispuni proizvođač, odnosno uvoznik alkoholnih pića</w:t>
      </w:r>
    </w:p>
    <w:p w:rsidR="00000000" w:rsidRDefault="006B5C4A">
      <w:pPr>
        <w:jc w:val="center"/>
        <w:divId w:val="138282489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10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Zahtjev za izdavanje kontrolnih i posebnih akciznih markica za obilježavanje alkoholnih pića podnosi proizv</w:t>
      </w:r>
      <w:r>
        <w:rPr>
          <w:rFonts w:ascii="Tahoma" w:hAnsi="Tahoma" w:cs="Tahoma"/>
        </w:rPr>
        <w:t>ođač, odnosno uvoznik, alkoholnih pića ako je: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upisan u CRPS za obavljanje djelatnosti proizvodnje i prometa alkoholnih pića;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registrovan kao akcizni obveznik kod Uprave;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organ državne uprave nadležan za poslove poljoprivrede odobrio stavljanje u </w:t>
      </w:r>
      <w:r>
        <w:rPr>
          <w:rFonts w:ascii="Tahoma" w:hAnsi="Tahoma" w:cs="Tahoma"/>
        </w:rPr>
        <w:t>promet alkoholnih pića.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Zahtjev za izdavanje kontrolnih i posebnih akciznih markica za duvanske proizvode i alkoholna pića</w:t>
      </w:r>
    </w:p>
    <w:p w:rsidR="00000000" w:rsidRDefault="006B5C4A">
      <w:pPr>
        <w:jc w:val="center"/>
        <w:divId w:val="159929264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11 ﻿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Proizvođač, odnosno uvoznik iz čl. 9 i 10 ove uredbe, podnosi Upravi zahtjev za izdavanje kontrolnih i posebnih akciznih ma</w:t>
      </w:r>
      <w:r>
        <w:rPr>
          <w:rFonts w:ascii="Tahoma" w:hAnsi="Tahoma" w:cs="Tahoma"/>
        </w:rPr>
        <w:t>rkica u elektronskom obliku, na obrascu 1, uz dokaz o uplati stvarnih troškova štampanja akciznih markica.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Izuzetno od stava 1 ovog člana, zahtjev može da se podnese Upravi i u štampanom obliku (u tri samokopirajuća primjerka), po prethodnom odobrenju Upra</w:t>
      </w:r>
      <w:r>
        <w:rPr>
          <w:rFonts w:ascii="Tahoma" w:hAnsi="Tahoma" w:cs="Tahoma"/>
        </w:rPr>
        <w:t>ve, kao i u slučaju nefunkcionisanja informacionog sistema Uprave ili podnosioca zahtjeva.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Zahtjev za izdavanje kontrolnih i posebnih akciznih markica, može se podnijeti tri puta mjesečno prema vrsti akciznog proizvoda, odnosno po odobrenju Uprave i više p</w:t>
      </w:r>
      <w:r>
        <w:rPr>
          <w:rFonts w:ascii="Tahoma" w:hAnsi="Tahoma" w:cs="Tahoma"/>
        </w:rPr>
        <w:t>uta mjesečno.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Odobravanje zahtjeva za izdavanje kontrolnih i posebnih akciznih markica</w:t>
      </w:r>
    </w:p>
    <w:p w:rsidR="00000000" w:rsidRDefault="006B5C4A">
      <w:pPr>
        <w:jc w:val="center"/>
        <w:divId w:val="168666714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12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Nakon prijema zahtjeva, ako su ispunjeni uslovi iz čl. 9 i 10 ove uredbe, Uprava u roku od 3 dana, od dana podnošenja zahtjeva donosi rješenje o odobrenju zahtj</w:t>
      </w:r>
      <w:r>
        <w:rPr>
          <w:rFonts w:ascii="Tahoma" w:hAnsi="Tahoma" w:cs="Tahoma"/>
        </w:rPr>
        <w:t>eva za izdavanje kontrolnih i posebnih akciznih markica.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Instrument osiguranja plaćanja</w:t>
      </w:r>
    </w:p>
    <w:p w:rsidR="00000000" w:rsidRDefault="006B5C4A">
      <w:pPr>
        <w:jc w:val="center"/>
        <w:divId w:val="56079200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13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Proizvođač, odnosno uvoznik cigareta, prilikom preuzimanja kontrolnih i posebnih akciznih markica, podnosi Upravi sredstvo obezbjeđenja plaćanja u vidu bankarsk</w:t>
      </w:r>
      <w:r>
        <w:rPr>
          <w:rFonts w:ascii="Tahoma" w:hAnsi="Tahoma" w:cs="Tahoma"/>
        </w:rPr>
        <w:t>e garancije naplative na prvi poziv, u visini obračunate akcize na akciznoj prijavi, za izdavanje akciznih markica iz člana 3 stav 1 ove uredbe.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Odustajanje od zahtjeva</w:t>
      </w:r>
    </w:p>
    <w:p w:rsidR="00000000" w:rsidRDefault="006B5C4A">
      <w:pPr>
        <w:jc w:val="center"/>
        <w:divId w:val="144219018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14 ﻿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Akcizne markice može da preuzme lice koje je ovlastio proizvođač, odnosno uvo</w:t>
      </w:r>
      <w:r>
        <w:rPr>
          <w:rFonts w:ascii="Tahoma" w:hAnsi="Tahoma" w:cs="Tahoma"/>
        </w:rPr>
        <w:t>znik duvanskih proizvoda, odnosno alkoholnih pića.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Ako proizvođač, odnosno uvoznik, u roku od 10 dana od dana odobrenja zahtjeva za izdavanje kontrolnih i posebnih akciznih markica ne izvrši njihovo preuzimanje, rješenje iz člana 12 ove uredbe obavezno će </w:t>
      </w:r>
      <w:r>
        <w:rPr>
          <w:rFonts w:ascii="Tahoma" w:hAnsi="Tahoma" w:cs="Tahoma"/>
        </w:rPr>
        <w:t>se poništiti.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Podaci o uvozu duvanskih proizvoda i alkoholnih pića</w:t>
      </w:r>
    </w:p>
    <w:p w:rsidR="00000000" w:rsidRDefault="006B5C4A">
      <w:pPr>
        <w:jc w:val="center"/>
        <w:divId w:val="188325132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15 ﻿</w:t>
      </w:r>
    </w:p>
    <w:p w:rsidR="00000000" w:rsidRDefault="006B5C4A">
      <w:pPr>
        <w:jc w:val="center"/>
        <w:divId w:val="4588295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- brisan -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Neiskorišćene akcizne markice</w:t>
      </w:r>
    </w:p>
    <w:p w:rsidR="00000000" w:rsidRDefault="006B5C4A">
      <w:pPr>
        <w:jc w:val="center"/>
        <w:divId w:val="82019920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16 ﻿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Neiskorišćena kontrolna i posebna akcizna markica za duvanske proizvode i alkoholna pića, obuhvata: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akciznu markicu koju proizvođač ili uvoznik nije iskoristio: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u roku od 60 dana od dana preuzimanja akciznih markica, za duvanske proizvode;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u roku od jedne godine od dana preuzimanja akciznih markica za alkoholna pića;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akciznu markicu koja ima oš</w:t>
      </w:r>
      <w:r>
        <w:rPr>
          <w:rFonts w:ascii="Tahoma" w:hAnsi="Tahoma" w:cs="Tahoma"/>
        </w:rPr>
        <w:t>tećeno manje od 50% ukupne površine akcizne markice,i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akciznu markicu koja je oštećena u velikoj mjeri prilikom lijepljenja u procesu proizvodnje, tako da se ne može vratiti Upravi.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Akcizna markice iz stava 1 tač. 1 i 2 ovog člana, za: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duvanske proizv</w:t>
      </w:r>
      <w:r>
        <w:rPr>
          <w:rFonts w:ascii="Tahoma" w:hAnsi="Tahoma" w:cs="Tahoma"/>
        </w:rPr>
        <w:t xml:space="preserve">ode, proizvođač, odnosno uvoznik, vraća Upravi zalijepljene na jednom ili više posebnih tabaka papira, osim količina koje se nalaze u originalnoj ambalaži za </w:t>
      </w:r>
      <w:r>
        <w:rPr>
          <w:rFonts w:ascii="Tahoma" w:hAnsi="Tahoma" w:cs="Tahoma"/>
        </w:rPr>
        <w:lastRenderedPageBreak/>
        <w:t>najmanje pojedinačno pakovanje, kada se vraćaju u toj ambalaži, u roku od 60 dana od dana preuzima</w:t>
      </w:r>
      <w:r>
        <w:rPr>
          <w:rFonts w:ascii="Tahoma" w:hAnsi="Tahoma" w:cs="Tahoma"/>
        </w:rPr>
        <w:t>nja akciznih markica;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alkoholna pića, proizvođač odnosno uvoznik, vraća Upravi u obliku u kojem su preuzete (tabak ili rolna), u roku od jedne godine od dana preuzimanja akciznih markica.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Akcizne markice iz stava 1 tačka 2 ovog člana Uprava uništava u sk</w:t>
      </w:r>
      <w:r>
        <w:rPr>
          <w:rFonts w:ascii="Tahoma" w:hAnsi="Tahoma" w:cs="Tahoma"/>
        </w:rPr>
        <w:t>ladu sa zakonom.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Akcizni obveznik je dužan da za akcizne markice iz stava 1 tačka 3 ovog člana, dostavi Upravi podatke o broju tih akciznih markica, u roku od 60 dana, od dana preuzimanja.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Ako je po zahtjevu za izdavanje akciznih markica količina akciznih </w:t>
      </w:r>
      <w:r>
        <w:rPr>
          <w:rFonts w:ascii="Tahoma" w:hAnsi="Tahoma" w:cs="Tahoma"/>
        </w:rPr>
        <w:t>markica iz stava 4 ovog člana veća od 0,1% od broja preuzetih markica, akcizni obveznik je dužan da obračuna i plati akcizu za količinu markica koje prelaze 0,1% na osnovicu koju čini najviša maloprodajna cijena cigareta tog akciznog obveznika u momentu ob</w:t>
      </w:r>
      <w:r>
        <w:rPr>
          <w:rFonts w:ascii="Tahoma" w:hAnsi="Tahoma" w:cs="Tahoma"/>
        </w:rPr>
        <w:t>računa akcize.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Neiskorišćene akcizne markice koje proizvođač, odnosno uvoznik: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vrati u originalnom pakovanju se evidentiraju u elektronskom informacionom sistemu Uprave na stanju zaliha,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ne vrati u originalnom pakovanju Uprava uništava.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Vođenje eviden</w:t>
      </w:r>
      <w:r>
        <w:rPr>
          <w:rFonts w:ascii="Tahoma" w:hAnsi="Tahoma" w:cs="Tahoma"/>
        </w:rPr>
        <w:t>cije o iskorišćenim i neiskorišćenim kontrolnim i posebnim akciznim markicama</w:t>
      </w:r>
    </w:p>
    <w:p w:rsidR="00000000" w:rsidRDefault="006B5C4A">
      <w:pPr>
        <w:jc w:val="center"/>
        <w:divId w:val="108471641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17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Uprava vodi elektronsku evidenciju o iskorišćenim i neiskorišćenim kontrolnim i posebnim akciznim markicama, na osnovu podataka koje proizvođač, odnosno uvoznik duvanskih</w:t>
      </w:r>
      <w:r>
        <w:rPr>
          <w:rFonts w:ascii="Tahoma" w:hAnsi="Tahoma" w:cs="Tahoma"/>
        </w:rPr>
        <w:t xml:space="preserve"> proizvoda i alkoholnih pića dužan da dostavlja Upravi, za cigarete najkasnije u roku od 60 od dana preuzimanja, a za ostale duvanske proizvode i alkoholna pića, najkasnije u roku od 15 dana po isteku svakog kvartala, i to o: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broju (količini) po vrsti p</w:t>
      </w:r>
      <w:r>
        <w:rPr>
          <w:rFonts w:ascii="Tahoma" w:hAnsi="Tahoma" w:cs="Tahoma"/>
        </w:rPr>
        <w:t>reuzetih akciznih markica;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broju (količini) po vrsti iskorišćenih akciznih markica za kvartal za koji se dostavljaju podaci;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broju (količini) po vrsti i količini neiskorišćenih akciznih markica;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količini proizvedenih i prodatih alkoholnih pića po </w:t>
      </w:r>
      <w:r>
        <w:rPr>
          <w:rFonts w:ascii="Tahoma" w:hAnsi="Tahoma" w:cs="Tahoma"/>
        </w:rPr>
        <w:t>vrsti, količini (ml) i procentu alkohola;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količini prodatih alkoholnih pića za potrebe slobodnih carinskih prodavnica po vrsti, količini (ml) i procentu alkohola.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Novčane kazne</w:t>
      </w:r>
    </w:p>
    <w:p w:rsidR="00000000" w:rsidRDefault="006B5C4A">
      <w:pPr>
        <w:jc w:val="center"/>
        <w:divId w:val="62836197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18 ﻿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Novčanom kaznom u iznosu od 1.000 eura do 20.000 eura kazniće se z</w:t>
      </w:r>
      <w:r>
        <w:rPr>
          <w:rFonts w:ascii="Tahoma" w:hAnsi="Tahoma" w:cs="Tahoma"/>
        </w:rPr>
        <w:t>a prekršaj pravno lice, ako: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ne dostavi Upravi podatak o broju markica koje su u velikoj mjeri oštećene prilikom lijepljenja u procesu proizvodnje u roku od 60 dana od dana preuzimanja akciznih markica (član 16 stav 4);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ne obračuna i ne plati akcizu </w:t>
      </w:r>
      <w:r>
        <w:rPr>
          <w:rFonts w:ascii="Tahoma" w:hAnsi="Tahoma" w:cs="Tahoma"/>
        </w:rPr>
        <w:t>iz člana 16 stav 5 ove uredbe;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u propisanom roku ne dostavi podatke iz člana 17 ove uredbe.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 prekršaj iz stava 1 ovog člana kazniće se i odgovorno lice u pravnom licu novčanom kaznom u iznosu od 60 eura do 4000 eura.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Za prekršaj iz stava 1 ovog člana kazniće se i preduzetnik novčanom kaznom u iznosu od 300 eura do 12000 eura.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 prekršaj iz stava 1 ovog člana kazniće se i fizičko lice novčanom kaznom u iznosu od 60 eura do 4000 eura.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Zalihe akciznih markica za duvansk</w:t>
      </w:r>
      <w:r>
        <w:rPr>
          <w:rFonts w:ascii="Tahoma" w:hAnsi="Tahoma" w:cs="Tahoma"/>
        </w:rPr>
        <w:t>e proizvode i alkoholna pića</w:t>
      </w:r>
    </w:p>
    <w:p w:rsidR="00000000" w:rsidRDefault="006B5C4A">
      <w:pPr>
        <w:jc w:val="center"/>
        <w:divId w:val="30454824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19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Proizvođač, odnosno uvoznik duvanskih proizvoda i alkoholnih pića, koji ima na zalihama akcizne markice za cigarete izdate u skladu sa Uredbom o obilježavanju duvanskih proizvoda i alkoholnih pića kontrolnim akciznim ma</w:t>
      </w:r>
      <w:r>
        <w:rPr>
          <w:rFonts w:ascii="Tahoma" w:hAnsi="Tahoma" w:cs="Tahoma"/>
        </w:rPr>
        <w:t>rkicama ("Službeni list RCG", broj 82/05 i "Službeni list CG", br. 22/09, 89/09, 53/12, 11/13, 19/14, 58/14 i 9/18), akcizne markice može da iskoristi u roku od 60 dana, od dana njihovog preuzimanja, a akcizne markice za druge duvanske proizvode i alkoholn</w:t>
      </w:r>
      <w:r>
        <w:rPr>
          <w:rFonts w:ascii="Tahoma" w:hAnsi="Tahoma" w:cs="Tahoma"/>
        </w:rPr>
        <w:t>a pića do kraja narednog kvartala od dana stupanja na snagu ove uredbe.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Vremensko ograničenje primjene</w:t>
      </w:r>
    </w:p>
    <w:p w:rsidR="00000000" w:rsidRDefault="006B5C4A">
      <w:pPr>
        <w:jc w:val="center"/>
        <w:divId w:val="197745017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19a</w:t>
      </w:r>
    </w:p>
    <w:p w:rsidR="00000000" w:rsidRDefault="006B5C4A">
      <w:pPr>
        <w:pStyle w:val="1tekst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Odredba člana 5 stav 5 ove uredbe primjenjivaće se do 1. oktobra 2023. godine.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Obrasci</w:t>
      </w:r>
    </w:p>
    <w:p w:rsidR="00000000" w:rsidRDefault="006B5C4A">
      <w:pPr>
        <w:jc w:val="center"/>
        <w:divId w:val="153206497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20 ﻿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Obrazac 1 čini sastavni dio ove uredbe.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Pres</w:t>
      </w:r>
      <w:r>
        <w:rPr>
          <w:rFonts w:ascii="Tahoma" w:hAnsi="Tahoma" w:cs="Tahoma"/>
        </w:rPr>
        <w:t>tanak važenja</w:t>
      </w:r>
    </w:p>
    <w:p w:rsidR="00000000" w:rsidRDefault="006B5C4A">
      <w:pPr>
        <w:jc w:val="center"/>
        <w:divId w:val="22186466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21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Danom stupanja na snagu ove uredbe prestaje da važi Uredba o obilježavanju duvanskih prerađevina i alkoholnih pića akciznim markicama ("Službeni list RCG", broj 82/05 i "Službeni list CG", br. 22/09, 89/09, 53/12, 11/13, 19/14, 58/14 </w:t>
      </w:r>
      <w:r>
        <w:rPr>
          <w:rFonts w:ascii="Tahoma" w:hAnsi="Tahoma" w:cs="Tahoma"/>
        </w:rPr>
        <w:t>i 9/18).</w:t>
      </w:r>
    </w:p>
    <w:p w:rsidR="00000000" w:rsidRDefault="006B5C4A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Stupanje na snagu</w:t>
      </w:r>
    </w:p>
    <w:p w:rsidR="00000000" w:rsidRDefault="006B5C4A">
      <w:pPr>
        <w:jc w:val="center"/>
        <w:divId w:val="203387268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22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Ova uredba stupa na snagu osmog dana od dana objavljivanja u "Službenom listu Crne Gore".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000000" w:rsidRDefault="006B5C4A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</w:rPr>
        <w:t xml:space="preserve">NAPOMENA REDAKCIJE: </w:t>
      </w:r>
      <w:r>
        <w:rPr>
          <w:rFonts w:ascii="Tahoma" w:hAnsi="Tahoma" w:cs="Tahoma"/>
          <w:i/>
          <w:iCs/>
        </w:rPr>
        <w:t>Obrasce i priloge u PDF formatu možete preuzeti klikom na sledeći link:</w:t>
      </w:r>
    </w:p>
    <w:p w:rsidR="00000000" w:rsidRDefault="006B5C4A">
      <w:pPr>
        <w:pStyle w:val="1tekst"/>
        <w:rPr>
          <w:rFonts w:ascii="Tahoma" w:hAnsi="Tahoma" w:cs="Tahoma"/>
        </w:rPr>
      </w:pPr>
      <w:hyperlink r:id="rId7" w:tgtFrame="_blank" w:history="1">
        <w:r>
          <w:rPr>
            <w:rStyle w:val="Hyperlink"/>
            <w:rFonts w:ascii="Tahoma" w:hAnsi="Tahoma" w:cs="Tahoma"/>
            <w:b/>
            <w:bCs/>
          </w:rPr>
          <w:t>Obrazac 1</w:t>
        </w:r>
      </w:hyperlink>
      <w:r>
        <w:rPr>
          <w:rFonts w:ascii="Tahoma" w:hAnsi="Tahoma" w:cs="Tahoma"/>
        </w:rPr>
        <w:t xml:space="preserve"> (Zahtjev za izdavanje kontrolnih i posebnih akciznih markica)</w:t>
      </w:r>
    </w:p>
    <w:p w:rsidR="00000000" w:rsidRDefault="006B5C4A">
      <w:pPr>
        <w:pStyle w:val="1tekst"/>
        <w:rPr>
          <w:rFonts w:ascii="Tahoma" w:hAnsi="Tahoma" w:cs="Tahoma"/>
        </w:rPr>
      </w:pPr>
      <w:hyperlink r:id="rId8" w:tgtFrame="_blank" w:history="1">
        <w:r>
          <w:rPr>
            <w:rStyle w:val="Hyperlink"/>
            <w:rFonts w:ascii="Tahoma" w:hAnsi="Tahoma" w:cs="Tahoma"/>
            <w:b/>
            <w:bCs/>
          </w:rPr>
          <w:t>Prilog I</w:t>
        </w:r>
      </w:hyperlink>
      <w:r>
        <w:rPr>
          <w:rFonts w:ascii="Tahoma" w:hAnsi="Tahoma" w:cs="Tahoma"/>
        </w:rPr>
        <w:t xml:space="preserve"> (Specifikacija akciznih markica za duvanske proizvode)</w:t>
      </w:r>
    </w:p>
    <w:p w:rsidR="00000000" w:rsidRDefault="006B5C4A">
      <w:pPr>
        <w:pStyle w:val="1tekst"/>
        <w:rPr>
          <w:rFonts w:ascii="Tahoma" w:hAnsi="Tahoma" w:cs="Tahoma"/>
        </w:rPr>
      </w:pPr>
      <w:hyperlink r:id="rId9" w:tgtFrame="_blank" w:history="1">
        <w:r>
          <w:rPr>
            <w:rStyle w:val="Hyperlink"/>
            <w:rFonts w:ascii="Tahoma" w:hAnsi="Tahoma" w:cs="Tahoma"/>
            <w:b/>
            <w:bCs/>
          </w:rPr>
          <w:t>Prilog II</w:t>
        </w:r>
      </w:hyperlink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(Specifikacija akciznih markica za alkoholna pića)</w:t>
      </w:r>
    </w:p>
    <w:p w:rsidR="006B5C4A" w:rsidRDefault="006B5C4A">
      <w:pPr>
        <w:pStyle w:val="1tekst"/>
        <w:rPr>
          <w:rFonts w:ascii="Tahoma" w:hAnsi="Tahoma" w:cs="Tahoma"/>
        </w:rPr>
      </w:pPr>
      <w:hyperlink r:id="rId10" w:tgtFrame="_blank" w:history="1">
        <w:r>
          <w:rPr>
            <w:rStyle w:val="Hyperlink"/>
            <w:rFonts w:ascii="Tahoma" w:hAnsi="Tahoma" w:cs="Tahoma"/>
            <w:b/>
            <w:bCs/>
          </w:rPr>
          <w:t>Obrazac 2</w:t>
        </w:r>
      </w:hyperlink>
      <w:r>
        <w:rPr>
          <w:rFonts w:ascii="Tahoma" w:hAnsi="Tahoma" w:cs="Tahoma"/>
        </w:rPr>
        <w:t xml:space="preserve"> (Podaci o izvršenom uvozu duvanskih proizvoda i alkoholnih pića)</w:t>
      </w:r>
    </w:p>
    <w:sectPr w:rsidR="006B5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6B"/>
    <w:rsid w:val="00316E6B"/>
    <w:rsid w:val="006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6B0B7-E62A-47FE-BAF1-23C78B2C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898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4795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9472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40581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694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5770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13001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758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0062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16347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06612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575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30017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9648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0962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8780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54184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59922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93690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4370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3462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2811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65099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0219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Uredba o obilježavanju duvanskih proizvoda i alkoholnih pića akciznim markicama</vt:lpstr>
    </vt:vector>
  </TitlesOfParts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Uredba o obilježavanju duvanskih proizvoda i alkoholnih pića akciznim markicama</dc:title>
  <dc:subject/>
  <dc:creator>Danijela Pejovic</dc:creator>
  <cp:keywords/>
  <dc:description/>
  <cp:lastModifiedBy>Danijela Pejovic</cp:lastModifiedBy>
  <cp:revision>2</cp:revision>
  <dcterms:created xsi:type="dcterms:W3CDTF">2026-03-24T06:32:00Z</dcterms:created>
  <dcterms:modified xsi:type="dcterms:W3CDTF">2026-03-24T06:32:00Z</dcterms:modified>
</cp:coreProperties>
</file>