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0BF3" w14:textId="77777777" w:rsidR="00A07773" w:rsidRPr="004D4F07" w:rsidRDefault="00A07773" w:rsidP="00A0777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lang w:val="sr-Latn-ME"/>
        </w:rPr>
      </w:pPr>
      <w:r w:rsidRPr="004D4F07">
        <w:rPr>
          <w:rFonts w:asciiTheme="minorHAnsi" w:hAnsiTheme="minorHAnsi" w:cstheme="minorHAnsi"/>
          <w:b/>
          <w:sz w:val="22"/>
          <w:lang w:val="sr-Latn-ME"/>
        </w:rPr>
        <w:t>OBRAZAC</w:t>
      </w:r>
    </w:p>
    <w:p w14:paraId="3F752E5D" w14:textId="77777777" w:rsidR="00067FCF" w:rsidRPr="004D4F07" w:rsidRDefault="00067FCF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lang w:val="sr-Latn-ME"/>
        </w:rPr>
      </w:pPr>
    </w:p>
    <w:p w14:paraId="0D806B66" w14:textId="77777777" w:rsidR="00067FCF" w:rsidRPr="004D4F07" w:rsidRDefault="00067FCF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lang w:val="sr-Latn-ME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7"/>
        <w:gridCol w:w="5453"/>
      </w:tblGrid>
      <w:tr w:rsidR="00BA2880" w:rsidRPr="004D4F07" w14:paraId="580E3305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2A4D1B8" w14:textId="77777777" w:rsidR="00C72668" w:rsidRPr="004D4F07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IZVJEŠTAJ</w:t>
            </w:r>
            <w:r w:rsidR="005F6D49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 SPROVEDENOJ ANALIZI PROCJENE UTICAJA PROPISA</w:t>
            </w:r>
          </w:p>
        </w:tc>
      </w:tr>
      <w:tr w:rsidR="00BA2880" w:rsidRPr="004D4F07" w14:paraId="3DF10B64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33C822FB" w14:textId="77777777" w:rsidR="008322D4" w:rsidRPr="004D4F07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PREDLAGA</w:t>
            </w:r>
            <w:r w:rsidR="005F6D49" w:rsidRPr="004D4F07">
              <w:rPr>
                <w:rFonts w:asciiTheme="minorHAnsi" w:hAnsiTheme="minorHAnsi" w:cstheme="minorHAnsi"/>
                <w:sz w:val="22"/>
                <w:lang w:val="sr-Latn-ME"/>
              </w:rPr>
              <w:t>Č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PROPISA</w:t>
            </w:r>
          </w:p>
        </w:tc>
        <w:tc>
          <w:tcPr>
            <w:tcW w:w="5598" w:type="dxa"/>
          </w:tcPr>
          <w:p w14:paraId="1FF2BAB2" w14:textId="77777777" w:rsidR="008322D4" w:rsidRPr="004D4F07" w:rsidRDefault="00F726EC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>Ministarstvo ekonomskog razvoja</w:t>
            </w:r>
          </w:p>
        </w:tc>
      </w:tr>
      <w:tr w:rsidR="00BA2880" w:rsidRPr="004D4F07" w14:paraId="642FAAA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634ED52A" w14:textId="77777777" w:rsidR="008322D4" w:rsidRPr="004D4F07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NA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ZIV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PROPISA</w:t>
            </w:r>
          </w:p>
        </w:tc>
        <w:tc>
          <w:tcPr>
            <w:tcW w:w="5598" w:type="dxa"/>
          </w:tcPr>
          <w:p w14:paraId="6254A44B" w14:textId="5B1693C1" w:rsidR="008322D4" w:rsidRPr="004D4F07" w:rsidRDefault="005B551D" w:rsidP="008322D4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lang w:val="sr-Latn-ME"/>
              </w:rPr>
            </w:pPr>
            <w:proofErr w:type="spellStart"/>
            <w:r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>Predlog</w:t>
            </w:r>
            <w:proofErr w:type="spellEnd"/>
            <w:r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 xml:space="preserve"> zakona o Kreditno</w:t>
            </w:r>
            <w:r w:rsidR="005E4D84"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 xml:space="preserve"> garantnom fondu</w:t>
            </w:r>
            <w:r w:rsidR="00AA6358"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 xml:space="preserve"> Crne Gore</w:t>
            </w:r>
            <w:r w:rsidR="00524220"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 xml:space="preserve"> (</w:t>
            </w:r>
            <w:r w:rsidR="00524220"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>KGFCG</w:t>
            </w:r>
            <w:r w:rsidR="00524220" w:rsidRPr="004D4F07">
              <w:rPr>
                <w:rFonts w:asciiTheme="minorHAnsi" w:hAnsiTheme="minorHAnsi" w:cstheme="minorHAnsi"/>
                <w:b/>
                <w:sz w:val="22"/>
                <w:lang w:val="sr-Latn-ME"/>
              </w:rPr>
              <w:t>)</w:t>
            </w:r>
          </w:p>
        </w:tc>
      </w:tr>
      <w:tr w:rsidR="00BA2880" w:rsidRPr="004D4F07" w14:paraId="186ED9D8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3B1FD71" w14:textId="77777777" w:rsidR="008322D4" w:rsidRPr="004D4F07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1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Definisanje problema</w:t>
            </w:r>
          </w:p>
          <w:p w14:paraId="2E54A3CE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oje </w:t>
            </w:r>
            <w:r w:rsidR="005F03ED" w:rsidRPr="004D4F07">
              <w:rPr>
                <w:rFonts w:asciiTheme="minorHAnsi" w:hAnsiTheme="minorHAnsi" w:cstheme="minorHAnsi"/>
                <w:sz w:val="22"/>
                <w:lang w:val="sr-Latn-ME"/>
              </w:rPr>
              <w:t>probleme  treba da r</w:t>
            </w:r>
            <w:r w:rsidR="006A1B2C" w:rsidRPr="004D4F07">
              <w:rPr>
                <w:rFonts w:asciiTheme="minorHAnsi" w:hAnsiTheme="minorHAnsi" w:cstheme="minorHAnsi"/>
                <w:sz w:val="22"/>
                <w:lang w:val="sr-Latn-ME"/>
              </w:rPr>
              <w:t>i</w:t>
            </w:r>
            <w:r w:rsidR="005F03ED" w:rsidRPr="004D4F07">
              <w:rPr>
                <w:rFonts w:asciiTheme="minorHAnsi" w:hAnsiTheme="minorHAnsi" w:cstheme="minorHAnsi"/>
                <w:sz w:val="22"/>
                <w:lang w:val="sr-Latn-ME"/>
              </w:rPr>
              <w:t>ješi predloženi akt?</w:t>
            </w:r>
          </w:p>
          <w:p w14:paraId="001CE1D1" w14:textId="77777777" w:rsidR="00A07773" w:rsidRPr="004D4F07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oji 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>su uzroci problema?</w:t>
            </w:r>
          </w:p>
          <w:p w14:paraId="6F0FC971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oje </w:t>
            </w:r>
            <w:r w:rsidR="005F03ED" w:rsidRPr="004D4F07">
              <w:rPr>
                <w:rFonts w:asciiTheme="minorHAnsi" w:hAnsiTheme="minorHAnsi" w:cstheme="minorHAnsi"/>
                <w:sz w:val="22"/>
                <w:lang w:val="sr-Latn-ME"/>
              </w:rPr>
              <w:t>su posljedice problema?</w:t>
            </w:r>
          </w:p>
          <w:p w14:paraId="4BAFEEEF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>o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j</w:t>
            </w:r>
            <w:r w:rsidR="00972845" w:rsidRPr="004D4F07">
              <w:rPr>
                <w:rFonts w:asciiTheme="minorHAnsi" w:hAnsiTheme="minorHAnsi" w:cstheme="minorHAnsi"/>
                <w:sz w:val="22"/>
                <w:lang w:val="sr-Latn-ME"/>
              </w:rPr>
              <w:t>i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su subjekti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oštećen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i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, na koji način i 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u kojoj mjeri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>?</w:t>
            </w:r>
          </w:p>
          <w:p w14:paraId="376E2ADB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ako 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>bi problem evoluirao bez promjene propisa (</w:t>
            </w:r>
            <w:r w:rsidR="005F03ED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“status </w:t>
            </w:r>
            <w:proofErr w:type="spellStart"/>
            <w:r w:rsidR="005F03ED" w:rsidRPr="004D4F07">
              <w:rPr>
                <w:rFonts w:asciiTheme="minorHAnsi" w:hAnsiTheme="minorHAnsi" w:cstheme="minorHAnsi"/>
                <w:sz w:val="22"/>
                <w:lang w:val="sr-Latn-ME"/>
              </w:rPr>
              <w:t>quo</w:t>
            </w:r>
            <w:proofErr w:type="spellEnd"/>
            <w:r w:rsidR="005F03ED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” </w:t>
            </w:r>
            <w:r w:rsidR="008322D4" w:rsidRPr="004D4F07">
              <w:rPr>
                <w:rFonts w:asciiTheme="minorHAnsi" w:hAnsiTheme="minorHAnsi" w:cstheme="minorHAnsi"/>
                <w:sz w:val="22"/>
                <w:lang w:val="sr-Latn-ME"/>
              </w:rPr>
              <w:t>opcija)?</w:t>
            </w:r>
          </w:p>
        </w:tc>
      </w:tr>
      <w:tr w:rsidR="00BA2880" w:rsidRPr="004D4F07" w14:paraId="6ACCE01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FA7F57A" w14:textId="03875A14" w:rsidR="00FA1E61" w:rsidRPr="004D4F07" w:rsidRDefault="00C92799" w:rsidP="00443C74">
            <w:pPr>
              <w:pStyle w:val="Body"/>
              <w:ind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Ovim zakonom uređuje se izdavanje garancija kreditnim institucijama za izmirenje obaveza preduzetnika, mi</w:t>
            </w:r>
            <w:r w:rsidR="00A5580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kro, malih i srednjih preduzeća, </w:t>
            </w:r>
            <w:r w:rsidR="005C60C2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poljoprivredn</w:t>
            </w:r>
            <w:r w:rsidR="0030763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ih</w:t>
            </w:r>
            <w:r w:rsidR="005C60C2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proizvođača</w:t>
            </w:r>
            <w:r w:rsidR="0030763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,</w:t>
            </w:r>
            <w:r w:rsidR="005C60C2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koji su registrovani u skladu sa Pravilnikom o obliku i načinu vođenja registra subjekata i registra poljoprivrednih gazdinstava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, djelatnost i poslovanje Kreditno-garantnog fonda Crne Gore</w:t>
            </w:r>
            <w:r w:rsidR="0052422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(</w:t>
            </w:r>
            <w:r w:rsidR="0052422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u daljem tekstu: KGFCG</w:t>
            </w:r>
            <w:r w:rsidR="0052422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)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.</w:t>
            </w:r>
            <w:r w:rsidR="001549A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Niz indikatora potvrđuje da se preduzetnici, mikro i mala preduzeća suočavaju sa poteškoćama i </w:t>
            </w:r>
            <w:proofErr w:type="spellStart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preprekama</w:t>
            </w:r>
            <w:proofErr w:type="spellEnd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u pristupu finansijama u Crnoj Gori. </w:t>
            </w:r>
            <w:proofErr w:type="spellStart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Usljed</w:t>
            </w:r>
            <w:proofErr w:type="spellEnd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strogih propisa, poslovne banke imaju visoke standarde upravljanja kreditnim rizikom koje preduzetnici, mikro, mala i srednja preduzeća generalno veoma teško postižu. Preduzetnici i mikro i mala preduzeća često nemaju dovoljno resursa da ispune ove zahtjeve, nemaju adekvatan </w:t>
            </w:r>
            <w:proofErr w:type="spellStart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kolateral</w:t>
            </w:r>
            <w:proofErr w:type="spellEnd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, i/ili nemaju dovoljan kapacitet finansijskog upravljanja, niti adekvatnu kreditnu istoriju ili rezultate poslovanja.</w:t>
            </w:r>
            <w:r w:rsidR="001549A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Uspostavljanjem nezavisne i stalne institucije, KGFCG će se nositi sa ovim izazovima smanjenjem rizika od kreditiranja MMSP i preduzetnika kroz pružanje djelimičnih rizičnih garancija. Garancije zajma mogu pružiti dodatnu sigurnost kako bi se povećao kreditni rezultat zajmoprimca i istome pomoglo u kompenzovanju kreditne istorije, dosadašnjeg iskustva i zahtjeva za </w:t>
            </w:r>
            <w:proofErr w:type="spellStart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kolateralom</w:t>
            </w:r>
            <w:proofErr w:type="spellEnd"/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.</w:t>
            </w:r>
          </w:p>
          <w:p w14:paraId="19814A80" w14:textId="77777777" w:rsidR="001549AB" w:rsidRPr="004D4F07" w:rsidRDefault="003B16ED" w:rsidP="00443C74">
            <w:pPr>
              <w:pStyle w:val="Body"/>
              <w:ind w:firstLine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Ograničen pristup finansijama, posebno za preduzetnike i MMSP, predstavlja izazov u ​​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većini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ekonomija u razvoju,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uključujući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Crnu Goru. Pandemija COVID-19 dodatno je pogoršala ove probleme i stvorila krizu l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ikvidnosti i opstanka za veliki broj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preduzeća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i ugrozila zapošljavanje i prihode. Prevazilaženje ovog izazova može stimulisati razvoj crnogorske ekonomije, kako u odgovoru na krizu, tako i na duži rok.</w:t>
            </w:r>
            <w:r w:rsidR="001549A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</w:p>
          <w:p w14:paraId="1013C9AC" w14:textId="18F1BDD8" w:rsidR="00443C74" w:rsidRPr="004D4F07" w:rsidRDefault="003B16ED" w:rsidP="00443C74">
            <w:pPr>
              <w:pStyle w:val="Body"/>
              <w:ind w:firstLine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Evropska banka za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obnovu i razvoj (</w:t>
            </w:r>
            <w:r w:rsidR="00261B56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EBRD) podržala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je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Vladu Crne Gore u određivanju ključnih specifikacija i zahtjeva za 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KG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F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CG kako bi se za MMSP značajno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povećao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pristup finansiranju 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od strane 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lokalni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h </w:t>
            </w:r>
            <w:r w:rsidR="00261B56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kreditnih institucija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(</w:t>
            </w:r>
            <w:r w:rsidR="001549A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I). KGFCG 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bi imao krizni garantni prozor za podršku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preduzećima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koja su pogođena krizom COVID-19 i potencijalnim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budućim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krizama, kao i standardni prozor koji bi podržao sva MMSP i preduzetni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ke koji ispunjavaju uslove. KGFCG biće dizajniran kao permanentna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, 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nezavisna 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i održiva institucija, koja bi pomogla </w:t>
            </w:r>
            <w:r w:rsidR="001B78B9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kreditnim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institucijama da iskoriste svoj višak likvidnosti bezb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j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edno i profitabilno za finansiranje 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i otvaranje novih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radnih m</w:t>
            </w:r>
            <w:r w:rsidR="00D75805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j</w:t>
            </w: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esta, kvaliteta proizvoda, prihoda i izvoza.</w:t>
            </w:r>
          </w:p>
          <w:p w14:paraId="622C95A9" w14:textId="77777777" w:rsidR="00443C74" w:rsidRPr="004D4F07" w:rsidRDefault="00443C74" w:rsidP="00443C74">
            <w:pPr>
              <w:pStyle w:val="Body"/>
              <w:ind w:firstLine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</w:p>
          <w:p w14:paraId="63766DDA" w14:textId="77777777" w:rsidR="00611A3D" w:rsidRPr="004D4F07" w:rsidRDefault="00611A3D" w:rsidP="003B16ED">
            <w:pPr>
              <w:pStyle w:val="Body"/>
              <w:ind w:left="360" w:firstLine="0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  <w:lang w:val="sr-Latn-ME"/>
              </w:rPr>
              <w:t>Uzroci:</w:t>
            </w:r>
          </w:p>
          <w:p w14:paraId="51612EE4" w14:textId="77777777" w:rsidR="00611A3D" w:rsidRPr="004D4F07" w:rsidRDefault="00611A3D" w:rsidP="00A5580E">
            <w:pPr>
              <w:pStyle w:val="Body"/>
              <w:numPr>
                <w:ilvl w:val="0"/>
                <w:numId w:val="48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Ograničen pristup finansijskim sredstvima neophodnim za pokretanje i razvoj svog poslovanja</w:t>
            </w:r>
          </w:p>
          <w:p w14:paraId="6FDBD856" w14:textId="77777777" w:rsidR="00611A3D" w:rsidRPr="004D4F07" w:rsidRDefault="00611A3D" w:rsidP="00A5580E">
            <w:pPr>
              <w:pStyle w:val="Body"/>
              <w:numPr>
                <w:ilvl w:val="0"/>
                <w:numId w:val="48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Neblagovremeno izvršavanje finansijskih obaveza</w:t>
            </w:r>
          </w:p>
          <w:p w14:paraId="60075766" w14:textId="77777777" w:rsidR="00611A3D" w:rsidRPr="004D4F07" w:rsidRDefault="00611A3D" w:rsidP="00A5580E">
            <w:pPr>
              <w:pStyle w:val="Body"/>
              <w:numPr>
                <w:ilvl w:val="0"/>
                <w:numId w:val="48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Nedovoljni kreditni plasman preduzećima</w:t>
            </w:r>
          </w:p>
          <w:p w14:paraId="14B0BD26" w14:textId="77777777" w:rsidR="00611A3D" w:rsidRPr="004D4F07" w:rsidRDefault="00611A3D" w:rsidP="00A5580E">
            <w:pPr>
              <w:pStyle w:val="Body"/>
              <w:numPr>
                <w:ilvl w:val="0"/>
                <w:numId w:val="48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Stroge procedure odobravanja kredita</w:t>
            </w:r>
          </w:p>
          <w:p w14:paraId="5B550D28" w14:textId="77777777" w:rsidR="00443C74" w:rsidRPr="004D4F07" w:rsidRDefault="00443C74" w:rsidP="00FA1E61">
            <w:pPr>
              <w:pStyle w:val="Body"/>
              <w:ind w:left="360" w:firstLine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</w:p>
          <w:p w14:paraId="68E693C4" w14:textId="77777777" w:rsidR="00FA1E61" w:rsidRPr="004D4F07" w:rsidRDefault="00FA1E61" w:rsidP="00FA1E61">
            <w:pPr>
              <w:pStyle w:val="Body"/>
              <w:ind w:left="360"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MMSP i preduzetnici imaju poteškoća u pristupu finansijama uglavnom zbog sljedećih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prepreka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:</w:t>
            </w:r>
          </w:p>
          <w:p w14:paraId="70BFB70B" w14:textId="77777777" w:rsidR="00FA1E61" w:rsidRPr="004D4F07" w:rsidRDefault="00FA1E61" w:rsidP="00A5580E">
            <w:pPr>
              <w:pStyle w:val="Body"/>
              <w:numPr>
                <w:ilvl w:val="0"/>
                <w:numId w:val="46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Prihodi, novčani tok i likvidnost mnogih preduzeća su naglo smanjeni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usljed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pojave COVID-19 virusa, zbog čega imaju ograničenja i poteškoće prilikom oporavka; </w:t>
            </w:r>
          </w:p>
          <w:p w14:paraId="05DE0FF8" w14:textId="77777777" w:rsidR="00FA1E61" w:rsidRPr="004D4F07" w:rsidRDefault="00FA1E61" w:rsidP="00A5580E">
            <w:pPr>
              <w:pStyle w:val="Body"/>
              <w:numPr>
                <w:ilvl w:val="0"/>
                <w:numId w:val="46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Nedovoljan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kolateral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;</w:t>
            </w:r>
          </w:p>
          <w:p w14:paraId="33175105" w14:textId="77777777" w:rsidR="00FA1E61" w:rsidRPr="004D4F07" w:rsidRDefault="00FA1E61" w:rsidP="00A5580E">
            <w:pPr>
              <w:pStyle w:val="Body"/>
              <w:numPr>
                <w:ilvl w:val="0"/>
                <w:numId w:val="46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Nedovoljna evidencija performansi i kreditna istorija;</w:t>
            </w:r>
          </w:p>
          <w:p w14:paraId="208C01F0" w14:textId="77777777" w:rsidR="00FA1E61" w:rsidRPr="004D4F07" w:rsidRDefault="00FA1E61" w:rsidP="00A5580E">
            <w:pPr>
              <w:pStyle w:val="Body"/>
              <w:numPr>
                <w:ilvl w:val="0"/>
                <w:numId w:val="46"/>
              </w:numPr>
              <w:spacing w:before="0" w:line="259" w:lineRule="auto"/>
              <w:ind w:left="357"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Komercijalne banke su više fokusirane na srednja i velika preduzeća sa solidnom kreditnom istorijom, profesionalnim menadžmentom i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kolateralom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za nekretnine;</w:t>
            </w:r>
          </w:p>
          <w:p w14:paraId="363314DA" w14:textId="77777777" w:rsidR="00A5580E" w:rsidRPr="004D4F07" w:rsidRDefault="00332529" w:rsidP="001549AB">
            <w:pPr>
              <w:pStyle w:val="Body"/>
              <w:ind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</w:t>
            </w:r>
            <w:r w:rsidR="00FA1E61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ao što je i kod odgovora na prethodno pitanje navedeno, oštećeni subjekti su u najvećoj mjeri preduzetnici, mikro, mala i srednja preduzeća. </w:t>
            </w:r>
            <w:r w:rsidR="00B344F3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Problem je najvidljiviji kod klijenata koji nemaju dovoljno sredstava obezbjeđenja, imaju ograničenu evidenciju i/ili kreditnu istoriju i slično. </w:t>
            </w:r>
          </w:p>
          <w:p w14:paraId="60B3BFAB" w14:textId="279D26AA" w:rsidR="003561AE" w:rsidRPr="004D4F07" w:rsidRDefault="00332529" w:rsidP="00443C74">
            <w:pPr>
              <w:pStyle w:val="Body"/>
              <w:ind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Otežan pristup finansijskim sredstvima je jaz koji postoji između ponude i tražnje za novcem u datim okolnostima. Postoje brojni razlozi koji utiču na to da pristup finansijskim sredstvima bude teži za MMSP, u odnosu na velika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preduzeća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. Za razliku od velikih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preduzeća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, koja imaju pristup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tržištu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kapitala,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većini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MSP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trzište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kapitala nije dostupno, pa se sredstva moraju tražiti iz drugih izvora, najčešće iz kredita. </w:t>
            </w:r>
            <w:r w:rsidR="0064296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Imajući u vidu navedeno, u slučaju </w:t>
            </w:r>
            <w:proofErr w:type="spellStart"/>
            <w:r w:rsidR="0064296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neosnivanja</w:t>
            </w:r>
            <w:proofErr w:type="spellEnd"/>
            <w:r w:rsidR="0064296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52422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KGFCG</w:t>
            </w:r>
            <w:r w:rsidR="0052422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– a </w:t>
            </w:r>
            <w:r w:rsidR="0064296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problem otežanog pristupa finansijskim sredstvima kada su u pitanja MMSP i preduzetnici bi se dodatno produbio i prolongirao. U tom smislu, a u uslovima oporavka od COVID 19 pandemije veliki broj MMSP bi se našao u riziku otežanog poslovanja</w:t>
            </w:r>
            <w:r w:rsidR="005B551D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(</w:t>
            </w:r>
            <w:r w:rsidR="0064296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i eventualnog zatvaranja)</w:t>
            </w:r>
            <w:r w:rsidR="005B551D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.</w:t>
            </w:r>
          </w:p>
        </w:tc>
      </w:tr>
      <w:tr w:rsidR="00BA2880" w:rsidRPr="004D4F07" w14:paraId="354426D1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0BE559B" w14:textId="77777777" w:rsidR="001549AB" w:rsidRPr="004D4F07" w:rsidRDefault="001549AB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bCs/>
                <w:sz w:val="22"/>
                <w:lang w:val="sr-Latn-ME"/>
              </w:rPr>
            </w:pPr>
          </w:p>
          <w:p w14:paraId="30E7076E" w14:textId="77777777" w:rsidR="008322D4" w:rsidRPr="004D4F07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2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Ciljevi</w:t>
            </w:r>
          </w:p>
          <w:p w14:paraId="2A14E4EC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oji ciljevi se postižu predloženim propisom?</w:t>
            </w:r>
          </w:p>
          <w:p w14:paraId="7E9F0307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N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avesti 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usklađenost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ovih ciljeva sa postojećim strategijama ili programima Vlade, ako je primjenljivo.</w:t>
            </w:r>
          </w:p>
        </w:tc>
      </w:tr>
      <w:tr w:rsidR="00BA2880" w:rsidRPr="004D4F07" w14:paraId="39137C3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29202C2" w14:textId="0794A4CB" w:rsidR="00142831" w:rsidRPr="004D4F07" w:rsidRDefault="008D6B40" w:rsidP="001549AB">
            <w:pPr>
              <w:pStyle w:val="Default"/>
              <w:spacing w:before="120" w:after="120"/>
              <w:jc w:val="both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</w:pP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Ovim zakonom osniva se KGFCG i utvrđuju se njegova ovlašćenja, struktura, način upravljanja, poslovi, funkcionisanje, djelokrug, politika i procedura za izdavanje Kreditnih garancija. KGFCG ima položaj nezavisnog, samostalnog pravnog lica sa pravima, obavezama i odgovornostima ustanovljenim ovim Zakonom i Statutom KGFCG.</w:t>
            </w:r>
          </w:p>
          <w:p w14:paraId="0680965C" w14:textId="428CA4F2" w:rsidR="008D6B40" w:rsidRPr="004D4F07" w:rsidRDefault="008D6B40" w:rsidP="001549AB">
            <w:pPr>
              <w:pStyle w:val="Default"/>
              <w:spacing w:before="120" w:after="120"/>
              <w:jc w:val="both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</w:pP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KGFCG se osniva kako bi se olakšao i povećao pristup finansijskim sredstvima za mikro, mala i srednja preduzeća i preduzetnike</w:t>
            </w:r>
            <w:r w:rsidR="001B78B9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,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</w:t>
            </w:r>
            <w:r w:rsidR="001B78B9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poljoprivredn</w:t>
            </w:r>
            <w:r w:rsidR="00261B56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e</w:t>
            </w:r>
            <w:r w:rsidR="001B78B9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proizvođač</w:t>
            </w:r>
            <w:r w:rsidR="00261B56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>e,</w:t>
            </w:r>
            <w:r w:rsidR="001B78B9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  <w:lang w:val="sr-Latn-ME"/>
              </w:rPr>
              <w:t xml:space="preserve"> koji su registrovani u skladu sa Pravilnikom o obliku i načinu vođenja registra subjekata i registra poljoprivrednih gazdinstava 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u Crnoj Gori</w:t>
            </w:r>
            <w:r w:rsidR="00261B56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, 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u cilju stvaranja novih radnih mjesta, povećanja lokalne proizvodnje i usluga posebne vrijednosti,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unapređenja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tržišnog balansa i povećanja prilika za finansiranje Kvalifikovanih zajmoprimaca.</w:t>
            </w:r>
          </w:p>
          <w:p w14:paraId="0E14FEA6" w14:textId="696F53B4" w:rsidR="00B74ACC" w:rsidRPr="004D4F07" w:rsidRDefault="00A5580E" w:rsidP="001549AB">
            <w:pPr>
              <w:pStyle w:val="Default"/>
              <w:spacing w:before="120" w:after="120"/>
              <w:jc w:val="both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</w:pP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Cilj izdavanja </w:t>
            </w:r>
            <w:r w:rsidR="00B74ACC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garancije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je omogućavanje </w:t>
            </w:r>
            <w:r w:rsidR="00D763BE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korisnicima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da zaključe ugovor o kreditu, lizingu ili drugom finansijskom instrumentu sa kreditnom institucijom, koji zbog </w:t>
            </w:r>
            <w:r w:rsidR="00D763BE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nemogućnosti da zadovolje kriterijume postavljene od strane </w:t>
            </w:r>
            <w:proofErr w:type="spellStart"/>
            <w:r w:rsidR="00D763BE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krednidnih</w:t>
            </w:r>
            <w:proofErr w:type="spellEnd"/>
            <w:r w:rsidR="00D763BE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institucija</w:t>
            </w:r>
            <w:r w:rsidR="00261B56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,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ne bi mogli da </w:t>
            </w:r>
            <w:r w:rsidR="00261B56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iste 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zaključe.</w:t>
            </w:r>
            <w:r w:rsidR="00B74ACC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Kreditnom in</w:t>
            </w:r>
            <w:r w:rsidR="00B74ACC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stitucijom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smatra se privredno društvo čija je djelatnost primanje depozita ili drugih povratnih sredstava od javnosti i odobravanje kredita za svoj račun.</w:t>
            </w:r>
          </w:p>
          <w:p w14:paraId="5679D4C2" w14:textId="20F43A90" w:rsidR="00BF5709" w:rsidRPr="004D4F07" w:rsidRDefault="00762BC8" w:rsidP="00443C74">
            <w:pPr>
              <w:pStyle w:val="Default"/>
              <w:spacing w:before="120" w:after="120"/>
              <w:jc w:val="both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</w:pP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Imajući u vidu da se Zakonom uređuje osnivanje </w:t>
            </w:r>
            <w:r w:rsidR="00524220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="00307630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– a 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kojim će se, kako je i gore navedeno, olakšati MMSP </w:t>
            </w:r>
            <w:r w:rsidR="00AA5D6E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da pristupe novčanim sredstvima, možemo reći da </w:t>
            </w:r>
            <w:r w:rsidR="00803BF7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postoji usklađenost kod ciljeva kada su u pitanju Strategija razvoja MSP 20218-2022. godina i Strategija razvoja ženskog preduzetništva 2021-2024. godina.</w:t>
            </w:r>
          </w:p>
          <w:p w14:paraId="1AE407FF" w14:textId="01F8C958" w:rsidR="00142831" w:rsidRPr="004D4F07" w:rsidRDefault="00BF5709" w:rsidP="001549AB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Uspostavljanje KGF</w:t>
            </w:r>
            <w:r w:rsidR="00307630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CG</w:t>
            </w:r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-a predstavlja značajnu komponentu oporavka, nakon mjera usvojenih 29. aprila 2021. godine za podršku privredi u suzbijanju posljedica pandemije COVID-19. Uspostavljanje KGF-a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predstavljaće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snažnu finansijsku podršku razvoju i jačanju mikro, malih i srednjih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preduzeća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u Crnoj Gori. Pandemija COVID-19 imala je ozbiljan ekonomski uticaj na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većinu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MMSP u Crnoj Gori (pogotovo imajući u vidu pad BDP-a od 15,2% u 2020. godini). I pored toga, a imajući u vidu usvojene pakete mjera u cilju suzbijanja posljedica COVID 19 pandemije, finansijski sistem u Crnoj Gori se smatra zdravim, likvidnim i dobro kapitalizovanim, zbog čega i predstavlja najprikladniji kanal za rješavanje nastalih potreba likvidnosti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preduzeća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. Međutim, sklonost banaka ka riziku da nastave i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povećaju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kreditiranje MMSP-a je ograničena,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pozivajući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na podsticaj Vlade za kreiranje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mogućnosti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kreditiranja. Iako Vlada Crne Gore može podsticati finansiranje MMSP kroz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postojeće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aranžmane sa međunarodnim finansijskim institucijama, nastoji se uspostaviti dugoročni finansijski instrument u obliku KGF-a, koji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će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stimulisati fazu oporavka MMSP i koji </w:t>
            </w:r>
            <w:proofErr w:type="spellStart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će</w:t>
            </w:r>
            <w:proofErr w:type="spellEnd"/>
            <w:r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 xml:space="preserve"> se koristiti kao instrument adekvatnog ublažavanja za sve potencijalne probleme u budućnosti izazvane ekonomskim šokovima.</w:t>
            </w:r>
          </w:p>
        </w:tc>
      </w:tr>
      <w:tr w:rsidR="00BA2880" w:rsidRPr="004D4F07" w14:paraId="6D25826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B91BEEC" w14:textId="77777777" w:rsidR="008322D4" w:rsidRPr="004D4F07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3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Opcije</w:t>
            </w:r>
          </w:p>
          <w:p w14:paraId="61563541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oje su moguće opcije za ispunjavanje ciljeva i rješavanje problema? (uvijek treba razmatrati “status </w:t>
            </w:r>
            <w:proofErr w:type="spellStart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quo</w:t>
            </w:r>
            <w:proofErr w:type="spellEnd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” opciju i preporučljivo je uključiti i </w:t>
            </w:r>
            <w:proofErr w:type="spellStart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neregulatornu</w:t>
            </w:r>
            <w:proofErr w:type="spellEnd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opciju, osim ako postoji obaveza 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donošenja predloženog propisa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)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4345F06E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O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brazložiti preferiranu opciju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?</w:t>
            </w:r>
          </w:p>
        </w:tc>
      </w:tr>
      <w:tr w:rsidR="00BA2880" w:rsidRPr="004D4F07" w14:paraId="111477A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30980F7" w14:textId="77777777" w:rsidR="008178B2" w:rsidRPr="004D4F07" w:rsidRDefault="008178B2" w:rsidP="008178B2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Style w:val="fontstyle2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ME"/>
              </w:rPr>
              <w:t xml:space="preserve">Odabirom </w:t>
            </w:r>
            <w:r w:rsidR="00775167" w:rsidRPr="004D4F07">
              <w:rPr>
                <w:rStyle w:val="fontstyle2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ME"/>
              </w:rPr>
              <w:t>“</w:t>
            </w:r>
            <w:r w:rsidRPr="004D4F07">
              <w:rPr>
                <w:rStyle w:val="fontstyle2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ME"/>
              </w:rPr>
              <w:t xml:space="preserve">statusa </w:t>
            </w:r>
            <w:proofErr w:type="spellStart"/>
            <w:r w:rsidRPr="004D4F07">
              <w:rPr>
                <w:rStyle w:val="fontstyle2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ME"/>
              </w:rPr>
              <w:t>quo</w:t>
            </w:r>
            <w:proofErr w:type="spellEnd"/>
            <w:r w:rsidR="00775167" w:rsidRPr="004D4F07">
              <w:rPr>
                <w:rStyle w:val="fontstyle2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ME"/>
              </w:rPr>
              <w:t>”</w:t>
            </w:r>
            <w:r w:rsidRPr="004D4F07">
              <w:rPr>
                <w:rStyle w:val="fontstyle2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opcije utvrđeni problem koji se odnosi na otežan pristup finansijskim sredstvima, veliki broj MMSP bi se našao u riziku otežanog poslovanja, što bi rezultiralo</w:t>
            </w: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br/>
            </w:r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njihovim eventualnim gašenjem.</w:t>
            </w:r>
          </w:p>
          <w:p w14:paraId="2EA556D4" w14:textId="77777777" w:rsidR="008178B2" w:rsidRPr="004D4F07" w:rsidRDefault="008178B2" w:rsidP="008178B2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</w:p>
          <w:p w14:paraId="1800C75A" w14:textId="76118412" w:rsidR="008178B2" w:rsidRPr="004D4F07" w:rsidRDefault="008178B2" w:rsidP="008178B2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Takođe, </w:t>
            </w:r>
            <w:proofErr w:type="spellStart"/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neregulatornom</w:t>
            </w:r>
            <w:proofErr w:type="spellEnd"/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opcijom, koja podrazumijeva </w:t>
            </w:r>
            <w:proofErr w:type="spellStart"/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neosnivanje</w:t>
            </w:r>
            <w:proofErr w:type="spellEnd"/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07630" w:rsidRPr="004D4F07">
              <w:rPr>
                <w:rFonts w:asciiTheme="minorHAnsi" w:hAnsiTheme="minorHAnsi" w:cstheme="minorHAnsi"/>
                <w:b w:val="0"/>
                <w:sz w:val="22"/>
                <w:u w:color="000000"/>
                <w:bdr w:val="nil"/>
                <w:shd w:val="clear" w:color="auto" w:fill="FFFFFF"/>
                <w:lang w:val="sr-Latn-ME"/>
              </w:rPr>
              <w:t>u daljem tekstu: KGFCG</w:t>
            </w:r>
            <w:r w:rsidR="00307630" w:rsidRPr="004D4F07">
              <w:rPr>
                <w:rFonts w:asciiTheme="minorHAnsi" w:hAnsiTheme="minorHAnsi" w:cstheme="minorHAnsi"/>
                <w:b w:val="0"/>
                <w:sz w:val="22"/>
                <w:u w:color="000000"/>
                <w:bdr w:val="nil"/>
                <w:shd w:val="clear" w:color="auto" w:fill="FFFFFF"/>
                <w:lang w:val="sr-Latn-ME"/>
              </w:rPr>
              <w:t>-a</w:t>
            </w:r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, problem otežanog pristupa finansijskim sredstvima kada su u pitanja MMSP i preduzetnici bi se dodatno produbio i prolongirao. U tom smislu, a u uslovima oporavka od COVID 19 pandemije veliki broj MMSP bi se našao u riziku otežanog poslovanja</w:t>
            </w:r>
            <w:r w:rsidR="00BA6D48"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, što dovodi do zaključka da se </w:t>
            </w:r>
            <w:r w:rsidR="00307630" w:rsidRPr="004D4F07">
              <w:rPr>
                <w:rFonts w:asciiTheme="minorHAnsi" w:hAnsiTheme="minorHAnsi" w:cstheme="minorHAnsi"/>
                <w:b w:val="0"/>
                <w:sz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="00BA6D48"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jedino može uspostaviti</w:t>
            </w:r>
            <w:r w:rsidRPr="004D4F07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usvajanjem Zakona. Dakle, ne bi se mogli postići definisani ciljevi, imajući u vidu da je za postizanje ciljeva neophodno jedino moguće kroz donošenje novog Zakona.</w:t>
            </w:r>
          </w:p>
          <w:p w14:paraId="70EC9458" w14:textId="77777777" w:rsidR="00C056B6" w:rsidRPr="004D4F07" w:rsidRDefault="00C6455F" w:rsidP="00443C74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Ministarstvo ekonomskog razvoja se opredijelilo za regulatornu intervenciju, kroz dono</w:t>
            </w:r>
            <w:r w:rsidR="005F5FB3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šenje Zakona o </w:t>
            </w:r>
            <w:r w:rsidR="00C92799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KGFCG.</w:t>
            </w:r>
          </w:p>
          <w:p w14:paraId="3F03ED34" w14:textId="77777777" w:rsidR="00C92799" w:rsidRPr="004D4F07" w:rsidRDefault="00C92799" w:rsidP="00DC4BCB">
            <w:pPr>
              <w:pStyle w:val="Default"/>
              <w:spacing w:before="120" w:after="12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Fond je nezavisno, neprofitno pravno lice osnovano na neodređeno vrijeme sa svojstvom pravnog lica.</w:t>
            </w:r>
          </w:p>
          <w:p w14:paraId="14AFB9D6" w14:textId="77777777" w:rsidR="00C92799" w:rsidRPr="004D4F07" w:rsidRDefault="00C92799" w:rsidP="00C92799">
            <w:pPr>
              <w:pStyle w:val="Default"/>
              <w:spacing w:before="120" w:after="120"/>
              <w:ind w:left="63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Naziv Fonda je: “Kreditno garantni Fond Crne Gore“. </w:t>
            </w:r>
          </w:p>
          <w:p w14:paraId="34790755" w14:textId="77777777" w:rsidR="00C92799" w:rsidRPr="004D4F07" w:rsidRDefault="00C92799" w:rsidP="00C92799">
            <w:pPr>
              <w:pStyle w:val="Default"/>
              <w:spacing w:before="120" w:after="120"/>
              <w:ind w:left="63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Naziv Fonda na engleskom jeziku je: “Montenegro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Credit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Guarantee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Fund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“.</w:t>
            </w:r>
          </w:p>
          <w:p w14:paraId="221B1163" w14:textId="77777777" w:rsidR="00C92799" w:rsidRPr="004D4F07" w:rsidRDefault="00C92799" w:rsidP="00C92799">
            <w:pPr>
              <w:pStyle w:val="Default"/>
              <w:spacing w:before="120" w:after="120"/>
              <w:ind w:left="63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Sjedište Fonda je Podgorici.</w:t>
            </w:r>
          </w:p>
          <w:p w14:paraId="0376BDB6" w14:textId="77777777" w:rsidR="00C92799" w:rsidRPr="004D4F07" w:rsidRDefault="00C92799" w:rsidP="00C92799">
            <w:pPr>
              <w:pStyle w:val="Default"/>
              <w:spacing w:before="120" w:after="120"/>
              <w:ind w:left="63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Fond neće biti upisan u Centralni registar privrednih subjekata.</w:t>
            </w:r>
          </w:p>
          <w:p w14:paraId="7D58B22D" w14:textId="77777777" w:rsidR="00C92799" w:rsidRPr="004D4F07" w:rsidRDefault="00C92799" w:rsidP="00C92799">
            <w:pPr>
              <w:pStyle w:val="Default"/>
              <w:spacing w:before="120" w:after="120"/>
              <w:ind w:left="63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Fond će poslovati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preko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računa koji je otvoren kod jedne ili više kreditnih institucija.</w:t>
            </w:r>
          </w:p>
          <w:p w14:paraId="4EB857FE" w14:textId="7A99AB8B" w:rsidR="005F5FB3" w:rsidRPr="004D4F07" w:rsidRDefault="00C92799" w:rsidP="005F5FB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Odredbe zakona koje se odnose na zarade u javnom sektoru ne primjenjuju se u odnosu na poslovanje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Fonda.</w:t>
            </w:r>
            <w:r w:rsidR="00775167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Takođe</w:t>
            </w:r>
            <w:proofErr w:type="spellEnd"/>
            <w:r w:rsidR="00775167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, Ministarstvo je došlo do zaključka da je o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snivanje </w:t>
            </w:r>
            <w:r w:rsidR="00307630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="0030763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veoma važno za crnogorsku ekonomiju, posebno imajući u vidu činjenicu da najveći broj zaposlenih u Crnoj Gori radi u srednjim, malim i mikro preduzećima. Očekivanja su da će osnivanje </w:t>
            </w:r>
            <w:r w:rsidR="00307630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="0030763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doprinijeti i povećanju BDP-a u budućnosti.</w:t>
            </w:r>
            <w:r w:rsidR="003C662E" w:rsidRPr="004D4F07">
              <w:rPr>
                <w:rFonts w:asciiTheme="minorHAnsi" w:hAnsiTheme="minorHAnsi" w:cstheme="minorHAnsi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Takođe,</w:t>
            </w:r>
            <w:r w:rsidR="003C662E" w:rsidRPr="004D4F07">
              <w:rPr>
                <w:rFonts w:asciiTheme="minorHAnsi" w:hAnsiTheme="minorHAnsi" w:cstheme="minorHAnsi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07630" w:rsidRPr="004D4F07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="0030763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se osniva da bude od koristi preduzećima i preduzetnicima koja nemaju puno iskustva u dobijanju kredita, nemaju dovoljno imovine da ponude kao </w:t>
            </w:r>
            <w:proofErr w:type="spellStart"/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kolateral</w:t>
            </w:r>
            <w:proofErr w:type="spellEnd"/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ili na neki drugi način imaju otežan pristup finansiranju. Imajući u vidu </w:t>
            </w:r>
            <w:r w:rsidR="00261B56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navedeno, KGFCG</w:t>
            </w:r>
            <w:r w:rsidR="00307630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će pružiti djelimičnu garanciju za pokrivanje kreditnog rizika, što</w:t>
            </w:r>
            <w:r w:rsidR="00A7332A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će kreditnim institucijama</w:t>
            </w:r>
            <w:r w:rsidR="003C662E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 xml:space="preserve"> olakšati dalje odlučivanje</w:t>
            </w:r>
            <w:r w:rsidR="001549AB" w:rsidRPr="004D4F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sr-Latn-ME"/>
              </w:rPr>
              <w:t>.</w:t>
            </w:r>
          </w:p>
        </w:tc>
      </w:tr>
      <w:tr w:rsidR="00BA2880" w:rsidRPr="004D4F07" w14:paraId="2852B042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93E127C" w14:textId="77777777" w:rsidR="00282840" w:rsidRPr="004D4F07" w:rsidRDefault="00282840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4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Analiza uticaja</w:t>
            </w:r>
          </w:p>
          <w:p w14:paraId="3D580553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N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 koga će i kako će najvjerovatnije uticati rješenja u propisu - 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n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abrojati pozitivne i negativne uticaje, direktne i indirektne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74D118AA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oje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troškove će primjena propisa </w:t>
            </w:r>
            <w:r w:rsidR="00067FCF" w:rsidRPr="004D4F07">
              <w:rPr>
                <w:rFonts w:asciiTheme="minorHAnsi" w:hAnsiTheme="minorHAnsi" w:cstheme="minorHAnsi"/>
                <w:sz w:val="22"/>
                <w:lang w:val="sr-Latn-ME"/>
              </w:rPr>
              <w:t>izazvati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građanima i privredi (naročito malim i srednjim preduzećima)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14AC37F5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 li pozitivne posljedice donošenja propisa opravdava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ju troškove koje će on stvoriti.</w:t>
            </w:r>
          </w:p>
          <w:p w14:paraId="2DEB71C5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 li se propisom podržava stvaranje novih privrednih subjekata na tržištu i tržišna 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konkurencija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3C785C26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U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ključiti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procjenu administrativnih opterećenja i biznis barijera.</w:t>
            </w:r>
          </w:p>
          <w:p w14:paraId="7073DF84" w14:textId="77777777" w:rsidR="00D27C82" w:rsidRPr="004D4F07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</w:p>
        </w:tc>
      </w:tr>
      <w:tr w:rsidR="00BA2880" w:rsidRPr="004D4F07" w14:paraId="6B2CB04E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7409DA3" w14:textId="77777777" w:rsidR="00BA524D" w:rsidRPr="004D4F07" w:rsidRDefault="00BA524D" w:rsidP="00443C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</w:p>
          <w:p w14:paraId="54EC1888" w14:textId="77777777" w:rsidR="00BA524D" w:rsidRPr="004D4F07" w:rsidRDefault="00BA524D" w:rsidP="001549AB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Na osnovu analize utvrđeno je da postoji potreba za uspo</w:t>
            </w:r>
            <w:r w:rsidR="00BA2880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stavljanjem efikasnog K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GF-a u Crnoj Gori. Uspostavljanje KGFCG-a može u velikoj mjeri poboljšati i stimulisati pristup finansijama za MMSP i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sa nedostatkom usluga.</w:t>
            </w:r>
          </w:p>
          <w:p w14:paraId="0075FA98" w14:textId="77777777" w:rsidR="00BA524D" w:rsidRPr="004D4F07" w:rsidRDefault="00BA524D" w:rsidP="00BA524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hAnsiTheme="minorHAnsi" w:cstheme="minorHAnsi"/>
                <w:b w:val="0"/>
                <w:sz w:val="20"/>
                <w:szCs w:val="20"/>
                <w:lang w:val="sr-Latn-ME"/>
              </w:rPr>
            </w:pPr>
          </w:p>
          <w:p w14:paraId="491B3CE2" w14:textId="77777777" w:rsidR="00BA524D" w:rsidRPr="004D4F07" w:rsidRDefault="00BA524D" w:rsidP="001549AB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Kao što je gore navedeno,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najčešće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prijavljene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prepreke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u pristupu finansiranju za mikro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su:</w:t>
            </w:r>
          </w:p>
          <w:p w14:paraId="34FB95A0" w14:textId="77777777" w:rsidR="00BA524D" w:rsidRPr="004D4F07" w:rsidRDefault="00BA524D" w:rsidP="00BA524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32A7F32B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vrsta i/ili vrijednost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kolaterala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koje zahtijeva finansijska institucija (30,3%)</w:t>
            </w:r>
          </w:p>
          <w:p w14:paraId="70287C81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troškovi pribavljanja finansijskih sredstava (29,1%);</w:t>
            </w:r>
          </w:p>
          <w:p w14:paraId="5C3D506E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finansijsko blagostanje privrednih subjekata (28,6%).</w:t>
            </w:r>
          </w:p>
          <w:p w14:paraId="374377A2" w14:textId="77777777" w:rsidR="00BA524D" w:rsidRPr="004D4F07" w:rsidRDefault="00BA524D" w:rsidP="00BA524D">
            <w:pPr>
              <w:pStyle w:val="ListParagraph"/>
              <w:autoSpaceDE w:val="0"/>
              <w:autoSpaceDN w:val="0"/>
              <w:adjustRightInd w:val="0"/>
              <w:ind w:left="141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32515C5E" w14:textId="77777777" w:rsidR="00BA524D" w:rsidRPr="004D4F07" w:rsidRDefault="00BA524D" w:rsidP="001549AB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Za mala i srednja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,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prepreke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uključuju:</w:t>
            </w:r>
          </w:p>
          <w:p w14:paraId="765145CE" w14:textId="77777777" w:rsidR="00BA524D" w:rsidRPr="004D4F07" w:rsidRDefault="00BA524D" w:rsidP="00BA524D">
            <w:pPr>
              <w:pStyle w:val="ListParagraph"/>
              <w:autoSpaceDE w:val="0"/>
              <w:autoSpaceDN w:val="0"/>
              <w:adjustRightInd w:val="0"/>
              <w:ind w:left="141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26EFF0DD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vrsta i/ili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vrednost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kolaterala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(28,4%);</w:t>
            </w:r>
          </w:p>
          <w:p w14:paraId="5DF82008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troškovi pribavljanja finansijskih sredstava (26,9%);</w:t>
            </w:r>
          </w:p>
          <w:p w14:paraId="12F1B344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teret ili napor za dobijanje finansijskih sredstava (22,4%).</w:t>
            </w:r>
          </w:p>
          <w:p w14:paraId="5D7701CE" w14:textId="77777777" w:rsidR="00BA524D" w:rsidRPr="004D4F07" w:rsidRDefault="00BA524D" w:rsidP="00BA524D">
            <w:pPr>
              <w:pStyle w:val="ListParagraph"/>
              <w:autoSpaceDE w:val="0"/>
              <w:autoSpaceDN w:val="0"/>
              <w:adjustRightInd w:val="0"/>
              <w:ind w:left="141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398D2E54" w14:textId="77777777" w:rsidR="00BA524D" w:rsidRPr="004D4F07" w:rsidRDefault="00BA524D" w:rsidP="001549AB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KGFCG može da se pozabavi mnogim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preprekama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smanjenjem rizika kod pozajmljivanj</w:t>
            </w:r>
            <w:r w:rsidR="00A432C6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a od strane PFI. Konkretno, KGFCG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će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pomoći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PFI da pozajmljuju:</w:t>
            </w:r>
          </w:p>
          <w:p w14:paraId="783714F8" w14:textId="77777777" w:rsidR="00407399" w:rsidRPr="004D4F07" w:rsidRDefault="00407399" w:rsidP="00BA524D">
            <w:pPr>
              <w:pStyle w:val="ListParagraph"/>
              <w:autoSpaceDE w:val="0"/>
              <w:autoSpaceDN w:val="0"/>
              <w:adjustRightInd w:val="0"/>
              <w:ind w:left="141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742C60BB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koja ne ispunjavaju u potpunosti prag za bodovanje rizika PFI;</w:t>
            </w:r>
          </w:p>
          <w:p w14:paraId="6587E2D6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osnovana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koja imaju potencijal za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uspeh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i rast, kao i za otplatu kredita, ali nemaju dovoljno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kolaterala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;</w:t>
            </w:r>
          </w:p>
          <w:p w14:paraId="29162427" w14:textId="77777777" w:rsidR="00BA524D" w:rsidRPr="004D4F07" w:rsidRDefault="00BA524D" w:rsidP="00BA524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koja imaju potencijal za usp</w:t>
            </w:r>
            <w:r w:rsidR="00407399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j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eh i rast, kao i za otplatu kredita, ali nemaju dovoljno kreditne istorije ili operativnog iskustva.</w:t>
            </w:r>
          </w:p>
          <w:p w14:paraId="5175C209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2DA1B341" w14:textId="77777777" w:rsidR="004D59DD" w:rsidRPr="004D4F07" w:rsidRDefault="004D59DD" w:rsidP="001549AB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Kao potencijalni korisnici KGFCG-a identifikovani su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sledeći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privredni subjekti:</w:t>
            </w:r>
          </w:p>
          <w:p w14:paraId="2F66923E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0D050EE5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• MMSP</w:t>
            </w:r>
          </w:p>
          <w:p w14:paraId="16192DC7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• Preduzetnici</w:t>
            </w:r>
          </w:p>
          <w:p w14:paraId="5EFDE2D0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•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u vlasništvu žena</w:t>
            </w:r>
          </w:p>
          <w:p w14:paraId="4CF33641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• Poljoprivrednici</w:t>
            </w:r>
          </w:p>
          <w:p w14:paraId="29753CA6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• Turistička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</w:p>
          <w:p w14:paraId="11A46866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• IT kompanije</w:t>
            </w:r>
          </w:p>
          <w:p w14:paraId="6B45DE74" w14:textId="77777777" w:rsidR="004D59DD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• Proizvođači</w:t>
            </w:r>
          </w:p>
          <w:p w14:paraId="7273FA54" w14:textId="77777777" w:rsidR="00BB511A" w:rsidRPr="004D4F07" w:rsidRDefault="004D59DD" w:rsidP="004D59DD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• Kompanije za energetsku efikasnost i obnovljive izvore energije</w:t>
            </w:r>
          </w:p>
          <w:p w14:paraId="665761D3" w14:textId="77777777" w:rsidR="00767639" w:rsidRPr="004D4F07" w:rsidRDefault="00767639" w:rsidP="00251CC3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4150B87D" w14:textId="77777777" w:rsidR="00D31CEE" w:rsidRPr="004D4F07" w:rsidRDefault="00D31CEE" w:rsidP="00443C74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Cs/>
                <w:sz w:val="22"/>
                <w:lang w:val="sr-Latn-ME" w:eastAsia="en-US"/>
              </w:rPr>
            </w:pPr>
          </w:p>
          <w:p w14:paraId="50C26F46" w14:textId="77777777" w:rsidR="00D73BB3" w:rsidRPr="004D4F07" w:rsidRDefault="00D73BB3" w:rsidP="001549AB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Zajmoprim</w:t>
            </w:r>
            <w:r w:rsidR="005B551D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ci će biti u direktnoj komunikaciji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sa </w:t>
            </w:r>
            <w:r w:rsidR="005B551D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kreditnim institucijama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, a ne sa KGFCG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, i bez ikakvih dodatnih koraka i/ili procedura koje mogu uzrokovati odlaganje procesa odobravanja ili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povećati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troškove. Ovo je od ključne v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ažnosti za </w:t>
            </w:r>
            <w:proofErr w:type="spellStart"/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budući</w:t>
            </w:r>
            <w:proofErr w:type="spellEnd"/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razvoj KGFCG i prihvatanje od strane finansijskih institucija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i krajnjih korisnika kako bi se izb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jegao nepotrebno usložnjavanje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procesa odobravanja, sukobi interesa, odricanje od odgovornosti, itd.;</w:t>
            </w:r>
          </w:p>
          <w:p w14:paraId="4E339E6E" w14:textId="77777777" w:rsidR="001549AB" w:rsidRPr="004D4F07" w:rsidRDefault="001549AB" w:rsidP="001549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</w:p>
          <w:p w14:paraId="2D51BF2C" w14:textId="77777777" w:rsidR="00D73BB3" w:rsidRPr="004D4F07" w:rsidRDefault="005B551D" w:rsidP="001F65A9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Kreditne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institucije</w:t>
            </w:r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obavljaju sve poslove preuzimanja kredita, proc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j</w:t>
            </w:r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enu, strukturiranje, </w:t>
            </w:r>
            <w:proofErr w:type="spellStart"/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prac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́enje</w:t>
            </w:r>
            <w:proofErr w:type="spellEnd"/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, izvršenje i naplatu; one imaju stručan kadar za to i licencirane</w:t>
            </w:r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su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, a</w:t>
            </w:r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i pod nadzorom Centralne banke za obav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ljanje tih funkcija. Ako bi KGFCG</w:t>
            </w:r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trebalo da preuzme neki aspekt te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odgovornosti, to bi umnogome </w:t>
            </w:r>
            <w:proofErr w:type="spellStart"/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povećalo</w:t>
            </w:r>
            <w:proofErr w:type="spellEnd"/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vr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ij</w:t>
            </w:r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eme potrebno za davanje kredita, troškove pozajmljivanja, potrebne pr</w:t>
            </w:r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ocentualne naknade za garanciju i </w:t>
            </w:r>
            <w:proofErr w:type="spellStart"/>
            <w:r w:rsidR="007708D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sl</w:t>
            </w:r>
            <w:proofErr w:type="spellEnd"/>
            <w:r w:rsidR="00D73BB3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;</w:t>
            </w:r>
          </w:p>
          <w:p w14:paraId="341FD353" w14:textId="77777777" w:rsidR="001F65A9" w:rsidRPr="004D4F07" w:rsidRDefault="001F65A9" w:rsidP="001F65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</w:p>
          <w:p w14:paraId="43FAF6E9" w14:textId="77777777" w:rsidR="004979AC" w:rsidRPr="004D4F07" w:rsidRDefault="004979AC" w:rsidP="001F65A9">
            <w:pPr>
              <w:autoSpaceDE w:val="0"/>
              <w:autoSpaceDN w:val="0"/>
              <w:adjustRightInd w:val="0"/>
              <w:contextualSpacing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Mehanizmi kreditne garancije obično obezbjeđuju instrumente za ublažavanje rizika privatnim komercijalnim zajmodavcima, sa ciljem povećanja pristupa finansijama za preduzeća (obično MMSP i preduzetnike). Dobro osmišljeni i implementirani kreditno – garantni fondovi olakšavaju finansiranje preduzećima koja imaju poteškoća da dobiju finansijska sredstva i koja ne posluju na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zadvoljavajućem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nivou, ali su ipak vrijedna dobijanja kredita. U tom kontekstu potencijalni troškovi koji bi mogli nastati MMSP ukoliko se odluče na ovakav aranžman sa bankom u potpunosti će biti opravdani. Odnosno, benefiti za MMSP mnogo su veći od troškova. </w:t>
            </w:r>
          </w:p>
          <w:p w14:paraId="0DDF27BB" w14:textId="77777777" w:rsidR="00986F6D" w:rsidRPr="004D4F07" w:rsidRDefault="00986F6D" w:rsidP="004979AC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  <w:lang w:val="sr-Latn-ME"/>
              </w:rPr>
            </w:pPr>
          </w:p>
          <w:p w14:paraId="4503F7AA" w14:textId="001B13F7" w:rsidR="00986F6D" w:rsidRPr="004D4F07" w:rsidRDefault="00986F6D" w:rsidP="001F65A9">
            <w:pPr>
              <w:autoSpaceDE w:val="0"/>
              <w:autoSpaceDN w:val="0"/>
              <w:adjustRightInd w:val="0"/>
              <w:contextualSpacing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Formiranjem KGF doći će do eliminisanja dupliranja procedura, kao i do skraćivanja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vremena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trajanja procedura. </w:t>
            </w:r>
            <w:r w:rsidR="00D763BE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Kreditne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institucije</w:t>
            </w:r>
            <w:r w:rsidR="00DC4BCB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imaće direktan odnos sa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preduzećima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. </w:t>
            </w:r>
          </w:p>
          <w:p w14:paraId="44412094" w14:textId="77777777" w:rsidR="00986F6D" w:rsidRPr="004D4F07" w:rsidRDefault="00986F6D" w:rsidP="00986F6D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118BB638" w14:textId="77777777" w:rsidR="00986F6D" w:rsidRPr="004D4F07" w:rsidRDefault="00986F6D" w:rsidP="001F65A9">
            <w:pPr>
              <w:autoSpaceDE w:val="0"/>
              <w:autoSpaceDN w:val="0"/>
              <w:adjustRightInd w:val="0"/>
              <w:contextualSpacing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Najveća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podrška od KGF-a očekuje se kod finansiranja klijenata koji nemaju dovoljno sredstava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obezbeđenja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, imaju ograničenu evidenciju i/ili kreditnu istoriju, start-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up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,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preduzeća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u vlasništvu žena i projekte u poljoprivredi, turizmu, IT i drugim inovacijama.</w:t>
            </w:r>
          </w:p>
          <w:p w14:paraId="37DA3DC3" w14:textId="77777777" w:rsidR="00BA2880" w:rsidRPr="004D4F07" w:rsidRDefault="00BA2880" w:rsidP="00986F6D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  <w:lang w:val="sr-Latn-ME"/>
              </w:rPr>
            </w:pPr>
          </w:p>
          <w:p w14:paraId="4A803D41" w14:textId="77777777" w:rsidR="004979AC" w:rsidRPr="004D4F07" w:rsidRDefault="004979AC" w:rsidP="00443C7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</w:p>
          <w:p w14:paraId="34BAB12B" w14:textId="335CDFC0" w:rsidR="004979AC" w:rsidRPr="004D4F07" w:rsidRDefault="004979AC" w:rsidP="001F65A9">
            <w:pPr>
              <w:autoSpaceDE w:val="0"/>
              <w:autoSpaceDN w:val="0"/>
              <w:adjustRightInd w:val="0"/>
              <w:contextualSpacing/>
              <w:rPr>
                <w:rFonts w:asciiTheme="minorHAnsi" w:eastAsiaTheme="majorEastAsia" w:hAnsiTheme="minorHAnsi" w:cstheme="minorHAnsi"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Propisom se uređuje osnivanje i funkcionisanje </w:t>
            </w:r>
            <w:r w:rsidR="00307630" w:rsidRPr="004D4F07">
              <w:rPr>
                <w:rFonts w:asciiTheme="minorHAnsi" w:hAnsiTheme="minorHAnsi" w:cstheme="minorHAnsi"/>
                <w:b w:val="0"/>
                <w:sz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="00307630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</w:t>
            </w:r>
            <w:r w:rsidR="0026310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koji će podržati i omogućiti lakši pristup finansijama već postojećih učesnika na tržištu. Osim toga, banke će kroz garantovane aranžmane sa KGF biti u mogućnosti da podrže start </w:t>
            </w:r>
            <w:proofErr w:type="spellStart"/>
            <w:r w:rsidR="0026310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up</w:t>
            </w:r>
            <w:proofErr w:type="spellEnd"/>
            <w:r w:rsidR="0026310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preduzeća, žensko preduzetništvo i </w:t>
            </w:r>
            <w:proofErr w:type="spellStart"/>
            <w:r w:rsidR="0026310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sl</w:t>
            </w:r>
            <w:proofErr w:type="spellEnd"/>
            <w:r w:rsidR="0026310C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, čime će bez sumnje doći do formiranja novih privrednih subjekata i ojačanu konkurenciju. Navedeno će u srednjem i dugom roku dovesti do povećanja zaposlenosti.</w:t>
            </w:r>
          </w:p>
          <w:p w14:paraId="792B8E31" w14:textId="77777777" w:rsidR="00443C74" w:rsidRPr="004D4F07" w:rsidRDefault="00443C74" w:rsidP="001F65A9">
            <w:pPr>
              <w:autoSpaceDE w:val="0"/>
              <w:autoSpaceDN w:val="0"/>
              <w:adjustRightInd w:val="0"/>
              <w:contextualSpacing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16FAEA42" w14:textId="77777777" w:rsidR="0019388E" w:rsidRPr="004D4F07" w:rsidRDefault="0026310C" w:rsidP="001F65A9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Propis neće izazvati biznis barijere niti uključuje administrativna opterećenja. Imajući u vidu sve gore navedeno propis će pozitivno uticati na MMSP i doprinijeće eliminisanju jedne od najčešće prijavljenih barijera od strane privrede – pristup finansijskim sredstvima.</w:t>
            </w:r>
          </w:p>
          <w:p w14:paraId="32F9B494" w14:textId="77777777" w:rsidR="001F65A9" w:rsidRPr="004D4F07" w:rsidRDefault="001F65A9" w:rsidP="001F65A9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309159FF" w14:textId="77777777" w:rsidR="003E22F5" w:rsidRPr="004D4F07" w:rsidRDefault="003E22F5" w:rsidP="003E22F5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Fond može kreditnoj instituciji izdati garanciju do visine garantnog iznosa koji predstavlja maksimalni procenat garancije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neotplaćene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glavnice kredita koji se pokriva garancijom, a koji iznosi najviše 50 %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neotplaćene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glavnice.</w:t>
            </w:r>
          </w:p>
          <w:p w14:paraId="5336695F" w14:textId="77777777" w:rsidR="003E22F5" w:rsidRPr="004D4F07" w:rsidRDefault="003E22F5" w:rsidP="003E22F5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69754444" w14:textId="77777777" w:rsidR="003E22F5" w:rsidRPr="004D4F07" w:rsidRDefault="003E22F5" w:rsidP="003E22F5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Ukupan garantova</w:t>
            </w:r>
            <w:r w:rsidR="00953135"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ni iznos ne može da pređe 2,5% </w:t>
            </w: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kapitala fonda, niti može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preći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novčani iznos od 250.000,00 eura.</w:t>
            </w:r>
          </w:p>
          <w:p w14:paraId="52C8CDFA" w14:textId="77777777" w:rsidR="003E22F5" w:rsidRPr="004D4F07" w:rsidRDefault="003E22F5" w:rsidP="003E22F5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7C92D186" w14:textId="77777777" w:rsidR="003E22F5" w:rsidRPr="004D4F07" w:rsidRDefault="003E22F5" w:rsidP="003E22F5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Ukupan iznos garancija izdatih od strane Fonda u odnosu na kapital Fonda, predstavlja koeficijent multiplikacije Fonda i ne može biti veći od 5.</w:t>
            </w:r>
          </w:p>
          <w:p w14:paraId="277CFC7D" w14:textId="77777777" w:rsidR="003E22F5" w:rsidRPr="004D4F07" w:rsidRDefault="003E22F5" w:rsidP="003E22F5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</w:p>
          <w:p w14:paraId="00EF162A" w14:textId="77777777" w:rsidR="0019388E" w:rsidRPr="004D4F07" w:rsidRDefault="003E22F5" w:rsidP="0019388E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Izuzetno od stava 1 ovog člana, Fond kredinoj instituciji može izdati garanciju do visine 100%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neotplaćene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glavnice kredita, ukoliko je to opravdano radi sprječavanja negativnih učinaka nastalih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>usled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bCs/>
                <w:sz w:val="22"/>
                <w:lang w:val="sr-Latn-ME" w:eastAsia="en-US"/>
              </w:rPr>
              <w:t xml:space="preserve"> ozbiljnih poremećaja na tržištu, a prethodno utvrđenih od strane Vlade Crne Gore.</w:t>
            </w:r>
          </w:p>
          <w:p w14:paraId="6F31F90F" w14:textId="77777777" w:rsidR="0019388E" w:rsidRPr="004D4F07" w:rsidRDefault="0019388E" w:rsidP="00193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</w:p>
        </w:tc>
      </w:tr>
      <w:tr w:rsidR="00BA2880" w:rsidRPr="004D4F07" w14:paraId="580991F7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C748F75" w14:textId="77777777" w:rsidR="00673F68" w:rsidRPr="004D4F07" w:rsidRDefault="00673F68" w:rsidP="00673F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5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Procjena fiskalnog uticaja</w:t>
            </w:r>
          </w:p>
          <w:p w14:paraId="0EB03D5F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 li je potrebno obezbjeđenje finansijskih sredstava</w:t>
            </w:r>
            <w:r w:rsidR="00972845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iz budžeta Crne Gore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za impleme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ntaciju propisa i u kom iznosu?</w:t>
            </w:r>
          </w:p>
          <w:p w14:paraId="1A2F0C07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 li je obezbjeđenje finansijskih sredstava jednokratno, ili tokom određenog vremenskog perioda? </w:t>
            </w:r>
            <w:r w:rsidR="00673F68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Obrazložiti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19ED29F5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 li implementacijom propisa proizilaze međunarodne finansijske obaveze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? Obrazložiti.</w:t>
            </w:r>
          </w:p>
          <w:p w14:paraId="3A6F656F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 li su neophodna finansijska sredstva </w:t>
            </w:r>
            <w:proofErr w:type="spellStart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obezbijeđena</w:t>
            </w:r>
            <w:proofErr w:type="spellEnd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u budžetu za tekuću fiskalnu godinu, odnosno da li su planirana u bud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žetu za narednu </w:t>
            </w:r>
            <w:proofErr w:type="spellStart"/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fiskanu</w:t>
            </w:r>
            <w:proofErr w:type="spellEnd"/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godinu?</w:t>
            </w:r>
          </w:p>
          <w:p w14:paraId="5E932D76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 li je usvajanjem propisa predviđeno donošenje podzakonskih akata iz kojih će proisteći finansijske obaveze?</w:t>
            </w:r>
          </w:p>
          <w:p w14:paraId="4F43F569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 li će se implementacijom propisa ostvariti prihod za budžet Crne Gore?</w:t>
            </w:r>
          </w:p>
          <w:p w14:paraId="7D2AAC69" w14:textId="77777777" w:rsidR="00A07773" w:rsidRPr="004D4F07" w:rsidRDefault="00D56E8F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O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brazložiti metodologiju koja je korišćenja prilikom obračun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a finansijskih izdataka/prihoda.</w:t>
            </w:r>
          </w:p>
          <w:p w14:paraId="69252E3B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 li su postojali problemi u preciznom obračunu finansijskih izdataka/prihoda? Obrazložiti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526B7176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 li su postojale sugestije Ministarstva finansija </w:t>
            </w:r>
            <w:r w:rsidR="00A265F9" w:rsidRPr="004D4F07">
              <w:rPr>
                <w:rFonts w:asciiTheme="minorHAnsi" w:hAnsiTheme="minorHAnsi" w:cstheme="minorHAnsi"/>
                <w:sz w:val="22"/>
                <w:lang w:val="sr-Latn-ME"/>
              </w:rPr>
              <w:t>na nac</w:t>
            </w:r>
            <w:r w:rsidR="00736E8D" w:rsidRPr="004D4F07">
              <w:rPr>
                <w:rFonts w:asciiTheme="minorHAnsi" w:hAnsiTheme="minorHAnsi" w:cstheme="minorHAnsi"/>
                <w:sz w:val="22"/>
                <w:lang w:val="sr-Latn-ME"/>
              </w:rPr>
              <w:t>r</w:t>
            </w:r>
            <w:r w:rsidR="00A265F9" w:rsidRPr="004D4F07">
              <w:rPr>
                <w:rFonts w:asciiTheme="minorHAnsi" w:hAnsiTheme="minorHAnsi" w:cstheme="minorHAnsi"/>
                <w:sz w:val="22"/>
                <w:lang w:val="sr-Latn-ME"/>
              </w:rPr>
              <w:t>t/</w:t>
            </w:r>
            <w:proofErr w:type="spellStart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predlog</w:t>
            </w:r>
            <w:proofErr w:type="spellEnd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propisa?</w:t>
            </w:r>
          </w:p>
          <w:p w14:paraId="7EECA882" w14:textId="77777777" w:rsidR="00A07773" w:rsidRPr="004D4F07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D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a li su dobijene primjedbe 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uključene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u tekst propisa? Obrazložiti.</w:t>
            </w:r>
          </w:p>
        </w:tc>
      </w:tr>
      <w:tr w:rsidR="00BA2880" w:rsidRPr="004D4F07" w14:paraId="0A815497" w14:textId="77777777" w:rsidTr="0085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2318B9F" w14:textId="77777777" w:rsidR="003A707B" w:rsidRPr="004D4F07" w:rsidRDefault="003A707B" w:rsidP="003A707B">
            <w:pPr>
              <w:spacing w:after="160" w:line="256" w:lineRule="auto"/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</w:pPr>
          </w:p>
          <w:p w14:paraId="41C612E7" w14:textId="77777777" w:rsidR="00155059" w:rsidRPr="004D4F07" w:rsidRDefault="003C267B" w:rsidP="001F65A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Početni kapital Fonda iznosi 10.000.000,00 eura.</w:t>
            </w:r>
            <w:r w:rsidR="001F65A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</w:t>
            </w: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Početni kapital Fonda obezbjeđuje Vlada Crne Gore</w:t>
            </w:r>
            <w:r w:rsidRPr="004D4F07">
              <w:rPr>
                <w:rFonts w:asciiTheme="minorHAnsi" w:eastAsiaTheme="majorEastAsia" w:hAnsiTheme="minorHAnsi" w:cstheme="minorHAnsi"/>
                <w:sz w:val="22"/>
                <w:lang w:val="sr-Latn-ME" w:eastAsia="en-US"/>
              </w:rPr>
              <w:t>.</w:t>
            </w:r>
          </w:p>
          <w:p w14:paraId="66CFEDFA" w14:textId="77777777" w:rsidR="00B625EF" w:rsidRPr="004D4F07" w:rsidRDefault="00B625EF" w:rsidP="001F65A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Propis neće izazvati međunarodne finansijske obaveze.</w:t>
            </w:r>
            <w:r w:rsidR="001F65A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</w:t>
            </w: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Sredstva su planirana Nacrtom zakona o budžetu za 2022. </w:t>
            </w:r>
            <w:r w:rsidR="001F65A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G</w:t>
            </w: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odinu</w:t>
            </w:r>
            <w:r w:rsidR="001F65A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.</w:t>
            </w:r>
          </w:p>
          <w:p w14:paraId="51E97A4B" w14:textId="77777777" w:rsidR="001F65A9" w:rsidRPr="004D4F07" w:rsidRDefault="00B625EF" w:rsidP="001F65A9">
            <w:pPr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</w:pP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Usvajanjem propisa neće se stvoriti osnova za donošenje podzakonskih akata. Nakon osnivanja</w:t>
            </w:r>
            <w:r w:rsidR="0015505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KGFCG</w:t>
            </w: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navedenim propisom</w:t>
            </w:r>
            <w:r w:rsidR="0015505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,</w:t>
            </w:r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dalje funkcionisanje i </w:t>
            </w:r>
            <w:proofErr w:type="spellStart"/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>operacionalizacija</w:t>
            </w:r>
            <w:proofErr w:type="spellEnd"/>
            <w:r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Fonda urediće se statutom, pravilnicima i sl.</w:t>
            </w:r>
            <w:r w:rsidR="001F65A9" w:rsidRPr="004D4F07">
              <w:rPr>
                <w:rFonts w:asciiTheme="minorHAnsi" w:eastAsiaTheme="majorEastAsia" w:hAnsiTheme="minorHAnsi" w:cstheme="minorHAnsi"/>
                <w:b w:val="0"/>
                <w:sz w:val="22"/>
                <w:lang w:val="sr-Latn-ME" w:eastAsia="en-US"/>
              </w:rPr>
              <w:t xml:space="preserve"> Implementacijom propisa indirektno bi moglo doći do povećanja prihoda za budžet Crne Gore kroz povećanje broja MMSP, otvaranja novih radnih mjesta i sl.</w:t>
            </w:r>
          </w:p>
          <w:p w14:paraId="05056D5C" w14:textId="77777777" w:rsidR="00255676" w:rsidRPr="004D4F07" w:rsidRDefault="00255676" w:rsidP="001F65A9">
            <w:pPr>
              <w:rPr>
                <w:rFonts w:asciiTheme="minorHAnsi" w:hAnsiTheme="minorHAnsi" w:cstheme="minorHAnsi"/>
                <w:sz w:val="22"/>
                <w:lang w:val="sr-Latn-ME"/>
              </w:rPr>
            </w:pPr>
          </w:p>
          <w:p w14:paraId="3C411B4B" w14:textId="77777777" w:rsidR="0019388E" w:rsidRPr="004D4F07" w:rsidRDefault="00255676" w:rsidP="001F65A9">
            <w:pPr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Metodologija kojom se došlo do obračuna rashoda zasnovana je na projekcijama eksperata, detaljnoj analizi konsultanata i uporednoj praksi zasnovanoj na analizi regiona, kreditno garantnih fondova u okruženju i sl. Ovom prilikom izvršena je detaljna analiza i tr</w:t>
            </w:r>
            <w:r w:rsidR="00E53DAD"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ži</w:t>
            </w: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šta u CG, kao i strukture i pristupa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finansijskikm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sredstvima MMSP.</w:t>
            </w:r>
          </w:p>
          <w:p w14:paraId="28C0E0EB" w14:textId="77777777" w:rsidR="007F4E3F" w:rsidRPr="004D4F07" w:rsidRDefault="007F4E3F" w:rsidP="007F4E3F">
            <w:pPr>
              <w:rPr>
                <w:rFonts w:asciiTheme="minorHAnsi" w:hAnsiTheme="minorHAnsi" w:cstheme="minorHAnsi"/>
                <w:sz w:val="22"/>
                <w:lang w:val="sr-Latn-ME"/>
              </w:rPr>
            </w:pPr>
          </w:p>
        </w:tc>
      </w:tr>
      <w:tr w:rsidR="00BA2880" w:rsidRPr="004D4F07" w14:paraId="467195B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E96E7B2" w14:textId="77777777" w:rsidR="00282840" w:rsidRPr="004D4F07" w:rsidRDefault="00673F68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6</w:t>
            </w:r>
            <w:r w:rsidR="001D0BF0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. </w:t>
            </w:r>
            <w:r w:rsidR="00282840"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K</w:t>
            </w:r>
            <w:r w:rsidR="00282840" w:rsidRPr="004D4F07">
              <w:rPr>
                <w:rFonts w:asciiTheme="minorHAnsi" w:hAnsiTheme="minorHAnsi" w:cstheme="minorHAnsi"/>
                <w:sz w:val="22"/>
                <w:lang w:val="sr-Latn-ME"/>
              </w:rPr>
              <w:t>onsultacije zainteresovanih strana</w:t>
            </w:r>
          </w:p>
          <w:p w14:paraId="1E434C0B" w14:textId="77777777" w:rsidR="00A07773" w:rsidRPr="004D4F07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Naznačiti da li je korišćena eksterna 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ekspertska podrška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i ako da, kako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16C8F433" w14:textId="77777777" w:rsidR="00A07773" w:rsidRPr="004D4F07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N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aznačiti koje su grupe zainteresovanih strana konsultovane, u kojoj fazi RIA procesa i kako (javne ili ciljane konsultacije)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  <w:p w14:paraId="364D16D4" w14:textId="77777777" w:rsidR="00A07773" w:rsidRPr="004D4F07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N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aznačiti glavne rezultate</w:t>
            </w:r>
            <w:r w:rsidR="00D4308A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konsultacija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, i </w:t>
            </w:r>
            <w:r w:rsidR="00D4308A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koji su </w:t>
            </w:r>
            <w:proofErr w:type="spellStart"/>
            <w:r w:rsidR="00D4308A" w:rsidRPr="004D4F07">
              <w:rPr>
                <w:rFonts w:asciiTheme="minorHAnsi" w:hAnsiTheme="minorHAnsi" w:cstheme="minorHAnsi"/>
                <w:sz w:val="22"/>
                <w:lang w:val="sr-Latn-ME"/>
              </w:rPr>
              <w:t>predlozi</w:t>
            </w:r>
            <w:proofErr w:type="spellEnd"/>
            <w:r w:rsidR="00D4308A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i sugestije zainteresovanih strana prihv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aćeni odnosno nijesu prihvaćeni.</w:t>
            </w:r>
            <w:r w:rsidR="00D4308A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Obrazložiti</w:t>
            </w:r>
            <w:r w:rsidR="0000426F" w:rsidRPr="004D4F07">
              <w:rPr>
                <w:rFonts w:asciiTheme="minorHAnsi" w:hAnsiTheme="minorHAnsi" w:cstheme="minorHAnsi"/>
                <w:sz w:val="22"/>
                <w:lang w:val="sr-Latn-ME"/>
              </w:rPr>
              <w:t>.</w:t>
            </w:r>
          </w:p>
        </w:tc>
      </w:tr>
      <w:tr w:rsidR="00BA2880" w:rsidRPr="004D4F07" w14:paraId="4C1FA09D" w14:textId="77777777" w:rsidTr="00DC4B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E8A3B85" w14:textId="77777777" w:rsidR="005426B9" w:rsidRPr="004D4F07" w:rsidRDefault="005426B9" w:rsidP="005426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</w:p>
          <w:p w14:paraId="681A1835" w14:textId="6950F038" w:rsidR="00AA117E" w:rsidRPr="004D4F07" w:rsidRDefault="00E55D3A" w:rsidP="00DC4BCB">
            <w:pPr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Evropska banka za obnovu i razvoj (EBRD) pruži</w:t>
            </w:r>
            <w:r w:rsidR="00155059"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la je</w:t>
            </w: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savjetodavnu podršku Ministarstvu ekonomskog razvoja u određivanju ključnih specifikacija i zahtjeva neophodnih za osnivanje </w:t>
            </w:r>
            <w:r w:rsidR="00307630" w:rsidRPr="004D4F07">
              <w:rPr>
                <w:rFonts w:asciiTheme="minorHAnsi" w:hAnsiTheme="minorHAnsi" w:cstheme="minorHAnsi"/>
                <w:b w:val="0"/>
                <w:sz w:val="22"/>
                <w:u w:color="000000"/>
                <w:bdr w:val="nil"/>
                <w:shd w:val="clear" w:color="auto" w:fill="FFFFFF"/>
                <w:lang w:val="sr-Latn-ME"/>
              </w:rPr>
              <w:t>KGFCG</w:t>
            </w: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, koji bi stimulisao lokalne </w:t>
            </w:r>
            <w:r w:rsidR="00D763BE"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kreditne</w:t>
            </w: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institucije da na siguran način iskoriste postojeći višak likvidnosti za finansiranje MMSP-a i preduzetnika, koji imaju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poteškoća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u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obezbjeđivanju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finansija i nemaju dovoljno sredstava, što uključuje i relativno nova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preduzeća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bez dugogodišnjeg iskustva, bez dovoljnog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kolaterala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itd.</w:t>
            </w:r>
          </w:p>
        </w:tc>
      </w:tr>
      <w:tr w:rsidR="00BA2880" w:rsidRPr="004D4F07" w14:paraId="621E62A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4618E6F" w14:textId="77777777" w:rsidR="00282840" w:rsidRPr="004D4F07" w:rsidRDefault="00673F68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7</w:t>
            </w:r>
            <w:r w:rsidR="00282840" w:rsidRPr="004D4F07">
              <w:rPr>
                <w:rFonts w:asciiTheme="minorHAnsi" w:hAnsiTheme="minorHAnsi" w:cstheme="minorHAnsi"/>
                <w:sz w:val="22"/>
                <w:lang w:val="sr-Latn-ME"/>
              </w:rPr>
              <w:t>: Monitoring i evaluacija</w:t>
            </w:r>
          </w:p>
          <w:p w14:paraId="5DA22BA3" w14:textId="77777777" w:rsidR="0000426F" w:rsidRPr="004D4F07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oje su potencijalne </w:t>
            </w:r>
            <w:proofErr w:type="spellStart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prepreke</w:t>
            </w:r>
            <w:proofErr w:type="spellEnd"/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 xml:space="preserve"> za implementaciju propisa? </w:t>
            </w:r>
          </w:p>
          <w:p w14:paraId="3170FB09" w14:textId="77777777" w:rsidR="00A07773" w:rsidRPr="004D4F07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oje će mjere biti preduzete tokom primjene propisa da bi se ispunili ciljevi</w:t>
            </w: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?</w:t>
            </w:r>
          </w:p>
          <w:p w14:paraId="565B548C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oji su glavni indikatori prema kojima će se mjeriti ispunjenje ciljeva?</w:t>
            </w:r>
          </w:p>
          <w:p w14:paraId="08C75541" w14:textId="77777777" w:rsidR="00A07773" w:rsidRPr="004D4F07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sz w:val="22"/>
                <w:lang w:val="sr-Latn-ME"/>
              </w:rPr>
              <w:t>K</w:t>
            </w:r>
            <w:r w:rsidR="00A07773" w:rsidRPr="004D4F07">
              <w:rPr>
                <w:rFonts w:asciiTheme="minorHAnsi" w:hAnsiTheme="minorHAnsi" w:cstheme="minorHAnsi"/>
                <w:sz w:val="22"/>
                <w:lang w:val="sr-Latn-ME"/>
              </w:rPr>
              <w:t>o će biti zadužen za sprovođenje monitoringa i evaluacije primjene propisa?</w:t>
            </w:r>
          </w:p>
        </w:tc>
      </w:tr>
      <w:tr w:rsidR="00BA2880" w:rsidRPr="004D4F07" w14:paraId="68FAA1A0" w14:textId="77777777" w:rsidTr="00251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2BB5172" w14:textId="77777777" w:rsidR="00E55D3A" w:rsidRPr="004D4F07" w:rsidRDefault="00E55D3A" w:rsidP="00443C74">
            <w:p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sz w:val="22"/>
                <w:lang w:val="sr-Latn-ME"/>
              </w:rPr>
            </w:pPr>
          </w:p>
          <w:p w14:paraId="273065C5" w14:textId="77777777" w:rsidR="00E55D3A" w:rsidRPr="004D4F07" w:rsidRDefault="00E55D3A" w:rsidP="00443C74">
            <w:p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Za sada nisu prepoznate </w:t>
            </w:r>
            <w:proofErr w:type="spellStart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prepreke</w:t>
            </w:r>
            <w:proofErr w:type="spellEnd"/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 za implementaciju propisa. </w:t>
            </w:r>
          </w:p>
          <w:p w14:paraId="06BD0ADD" w14:textId="77777777" w:rsidR="00E55D3A" w:rsidRPr="004D4F07" w:rsidRDefault="00E55D3A" w:rsidP="00E55D3A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</w:p>
          <w:p w14:paraId="1D568107" w14:textId="77777777" w:rsidR="00ED5A37" w:rsidRPr="004D4F07" w:rsidRDefault="00ED5A37" w:rsidP="00443C74">
            <w:p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Šire upoznavanje javnosti sa značajem osnivanja i funkcionisanja KGFCG, adekvatna promocija benefita i razloga za osnivanje KGFCG. Transparentnost i nezavisnost u radu Fonda, kojim će se stvoriti konkretna osnova </w:t>
            </w:r>
            <w:r w:rsidR="00277031"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za jačanje saradnje sa kreditnim institucijama.</w:t>
            </w:r>
          </w:p>
          <w:p w14:paraId="1AA09AA0" w14:textId="77777777" w:rsidR="00ED5A37" w:rsidRPr="004D4F07" w:rsidRDefault="00ED5A37" w:rsidP="00ED5A37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</w:p>
          <w:p w14:paraId="1E589EA1" w14:textId="77777777" w:rsidR="00ED5A37" w:rsidRPr="004D4F07" w:rsidRDefault="00ED5A37" w:rsidP="00443C74">
            <w:p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Glavni indikatori prema kojem će se mjeriti implementacija propisa su broj radnih mjesta, garantovanih zajmova, broj podržanih preduzeća i sl.</w:t>
            </w:r>
          </w:p>
          <w:p w14:paraId="48CA4A4C" w14:textId="77777777" w:rsidR="00ED5A37" w:rsidRPr="004D4F07" w:rsidRDefault="00ED5A37" w:rsidP="00ED5A37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</w:p>
          <w:p w14:paraId="13912E36" w14:textId="77777777" w:rsidR="009B425D" w:rsidRPr="004D4F07" w:rsidRDefault="00ED5A37" w:rsidP="00443C74">
            <w:p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  <w:r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>M</w:t>
            </w:r>
            <w:r w:rsidR="00155059" w:rsidRPr="004D4F07">
              <w:rPr>
                <w:rFonts w:asciiTheme="minorHAnsi" w:hAnsiTheme="minorHAnsi" w:cstheme="minorHAnsi"/>
                <w:b w:val="0"/>
                <w:sz w:val="22"/>
                <w:lang w:val="sr-Latn-ME"/>
              </w:rPr>
              <w:t xml:space="preserve">inistarstvo ekonomskog razvoja kao predlagač propisa zaduženo je za sprovođenje i evaluaciju primjene propisa. </w:t>
            </w:r>
          </w:p>
          <w:p w14:paraId="43A696F9" w14:textId="77777777" w:rsidR="00ED5A37" w:rsidRPr="004D4F07" w:rsidRDefault="00ED5A37" w:rsidP="00ED5A37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Theme="minorHAnsi" w:hAnsiTheme="minorHAnsi" w:cstheme="minorHAnsi"/>
                <w:b w:val="0"/>
                <w:sz w:val="22"/>
                <w:lang w:val="sr-Latn-ME"/>
              </w:rPr>
            </w:pPr>
          </w:p>
        </w:tc>
      </w:tr>
    </w:tbl>
    <w:p w14:paraId="721768CA" w14:textId="77777777" w:rsidR="00645B6C" w:rsidRPr="004D4F07" w:rsidRDefault="00645B6C" w:rsidP="00645B6C">
      <w:pPr>
        <w:rPr>
          <w:rFonts w:asciiTheme="minorHAnsi" w:hAnsiTheme="minorHAnsi" w:cstheme="minorHAnsi"/>
          <w:b/>
          <w:bCs w:val="0"/>
          <w:sz w:val="22"/>
          <w:lang w:val="sr-Latn-ME"/>
        </w:rPr>
      </w:pPr>
    </w:p>
    <w:p w14:paraId="071BFC48" w14:textId="77777777" w:rsidR="00972845" w:rsidRPr="004D4F07" w:rsidRDefault="00972845">
      <w:pPr>
        <w:rPr>
          <w:rFonts w:asciiTheme="minorHAnsi" w:hAnsiTheme="minorHAnsi" w:cstheme="minorHAnsi"/>
          <w:sz w:val="22"/>
          <w:lang w:val="sr-Latn-ME"/>
        </w:rPr>
      </w:pP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  <w:r w:rsidRPr="004D4F07">
        <w:rPr>
          <w:rFonts w:asciiTheme="minorHAnsi" w:hAnsiTheme="minorHAnsi" w:cstheme="minorHAnsi"/>
          <w:sz w:val="22"/>
          <w:lang w:val="sr-Latn-ME"/>
        </w:rPr>
        <w:tab/>
      </w:r>
    </w:p>
    <w:p w14:paraId="57AA030A" w14:textId="77777777" w:rsidR="00972845" w:rsidRPr="004D4F07" w:rsidRDefault="00972845">
      <w:pPr>
        <w:rPr>
          <w:rFonts w:asciiTheme="minorHAnsi" w:hAnsiTheme="minorHAnsi" w:cstheme="minorHAnsi"/>
          <w:sz w:val="22"/>
          <w:lang w:val="sr-Latn-ME"/>
        </w:rPr>
      </w:pPr>
    </w:p>
    <w:sectPr w:rsidR="00972845" w:rsidRPr="004D4F07" w:rsidSect="00C64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5FBA" w14:textId="77777777" w:rsidR="00A97E58" w:rsidRDefault="00A97E58" w:rsidP="00BA7396">
      <w:r>
        <w:separator/>
      </w:r>
    </w:p>
  </w:endnote>
  <w:endnote w:type="continuationSeparator" w:id="0">
    <w:p w14:paraId="774E42E2" w14:textId="77777777" w:rsidR="00A97E58" w:rsidRDefault="00A97E58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E232" w14:textId="77777777" w:rsidR="00A97E58" w:rsidRDefault="00A97E58" w:rsidP="00BA7396">
      <w:r>
        <w:separator/>
      </w:r>
    </w:p>
  </w:footnote>
  <w:footnote w:type="continuationSeparator" w:id="0">
    <w:p w14:paraId="788C20BD" w14:textId="77777777" w:rsidR="00A97E58" w:rsidRDefault="00A97E58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F6"/>
    <w:multiLevelType w:val="hybridMultilevel"/>
    <w:tmpl w:val="5CDCDB9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B0514"/>
    <w:multiLevelType w:val="hybridMultilevel"/>
    <w:tmpl w:val="24C4EFCC"/>
    <w:lvl w:ilvl="0" w:tplc="3822B8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D107F2"/>
    <w:multiLevelType w:val="hybridMultilevel"/>
    <w:tmpl w:val="787A635E"/>
    <w:lvl w:ilvl="0" w:tplc="08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1623287"/>
    <w:multiLevelType w:val="hybridMultilevel"/>
    <w:tmpl w:val="6D9A135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1EA1"/>
    <w:multiLevelType w:val="hybridMultilevel"/>
    <w:tmpl w:val="B96E37C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BF0"/>
    <w:multiLevelType w:val="hybridMultilevel"/>
    <w:tmpl w:val="C91856E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927FA"/>
    <w:multiLevelType w:val="hybridMultilevel"/>
    <w:tmpl w:val="B1103650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34267"/>
    <w:multiLevelType w:val="hybridMultilevel"/>
    <w:tmpl w:val="7108BBE6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47173"/>
    <w:multiLevelType w:val="hybridMultilevel"/>
    <w:tmpl w:val="21FACE80"/>
    <w:lvl w:ilvl="0" w:tplc="4AA868A0">
      <w:start w:val="3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D5BE5"/>
    <w:multiLevelType w:val="hybridMultilevel"/>
    <w:tmpl w:val="334AFE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D7EFC"/>
    <w:multiLevelType w:val="hybridMultilevel"/>
    <w:tmpl w:val="A4B8BB84"/>
    <w:lvl w:ilvl="0" w:tplc="702CC46A">
      <w:start w:val="1"/>
      <w:numFmt w:val="bullet"/>
      <w:lvlText w:val="-"/>
      <w:lvlJc w:val="left"/>
      <w:pPr>
        <w:ind w:left="108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592FF4"/>
    <w:multiLevelType w:val="hybridMultilevel"/>
    <w:tmpl w:val="B8BA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64397"/>
    <w:multiLevelType w:val="hybridMultilevel"/>
    <w:tmpl w:val="5DF6184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013BE"/>
    <w:multiLevelType w:val="hybridMultilevel"/>
    <w:tmpl w:val="9A2AA7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EA07DC7"/>
    <w:multiLevelType w:val="hybridMultilevel"/>
    <w:tmpl w:val="0442D624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E6A50"/>
    <w:multiLevelType w:val="hybridMultilevel"/>
    <w:tmpl w:val="B95810EE"/>
    <w:lvl w:ilvl="0" w:tplc="702CC46A">
      <w:start w:val="1"/>
      <w:numFmt w:val="bullet"/>
      <w:lvlText w:val="-"/>
      <w:lvlJc w:val="left"/>
      <w:pPr>
        <w:ind w:left="78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76333"/>
    <w:multiLevelType w:val="hybridMultilevel"/>
    <w:tmpl w:val="D468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31692"/>
    <w:multiLevelType w:val="hybridMultilevel"/>
    <w:tmpl w:val="13948738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E459D"/>
    <w:multiLevelType w:val="hybridMultilevel"/>
    <w:tmpl w:val="B74EA3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3EF71EF"/>
    <w:multiLevelType w:val="hybridMultilevel"/>
    <w:tmpl w:val="3E8E2F60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46E16279"/>
    <w:multiLevelType w:val="hybridMultilevel"/>
    <w:tmpl w:val="0E9274BA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80271"/>
    <w:multiLevelType w:val="hybridMultilevel"/>
    <w:tmpl w:val="C27CC9AE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63BD6"/>
    <w:multiLevelType w:val="hybridMultilevel"/>
    <w:tmpl w:val="5CD2655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118C2"/>
    <w:multiLevelType w:val="hybridMultilevel"/>
    <w:tmpl w:val="E368B570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D0A95"/>
    <w:multiLevelType w:val="hybridMultilevel"/>
    <w:tmpl w:val="4ED6B7F2"/>
    <w:lvl w:ilvl="0" w:tplc="3822B8E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73702"/>
    <w:multiLevelType w:val="hybridMultilevel"/>
    <w:tmpl w:val="D1AA0110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61C4698F"/>
    <w:multiLevelType w:val="hybridMultilevel"/>
    <w:tmpl w:val="BA1A0E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E21E8"/>
    <w:multiLevelType w:val="hybridMultilevel"/>
    <w:tmpl w:val="046C17A6"/>
    <w:lvl w:ilvl="0" w:tplc="702CC46A">
      <w:start w:val="1"/>
      <w:numFmt w:val="bullet"/>
      <w:lvlText w:val="-"/>
      <w:lvlJc w:val="left"/>
      <w:pPr>
        <w:ind w:left="78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6AA4AD7"/>
    <w:multiLevelType w:val="hybridMultilevel"/>
    <w:tmpl w:val="C94E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E228D"/>
    <w:multiLevelType w:val="hybridMultilevel"/>
    <w:tmpl w:val="62E08828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C116E"/>
    <w:multiLevelType w:val="hybridMultilevel"/>
    <w:tmpl w:val="BB18F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1623F"/>
    <w:multiLevelType w:val="hybridMultilevel"/>
    <w:tmpl w:val="97368A92"/>
    <w:lvl w:ilvl="0" w:tplc="7A5A68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757FE"/>
    <w:multiLevelType w:val="hybridMultilevel"/>
    <w:tmpl w:val="8466A3BE"/>
    <w:lvl w:ilvl="0" w:tplc="3BEE8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E7100"/>
    <w:multiLevelType w:val="hybridMultilevel"/>
    <w:tmpl w:val="D0607390"/>
    <w:lvl w:ilvl="0" w:tplc="702CC46A">
      <w:start w:val="1"/>
      <w:numFmt w:val="bullet"/>
      <w:lvlText w:val="-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A7048"/>
    <w:multiLevelType w:val="hybridMultilevel"/>
    <w:tmpl w:val="3EE0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D1F38"/>
    <w:multiLevelType w:val="hybridMultilevel"/>
    <w:tmpl w:val="CD34D556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36"/>
  </w:num>
  <w:num w:numId="5">
    <w:abstractNumId w:val="9"/>
  </w:num>
  <w:num w:numId="6">
    <w:abstractNumId w:val="6"/>
  </w:num>
  <w:num w:numId="7">
    <w:abstractNumId w:val="17"/>
  </w:num>
  <w:num w:numId="8">
    <w:abstractNumId w:val="24"/>
  </w:num>
  <w:num w:numId="9">
    <w:abstractNumId w:val="45"/>
  </w:num>
  <w:num w:numId="10">
    <w:abstractNumId w:val="32"/>
  </w:num>
  <w:num w:numId="11">
    <w:abstractNumId w:val="10"/>
  </w:num>
  <w:num w:numId="12">
    <w:abstractNumId w:val="15"/>
  </w:num>
  <w:num w:numId="13">
    <w:abstractNumId w:val="29"/>
  </w:num>
  <w:num w:numId="14">
    <w:abstractNumId w:val="41"/>
  </w:num>
  <w:num w:numId="15">
    <w:abstractNumId w:val="19"/>
  </w:num>
  <w:num w:numId="16">
    <w:abstractNumId w:val="34"/>
  </w:num>
  <w:num w:numId="17">
    <w:abstractNumId w:val="18"/>
  </w:num>
  <w:num w:numId="18">
    <w:abstractNumId w:val="14"/>
  </w:num>
  <w:num w:numId="19">
    <w:abstractNumId w:val="23"/>
  </w:num>
  <w:num w:numId="20">
    <w:abstractNumId w:val="21"/>
  </w:num>
  <w:num w:numId="21">
    <w:abstractNumId w:val="39"/>
  </w:num>
  <w:num w:numId="22">
    <w:abstractNumId w:val="12"/>
  </w:num>
  <w:num w:numId="23">
    <w:abstractNumId w:val="7"/>
  </w:num>
  <w:num w:numId="24">
    <w:abstractNumId w:val="11"/>
  </w:num>
  <w:num w:numId="25">
    <w:abstractNumId w:val="48"/>
  </w:num>
  <w:num w:numId="26">
    <w:abstractNumId w:val="22"/>
  </w:num>
  <w:num w:numId="27">
    <w:abstractNumId w:val="26"/>
  </w:num>
  <w:num w:numId="28">
    <w:abstractNumId w:val="46"/>
  </w:num>
  <w:num w:numId="29">
    <w:abstractNumId w:val="30"/>
  </w:num>
  <w:num w:numId="30">
    <w:abstractNumId w:val="4"/>
  </w:num>
  <w:num w:numId="31">
    <w:abstractNumId w:val="35"/>
  </w:num>
  <w:num w:numId="32">
    <w:abstractNumId w:val="28"/>
  </w:num>
  <w:num w:numId="33">
    <w:abstractNumId w:val="33"/>
  </w:num>
  <w:num w:numId="34">
    <w:abstractNumId w:val="0"/>
  </w:num>
  <w:num w:numId="35">
    <w:abstractNumId w:val="1"/>
  </w:num>
  <w:num w:numId="36">
    <w:abstractNumId w:val="31"/>
  </w:num>
  <w:num w:numId="37">
    <w:abstractNumId w:val="25"/>
  </w:num>
  <w:num w:numId="38">
    <w:abstractNumId w:val="42"/>
  </w:num>
  <w:num w:numId="39">
    <w:abstractNumId w:val="40"/>
  </w:num>
  <w:num w:numId="40">
    <w:abstractNumId w:val="13"/>
  </w:num>
  <w:num w:numId="41">
    <w:abstractNumId w:val="44"/>
  </w:num>
  <w:num w:numId="42">
    <w:abstractNumId w:val="43"/>
  </w:num>
  <w:num w:numId="43">
    <w:abstractNumId w:val="47"/>
  </w:num>
  <w:num w:numId="44">
    <w:abstractNumId w:val="20"/>
  </w:num>
  <w:num w:numId="45">
    <w:abstractNumId w:val="3"/>
  </w:num>
  <w:num w:numId="46">
    <w:abstractNumId w:val="37"/>
  </w:num>
  <w:num w:numId="47">
    <w:abstractNumId w:val="2"/>
  </w:num>
  <w:num w:numId="48">
    <w:abstractNumId w:val="2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426F"/>
    <w:rsid w:val="00005F66"/>
    <w:rsid w:val="000068A3"/>
    <w:rsid w:val="00007E20"/>
    <w:rsid w:val="000174AC"/>
    <w:rsid w:val="00044674"/>
    <w:rsid w:val="00047CD2"/>
    <w:rsid w:val="000511F0"/>
    <w:rsid w:val="00054691"/>
    <w:rsid w:val="00067FCF"/>
    <w:rsid w:val="000700D9"/>
    <w:rsid w:val="000716AC"/>
    <w:rsid w:val="00071952"/>
    <w:rsid w:val="00075306"/>
    <w:rsid w:val="0007580E"/>
    <w:rsid w:val="0008732A"/>
    <w:rsid w:val="000A3828"/>
    <w:rsid w:val="000B432C"/>
    <w:rsid w:val="000B660C"/>
    <w:rsid w:val="000C16CA"/>
    <w:rsid w:val="000E5392"/>
    <w:rsid w:val="00100FBE"/>
    <w:rsid w:val="001028CF"/>
    <w:rsid w:val="00114CE7"/>
    <w:rsid w:val="00122AB0"/>
    <w:rsid w:val="00122D06"/>
    <w:rsid w:val="00125C70"/>
    <w:rsid w:val="001278C8"/>
    <w:rsid w:val="00130093"/>
    <w:rsid w:val="001356B3"/>
    <w:rsid w:val="00142831"/>
    <w:rsid w:val="00145D23"/>
    <w:rsid w:val="00152E4E"/>
    <w:rsid w:val="001549AB"/>
    <w:rsid w:val="00155059"/>
    <w:rsid w:val="0015743B"/>
    <w:rsid w:val="00162BB1"/>
    <w:rsid w:val="00181B69"/>
    <w:rsid w:val="00182C3D"/>
    <w:rsid w:val="00186E72"/>
    <w:rsid w:val="0019388E"/>
    <w:rsid w:val="001939A8"/>
    <w:rsid w:val="001961D2"/>
    <w:rsid w:val="001A0BE9"/>
    <w:rsid w:val="001A3896"/>
    <w:rsid w:val="001A553E"/>
    <w:rsid w:val="001A5DEF"/>
    <w:rsid w:val="001B78B9"/>
    <w:rsid w:val="001C7348"/>
    <w:rsid w:val="001D0BF0"/>
    <w:rsid w:val="001D1DB3"/>
    <w:rsid w:val="001E05EC"/>
    <w:rsid w:val="001E1794"/>
    <w:rsid w:val="001E6EAF"/>
    <w:rsid w:val="001F65A9"/>
    <w:rsid w:val="001F723C"/>
    <w:rsid w:val="00205BC0"/>
    <w:rsid w:val="002119F0"/>
    <w:rsid w:val="00216E0B"/>
    <w:rsid w:val="00223D43"/>
    <w:rsid w:val="00230A3F"/>
    <w:rsid w:val="00240A5A"/>
    <w:rsid w:val="00251CC3"/>
    <w:rsid w:val="00255676"/>
    <w:rsid w:val="00261B56"/>
    <w:rsid w:val="0026310C"/>
    <w:rsid w:val="002634FC"/>
    <w:rsid w:val="0026731A"/>
    <w:rsid w:val="00275ECD"/>
    <w:rsid w:val="00277031"/>
    <w:rsid w:val="00280798"/>
    <w:rsid w:val="00280DBC"/>
    <w:rsid w:val="00282840"/>
    <w:rsid w:val="0028484D"/>
    <w:rsid w:val="00284A91"/>
    <w:rsid w:val="0028567B"/>
    <w:rsid w:val="00290F43"/>
    <w:rsid w:val="002924EC"/>
    <w:rsid w:val="002927AF"/>
    <w:rsid w:val="00294662"/>
    <w:rsid w:val="00295023"/>
    <w:rsid w:val="002A15F7"/>
    <w:rsid w:val="002A1FC5"/>
    <w:rsid w:val="002A2C2C"/>
    <w:rsid w:val="002C3210"/>
    <w:rsid w:val="002C473C"/>
    <w:rsid w:val="002C6A05"/>
    <w:rsid w:val="002D3BAD"/>
    <w:rsid w:val="002E2BE9"/>
    <w:rsid w:val="002E7569"/>
    <w:rsid w:val="00307630"/>
    <w:rsid w:val="00310915"/>
    <w:rsid w:val="003110F7"/>
    <w:rsid w:val="0032624D"/>
    <w:rsid w:val="00327CA7"/>
    <w:rsid w:val="00332529"/>
    <w:rsid w:val="003345F0"/>
    <w:rsid w:val="00340D27"/>
    <w:rsid w:val="0034394A"/>
    <w:rsid w:val="003448EB"/>
    <w:rsid w:val="0035397E"/>
    <w:rsid w:val="00354427"/>
    <w:rsid w:val="003561AE"/>
    <w:rsid w:val="00357476"/>
    <w:rsid w:val="00381475"/>
    <w:rsid w:val="003835EF"/>
    <w:rsid w:val="0038407B"/>
    <w:rsid w:val="0038675C"/>
    <w:rsid w:val="00392F99"/>
    <w:rsid w:val="00393EA1"/>
    <w:rsid w:val="00395587"/>
    <w:rsid w:val="003A707B"/>
    <w:rsid w:val="003B16ED"/>
    <w:rsid w:val="003B4E81"/>
    <w:rsid w:val="003C267B"/>
    <w:rsid w:val="003C662E"/>
    <w:rsid w:val="003D1820"/>
    <w:rsid w:val="003E22F5"/>
    <w:rsid w:val="003F3254"/>
    <w:rsid w:val="003F334E"/>
    <w:rsid w:val="003F4B7E"/>
    <w:rsid w:val="00407399"/>
    <w:rsid w:val="00420FC4"/>
    <w:rsid w:val="0042190F"/>
    <w:rsid w:val="0042444A"/>
    <w:rsid w:val="004258F3"/>
    <w:rsid w:val="004264A3"/>
    <w:rsid w:val="004424B6"/>
    <w:rsid w:val="00443C74"/>
    <w:rsid w:val="00451B81"/>
    <w:rsid w:val="004522E7"/>
    <w:rsid w:val="00455CA8"/>
    <w:rsid w:val="00461857"/>
    <w:rsid w:val="004728FC"/>
    <w:rsid w:val="00474265"/>
    <w:rsid w:val="0048029F"/>
    <w:rsid w:val="004979AC"/>
    <w:rsid w:val="004A226D"/>
    <w:rsid w:val="004A404C"/>
    <w:rsid w:val="004A4396"/>
    <w:rsid w:val="004B6542"/>
    <w:rsid w:val="004B71C8"/>
    <w:rsid w:val="004C065E"/>
    <w:rsid w:val="004D4F07"/>
    <w:rsid w:val="004D59DD"/>
    <w:rsid w:val="004F012D"/>
    <w:rsid w:val="004F0685"/>
    <w:rsid w:val="004F3B6C"/>
    <w:rsid w:val="00500079"/>
    <w:rsid w:val="00506C38"/>
    <w:rsid w:val="00512213"/>
    <w:rsid w:val="00516698"/>
    <w:rsid w:val="005209DF"/>
    <w:rsid w:val="0052386A"/>
    <w:rsid w:val="00524220"/>
    <w:rsid w:val="005265A9"/>
    <w:rsid w:val="005345FC"/>
    <w:rsid w:val="005426B9"/>
    <w:rsid w:val="0054756C"/>
    <w:rsid w:val="0055330C"/>
    <w:rsid w:val="00560FD9"/>
    <w:rsid w:val="00565CEB"/>
    <w:rsid w:val="005805F3"/>
    <w:rsid w:val="0058489C"/>
    <w:rsid w:val="005A21F2"/>
    <w:rsid w:val="005A272B"/>
    <w:rsid w:val="005A4192"/>
    <w:rsid w:val="005B551D"/>
    <w:rsid w:val="005C4266"/>
    <w:rsid w:val="005C60C2"/>
    <w:rsid w:val="005D31D4"/>
    <w:rsid w:val="005E4D84"/>
    <w:rsid w:val="005E7B27"/>
    <w:rsid w:val="005F03ED"/>
    <w:rsid w:val="005F2DA6"/>
    <w:rsid w:val="005F48F5"/>
    <w:rsid w:val="005F5FB3"/>
    <w:rsid w:val="005F6D49"/>
    <w:rsid w:val="00601210"/>
    <w:rsid w:val="00611A3D"/>
    <w:rsid w:val="006129CD"/>
    <w:rsid w:val="00615071"/>
    <w:rsid w:val="006163D5"/>
    <w:rsid w:val="0061744B"/>
    <w:rsid w:val="00626CBE"/>
    <w:rsid w:val="00630BE4"/>
    <w:rsid w:val="00636614"/>
    <w:rsid w:val="0064296B"/>
    <w:rsid w:val="00645AEC"/>
    <w:rsid w:val="00645B6C"/>
    <w:rsid w:val="00667E01"/>
    <w:rsid w:val="00672105"/>
    <w:rsid w:val="00673E85"/>
    <w:rsid w:val="00673F68"/>
    <w:rsid w:val="00680E82"/>
    <w:rsid w:val="00681DE1"/>
    <w:rsid w:val="00696603"/>
    <w:rsid w:val="006A1B2C"/>
    <w:rsid w:val="006A3B25"/>
    <w:rsid w:val="006A79BA"/>
    <w:rsid w:val="006C7A5F"/>
    <w:rsid w:val="006D23FA"/>
    <w:rsid w:val="006D6215"/>
    <w:rsid w:val="006E4E97"/>
    <w:rsid w:val="006E6B02"/>
    <w:rsid w:val="006F5637"/>
    <w:rsid w:val="007022A2"/>
    <w:rsid w:val="00702CFF"/>
    <w:rsid w:val="007159BB"/>
    <w:rsid w:val="00721DB9"/>
    <w:rsid w:val="00731EDD"/>
    <w:rsid w:val="00733149"/>
    <w:rsid w:val="00736E8D"/>
    <w:rsid w:val="00762BC8"/>
    <w:rsid w:val="0076356F"/>
    <w:rsid w:val="007653B0"/>
    <w:rsid w:val="00767639"/>
    <w:rsid w:val="007708DC"/>
    <w:rsid w:val="00775167"/>
    <w:rsid w:val="0078206F"/>
    <w:rsid w:val="0079208E"/>
    <w:rsid w:val="00797FD9"/>
    <w:rsid w:val="007A1C7D"/>
    <w:rsid w:val="007A56A4"/>
    <w:rsid w:val="007A5F54"/>
    <w:rsid w:val="007A6A02"/>
    <w:rsid w:val="007B2D1B"/>
    <w:rsid w:val="007B515F"/>
    <w:rsid w:val="007C12EB"/>
    <w:rsid w:val="007C38C6"/>
    <w:rsid w:val="007D2958"/>
    <w:rsid w:val="007D53DA"/>
    <w:rsid w:val="007E01D3"/>
    <w:rsid w:val="007E410F"/>
    <w:rsid w:val="007E59EE"/>
    <w:rsid w:val="007F4E3F"/>
    <w:rsid w:val="00803BF7"/>
    <w:rsid w:val="008178B2"/>
    <w:rsid w:val="008301C9"/>
    <w:rsid w:val="008322D4"/>
    <w:rsid w:val="00833765"/>
    <w:rsid w:val="00845AD4"/>
    <w:rsid w:val="0084708D"/>
    <w:rsid w:val="008509EC"/>
    <w:rsid w:val="0085327D"/>
    <w:rsid w:val="00862C39"/>
    <w:rsid w:val="00871235"/>
    <w:rsid w:val="0087286D"/>
    <w:rsid w:val="00897ABD"/>
    <w:rsid w:val="008A4818"/>
    <w:rsid w:val="008A49E9"/>
    <w:rsid w:val="008B09E9"/>
    <w:rsid w:val="008B3D10"/>
    <w:rsid w:val="008C2E26"/>
    <w:rsid w:val="008D3CFE"/>
    <w:rsid w:val="008D4EFE"/>
    <w:rsid w:val="008D6B40"/>
    <w:rsid w:val="008E4C92"/>
    <w:rsid w:val="009207CF"/>
    <w:rsid w:val="009213C6"/>
    <w:rsid w:val="00925462"/>
    <w:rsid w:val="0094186A"/>
    <w:rsid w:val="0094732F"/>
    <w:rsid w:val="00950F42"/>
    <w:rsid w:val="00952C50"/>
    <w:rsid w:val="00953135"/>
    <w:rsid w:val="0095546B"/>
    <w:rsid w:val="00960A46"/>
    <w:rsid w:val="009630A1"/>
    <w:rsid w:val="009709F0"/>
    <w:rsid w:val="00972845"/>
    <w:rsid w:val="00974E91"/>
    <w:rsid w:val="00977D0A"/>
    <w:rsid w:val="00980410"/>
    <w:rsid w:val="009805D2"/>
    <w:rsid w:val="00986CED"/>
    <w:rsid w:val="00986F6D"/>
    <w:rsid w:val="009A2EF8"/>
    <w:rsid w:val="009A45D9"/>
    <w:rsid w:val="009A6ED1"/>
    <w:rsid w:val="009B425D"/>
    <w:rsid w:val="009B4541"/>
    <w:rsid w:val="009D3553"/>
    <w:rsid w:val="009E7A65"/>
    <w:rsid w:val="009F27C5"/>
    <w:rsid w:val="00A0045B"/>
    <w:rsid w:val="00A02E48"/>
    <w:rsid w:val="00A04116"/>
    <w:rsid w:val="00A07773"/>
    <w:rsid w:val="00A265F9"/>
    <w:rsid w:val="00A41EE6"/>
    <w:rsid w:val="00A432C6"/>
    <w:rsid w:val="00A5580E"/>
    <w:rsid w:val="00A55EC0"/>
    <w:rsid w:val="00A608E2"/>
    <w:rsid w:val="00A635A7"/>
    <w:rsid w:val="00A71595"/>
    <w:rsid w:val="00A7332A"/>
    <w:rsid w:val="00A76ED5"/>
    <w:rsid w:val="00A7733D"/>
    <w:rsid w:val="00A90D7A"/>
    <w:rsid w:val="00A97E58"/>
    <w:rsid w:val="00AA0200"/>
    <w:rsid w:val="00AA117E"/>
    <w:rsid w:val="00AA24B8"/>
    <w:rsid w:val="00AA3B25"/>
    <w:rsid w:val="00AA5D6E"/>
    <w:rsid w:val="00AA6358"/>
    <w:rsid w:val="00AB7A8F"/>
    <w:rsid w:val="00AD100C"/>
    <w:rsid w:val="00AD1EF6"/>
    <w:rsid w:val="00AD45C5"/>
    <w:rsid w:val="00AD6D81"/>
    <w:rsid w:val="00AE26A5"/>
    <w:rsid w:val="00AF7DB9"/>
    <w:rsid w:val="00B035DA"/>
    <w:rsid w:val="00B12DB4"/>
    <w:rsid w:val="00B13CA8"/>
    <w:rsid w:val="00B14C1D"/>
    <w:rsid w:val="00B2646E"/>
    <w:rsid w:val="00B344F3"/>
    <w:rsid w:val="00B451DA"/>
    <w:rsid w:val="00B50546"/>
    <w:rsid w:val="00B625EF"/>
    <w:rsid w:val="00B74ACC"/>
    <w:rsid w:val="00B75ED0"/>
    <w:rsid w:val="00B81D0B"/>
    <w:rsid w:val="00B85D4B"/>
    <w:rsid w:val="00B86C2C"/>
    <w:rsid w:val="00B95E13"/>
    <w:rsid w:val="00BA2880"/>
    <w:rsid w:val="00BA524D"/>
    <w:rsid w:val="00BA6D48"/>
    <w:rsid w:val="00BA7396"/>
    <w:rsid w:val="00BB4E3D"/>
    <w:rsid w:val="00BB511A"/>
    <w:rsid w:val="00BD1F87"/>
    <w:rsid w:val="00BD4282"/>
    <w:rsid w:val="00BD4B64"/>
    <w:rsid w:val="00BE56BA"/>
    <w:rsid w:val="00BF4C18"/>
    <w:rsid w:val="00BF5709"/>
    <w:rsid w:val="00BF5AD0"/>
    <w:rsid w:val="00C03B13"/>
    <w:rsid w:val="00C03CF9"/>
    <w:rsid w:val="00C056B6"/>
    <w:rsid w:val="00C13391"/>
    <w:rsid w:val="00C158F5"/>
    <w:rsid w:val="00C17109"/>
    <w:rsid w:val="00C179F9"/>
    <w:rsid w:val="00C20B92"/>
    <w:rsid w:val="00C41754"/>
    <w:rsid w:val="00C41872"/>
    <w:rsid w:val="00C44B7B"/>
    <w:rsid w:val="00C47FB7"/>
    <w:rsid w:val="00C5148C"/>
    <w:rsid w:val="00C54808"/>
    <w:rsid w:val="00C610C2"/>
    <w:rsid w:val="00C6211A"/>
    <w:rsid w:val="00C624D3"/>
    <w:rsid w:val="00C6455F"/>
    <w:rsid w:val="00C65D3D"/>
    <w:rsid w:val="00C66535"/>
    <w:rsid w:val="00C72668"/>
    <w:rsid w:val="00C72DD7"/>
    <w:rsid w:val="00C7345B"/>
    <w:rsid w:val="00C75492"/>
    <w:rsid w:val="00C87DA2"/>
    <w:rsid w:val="00C92799"/>
    <w:rsid w:val="00C947CD"/>
    <w:rsid w:val="00C978C2"/>
    <w:rsid w:val="00C97B96"/>
    <w:rsid w:val="00CE0103"/>
    <w:rsid w:val="00CF7F2C"/>
    <w:rsid w:val="00D06D2A"/>
    <w:rsid w:val="00D13433"/>
    <w:rsid w:val="00D13578"/>
    <w:rsid w:val="00D136DF"/>
    <w:rsid w:val="00D1480A"/>
    <w:rsid w:val="00D27C82"/>
    <w:rsid w:val="00D27E5E"/>
    <w:rsid w:val="00D31CEE"/>
    <w:rsid w:val="00D31FEF"/>
    <w:rsid w:val="00D35D42"/>
    <w:rsid w:val="00D40585"/>
    <w:rsid w:val="00D4308A"/>
    <w:rsid w:val="00D56E8F"/>
    <w:rsid w:val="00D703A8"/>
    <w:rsid w:val="00D73BB3"/>
    <w:rsid w:val="00D73EE3"/>
    <w:rsid w:val="00D742BA"/>
    <w:rsid w:val="00D75805"/>
    <w:rsid w:val="00D763BE"/>
    <w:rsid w:val="00D8212D"/>
    <w:rsid w:val="00D82F63"/>
    <w:rsid w:val="00D85377"/>
    <w:rsid w:val="00D96854"/>
    <w:rsid w:val="00DA7772"/>
    <w:rsid w:val="00DB3D47"/>
    <w:rsid w:val="00DB5278"/>
    <w:rsid w:val="00DC4699"/>
    <w:rsid w:val="00DC4BCB"/>
    <w:rsid w:val="00DD1718"/>
    <w:rsid w:val="00DD428B"/>
    <w:rsid w:val="00DE1090"/>
    <w:rsid w:val="00DE171E"/>
    <w:rsid w:val="00DE731F"/>
    <w:rsid w:val="00DF502A"/>
    <w:rsid w:val="00DF7591"/>
    <w:rsid w:val="00E0258F"/>
    <w:rsid w:val="00E10E73"/>
    <w:rsid w:val="00E13C17"/>
    <w:rsid w:val="00E14021"/>
    <w:rsid w:val="00E1631B"/>
    <w:rsid w:val="00E16423"/>
    <w:rsid w:val="00E216A5"/>
    <w:rsid w:val="00E26C7B"/>
    <w:rsid w:val="00E3478E"/>
    <w:rsid w:val="00E53DAD"/>
    <w:rsid w:val="00E55D3A"/>
    <w:rsid w:val="00E721E9"/>
    <w:rsid w:val="00E8589C"/>
    <w:rsid w:val="00E86777"/>
    <w:rsid w:val="00E8680B"/>
    <w:rsid w:val="00E920EA"/>
    <w:rsid w:val="00E93169"/>
    <w:rsid w:val="00E938EB"/>
    <w:rsid w:val="00EA6FBF"/>
    <w:rsid w:val="00EB7CBE"/>
    <w:rsid w:val="00EC1EDB"/>
    <w:rsid w:val="00EC280F"/>
    <w:rsid w:val="00EC491E"/>
    <w:rsid w:val="00ED018E"/>
    <w:rsid w:val="00ED0AF4"/>
    <w:rsid w:val="00ED3125"/>
    <w:rsid w:val="00ED4766"/>
    <w:rsid w:val="00ED5745"/>
    <w:rsid w:val="00ED5A37"/>
    <w:rsid w:val="00EE42F2"/>
    <w:rsid w:val="00EE6820"/>
    <w:rsid w:val="00EF46CD"/>
    <w:rsid w:val="00EF5AFB"/>
    <w:rsid w:val="00EF634F"/>
    <w:rsid w:val="00F24A43"/>
    <w:rsid w:val="00F35530"/>
    <w:rsid w:val="00F67363"/>
    <w:rsid w:val="00F726EC"/>
    <w:rsid w:val="00F7433F"/>
    <w:rsid w:val="00F8355D"/>
    <w:rsid w:val="00F91CC8"/>
    <w:rsid w:val="00F92413"/>
    <w:rsid w:val="00FA1E61"/>
    <w:rsid w:val="00FA47B0"/>
    <w:rsid w:val="00FA72A2"/>
    <w:rsid w:val="00FB3F35"/>
    <w:rsid w:val="00FB6BD5"/>
    <w:rsid w:val="00FB7CBA"/>
    <w:rsid w:val="00FC304B"/>
    <w:rsid w:val="00FC37BD"/>
    <w:rsid w:val="00FC4FEC"/>
    <w:rsid w:val="00FE1435"/>
    <w:rsid w:val="00FE57C8"/>
    <w:rsid w:val="00FF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93BC"/>
  <w15:docId w15:val="{F6242DEE-3A41-46ED-98E0-C8C1DC7E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3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Default">
    <w:name w:val="Default"/>
    <w:rsid w:val="00070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2E2BE9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64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notranslate">
    <w:name w:val="notranslate"/>
    <w:basedOn w:val="DefaultParagraphFont"/>
    <w:rsid w:val="00071952"/>
  </w:style>
  <w:style w:type="paragraph" w:customStyle="1" w:styleId="1tekst">
    <w:name w:val="_1tekst"/>
    <w:basedOn w:val="Normal"/>
    <w:rsid w:val="00E216A5"/>
    <w:pPr>
      <w:ind w:left="375" w:right="375" w:firstLine="240"/>
    </w:pPr>
    <w:rPr>
      <w:rFonts w:ascii="Arial" w:eastAsiaTheme="minorEastAsia" w:hAnsi="Arial" w:cs="Arial"/>
      <w:bCs w:val="0"/>
      <w:sz w:val="20"/>
      <w:szCs w:val="20"/>
      <w:lang w:val="en-US" w:eastAsia="en-US"/>
    </w:rPr>
  </w:style>
  <w:style w:type="paragraph" w:customStyle="1" w:styleId="7podnas">
    <w:name w:val="_7podnas"/>
    <w:basedOn w:val="Normal"/>
    <w:rsid w:val="00E216A5"/>
    <w:pPr>
      <w:shd w:val="clear" w:color="auto" w:fill="FFFFFF"/>
      <w:spacing w:before="60"/>
      <w:jc w:val="center"/>
    </w:pPr>
    <w:rPr>
      <w:rFonts w:ascii="Arial" w:eastAsiaTheme="minorEastAsia" w:hAnsi="Arial" w:cs="Arial"/>
      <w:b/>
      <w:sz w:val="27"/>
      <w:szCs w:val="27"/>
      <w:lang w:val="en-US" w:eastAsia="en-US"/>
    </w:rPr>
  </w:style>
  <w:style w:type="paragraph" w:customStyle="1" w:styleId="4clan">
    <w:name w:val="_4clan"/>
    <w:basedOn w:val="Normal"/>
    <w:rsid w:val="00E216A5"/>
    <w:pPr>
      <w:spacing w:before="30" w:after="30"/>
      <w:jc w:val="center"/>
    </w:pPr>
    <w:rPr>
      <w:rFonts w:ascii="Arial" w:eastAsiaTheme="minorEastAsia" w:hAnsi="Arial" w:cs="Arial"/>
      <w:b/>
      <w:sz w:val="20"/>
      <w:szCs w:val="20"/>
      <w:lang w:val="en-US" w:eastAsia="en-US"/>
    </w:rPr>
  </w:style>
  <w:style w:type="paragraph" w:customStyle="1" w:styleId="BodyA">
    <w:name w:val="Body A"/>
    <w:rsid w:val="007E01D3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64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fontstyle01">
    <w:name w:val="fontstyle01"/>
    <w:basedOn w:val="DefaultParagraphFont"/>
    <w:rsid w:val="008178B2"/>
    <w:rPr>
      <w:rFonts w:ascii="Arial" w:hAnsi="Arial" w:cs="Arial" w:hint="default"/>
      <w:b w:val="0"/>
      <w:bCs w:val="0"/>
      <w:i w:val="0"/>
      <w:iCs w:val="0"/>
      <w:color w:val="365F91"/>
      <w:sz w:val="20"/>
      <w:szCs w:val="20"/>
    </w:rPr>
  </w:style>
  <w:style w:type="character" w:customStyle="1" w:styleId="fontstyle21">
    <w:name w:val="fontstyle21"/>
    <w:basedOn w:val="DefaultParagraphFont"/>
    <w:rsid w:val="008178B2"/>
    <w:rPr>
      <w:rFonts w:ascii="Arial" w:hAnsi="Arial" w:cs="Arial" w:hint="default"/>
      <w:b/>
      <w:bCs/>
      <w:i/>
      <w:iCs/>
      <w:color w:val="365F9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3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C657-E7E4-4D25-BAE3-4BD2D9D5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Sanja Varajic</cp:lastModifiedBy>
  <cp:revision>2</cp:revision>
  <cp:lastPrinted>2021-11-19T08:06:00Z</cp:lastPrinted>
  <dcterms:created xsi:type="dcterms:W3CDTF">2021-12-01T08:25:00Z</dcterms:created>
  <dcterms:modified xsi:type="dcterms:W3CDTF">2021-12-01T08:25:00Z</dcterms:modified>
</cp:coreProperties>
</file>