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02D" w:rsidRDefault="00B0202D" w:rsidP="00B0202D">
      <w:pPr>
        <w:jc w:val="both"/>
        <w:rPr>
          <w:rFonts w:ascii="Garamond" w:hAnsi="Garamond" w:cstheme="minorHAnsi"/>
          <w:b/>
          <w:bCs/>
          <w:sz w:val="24"/>
          <w:szCs w:val="24"/>
          <w:lang w:val="sr-Latn-ME"/>
        </w:rPr>
      </w:pPr>
      <w:r>
        <w:rPr>
          <w:rFonts w:ascii="Garamond" w:hAnsi="Garamond" w:cstheme="minorHAnsi"/>
          <w:b/>
          <w:bCs/>
          <w:sz w:val="24"/>
          <w:szCs w:val="24"/>
          <w:lang w:val="sr-Latn-ME"/>
        </w:rPr>
        <w:t>Izvještaj o</w:t>
      </w:r>
      <w:r w:rsidR="004A08FA">
        <w:rPr>
          <w:rFonts w:ascii="Garamond" w:hAnsi="Garamond" w:cstheme="minorHAnsi"/>
          <w:b/>
          <w:bCs/>
          <w:sz w:val="24"/>
          <w:szCs w:val="24"/>
          <w:lang w:val="sr-Latn-ME"/>
        </w:rPr>
        <w:t xml:space="preserve"> preliminarnom</w:t>
      </w:r>
      <w:r>
        <w:rPr>
          <w:rFonts w:ascii="Garamond" w:hAnsi="Garamond" w:cstheme="minorHAnsi"/>
          <w:b/>
          <w:bCs/>
          <w:sz w:val="24"/>
          <w:szCs w:val="24"/>
          <w:lang w:val="sr-Latn-ME"/>
        </w:rPr>
        <w:t xml:space="preserve"> izvršenju budžeta Crne Gore za </w:t>
      </w:r>
      <w:r w:rsidR="004A08FA">
        <w:rPr>
          <w:rFonts w:ascii="Garamond" w:hAnsi="Garamond" w:cstheme="minorHAnsi"/>
          <w:b/>
          <w:bCs/>
          <w:sz w:val="24"/>
          <w:szCs w:val="24"/>
          <w:lang w:val="sr-Latn-ME"/>
        </w:rPr>
        <w:t xml:space="preserve">period </w:t>
      </w:r>
      <w:r>
        <w:rPr>
          <w:rFonts w:ascii="Garamond" w:hAnsi="Garamond" w:cstheme="minorHAnsi"/>
          <w:b/>
          <w:bCs/>
          <w:sz w:val="24"/>
          <w:szCs w:val="24"/>
          <w:lang w:val="sr-Latn-ME"/>
        </w:rPr>
        <w:t>januar – decembar 2022. godine</w:t>
      </w:r>
    </w:p>
    <w:p w:rsidR="00536BB8" w:rsidRPr="00B0202D" w:rsidRDefault="00536BB8" w:rsidP="00536BB8">
      <w:pPr>
        <w:jc w:val="both"/>
        <w:rPr>
          <w:rFonts w:ascii="Garamond" w:hAnsi="Garamond"/>
          <w:sz w:val="24"/>
          <w:szCs w:val="24"/>
          <w:lang w:val="sr-Latn-ME"/>
        </w:rPr>
      </w:pPr>
      <w:r w:rsidRPr="00385BF6">
        <w:rPr>
          <w:rFonts w:ascii="Garamond" w:hAnsi="Garamond"/>
          <w:b/>
          <w:sz w:val="24"/>
          <w:szCs w:val="24"/>
          <w:lang w:val="sr-Latn-ME"/>
        </w:rPr>
        <w:t>Prihodi budžeta u periodu januar – dec</w:t>
      </w:r>
      <w:r w:rsidR="00FD5028" w:rsidRPr="00385BF6">
        <w:rPr>
          <w:rFonts w:ascii="Garamond" w:hAnsi="Garamond"/>
          <w:b/>
          <w:sz w:val="24"/>
          <w:szCs w:val="24"/>
          <w:lang w:val="sr-Latn-ME"/>
        </w:rPr>
        <w:t>e</w:t>
      </w:r>
      <w:r w:rsidRPr="00385BF6">
        <w:rPr>
          <w:rFonts w:ascii="Garamond" w:hAnsi="Garamond"/>
          <w:b/>
          <w:sz w:val="24"/>
          <w:szCs w:val="24"/>
          <w:lang w:val="sr-Latn-ME"/>
        </w:rPr>
        <w:t>mbar 2022. godine iznosili su 2</w:t>
      </w:r>
      <w:r w:rsidR="00A22159" w:rsidRPr="00385BF6">
        <w:rPr>
          <w:rFonts w:ascii="Garamond" w:hAnsi="Garamond"/>
          <w:b/>
          <w:sz w:val="24"/>
          <w:szCs w:val="24"/>
          <w:lang w:val="sr-Latn-ME"/>
        </w:rPr>
        <w:t xml:space="preserve">.009,1 mil. € ili </w:t>
      </w:r>
      <w:r w:rsidR="00F134A6" w:rsidRPr="00385BF6">
        <w:rPr>
          <w:rFonts w:ascii="Garamond" w:hAnsi="Garamond"/>
          <w:b/>
          <w:sz w:val="24"/>
          <w:szCs w:val="24"/>
          <w:lang w:val="sr-Latn-ME"/>
        </w:rPr>
        <w:t>35,2</w:t>
      </w:r>
      <w:r w:rsidRPr="00385BF6">
        <w:rPr>
          <w:rFonts w:ascii="Garamond" w:hAnsi="Garamond"/>
          <w:b/>
          <w:sz w:val="24"/>
          <w:szCs w:val="24"/>
          <w:lang w:val="sr-Latn-ME"/>
        </w:rPr>
        <w:t>% procijenjenog BDP-a</w:t>
      </w:r>
      <w:r w:rsidRPr="00B0202D">
        <w:rPr>
          <w:rFonts w:ascii="Garamond" w:hAnsi="Garamond"/>
          <w:sz w:val="24"/>
          <w:szCs w:val="24"/>
          <w:lang w:val="sr-Latn-ME"/>
        </w:rPr>
        <w:t>. U odnosu na planirane, ostvareni priho</w:t>
      </w:r>
      <w:r w:rsidR="00A22159" w:rsidRPr="00B0202D">
        <w:rPr>
          <w:rFonts w:ascii="Garamond" w:hAnsi="Garamond"/>
          <w:sz w:val="24"/>
          <w:szCs w:val="24"/>
          <w:lang w:val="sr-Latn-ME"/>
        </w:rPr>
        <w:t>di veći su za 78,1 mil. € ili 4,0%</w:t>
      </w:r>
      <w:r w:rsidRPr="00B0202D">
        <w:rPr>
          <w:rFonts w:ascii="Garamond" w:hAnsi="Garamond"/>
          <w:sz w:val="24"/>
          <w:szCs w:val="24"/>
          <w:lang w:val="sr-Latn-ME"/>
        </w:rPr>
        <w:t xml:space="preserve"> dok su u odnosu na uporedni period</w:t>
      </w:r>
      <w:r w:rsidR="00A22159" w:rsidRPr="00B0202D">
        <w:rPr>
          <w:rFonts w:ascii="Garamond" w:hAnsi="Garamond"/>
          <w:sz w:val="24"/>
          <w:szCs w:val="24"/>
          <w:lang w:val="sr-Latn-ME"/>
        </w:rPr>
        <w:t xml:space="preserve"> prethodne godine veći za 97,7 mil. € ili 5,1</w:t>
      </w:r>
      <w:r w:rsidRPr="00B0202D">
        <w:rPr>
          <w:rFonts w:ascii="Garamond" w:hAnsi="Garamond"/>
          <w:sz w:val="24"/>
          <w:szCs w:val="24"/>
          <w:lang w:val="sr-Latn-ME"/>
        </w:rPr>
        <w:t>%.</w:t>
      </w:r>
    </w:p>
    <w:p w:rsidR="00536BB8" w:rsidRPr="00B0202D" w:rsidRDefault="00A26F63" w:rsidP="00536BB8">
      <w:pPr>
        <w:jc w:val="both"/>
        <w:rPr>
          <w:rFonts w:ascii="Garamond" w:hAnsi="Garamond"/>
          <w:sz w:val="24"/>
          <w:szCs w:val="24"/>
          <w:lang w:val="sr-Latn-ME"/>
        </w:rPr>
      </w:pPr>
      <w:r w:rsidRPr="00B0202D">
        <w:rPr>
          <w:rFonts w:ascii="Garamond" w:hAnsi="Garamond"/>
          <w:sz w:val="24"/>
          <w:szCs w:val="24"/>
          <w:lang w:val="sr-Latn-ME"/>
        </w:rPr>
        <w:t xml:space="preserve">U 2022. godini prihodi od </w:t>
      </w:r>
      <w:r w:rsidR="00536BB8" w:rsidRPr="00B0202D">
        <w:rPr>
          <w:rFonts w:ascii="Garamond" w:hAnsi="Garamond"/>
          <w:sz w:val="24"/>
          <w:szCs w:val="24"/>
          <w:lang w:val="sr-Latn-ME"/>
        </w:rPr>
        <w:t>porez</w:t>
      </w:r>
      <w:r w:rsidRPr="00B0202D">
        <w:rPr>
          <w:rFonts w:ascii="Garamond" w:hAnsi="Garamond"/>
          <w:sz w:val="24"/>
          <w:szCs w:val="24"/>
          <w:lang w:val="sr-Latn-ME"/>
        </w:rPr>
        <w:t>a</w:t>
      </w:r>
      <w:r w:rsidR="00536BB8" w:rsidRPr="00B0202D">
        <w:rPr>
          <w:rFonts w:ascii="Garamond" w:hAnsi="Garamond"/>
          <w:sz w:val="24"/>
          <w:szCs w:val="24"/>
          <w:lang w:val="sr-Latn-ME"/>
        </w:rPr>
        <w:t xml:space="preserve"> na dodatu vr</w:t>
      </w:r>
      <w:r w:rsidRPr="00B0202D">
        <w:rPr>
          <w:rFonts w:ascii="Garamond" w:hAnsi="Garamond"/>
          <w:sz w:val="24"/>
          <w:szCs w:val="24"/>
          <w:lang w:val="sr-Latn-ME"/>
        </w:rPr>
        <w:t>ijednost zabilježili su rekordan rast</w:t>
      </w:r>
      <w:r w:rsidR="000A60E0" w:rsidRPr="00B0202D">
        <w:rPr>
          <w:rFonts w:ascii="Garamond" w:hAnsi="Garamond"/>
          <w:sz w:val="24"/>
          <w:szCs w:val="24"/>
          <w:lang w:val="sr-Latn-ME"/>
        </w:rPr>
        <w:t xml:space="preserve"> u odnosu na prethodnu godinu, i to</w:t>
      </w:r>
      <w:r w:rsidRPr="00B0202D">
        <w:rPr>
          <w:rFonts w:ascii="Garamond" w:hAnsi="Garamond"/>
          <w:sz w:val="24"/>
          <w:szCs w:val="24"/>
          <w:lang w:val="sr-Latn-ME"/>
        </w:rPr>
        <w:t xml:space="preserve"> u iznosu od </w:t>
      </w:r>
      <w:r w:rsidR="000A60E0" w:rsidRPr="00B0202D">
        <w:rPr>
          <w:rFonts w:ascii="Garamond" w:hAnsi="Garamond"/>
          <w:sz w:val="24"/>
          <w:szCs w:val="24"/>
          <w:lang w:val="sr-Latn-ME"/>
        </w:rPr>
        <w:t>216,1 mil. € ili 31,2</w:t>
      </w:r>
      <w:r w:rsidR="00536BB8" w:rsidRPr="00B0202D">
        <w:rPr>
          <w:rFonts w:ascii="Garamond" w:hAnsi="Garamond"/>
          <w:sz w:val="24"/>
          <w:szCs w:val="24"/>
          <w:lang w:val="sr-Latn-ME"/>
        </w:rPr>
        <w:t>%</w:t>
      </w:r>
      <w:r w:rsidR="000A60E0" w:rsidRPr="00B0202D">
        <w:rPr>
          <w:rFonts w:ascii="Garamond" w:hAnsi="Garamond"/>
          <w:sz w:val="24"/>
          <w:szCs w:val="24"/>
          <w:lang w:val="sr-Latn-ME"/>
        </w:rPr>
        <w:t>,</w:t>
      </w:r>
      <w:r w:rsidR="00536BB8" w:rsidRPr="00B0202D">
        <w:rPr>
          <w:rFonts w:ascii="Garamond" w:hAnsi="Garamond"/>
          <w:sz w:val="24"/>
          <w:szCs w:val="24"/>
          <w:lang w:val="sr-Latn-ME"/>
        </w:rPr>
        <w:t xml:space="preserve"> </w:t>
      </w:r>
      <w:r w:rsidR="00E21749">
        <w:rPr>
          <w:rFonts w:ascii="Garamond" w:hAnsi="Garamond"/>
          <w:sz w:val="24"/>
          <w:szCs w:val="24"/>
          <w:lang w:val="sr-Latn-ME"/>
        </w:rPr>
        <w:t xml:space="preserve">prevashodno </w:t>
      </w:r>
      <w:r w:rsidR="00536BB8" w:rsidRPr="00B0202D">
        <w:rPr>
          <w:rFonts w:ascii="Garamond" w:hAnsi="Garamond"/>
          <w:sz w:val="24"/>
          <w:szCs w:val="24"/>
          <w:lang w:val="sr-Latn-ME"/>
        </w:rPr>
        <w:t xml:space="preserve">kao rezultat rasta </w:t>
      </w:r>
      <w:r w:rsidR="00A05760">
        <w:rPr>
          <w:rFonts w:ascii="Garamond" w:hAnsi="Garamond"/>
          <w:sz w:val="24"/>
          <w:szCs w:val="24"/>
          <w:lang w:val="sr-Latn-ME"/>
        </w:rPr>
        <w:t>privatne potrošnje</w:t>
      </w:r>
      <w:r w:rsidR="00536BB8" w:rsidRPr="00B0202D">
        <w:rPr>
          <w:rFonts w:ascii="Garamond" w:hAnsi="Garamond"/>
          <w:sz w:val="24"/>
          <w:szCs w:val="24"/>
          <w:lang w:val="sr-Latn-ME"/>
        </w:rPr>
        <w:t>, rasta uvoza i inflacije</w:t>
      </w:r>
      <w:r w:rsidR="00A05760">
        <w:rPr>
          <w:rFonts w:ascii="Garamond" w:hAnsi="Garamond"/>
          <w:sz w:val="24"/>
          <w:szCs w:val="24"/>
          <w:lang w:val="sr-Latn-ME"/>
        </w:rPr>
        <w:t xml:space="preserve">, </w:t>
      </w:r>
      <w:r w:rsidR="00536BB8" w:rsidRPr="00B0202D">
        <w:rPr>
          <w:rFonts w:ascii="Garamond" w:hAnsi="Garamond"/>
          <w:sz w:val="24"/>
          <w:szCs w:val="24"/>
          <w:lang w:val="sr-Latn-ME"/>
        </w:rPr>
        <w:t xml:space="preserve">uspješne ljetnje turističke sezone i efekata elektronske fiskalizacije poreskih registar kasa. </w:t>
      </w:r>
      <w:r w:rsidR="00CA6157">
        <w:rPr>
          <w:rFonts w:ascii="Garamond" w:hAnsi="Garamond"/>
          <w:sz w:val="24"/>
          <w:szCs w:val="24"/>
          <w:lang w:val="sr-Latn-ME"/>
        </w:rPr>
        <w:t>Polazeći od navedenog,</w:t>
      </w:r>
      <w:r w:rsidR="000A60E0" w:rsidRPr="00B0202D">
        <w:rPr>
          <w:rFonts w:ascii="Garamond" w:hAnsi="Garamond"/>
          <w:sz w:val="24"/>
          <w:szCs w:val="24"/>
          <w:lang w:val="sr-Latn-ME"/>
        </w:rPr>
        <w:t xml:space="preserve"> prihodi od poreza na</w:t>
      </w:r>
      <w:r w:rsidR="00CA6157">
        <w:rPr>
          <w:rFonts w:ascii="Garamond" w:hAnsi="Garamond"/>
          <w:sz w:val="24"/>
          <w:szCs w:val="24"/>
          <w:lang w:val="sr-Latn-ME"/>
        </w:rPr>
        <w:t xml:space="preserve"> dodatu vrijednost predstavljali su</w:t>
      </w:r>
      <w:r w:rsidR="000A60E0" w:rsidRPr="00B0202D">
        <w:rPr>
          <w:rFonts w:ascii="Garamond" w:hAnsi="Garamond"/>
          <w:sz w:val="24"/>
          <w:szCs w:val="24"/>
          <w:lang w:val="sr-Latn-ME"/>
        </w:rPr>
        <w:t xml:space="preserve"> glavni generator rasta ukupnih prihoda tokom </w:t>
      </w:r>
      <w:r w:rsidR="00CA6157">
        <w:rPr>
          <w:rFonts w:ascii="Garamond" w:hAnsi="Garamond"/>
          <w:sz w:val="24"/>
          <w:szCs w:val="24"/>
          <w:lang w:val="sr-Latn-ME"/>
        </w:rPr>
        <w:t>2022.</w:t>
      </w:r>
      <w:r w:rsidR="000A60E0" w:rsidRPr="00B0202D">
        <w:rPr>
          <w:rFonts w:ascii="Garamond" w:hAnsi="Garamond"/>
          <w:sz w:val="24"/>
          <w:szCs w:val="24"/>
          <w:lang w:val="sr-Latn-ME"/>
        </w:rPr>
        <w:t xml:space="preserve"> godine. </w:t>
      </w:r>
      <w:r w:rsidR="0044193F">
        <w:rPr>
          <w:rFonts w:ascii="Garamond" w:hAnsi="Garamond"/>
          <w:sz w:val="24"/>
          <w:szCs w:val="24"/>
          <w:lang w:val="sr-Latn-ME"/>
        </w:rPr>
        <w:t>Z</w:t>
      </w:r>
      <w:r w:rsidR="00512A9C">
        <w:rPr>
          <w:rFonts w:ascii="Garamond" w:hAnsi="Garamond"/>
          <w:sz w:val="24"/>
          <w:szCs w:val="24"/>
          <w:lang w:val="sr-Latn-ME"/>
        </w:rPr>
        <w:t xml:space="preserve">načajan rast naplate zabilježen je </w:t>
      </w:r>
      <w:r w:rsidR="0044193F">
        <w:rPr>
          <w:rFonts w:ascii="Garamond" w:hAnsi="Garamond"/>
          <w:sz w:val="24"/>
          <w:szCs w:val="24"/>
          <w:lang w:val="sr-Latn-ME"/>
        </w:rPr>
        <w:t xml:space="preserve">i </w:t>
      </w:r>
      <w:r w:rsidR="00512A9C">
        <w:rPr>
          <w:rFonts w:ascii="Garamond" w:hAnsi="Garamond"/>
          <w:sz w:val="24"/>
          <w:szCs w:val="24"/>
          <w:lang w:val="sr-Latn-ME"/>
        </w:rPr>
        <w:t xml:space="preserve">kod prihoda od </w:t>
      </w:r>
      <w:r w:rsidR="00536BB8" w:rsidRPr="00B0202D">
        <w:rPr>
          <w:rFonts w:ascii="Garamond" w:hAnsi="Garamond"/>
          <w:sz w:val="24"/>
          <w:szCs w:val="24"/>
          <w:lang w:val="sr-Latn-ME"/>
        </w:rPr>
        <w:t xml:space="preserve">poreza na međunarodnu trgovinu i transakcije </w:t>
      </w:r>
      <w:r w:rsidR="00512A9C">
        <w:rPr>
          <w:rFonts w:ascii="Garamond" w:hAnsi="Garamond"/>
          <w:sz w:val="24"/>
          <w:szCs w:val="24"/>
          <w:lang w:val="sr-Latn-ME"/>
        </w:rPr>
        <w:t xml:space="preserve">koji su rasli po stopi od </w:t>
      </w:r>
      <w:r w:rsidR="000A60E0" w:rsidRPr="00B0202D">
        <w:rPr>
          <w:rFonts w:ascii="Garamond" w:hAnsi="Garamond"/>
          <w:sz w:val="24"/>
          <w:szCs w:val="24"/>
          <w:lang w:val="sr-Latn-ME"/>
        </w:rPr>
        <w:t>42,2</w:t>
      </w:r>
      <w:r w:rsidR="00536BB8" w:rsidRPr="00B0202D">
        <w:rPr>
          <w:rFonts w:ascii="Garamond" w:hAnsi="Garamond"/>
          <w:sz w:val="24"/>
          <w:szCs w:val="24"/>
          <w:lang w:val="sr-Latn-ME"/>
        </w:rPr>
        <w:t>% kao r</w:t>
      </w:r>
      <w:r w:rsidR="00512A9C">
        <w:rPr>
          <w:rFonts w:ascii="Garamond" w:hAnsi="Garamond"/>
          <w:sz w:val="24"/>
          <w:szCs w:val="24"/>
          <w:lang w:val="sr-Latn-ME"/>
        </w:rPr>
        <w:t>ezultat rasta ostvarenog uvoza, prihoda od poreza na dobit pravnih lica koji su u odnosu na prethodnu godinu zabilježili rast od 20,7%</w:t>
      </w:r>
      <w:r w:rsidR="0044193F">
        <w:rPr>
          <w:rFonts w:ascii="Garamond" w:hAnsi="Garamond"/>
          <w:sz w:val="24"/>
          <w:szCs w:val="24"/>
          <w:lang w:val="sr-Latn-ME"/>
        </w:rPr>
        <w:t xml:space="preserve"> kao i kod Naknada koje su naplaćene za 42,4% više u odnosu na 2021. godinu.</w:t>
      </w:r>
    </w:p>
    <w:p w:rsidR="00536BB8" w:rsidRPr="00B0202D" w:rsidRDefault="0072145D" w:rsidP="00536BB8">
      <w:pPr>
        <w:jc w:val="both"/>
        <w:rPr>
          <w:rFonts w:ascii="Garamond" w:hAnsi="Garamond"/>
          <w:sz w:val="24"/>
          <w:szCs w:val="24"/>
          <w:lang w:val="en-US"/>
        </w:rPr>
      </w:pPr>
      <w:r w:rsidRPr="00B0202D">
        <w:rPr>
          <w:rFonts w:ascii="Garamond" w:hAnsi="Garamond"/>
          <w:sz w:val="24"/>
          <w:szCs w:val="24"/>
          <w:lang w:val="sr-Latn-ME"/>
        </w:rPr>
        <w:t>Sa druge strane</w:t>
      </w:r>
      <w:r w:rsidR="00536BB8" w:rsidRPr="00B0202D">
        <w:rPr>
          <w:rFonts w:ascii="Garamond" w:hAnsi="Garamond"/>
          <w:sz w:val="24"/>
          <w:szCs w:val="24"/>
          <w:lang w:val="sr-Latn-ME"/>
        </w:rPr>
        <w:t xml:space="preserve">, manja naplata prihoda </w:t>
      </w:r>
      <w:r w:rsidR="00F23656" w:rsidRPr="00B0202D">
        <w:rPr>
          <w:rFonts w:ascii="Garamond" w:hAnsi="Garamond"/>
          <w:sz w:val="24"/>
          <w:szCs w:val="24"/>
          <w:lang w:val="sr-Latn-ME"/>
        </w:rPr>
        <w:t xml:space="preserve">u odnosu na prethodnu godinu </w:t>
      </w:r>
      <w:r w:rsidR="00536BB8" w:rsidRPr="00B0202D">
        <w:rPr>
          <w:rFonts w:ascii="Garamond" w:hAnsi="Garamond"/>
          <w:sz w:val="24"/>
          <w:szCs w:val="24"/>
          <w:lang w:val="sr-Latn-ME"/>
        </w:rPr>
        <w:t xml:space="preserve">ostvarena je kod poreza i doprinosa na zarade usljed uvođenja neoporezivog dijela zarade i ukidanja doprinosa za zdravstveno osiguranje. </w:t>
      </w:r>
      <w:r w:rsidR="00BA126C" w:rsidRPr="00B0202D">
        <w:rPr>
          <w:rFonts w:ascii="Garamond" w:hAnsi="Garamond"/>
          <w:sz w:val="24"/>
          <w:szCs w:val="24"/>
          <w:lang w:val="sr-Latn-ME"/>
        </w:rPr>
        <w:t>Osim toga, n</w:t>
      </w:r>
      <w:r w:rsidR="00536BB8" w:rsidRPr="00B0202D">
        <w:rPr>
          <w:rFonts w:ascii="Garamond" w:hAnsi="Garamond"/>
          <w:sz w:val="24"/>
          <w:szCs w:val="24"/>
          <w:lang w:val="sr-Latn-ME"/>
        </w:rPr>
        <w:t>a nižu naplatu poreza na dohodak, uticalo je i usvajanje Zakona o izmjenama i dopuni zakona o finansiranju lokalne samouprave kojim je povećan procenat ustupljenih prihoda od poreza na dohodak fizičkih lica lokalnim samoupravama kroz istovremeno smanjenje prihoda koji su do tada po ovom osnovu pripadali centralnom budžetu.</w:t>
      </w:r>
      <w:r w:rsidR="00BA126C" w:rsidRPr="00B0202D">
        <w:rPr>
          <w:rFonts w:ascii="Garamond" w:hAnsi="Garamond"/>
          <w:sz w:val="24"/>
          <w:szCs w:val="24"/>
          <w:lang w:val="sr-Latn-ME"/>
        </w:rPr>
        <w:t xml:space="preserve"> </w:t>
      </w:r>
    </w:p>
    <w:p w:rsidR="00536BB8" w:rsidRPr="00B0202D" w:rsidRDefault="000369E2" w:rsidP="00536BB8">
      <w:pPr>
        <w:jc w:val="both"/>
        <w:rPr>
          <w:rFonts w:ascii="Garamond" w:hAnsi="Garamond"/>
          <w:sz w:val="24"/>
          <w:szCs w:val="24"/>
          <w:lang w:val="sr-Latn-ME"/>
        </w:rPr>
      </w:pPr>
      <w:r w:rsidRPr="000369E2">
        <w:rPr>
          <w:rFonts w:ascii="Garamond" w:hAnsi="Garamond"/>
          <w:sz w:val="24"/>
          <w:szCs w:val="24"/>
          <w:lang w:val="sr-Latn-ME"/>
        </w:rPr>
        <w:t xml:space="preserve">U odnosu na planirane, najveći rast zabilježen je kod </w:t>
      </w:r>
      <w:r w:rsidR="00536BB8" w:rsidRPr="000369E2">
        <w:rPr>
          <w:rFonts w:ascii="Garamond" w:hAnsi="Garamond"/>
          <w:sz w:val="24"/>
          <w:szCs w:val="24"/>
          <w:lang w:val="sr-Latn-ME"/>
        </w:rPr>
        <w:t>Porez</w:t>
      </w:r>
      <w:r w:rsidRPr="000369E2">
        <w:rPr>
          <w:rFonts w:ascii="Garamond" w:hAnsi="Garamond"/>
          <w:sz w:val="24"/>
          <w:szCs w:val="24"/>
          <w:lang w:val="sr-Latn-ME"/>
        </w:rPr>
        <w:t>a</w:t>
      </w:r>
      <w:r w:rsidR="00536BB8" w:rsidRPr="000369E2">
        <w:rPr>
          <w:rFonts w:ascii="Garamond" w:hAnsi="Garamond"/>
          <w:sz w:val="24"/>
          <w:szCs w:val="24"/>
          <w:lang w:val="sr-Latn-ME"/>
        </w:rPr>
        <w:t xml:space="preserve"> na dodatu vrijednost </w:t>
      </w:r>
      <w:r w:rsidRPr="000369E2">
        <w:rPr>
          <w:rFonts w:ascii="Garamond" w:hAnsi="Garamond"/>
          <w:sz w:val="24"/>
          <w:szCs w:val="24"/>
          <w:lang w:val="sr-Latn-ME"/>
        </w:rPr>
        <w:t xml:space="preserve">i to </w:t>
      </w:r>
      <w:r w:rsidR="00BA126C" w:rsidRPr="000369E2">
        <w:rPr>
          <w:rFonts w:ascii="Garamond" w:hAnsi="Garamond"/>
          <w:sz w:val="24"/>
          <w:szCs w:val="24"/>
          <w:lang w:val="sr-Latn-ME"/>
        </w:rPr>
        <w:t xml:space="preserve">za 93,2 </w:t>
      </w:r>
      <w:r w:rsidR="00536BB8" w:rsidRPr="000369E2">
        <w:rPr>
          <w:rFonts w:ascii="Garamond" w:hAnsi="Garamond"/>
          <w:sz w:val="24"/>
          <w:szCs w:val="24"/>
          <w:lang w:val="sr-Latn-ME"/>
        </w:rPr>
        <w:t xml:space="preserve">mil. € ili </w:t>
      </w:r>
      <w:r w:rsidR="00BA126C" w:rsidRPr="000369E2">
        <w:rPr>
          <w:rFonts w:ascii="Garamond" w:hAnsi="Garamond"/>
          <w:sz w:val="24"/>
          <w:szCs w:val="24"/>
          <w:lang w:val="sr-Latn-ME"/>
        </w:rPr>
        <w:t>11,4</w:t>
      </w:r>
      <w:r w:rsidR="00536BB8" w:rsidRPr="000369E2">
        <w:rPr>
          <w:rFonts w:ascii="Garamond" w:hAnsi="Garamond"/>
          <w:sz w:val="24"/>
          <w:szCs w:val="24"/>
          <w:lang w:val="sr-Latn-ME"/>
        </w:rPr>
        <w:t>%.</w:t>
      </w:r>
      <w:r>
        <w:rPr>
          <w:rFonts w:ascii="Garamond" w:hAnsi="Garamond"/>
          <w:sz w:val="24"/>
          <w:szCs w:val="24"/>
          <w:lang w:val="sr-Latn-ME"/>
        </w:rPr>
        <w:t xml:space="preserve"> </w:t>
      </w:r>
      <w:r w:rsidR="004C237A" w:rsidRPr="00B0202D">
        <w:rPr>
          <w:rFonts w:ascii="Garamond" w:hAnsi="Garamond"/>
          <w:sz w:val="24"/>
          <w:szCs w:val="24"/>
          <w:lang w:val="sr-Latn-ME"/>
        </w:rPr>
        <w:t>Takođe, veća naplata prihoda u odnosu na plan zabilježena je i kod P</w:t>
      </w:r>
      <w:r w:rsidR="00536BB8" w:rsidRPr="00B0202D">
        <w:rPr>
          <w:rFonts w:ascii="Garamond" w:hAnsi="Garamond"/>
          <w:sz w:val="24"/>
          <w:szCs w:val="24"/>
          <w:lang w:val="sr-Latn-ME"/>
        </w:rPr>
        <w:t>oreza na međunarodnu trgovinu i transakcije</w:t>
      </w:r>
      <w:r w:rsidR="004C237A" w:rsidRPr="00B0202D">
        <w:rPr>
          <w:rFonts w:ascii="Garamond" w:hAnsi="Garamond"/>
          <w:sz w:val="24"/>
          <w:szCs w:val="24"/>
          <w:lang w:val="sr-Latn-ME"/>
        </w:rPr>
        <w:t>, i to u iznosu od 10,6 mil. € ili 35,6</w:t>
      </w:r>
      <w:r w:rsidR="00536BB8" w:rsidRPr="00B0202D">
        <w:rPr>
          <w:rFonts w:ascii="Garamond" w:hAnsi="Garamond"/>
          <w:sz w:val="24"/>
          <w:szCs w:val="24"/>
          <w:lang w:val="sr-Latn-ME"/>
        </w:rPr>
        <w:t>%, što je dominantno rezultat rasta uvoza i inflacije.</w:t>
      </w:r>
    </w:p>
    <w:p w:rsidR="00536BB8" w:rsidRPr="00B0202D" w:rsidRDefault="00536BB8" w:rsidP="00536BB8">
      <w:pPr>
        <w:jc w:val="both"/>
        <w:rPr>
          <w:rFonts w:ascii="Garamond" w:hAnsi="Garamond"/>
          <w:sz w:val="24"/>
          <w:szCs w:val="24"/>
          <w:lang w:val="sr-Latn-ME"/>
        </w:rPr>
      </w:pPr>
      <w:r w:rsidRPr="00B0202D">
        <w:rPr>
          <w:rFonts w:ascii="Garamond" w:hAnsi="Garamond"/>
          <w:sz w:val="24"/>
          <w:szCs w:val="24"/>
          <w:lang w:val="sr-Latn-ME"/>
        </w:rPr>
        <w:t>Pozitivno odstupanje u odnosu na plan</w:t>
      </w:r>
      <w:r w:rsidR="004C237A" w:rsidRPr="00B0202D">
        <w:rPr>
          <w:rFonts w:ascii="Garamond" w:hAnsi="Garamond"/>
          <w:sz w:val="24"/>
          <w:szCs w:val="24"/>
          <w:lang w:val="sr-Latn-ME"/>
        </w:rPr>
        <w:t xml:space="preserve"> za 2022. godinu bilježe i prihodi od P</w:t>
      </w:r>
      <w:r w:rsidRPr="00B0202D">
        <w:rPr>
          <w:rFonts w:ascii="Garamond" w:hAnsi="Garamond"/>
          <w:sz w:val="24"/>
          <w:szCs w:val="24"/>
          <w:lang w:val="sr-Latn-ME"/>
        </w:rPr>
        <w:t>orez</w:t>
      </w:r>
      <w:r w:rsidR="004C237A" w:rsidRPr="00B0202D">
        <w:rPr>
          <w:rFonts w:ascii="Garamond" w:hAnsi="Garamond"/>
          <w:sz w:val="24"/>
          <w:szCs w:val="24"/>
          <w:lang w:val="sr-Latn-ME"/>
        </w:rPr>
        <w:t>a</w:t>
      </w:r>
      <w:r w:rsidRPr="00B0202D">
        <w:rPr>
          <w:rFonts w:ascii="Garamond" w:hAnsi="Garamond"/>
          <w:sz w:val="24"/>
          <w:szCs w:val="24"/>
          <w:lang w:val="sr-Latn-ME"/>
        </w:rPr>
        <w:t xml:space="preserve"> na dobit</w:t>
      </w:r>
      <w:r w:rsidR="004C237A" w:rsidRPr="00B0202D">
        <w:rPr>
          <w:rFonts w:ascii="Garamond" w:hAnsi="Garamond"/>
          <w:sz w:val="24"/>
          <w:szCs w:val="24"/>
          <w:lang w:val="sr-Latn-ME"/>
        </w:rPr>
        <w:t xml:space="preserve"> pravnih lic</w:t>
      </w:r>
      <w:r w:rsidR="00956581" w:rsidRPr="00B0202D">
        <w:rPr>
          <w:rFonts w:ascii="Garamond" w:hAnsi="Garamond"/>
          <w:sz w:val="24"/>
          <w:szCs w:val="24"/>
          <w:lang w:val="sr-Latn-ME"/>
        </w:rPr>
        <w:t>a u iznosu od 5,9 mil. € ili 7</w:t>
      </w:r>
      <w:r w:rsidRPr="00B0202D">
        <w:rPr>
          <w:rFonts w:ascii="Garamond" w:hAnsi="Garamond"/>
          <w:sz w:val="24"/>
          <w:szCs w:val="24"/>
          <w:lang w:val="sr-Latn-ME"/>
        </w:rPr>
        <w:t>% kao i Naknade koje su u odnosu na planirani niv</w:t>
      </w:r>
      <w:r w:rsidR="004C237A" w:rsidRPr="00B0202D">
        <w:rPr>
          <w:rFonts w:ascii="Garamond" w:hAnsi="Garamond"/>
          <w:sz w:val="24"/>
          <w:szCs w:val="24"/>
          <w:lang w:val="sr-Latn-ME"/>
        </w:rPr>
        <w:t>o naplaćene u većem iznosu od 18,0</w:t>
      </w:r>
      <w:r w:rsidRPr="00B0202D">
        <w:rPr>
          <w:rFonts w:ascii="Garamond" w:hAnsi="Garamond"/>
          <w:sz w:val="24"/>
          <w:szCs w:val="24"/>
          <w:lang w:val="sr-Latn-ME"/>
        </w:rPr>
        <w:t xml:space="preserve"> mil. € </w:t>
      </w:r>
      <w:r w:rsidR="004C237A" w:rsidRPr="00B0202D">
        <w:rPr>
          <w:rFonts w:ascii="Garamond" w:hAnsi="Garamond"/>
          <w:sz w:val="24"/>
          <w:szCs w:val="24"/>
          <w:lang w:val="sr-Latn-ME"/>
        </w:rPr>
        <w:t xml:space="preserve">ili 32,9%, </w:t>
      </w:r>
      <w:r w:rsidRPr="00B0202D">
        <w:rPr>
          <w:rFonts w:ascii="Garamond" w:hAnsi="Garamond"/>
          <w:sz w:val="24"/>
          <w:szCs w:val="24"/>
          <w:lang w:val="sr-Latn-ME"/>
        </w:rPr>
        <w:t>i to</w:t>
      </w:r>
      <w:r w:rsidR="004C237A" w:rsidRPr="00B0202D">
        <w:rPr>
          <w:rFonts w:ascii="Garamond" w:hAnsi="Garamond"/>
          <w:sz w:val="24"/>
          <w:szCs w:val="24"/>
          <w:lang w:val="sr-Latn-ME"/>
        </w:rPr>
        <w:t xml:space="preserve"> dominantno</w:t>
      </w:r>
      <w:r w:rsidRPr="00B0202D">
        <w:rPr>
          <w:rFonts w:ascii="Garamond" w:hAnsi="Garamond"/>
          <w:sz w:val="24"/>
          <w:szCs w:val="24"/>
          <w:lang w:val="sr-Latn-ME"/>
        </w:rPr>
        <w:t xml:space="preserve"> kao rezultat jednokratne uplate naknada po osnovu aktivnosti istraživanja nafte i gasa kao i veće naplate po osnovu implementacije programa „Ekonomskog državljanstva“.</w:t>
      </w:r>
    </w:p>
    <w:p w:rsidR="00536BB8" w:rsidRPr="00B0202D" w:rsidRDefault="004C237A" w:rsidP="00536BB8">
      <w:pPr>
        <w:jc w:val="both"/>
        <w:rPr>
          <w:rFonts w:ascii="Garamond" w:hAnsi="Garamond"/>
          <w:sz w:val="24"/>
          <w:szCs w:val="24"/>
          <w:lang w:val="sr-Latn-ME"/>
        </w:rPr>
      </w:pPr>
      <w:r w:rsidRPr="00B0202D">
        <w:rPr>
          <w:rFonts w:ascii="Garamond" w:hAnsi="Garamond"/>
          <w:sz w:val="24"/>
          <w:szCs w:val="24"/>
          <w:lang w:val="sr-Latn-ME"/>
        </w:rPr>
        <w:t>Prihodi od akciza u 2022. godini</w:t>
      </w:r>
      <w:r w:rsidR="00536BB8" w:rsidRPr="00B0202D">
        <w:rPr>
          <w:rFonts w:ascii="Garamond" w:hAnsi="Garamond"/>
          <w:sz w:val="24"/>
          <w:szCs w:val="24"/>
          <w:lang w:val="sr-Latn-ME"/>
        </w:rPr>
        <w:t xml:space="preserve"> </w:t>
      </w:r>
      <w:r w:rsidRPr="00B0202D">
        <w:rPr>
          <w:rFonts w:ascii="Garamond" w:hAnsi="Garamond"/>
          <w:sz w:val="24"/>
          <w:szCs w:val="24"/>
          <w:lang w:val="sr-Latn-ME"/>
        </w:rPr>
        <w:t>manji su u odnosu na plan za 15,1</w:t>
      </w:r>
      <w:r w:rsidR="00536BB8" w:rsidRPr="00B0202D">
        <w:rPr>
          <w:rFonts w:ascii="Garamond" w:hAnsi="Garamond"/>
          <w:sz w:val="24"/>
          <w:szCs w:val="24"/>
          <w:lang w:val="sr-Latn-ME"/>
        </w:rPr>
        <w:t xml:space="preserve"> mil. € ili 5</w:t>
      </w:r>
      <w:r w:rsidRPr="00B0202D">
        <w:rPr>
          <w:rFonts w:ascii="Garamond" w:hAnsi="Garamond"/>
          <w:sz w:val="24"/>
          <w:szCs w:val="24"/>
          <w:lang w:val="sr-Latn-ME"/>
        </w:rPr>
        <w:t>,8%. Navedeno odstupanje kod ove kategorije prihoda</w:t>
      </w:r>
      <w:r w:rsidR="00536BB8" w:rsidRPr="00B0202D">
        <w:rPr>
          <w:rFonts w:ascii="Garamond" w:hAnsi="Garamond"/>
          <w:sz w:val="24"/>
          <w:szCs w:val="24"/>
          <w:lang w:val="sr-Latn-ME"/>
        </w:rPr>
        <w:t xml:space="preserve"> posljedica </w:t>
      </w:r>
      <w:r w:rsidRPr="00B0202D">
        <w:rPr>
          <w:rFonts w:ascii="Garamond" w:hAnsi="Garamond"/>
          <w:sz w:val="24"/>
          <w:szCs w:val="24"/>
          <w:lang w:val="sr-Latn-ME"/>
        </w:rPr>
        <w:t xml:space="preserve">je </w:t>
      </w:r>
      <w:r w:rsidR="00536BB8" w:rsidRPr="00B0202D">
        <w:rPr>
          <w:rFonts w:ascii="Garamond" w:hAnsi="Garamond"/>
          <w:sz w:val="24"/>
          <w:szCs w:val="24"/>
          <w:lang w:val="sr-Latn-ME"/>
        </w:rPr>
        <w:t>primjene Odluke o umanjenju iznosa akcize na promet bezolovnog benzina i gasnih ulja po kojoj je akciza na promet ovih proizvoda od maja mjeseca smanjena za 50%, 40% ili 25% u zavisnosti od kretanja cijena, a u cilju zaštite životnog standarda građana. U poređenju sa prethodnom godinom, p</w:t>
      </w:r>
      <w:r w:rsidRPr="00B0202D">
        <w:rPr>
          <w:rFonts w:ascii="Garamond" w:hAnsi="Garamond"/>
          <w:sz w:val="24"/>
          <w:szCs w:val="24"/>
          <w:lang w:val="sr-Latn-ME"/>
        </w:rPr>
        <w:t>rihodi od akciza manji su za 2,8 mil. € ili 1,1%. Smanjenje prihoda usljed primjene Odluke o umanjenju iznosa akcize na promet bezolovnog benzina i gasnih ulja</w:t>
      </w:r>
      <w:r w:rsidR="00536BB8" w:rsidRPr="00B0202D">
        <w:rPr>
          <w:rFonts w:ascii="Garamond" w:hAnsi="Garamond"/>
          <w:sz w:val="24"/>
          <w:szCs w:val="24"/>
          <w:lang w:val="sr-Latn-ME"/>
        </w:rPr>
        <w:t>u najvećoj mjeri kompenzovan je rastom prihoda od akciza na duvan i duvanske proizvode</w:t>
      </w:r>
      <w:r w:rsidR="00FD228E" w:rsidRPr="00B0202D">
        <w:rPr>
          <w:rFonts w:ascii="Garamond" w:hAnsi="Garamond"/>
          <w:sz w:val="24"/>
          <w:szCs w:val="24"/>
          <w:lang w:val="sr-Latn-ME"/>
        </w:rPr>
        <w:t>,</w:t>
      </w:r>
      <w:r w:rsidR="00536BB8" w:rsidRPr="00B0202D">
        <w:rPr>
          <w:rFonts w:ascii="Garamond" w:hAnsi="Garamond"/>
          <w:sz w:val="24"/>
          <w:szCs w:val="24"/>
          <w:lang w:val="sr-Latn-ME"/>
        </w:rPr>
        <w:t xml:space="preserve"> koji su u poređenju sa </w:t>
      </w:r>
      <w:r w:rsidRPr="00B0202D">
        <w:rPr>
          <w:rFonts w:ascii="Garamond" w:hAnsi="Garamond"/>
          <w:sz w:val="24"/>
          <w:szCs w:val="24"/>
          <w:lang w:val="sr-Latn-ME"/>
        </w:rPr>
        <w:t xml:space="preserve">prethodnom godinom zabilježili </w:t>
      </w:r>
      <w:r w:rsidR="00FD228E" w:rsidRPr="00B0202D">
        <w:rPr>
          <w:rFonts w:ascii="Garamond" w:hAnsi="Garamond"/>
          <w:sz w:val="24"/>
          <w:szCs w:val="24"/>
          <w:lang w:val="sr-Latn-ME"/>
        </w:rPr>
        <w:t>rast od 31,6</w:t>
      </w:r>
      <w:r w:rsidR="00536BB8" w:rsidRPr="00B0202D">
        <w:rPr>
          <w:rFonts w:ascii="Garamond" w:hAnsi="Garamond"/>
          <w:sz w:val="24"/>
          <w:szCs w:val="24"/>
          <w:lang w:val="sr-Latn-ME"/>
        </w:rPr>
        <w:t xml:space="preserve"> mil. € ili</w:t>
      </w:r>
      <w:r w:rsidR="00FD228E" w:rsidRPr="00B0202D">
        <w:rPr>
          <w:rFonts w:ascii="Garamond" w:hAnsi="Garamond"/>
          <w:sz w:val="24"/>
          <w:szCs w:val="24"/>
          <w:lang w:val="sr-Latn-ME"/>
        </w:rPr>
        <w:t xml:space="preserve"> 52,3</w:t>
      </w:r>
      <w:r w:rsidR="00536BB8" w:rsidRPr="00B0202D">
        <w:rPr>
          <w:rFonts w:ascii="Garamond" w:hAnsi="Garamond"/>
          <w:sz w:val="24"/>
          <w:szCs w:val="24"/>
          <w:lang w:val="sr-Latn-ME"/>
        </w:rPr>
        <w:t>%</w:t>
      </w:r>
      <w:r w:rsidR="00FD228E" w:rsidRPr="00B0202D">
        <w:rPr>
          <w:rFonts w:ascii="Garamond" w:hAnsi="Garamond"/>
          <w:sz w:val="24"/>
          <w:szCs w:val="24"/>
          <w:lang w:val="sr-Latn-ME"/>
        </w:rPr>
        <w:t>,</w:t>
      </w:r>
      <w:r w:rsidR="00536BB8" w:rsidRPr="00B0202D">
        <w:rPr>
          <w:rFonts w:ascii="Garamond" w:hAnsi="Garamond"/>
          <w:sz w:val="24"/>
          <w:szCs w:val="24"/>
          <w:lang w:val="sr-Latn-ME"/>
        </w:rPr>
        <w:t xml:space="preserve"> kao rezultat suzbijanja aktivnosti na nelegalnom tržištu duvana i duvanskih proizvoda.</w:t>
      </w:r>
    </w:p>
    <w:p w:rsidR="00E17C72" w:rsidRPr="000369E2" w:rsidRDefault="00BB488F" w:rsidP="00E17C72">
      <w:pPr>
        <w:jc w:val="both"/>
        <w:rPr>
          <w:rFonts w:ascii="Garamond" w:hAnsi="Garamond"/>
          <w:sz w:val="24"/>
          <w:szCs w:val="24"/>
          <w:lang w:val="sr-Latn-ME"/>
        </w:rPr>
      </w:pPr>
      <w:r w:rsidRPr="00B0202D">
        <w:rPr>
          <w:rFonts w:ascii="Garamond" w:hAnsi="Garamond"/>
          <w:sz w:val="24"/>
          <w:szCs w:val="24"/>
          <w:lang w:val="sr-Latn-ME"/>
        </w:rPr>
        <w:t>Nasuprot tome,</w:t>
      </w:r>
      <w:r w:rsidR="00536BB8" w:rsidRPr="00B0202D">
        <w:rPr>
          <w:rFonts w:ascii="Garamond" w:hAnsi="Garamond"/>
          <w:sz w:val="24"/>
          <w:szCs w:val="24"/>
          <w:lang w:val="sr-Latn-ME"/>
        </w:rPr>
        <w:t xml:space="preserve"> </w:t>
      </w:r>
      <w:r w:rsidRPr="00B0202D">
        <w:rPr>
          <w:rFonts w:ascii="Garamond" w:hAnsi="Garamond"/>
          <w:sz w:val="24"/>
          <w:szCs w:val="24"/>
          <w:lang w:val="sr-Latn-ME"/>
        </w:rPr>
        <w:t xml:space="preserve">u 2022. godini </w:t>
      </w:r>
      <w:r w:rsidR="00536BB8" w:rsidRPr="00B0202D">
        <w:rPr>
          <w:rFonts w:ascii="Garamond" w:hAnsi="Garamond"/>
          <w:sz w:val="24"/>
          <w:szCs w:val="24"/>
          <w:lang w:val="sr-Latn-ME"/>
        </w:rPr>
        <w:t>ostvarena je niža realizacija u odnosu</w:t>
      </w:r>
      <w:r w:rsidRPr="00B0202D">
        <w:rPr>
          <w:rFonts w:ascii="Garamond" w:hAnsi="Garamond"/>
          <w:sz w:val="24"/>
          <w:szCs w:val="24"/>
          <w:lang w:val="sr-Latn-ME"/>
        </w:rPr>
        <w:t xml:space="preserve"> na plan kod prihoda po osnovu P</w:t>
      </w:r>
      <w:r w:rsidR="00536BB8" w:rsidRPr="00B0202D">
        <w:rPr>
          <w:rFonts w:ascii="Garamond" w:hAnsi="Garamond"/>
          <w:sz w:val="24"/>
          <w:szCs w:val="24"/>
          <w:lang w:val="sr-Latn-ME"/>
        </w:rPr>
        <w:t>oreza na dohod</w:t>
      </w:r>
      <w:r w:rsidRPr="00B0202D">
        <w:rPr>
          <w:rFonts w:ascii="Garamond" w:hAnsi="Garamond"/>
          <w:sz w:val="24"/>
          <w:szCs w:val="24"/>
          <w:lang w:val="sr-Latn-ME"/>
        </w:rPr>
        <w:t>ak fizičkih lica u iznosu od 11,7 mil. € ili 12,4</w:t>
      </w:r>
      <w:r w:rsidR="00536BB8" w:rsidRPr="00B0202D">
        <w:rPr>
          <w:rFonts w:ascii="Garamond" w:hAnsi="Garamond"/>
          <w:sz w:val="24"/>
          <w:szCs w:val="24"/>
          <w:lang w:val="sr-Latn-ME"/>
        </w:rPr>
        <w:t xml:space="preserve">% kao i kod doprinosa u </w:t>
      </w:r>
      <w:r w:rsidRPr="00B0202D">
        <w:rPr>
          <w:rFonts w:ascii="Garamond" w:hAnsi="Garamond"/>
          <w:sz w:val="24"/>
          <w:szCs w:val="24"/>
          <w:lang w:val="sr-Latn-ME"/>
        </w:rPr>
        <w:t>iznosu od 15,3 mil. € ili 3,2</w:t>
      </w:r>
      <w:r w:rsidR="00536BB8" w:rsidRPr="00B0202D">
        <w:rPr>
          <w:rFonts w:ascii="Garamond" w:hAnsi="Garamond"/>
          <w:sz w:val="24"/>
          <w:szCs w:val="24"/>
          <w:lang w:val="sr-Latn-ME"/>
        </w:rPr>
        <w:t>%.</w:t>
      </w:r>
    </w:p>
    <w:p w:rsidR="00536BB8" w:rsidRPr="002E2184" w:rsidRDefault="00BC35AF" w:rsidP="00536BB8">
      <w:pPr>
        <w:jc w:val="both"/>
        <w:rPr>
          <w:rFonts w:ascii="Garamond" w:hAnsi="Garamond"/>
          <w:sz w:val="24"/>
          <w:szCs w:val="24"/>
          <w:lang w:val="sr-Latn-ME"/>
        </w:rPr>
      </w:pPr>
      <w:r w:rsidRPr="00B0202D">
        <w:rPr>
          <w:rFonts w:ascii="Garamond" w:hAnsi="Garamond"/>
          <w:sz w:val="24"/>
          <w:szCs w:val="24"/>
          <w:lang w:val="sr-Latn-ME"/>
        </w:rPr>
        <w:lastRenderedPageBreak/>
        <w:t>Prihodi budžeta u decembru 2022. godine iznosili su 218,7</w:t>
      </w:r>
      <w:r w:rsidR="00536BB8" w:rsidRPr="00B0202D">
        <w:rPr>
          <w:rFonts w:ascii="Garamond" w:hAnsi="Garamond"/>
          <w:sz w:val="24"/>
          <w:szCs w:val="24"/>
          <w:lang w:val="sr-Latn-ME"/>
        </w:rPr>
        <w:t xml:space="preserve"> mil. €, što </w:t>
      </w:r>
      <w:r w:rsidRPr="00B0202D">
        <w:rPr>
          <w:rFonts w:ascii="Garamond" w:hAnsi="Garamond"/>
          <w:sz w:val="24"/>
          <w:szCs w:val="24"/>
          <w:lang w:val="sr-Latn-ME"/>
        </w:rPr>
        <w:t>je u odnosu na plan više za 22,6 mil. € ili 11,5</w:t>
      </w:r>
      <w:r w:rsidR="00536BB8" w:rsidRPr="00B0202D">
        <w:rPr>
          <w:rFonts w:ascii="Garamond" w:hAnsi="Garamond"/>
          <w:sz w:val="24"/>
          <w:szCs w:val="24"/>
          <w:lang w:val="sr-Latn-ME"/>
        </w:rPr>
        <w:t xml:space="preserve">%. U odnosu na isti mjesec prethodne godine prihodi budžeta </w:t>
      </w:r>
      <w:r w:rsidR="003B6AAF" w:rsidRPr="00B0202D">
        <w:rPr>
          <w:rFonts w:ascii="Garamond" w:hAnsi="Garamond"/>
          <w:sz w:val="24"/>
          <w:szCs w:val="24"/>
          <w:lang w:val="sr-Latn-ME"/>
        </w:rPr>
        <w:t>manji su za 29</w:t>
      </w:r>
      <w:r w:rsidR="00EE28A3" w:rsidRPr="00B0202D">
        <w:rPr>
          <w:rFonts w:ascii="Garamond" w:hAnsi="Garamond"/>
          <w:sz w:val="24"/>
          <w:szCs w:val="24"/>
          <w:lang w:val="sr-Latn-ME"/>
        </w:rPr>
        <w:t>,7</w:t>
      </w:r>
      <w:r w:rsidRPr="00B0202D">
        <w:rPr>
          <w:rFonts w:ascii="Garamond" w:hAnsi="Garamond"/>
          <w:sz w:val="24"/>
          <w:szCs w:val="24"/>
          <w:lang w:val="sr-Latn-ME"/>
        </w:rPr>
        <w:t xml:space="preserve"> mil. € ili </w:t>
      </w:r>
      <w:r w:rsidR="009D1233" w:rsidRPr="00B0202D">
        <w:rPr>
          <w:rFonts w:ascii="Garamond" w:hAnsi="Garamond"/>
          <w:sz w:val="24"/>
          <w:szCs w:val="24"/>
          <w:lang w:val="sr-Latn-ME"/>
        </w:rPr>
        <w:t>12</w:t>
      </w:r>
      <w:r w:rsidR="003B6AAF" w:rsidRPr="00B0202D">
        <w:rPr>
          <w:rFonts w:ascii="Garamond" w:hAnsi="Garamond"/>
          <w:sz w:val="24"/>
          <w:szCs w:val="24"/>
          <w:lang w:val="sr-Latn-ME"/>
        </w:rPr>
        <w:t>%. Glavni razlog odstupanja prihoda u decembru 2022. godine odnosi se na iznos donacija koje su u istom mjesecuprethodne godine ostvarene na ve</w:t>
      </w:r>
      <w:r w:rsidR="009D1233" w:rsidRPr="00B0202D">
        <w:rPr>
          <w:rFonts w:ascii="Garamond" w:hAnsi="Garamond"/>
          <w:sz w:val="24"/>
          <w:szCs w:val="24"/>
          <w:lang w:val="sr-Latn-ME"/>
        </w:rPr>
        <w:t xml:space="preserve">ćem nivou, i to u iznosu od </w:t>
      </w:r>
      <w:r w:rsidR="009D1233" w:rsidRPr="002E2184">
        <w:rPr>
          <w:rFonts w:ascii="Garamond" w:hAnsi="Garamond"/>
          <w:sz w:val="24"/>
          <w:szCs w:val="24"/>
          <w:lang w:val="sr-Latn-ME"/>
        </w:rPr>
        <w:t>12,9 mil. € ili 69,7</w:t>
      </w:r>
      <w:r w:rsidR="003B6AAF" w:rsidRPr="002E2184">
        <w:rPr>
          <w:rFonts w:ascii="Garamond" w:hAnsi="Garamond"/>
          <w:sz w:val="24"/>
          <w:szCs w:val="24"/>
          <w:lang w:val="sr-Latn-ME"/>
        </w:rPr>
        <w:t>%.</w:t>
      </w:r>
    </w:p>
    <w:p w:rsidR="00536BB8" w:rsidRDefault="00536BB8" w:rsidP="00536BB8">
      <w:pPr>
        <w:jc w:val="both"/>
        <w:rPr>
          <w:rFonts w:ascii="Garamond" w:hAnsi="Garamond"/>
          <w:sz w:val="24"/>
          <w:szCs w:val="24"/>
          <w:lang w:val="sr-Latn-ME"/>
        </w:rPr>
      </w:pPr>
      <w:r w:rsidRPr="0023741A">
        <w:rPr>
          <w:rFonts w:ascii="Garamond" w:hAnsi="Garamond"/>
          <w:b/>
          <w:sz w:val="24"/>
          <w:szCs w:val="24"/>
          <w:lang w:val="sr-Latn-ME"/>
        </w:rPr>
        <w:t xml:space="preserve">Izdaci budžeta u periodu januar – </w:t>
      </w:r>
      <w:r w:rsidR="00385BF6" w:rsidRPr="0023741A">
        <w:rPr>
          <w:rFonts w:ascii="Garamond" w:hAnsi="Garamond"/>
          <w:b/>
          <w:sz w:val="24"/>
          <w:szCs w:val="24"/>
          <w:lang w:val="sr-Latn-ME"/>
        </w:rPr>
        <w:t>decembar</w:t>
      </w:r>
      <w:r w:rsidRPr="0023741A">
        <w:rPr>
          <w:rFonts w:ascii="Garamond" w:hAnsi="Garamond"/>
          <w:b/>
          <w:sz w:val="24"/>
          <w:szCs w:val="24"/>
          <w:lang w:val="sr-Latn-ME"/>
        </w:rPr>
        <w:t xml:space="preserve"> 2022. godine iznosili su </w:t>
      </w:r>
      <w:r w:rsidR="002E2184" w:rsidRPr="0023741A">
        <w:rPr>
          <w:rFonts w:ascii="Garamond" w:hAnsi="Garamond"/>
          <w:b/>
          <w:sz w:val="24"/>
          <w:szCs w:val="24"/>
          <w:lang w:val="sr-Latn-ME"/>
        </w:rPr>
        <w:t>2.258,1</w:t>
      </w:r>
      <w:r w:rsidRPr="0023741A">
        <w:rPr>
          <w:rFonts w:ascii="Garamond" w:hAnsi="Garamond"/>
          <w:b/>
          <w:sz w:val="24"/>
          <w:szCs w:val="24"/>
          <w:lang w:val="sr-Latn-ME"/>
        </w:rPr>
        <w:t xml:space="preserve"> mil. € ili </w:t>
      </w:r>
      <w:r w:rsidR="002E2184" w:rsidRPr="0023741A">
        <w:rPr>
          <w:rFonts w:ascii="Garamond" w:hAnsi="Garamond"/>
          <w:b/>
          <w:sz w:val="24"/>
          <w:szCs w:val="24"/>
          <w:lang w:val="sr-Latn-ME"/>
        </w:rPr>
        <w:t>39,6</w:t>
      </w:r>
      <w:r w:rsidRPr="0023741A">
        <w:rPr>
          <w:rFonts w:ascii="Garamond" w:hAnsi="Garamond"/>
          <w:b/>
          <w:sz w:val="24"/>
          <w:szCs w:val="24"/>
          <w:lang w:val="sr-Latn-ME"/>
        </w:rPr>
        <w:t xml:space="preserve">% procijenjenog BDP-a i u odnosu na planirane niži su </w:t>
      </w:r>
      <w:r w:rsidR="002E2184" w:rsidRPr="0023741A">
        <w:rPr>
          <w:rFonts w:ascii="Garamond" w:hAnsi="Garamond"/>
          <w:b/>
          <w:sz w:val="24"/>
          <w:szCs w:val="24"/>
          <w:lang w:val="sr-Latn-ME"/>
        </w:rPr>
        <w:t>126,1</w:t>
      </w:r>
      <w:r w:rsidRPr="0023741A">
        <w:rPr>
          <w:rFonts w:ascii="Garamond" w:hAnsi="Garamond"/>
          <w:b/>
          <w:sz w:val="24"/>
          <w:szCs w:val="24"/>
          <w:lang w:val="sr-Latn-ME"/>
        </w:rPr>
        <w:t xml:space="preserve"> mil. € ili </w:t>
      </w:r>
      <w:r w:rsidR="002E2184" w:rsidRPr="0023741A">
        <w:rPr>
          <w:rFonts w:ascii="Garamond" w:hAnsi="Garamond"/>
          <w:b/>
          <w:sz w:val="24"/>
          <w:szCs w:val="24"/>
          <w:lang w:val="sr-Latn-ME"/>
        </w:rPr>
        <w:t>5,3</w:t>
      </w:r>
      <w:r w:rsidRPr="0023741A">
        <w:rPr>
          <w:rFonts w:ascii="Garamond" w:hAnsi="Garamond"/>
          <w:b/>
          <w:sz w:val="24"/>
          <w:szCs w:val="24"/>
          <w:lang w:val="sr-Latn-ME"/>
        </w:rPr>
        <w:t xml:space="preserve">%. U odnosu na </w:t>
      </w:r>
      <w:r w:rsidR="002E2184" w:rsidRPr="0023741A">
        <w:rPr>
          <w:rFonts w:ascii="Garamond" w:hAnsi="Garamond"/>
          <w:b/>
          <w:sz w:val="24"/>
          <w:szCs w:val="24"/>
          <w:lang w:val="sr-Latn-ME"/>
        </w:rPr>
        <w:t>komparativni</w:t>
      </w:r>
      <w:r w:rsidRPr="0023741A">
        <w:rPr>
          <w:rFonts w:ascii="Garamond" w:hAnsi="Garamond"/>
          <w:b/>
          <w:sz w:val="24"/>
          <w:szCs w:val="24"/>
          <w:lang w:val="sr-Latn-ME"/>
        </w:rPr>
        <w:t xml:space="preserve"> period prethodne godine, izdaci su veći za </w:t>
      </w:r>
      <w:r w:rsidR="002E2184" w:rsidRPr="0023741A">
        <w:rPr>
          <w:rFonts w:ascii="Garamond" w:hAnsi="Garamond"/>
          <w:b/>
          <w:sz w:val="24"/>
          <w:szCs w:val="24"/>
          <w:lang w:val="sr-Latn-ME"/>
        </w:rPr>
        <w:t>247,2</w:t>
      </w:r>
      <w:r w:rsidRPr="0023741A">
        <w:rPr>
          <w:rFonts w:ascii="Garamond" w:hAnsi="Garamond"/>
          <w:b/>
          <w:sz w:val="24"/>
          <w:szCs w:val="24"/>
          <w:lang w:val="sr-Latn-ME"/>
        </w:rPr>
        <w:t xml:space="preserve"> mil € odnosno </w:t>
      </w:r>
      <w:r w:rsidR="002E2184" w:rsidRPr="0023741A">
        <w:rPr>
          <w:rFonts w:ascii="Garamond" w:hAnsi="Garamond"/>
          <w:b/>
          <w:sz w:val="24"/>
          <w:szCs w:val="24"/>
          <w:lang w:val="sr-Latn-ME"/>
        </w:rPr>
        <w:t>12,3</w:t>
      </w:r>
      <w:r w:rsidRPr="0023741A">
        <w:rPr>
          <w:rFonts w:ascii="Garamond" w:hAnsi="Garamond"/>
          <w:b/>
          <w:sz w:val="24"/>
          <w:szCs w:val="24"/>
          <w:lang w:val="sr-Latn-ME"/>
        </w:rPr>
        <w:t>%</w:t>
      </w:r>
      <w:r w:rsidRPr="002E2184">
        <w:rPr>
          <w:rFonts w:ascii="Garamond" w:hAnsi="Garamond"/>
          <w:sz w:val="24"/>
          <w:szCs w:val="24"/>
          <w:lang w:val="sr-Latn-ME"/>
        </w:rPr>
        <w:t>.</w:t>
      </w:r>
    </w:p>
    <w:p w:rsidR="005B2404" w:rsidRPr="00E16275" w:rsidRDefault="005B2404" w:rsidP="005B2404">
      <w:pPr>
        <w:jc w:val="both"/>
        <w:rPr>
          <w:rFonts w:ascii="Garamond" w:hAnsi="Garamond" w:cstheme="minorHAnsi"/>
          <w:sz w:val="24"/>
          <w:szCs w:val="24"/>
          <w:lang w:val="sr-Latn-ME"/>
        </w:rPr>
      </w:pPr>
      <w:r w:rsidRPr="00E16275">
        <w:rPr>
          <w:rFonts w:ascii="Garamond" w:hAnsi="Garamond" w:cstheme="minorHAnsi"/>
          <w:sz w:val="24"/>
          <w:szCs w:val="24"/>
          <w:lang w:val="sr-Latn-ME"/>
        </w:rPr>
        <w:t xml:space="preserve">U strukturi ukupne potrošnje, izdaci u okviru </w:t>
      </w:r>
      <w:r w:rsidRPr="00F8359B">
        <w:rPr>
          <w:rFonts w:ascii="Garamond" w:hAnsi="Garamond" w:cstheme="minorHAnsi"/>
          <w:b/>
          <w:sz w:val="24"/>
          <w:szCs w:val="24"/>
          <w:lang w:val="sr-Latn-ME"/>
        </w:rPr>
        <w:t>Tekućeg budžeta, budžeta državnih fondova i Rezerve</w:t>
      </w:r>
      <w:r w:rsidRPr="00E16275">
        <w:rPr>
          <w:rFonts w:ascii="Garamond" w:hAnsi="Garamond" w:cstheme="minorHAnsi"/>
          <w:sz w:val="24"/>
          <w:szCs w:val="24"/>
          <w:lang w:val="sr-Latn-ME"/>
        </w:rPr>
        <w:t xml:space="preserve"> iznose </w:t>
      </w:r>
      <w:r w:rsidR="00F8359B">
        <w:rPr>
          <w:rFonts w:ascii="Garamond" w:hAnsi="Garamond" w:cstheme="minorHAnsi"/>
          <w:sz w:val="24"/>
          <w:szCs w:val="24"/>
          <w:lang w:val="sr-Latn-ME"/>
        </w:rPr>
        <w:t>čine 91</w:t>
      </w:r>
      <w:r w:rsidR="003C6E87">
        <w:rPr>
          <w:rFonts w:ascii="Garamond" w:hAnsi="Garamond" w:cstheme="minorHAnsi"/>
          <w:sz w:val="24"/>
          <w:szCs w:val="24"/>
          <w:lang w:val="sr-Latn-ME"/>
        </w:rPr>
        <w:t>%, dok K</w:t>
      </w:r>
      <w:r w:rsidRPr="00E16275">
        <w:rPr>
          <w:rFonts w:ascii="Garamond" w:hAnsi="Garamond" w:cstheme="minorHAnsi"/>
          <w:sz w:val="24"/>
          <w:szCs w:val="24"/>
          <w:lang w:val="sr-Latn-ME"/>
        </w:rPr>
        <w:t xml:space="preserve">apitalni budžet čini </w:t>
      </w:r>
      <w:r w:rsidR="00F8359B">
        <w:rPr>
          <w:rFonts w:ascii="Garamond" w:hAnsi="Garamond" w:cstheme="minorHAnsi"/>
          <w:sz w:val="24"/>
          <w:szCs w:val="24"/>
          <w:lang w:val="sr-Latn-ME"/>
        </w:rPr>
        <w:t>9</w:t>
      </w:r>
      <w:r w:rsidR="007847DC">
        <w:rPr>
          <w:rFonts w:ascii="Garamond" w:hAnsi="Garamond" w:cstheme="minorHAnsi"/>
          <w:sz w:val="24"/>
          <w:szCs w:val="24"/>
          <w:lang w:val="sr-Latn-ME"/>
        </w:rPr>
        <w:t xml:space="preserve">%. Niže izvršenje u odnosu na plan za 2022. godinu </w:t>
      </w:r>
      <w:r w:rsidRPr="00E16275">
        <w:rPr>
          <w:rFonts w:ascii="Garamond" w:hAnsi="Garamond" w:cstheme="minorHAnsi"/>
          <w:sz w:val="24"/>
          <w:szCs w:val="24"/>
          <w:lang w:val="sr-Latn-ME"/>
        </w:rPr>
        <w:t xml:space="preserve">dominantno se odnosi na niže izvršenje </w:t>
      </w:r>
      <w:r w:rsidR="007847DC">
        <w:rPr>
          <w:rFonts w:ascii="Garamond" w:hAnsi="Garamond" w:cstheme="minorHAnsi"/>
          <w:sz w:val="24"/>
          <w:szCs w:val="24"/>
          <w:lang w:val="sr-Latn-ME"/>
        </w:rPr>
        <w:t>Bruto zarada i doprinosa na teret poslodavca, Transfera za socijalnu zaštitu (dominanto u dijelu prava iz oblati penzijskog i invalidskog osiguranja usljed izvršenog preusmeravanja sredstava u korist pozicije Transfera institucijama</w:t>
      </w:r>
      <w:r w:rsidR="003C6E87">
        <w:rPr>
          <w:rFonts w:ascii="Garamond" w:hAnsi="Garamond" w:cstheme="minorHAnsi"/>
          <w:sz w:val="24"/>
          <w:szCs w:val="24"/>
          <w:lang w:val="sr-Latn-ME"/>
        </w:rPr>
        <w:t>, pojedincima, nevladinom i javnom sektoru</w:t>
      </w:r>
      <w:r w:rsidR="007847DC">
        <w:rPr>
          <w:rFonts w:ascii="Garamond" w:hAnsi="Garamond" w:cstheme="minorHAnsi"/>
          <w:sz w:val="24"/>
          <w:szCs w:val="24"/>
          <w:lang w:val="sr-Latn-ME"/>
        </w:rPr>
        <w:t xml:space="preserve"> u cilju adekvatne evidencije izdatka), Rashoda za materijal, </w:t>
      </w:r>
      <w:r w:rsidR="003C6E87">
        <w:rPr>
          <w:rFonts w:ascii="Garamond" w:hAnsi="Garamond" w:cstheme="minorHAnsi"/>
          <w:sz w:val="24"/>
          <w:szCs w:val="24"/>
          <w:lang w:val="sr-Latn-ME"/>
        </w:rPr>
        <w:t xml:space="preserve">kao i Tekuće budžetske rezerve </w:t>
      </w:r>
      <w:r w:rsidR="003C6E87" w:rsidRPr="00DC49FF">
        <w:rPr>
          <w:rFonts w:ascii="Garamond" w:hAnsi="Garamond" w:cstheme="minorHAnsi"/>
          <w:sz w:val="24"/>
          <w:szCs w:val="24"/>
          <w:lang w:val="sr-Latn-ME"/>
        </w:rPr>
        <w:t>(koja je re</w:t>
      </w:r>
      <w:r w:rsidR="00F8359B" w:rsidRPr="00DC49FF">
        <w:rPr>
          <w:rFonts w:ascii="Garamond" w:hAnsi="Garamond" w:cstheme="minorHAnsi"/>
          <w:sz w:val="24"/>
          <w:szCs w:val="24"/>
          <w:lang w:val="sr-Latn-ME"/>
        </w:rPr>
        <w:t xml:space="preserve">alizovana u ukupnom iznosu od 85 mil €, </w:t>
      </w:r>
      <w:r w:rsidR="00F8359B">
        <w:rPr>
          <w:rFonts w:ascii="Garamond" w:hAnsi="Garamond" w:cstheme="minorHAnsi"/>
          <w:sz w:val="24"/>
          <w:szCs w:val="24"/>
          <w:lang w:val="sr-Latn-ME"/>
        </w:rPr>
        <w:t xml:space="preserve">odnosno za 15 mil € niže od plana, </w:t>
      </w:r>
      <w:r w:rsidR="00F8359B" w:rsidRPr="00DC49FF">
        <w:rPr>
          <w:rFonts w:ascii="Garamond" w:hAnsi="Garamond" w:cstheme="minorHAnsi"/>
          <w:sz w:val="24"/>
          <w:szCs w:val="24"/>
          <w:lang w:val="sr-Latn-ME"/>
        </w:rPr>
        <w:t>od č</w:t>
      </w:r>
      <w:r w:rsidR="003C6E87" w:rsidRPr="00DC49FF">
        <w:rPr>
          <w:rFonts w:ascii="Garamond" w:hAnsi="Garamond" w:cstheme="minorHAnsi"/>
          <w:sz w:val="24"/>
          <w:szCs w:val="24"/>
          <w:lang w:val="sr-Latn-ME"/>
        </w:rPr>
        <w:t xml:space="preserve">ega je direktno iz Rezerve plaćeno </w:t>
      </w:r>
      <w:r w:rsidR="00F8359B" w:rsidRPr="00DC49FF">
        <w:rPr>
          <w:rFonts w:ascii="Garamond" w:hAnsi="Garamond" w:cstheme="minorHAnsi"/>
          <w:sz w:val="24"/>
          <w:szCs w:val="24"/>
          <w:lang w:val="sr-Latn-ME"/>
        </w:rPr>
        <w:t>25 mil €, dok je iznos od 60</w:t>
      </w:r>
      <w:r w:rsidR="003C6E87" w:rsidRPr="00DC49FF">
        <w:rPr>
          <w:rFonts w:ascii="Garamond" w:hAnsi="Garamond" w:cstheme="minorHAnsi"/>
          <w:sz w:val="24"/>
          <w:szCs w:val="24"/>
          <w:lang w:val="sr-Latn-ME"/>
        </w:rPr>
        <w:t xml:space="preserve"> mil € preusmjeren na druge potrošačke jedinice na odgovarajuće budžetske pozicije)</w:t>
      </w:r>
    </w:p>
    <w:p w:rsidR="005B2404" w:rsidRPr="00DC49FF" w:rsidRDefault="005B2404" w:rsidP="005B2404">
      <w:pPr>
        <w:jc w:val="both"/>
        <w:rPr>
          <w:rFonts w:ascii="Garamond" w:hAnsi="Garamond" w:cstheme="minorHAnsi"/>
          <w:sz w:val="24"/>
          <w:szCs w:val="24"/>
          <w:lang w:val="sr-Latn-ME"/>
        </w:rPr>
      </w:pPr>
      <w:r w:rsidRPr="00DC49FF">
        <w:rPr>
          <w:rFonts w:ascii="Garamond" w:hAnsi="Garamond" w:cstheme="minorHAnsi"/>
          <w:sz w:val="24"/>
          <w:szCs w:val="24"/>
          <w:lang w:val="sr-Latn-ME"/>
        </w:rPr>
        <w:t xml:space="preserve">Kada je u pitanju </w:t>
      </w:r>
      <w:r w:rsidRPr="00DC49FF">
        <w:rPr>
          <w:rFonts w:ascii="Garamond" w:hAnsi="Garamond" w:cstheme="minorHAnsi"/>
          <w:b/>
          <w:sz w:val="24"/>
          <w:szCs w:val="24"/>
          <w:lang w:val="sr-Latn-ME"/>
        </w:rPr>
        <w:t>Kapitalni budžet,</w:t>
      </w:r>
      <w:r w:rsidRPr="00DC49FF">
        <w:rPr>
          <w:rFonts w:ascii="Garamond" w:hAnsi="Garamond" w:cstheme="minorHAnsi"/>
          <w:sz w:val="24"/>
          <w:szCs w:val="24"/>
          <w:lang w:val="sr-Latn-ME"/>
        </w:rPr>
        <w:t xml:space="preserve"> realizacija je na nivou od </w:t>
      </w:r>
      <w:r w:rsidR="000F1F49" w:rsidRPr="00DC49FF">
        <w:rPr>
          <w:rFonts w:ascii="Garamond" w:hAnsi="Garamond" w:cstheme="minorHAnsi"/>
          <w:sz w:val="24"/>
          <w:szCs w:val="24"/>
          <w:lang w:val="sr-Latn-ME"/>
        </w:rPr>
        <w:t>203</w:t>
      </w:r>
      <w:r w:rsidRPr="00DC49FF">
        <w:rPr>
          <w:rFonts w:ascii="Garamond" w:hAnsi="Garamond" w:cstheme="minorHAnsi"/>
          <w:sz w:val="24"/>
          <w:szCs w:val="24"/>
          <w:lang w:val="sr-Latn-ME"/>
        </w:rPr>
        <w:t>.</w:t>
      </w:r>
      <w:r w:rsidR="000F1F49" w:rsidRPr="00DC49FF">
        <w:rPr>
          <w:rFonts w:ascii="Garamond" w:hAnsi="Garamond" w:cstheme="minorHAnsi"/>
          <w:sz w:val="24"/>
          <w:szCs w:val="24"/>
          <w:lang w:val="sr-Latn-ME"/>
        </w:rPr>
        <w:t>1</w:t>
      </w:r>
      <w:r w:rsidRPr="00DC49FF">
        <w:rPr>
          <w:rFonts w:ascii="Garamond" w:hAnsi="Garamond" w:cstheme="minorHAnsi"/>
          <w:sz w:val="24"/>
          <w:szCs w:val="24"/>
          <w:lang w:val="sr-Latn-ME"/>
        </w:rPr>
        <w:t xml:space="preserve"> mil.€</w:t>
      </w:r>
      <w:r w:rsidR="000F1F49" w:rsidRPr="00DC49FF">
        <w:rPr>
          <w:rFonts w:ascii="Garamond" w:hAnsi="Garamond" w:cstheme="minorHAnsi"/>
          <w:sz w:val="24"/>
          <w:szCs w:val="24"/>
          <w:lang w:val="sr-Latn-ME"/>
        </w:rPr>
        <w:t>, što predstavlja izvršenje od 84.4%</w:t>
      </w:r>
      <w:r w:rsidRPr="00DC49FF">
        <w:rPr>
          <w:rFonts w:ascii="Garamond" w:hAnsi="Garamond" w:cstheme="minorHAnsi"/>
          <w:sz w:val="24"/>
          <w:szCs w:val="24"/>
          <w:lang w:val="sr-Latn-ME"/>
        </w:rPr>
        <w:t xml:space="preserve">. Najznačajnije izdvajanje u okviru Kapitalnog budžeta odnosi se na realizovana plaćanja </w:t>
      </w:r>
      <w:r w:rsidRPr="00DC49FF">
        <w:rPr>
          <w:rFonts w:ascii="Garamond" w:hAnsi="Garamond" w:cstheme="minorHAnsi"/>
          <w:sz w:val="24"/>
          <w:szCs w:val="24"/>
          <w:u w:val="single"/>
          <w:lang w:val="sr-Latn-ME"/>
        </w:rPr>
        <w:t>za potrebe projekta prioritetne dionice autoputa</w:t>
      </w:r>
      <w:r w:rsidRPr="00DC49FF">
        <w:rPr>
          <w:rFonts w:ascii="Garamond" w:hAnsi="Garamond" w:cstheme="minorHAnsi"/>
          <w:sz w:val="24"/>
          <w:szCs w:val="24"/>
          <w:lang w:val="sr-Latn-ME"/>
        </w:rPr>
        <w:t xml:space="preserve"> u iznosu od </w:t>
      </w:r>
      <w:r w:rsidR="000F1F49" w:rsidRPr="00DC49FF">
        <w:rPr>
          <w:rFonts w:ascii="Garamond" w:hAnsi="Garamond" w:cstheme="minorHAnsi"/>
          <w:sz w:val="24"/>
          <w:szCs w:val="24"/>
          <w:lang w:val="sr-Latn-ME"/>
        </w:rPr>
        <w:t>68</w:t>
      </w:r>
      <w:r w:rsidRPr="00DC49FF">
        <w:rPr>
          <w:rFonts w:ascii="Garamond" w:hAnsi="Garamond" w:cstheme="minorHAnsi"/>
          <w:sz w:val="24"/>
          <w:szCs w:val="24"/>
          <w:lang w:val="sr-Latn-ME"/>
        </w:rPr>
        <w:t xml:space="preserve"> mil €</w:t>
      </w:r>
      <w:r w:rsidR="000F1F49" w:rsidRPr="00DC49FF">
        <w:rPr>
          <w:rFonts w:ascii="Garamond" w:hAnsi="Garamond" w:cstheme="minorHAnsi"/>
          <w:sz w:val="24"/>
          <w:szCs w:val="24"/>
          <w:lang w:val="sr-Latn-ME"/>
        </w:rPr>
        <w:t>, odnosno koje je realizovano u punom planiranom iznosu</w:t>
      </w:r>
      <w:r w:rsidRPr="00DC49FF">
        <w:rPr>
          <w:rFonts w:ascii="Garamond" w:hAnsi="Garamond" w:cstheme="minorHAnsi"/>
          <w:sz w:val="24"/>
          <w:szCs w:val="24"/>
          <w:lang w:val="sr-Latn-ME"/>
        </w:rPr>
        <w:t>.</w:t>
      </w:r>
    </w:p>
    <w:p w:rsidR="005B2404" w:rsidRPr="00DC49FF" w:rsidRDefault="005B2404" w:rsidP="005B2404">
      <w:pPr>
        <w:jc w:val="both"/>
        <w:rPr>
          <w:rFonts w:ascii="Garamond" w:hAnsi="Garamond" w:cstheme="minorHAnsi"/>
          <w:sz w:val="24"/>
          <w:szCs w:val="24"/>
          <w:lang w:val="sr-Latn-ME"/>
        </w:rPr>
      </w:pPr>
      <w:r w:rsidRPr="00DC49FF">
        <w:rPr>
          <w:rFonts w:ascii="Garamond" w:hAnsi="Garamond" w:cstheme="minorHAnsi"/>
          <w:sz w:val="24"/>
          <w:szCs w:val="24"/>
          <w:lang w:val="sr-Latn-ME"/>
        </w:rPr>
        <w:t xml:space="preserve">Sa druge strane, ostali kapitalni projekti realizovani su u iznosu od </w:t>
      </w:r>
      <w:r w:rsidR="000F1F49" w:rsidRPr="00DC49FF">
        <w:rPr>
          <w:rFonts w:ascii="Garamond" w:hAnsi="Garamond" w:cstheme="minorHAnsi"/>
          <w:sz w:val="24"/>
          <w:szCs w:val="24"/>
          <w:lang w:val="sr-Latn-ME"/>
        </w:rPr>
        <w:t>135</w:t>
      </w:r>
      <w:r w:rsidRPr="00DC49FF">
        <w:rPr>
          <w:rFonts w:ascii="Garamond" w:hAnsi="Garamond" w:cstheme="minorHAnsi"/>
          <w:sz w:val="24"/>
          <w:szCs w:val="24"/>
          <w:lang w:val="sr-Latn-ME"/>
        </w:rPr>
        <w:t xml:space="preserve"> mil €, što je </w:t>
      </w:r>
      <w:r w:rsidR="000F1F49" w:rsidRPr="00DC49FF">
        <w:rPr>
          <w:rFonts w:ascii="Garamond" w:hAnsi="Garamond" w:cstheme="minorHAnsi"/>
          <w:sz w:val="24"/>
          <w:szCs w:val="24"/>
          <w:lang w:val="sr-Latn-ME"/>
        </w:rPr>
        <w:t>na nivou od 78</w:t>
      </w:r>
      <w:r w:rsidRPr="00DC49FF">
        <w:rPr>
          <w:rFonts w:ascii="Garamond" w:hAnsi="Garamond" w:cstheme="minorHAnsi"/>
          <w:sz w:val="24"/>
          <w:szCs w:val="24"/>
          <w:lang w:val="sr-Latn-ME"/>
        </w:rPr>
        <w:t>% plana. U okviru kapitlanog</w:t>
      </w:r>
      <w:r w:rsidR="007F72CE" w:rsidRPr="00DC49FF">
        <w:rPr>
          <w:rFonts w:ascii="Garamond" w:hAnsi="Garamond" w:cstheme="minorHAnsi"/>
          <w:sz w:val="24"/>
          <w:szCs w:val="24"/>
          <w:lang w:val="sr-Latn-ME"/>
        </w:rPr>
        <w:t xml:space="preserve"> budžeta ukupno je planirano 368</w:t>
      </w:r>
      <w:r w:rsidRPr="00DC49FF">
        <w:rPr>
          <w:rFonts w:ascii="Garamond" w:hAnsi="Garamond" w:cstheme="minorHAnsi"/>
          <w:sz w:val="24"/>
          <w:szCs w:val="24"/>
          <w:lang w:val="sr-Latn-ME"/>
        </w:rPr>
        <w:t xml:space="preserve"> projekata, a koji se odnose na nastavak radova na postojećim projektima i otpočinjanje radova ili izrada tehničke dokumentacije na novim kapitalnim projektima. Na osnovu </w:t>
      </w:r>
      <w:r w:rsidR="007F72CE" w:rsidRPr="00DC49FF">
        <w:rPr>
          <w:rFonts w:ascii="Garamond" w:hAnsi="Garamond" w:cstheme="minorHAnsi"/>
          <w:sz w:val="24"/>
          <w:szCs w:val="24"/>
          <w:lang w:val="sr-Latn-ME"/>
        </w:rPr>
        <w:t>preliminarnih podataka za 2022. godinu</w:t>
      </w:r>
      <w:r w:rsidRPr="00DC49FF">
        <w:rPr>
          <w:rFonts w:ascii="Garamond" w:hAnsi="Garamond" w:cstheme="minorHAnsi"/>
          <w:sz w:val="24"/>
          <w:szCs w:val="24"/>
          <w:lang w:val="sr-Latn-ME"/>
        </w:rPr>
        <w:t>, evidenti</w:t>
      </w:r>
      <w:r w:rsidR="007F72CE" w:rsidRPr="00DC49FF">
        <w:rPr>
          <w:rFonts w:ascii="Garamond" w:hAnsi="Garamond" w:cstheme="minorHAnsi"/>
          <w:sz w:val="24"/>
          <w:szCs w:val="24"/>
          <w:lang w:val="sr-Latn-ME"/>
        </w:rPr>
        <w:t>rane su transakcije na ukupno 131</w:t>
      </w:r>
      <w:r w:rsidRPr="00DC49FF">
        <w:rPr>
          <w:rFonts w:ascii="Garamond" w:hAnsi="Garamond" w:cstheme="minorHAnsi"/>
          <w:sz w:val="24"/>
          <w:szCs w:val="24"/>
          <w:lang w:val="sr-Latn-ME"/>
        </w:rPr>
        <w:t xml:space="preserve"> projek</w:t>
      </w:r>
      <w:r w:rsidR="007F72CE" w:rsidRPr="00DC49FF">
        <w:rPr>
          <w:rFonts w:ascii="Garamond" w:hAnsi="Garamond" w:cstheme="minorHAnsi"/>
          <w:sz w:val="24"/>
          <w:szCs w:val="24"/>
          <w:lang w:val="sr-Latn-ME"/>
        </w:rPr>
        <w:t>at</w:t>
      </w:r>
      <w:r w:rsidRPr="00DC49FF">
        <w:rPr>
          <w:rFonts w:ascii="Garamond" w:hAnsi="Garamond" w:cstheme="minorHAnsi"/>
          <w:sz w:val="24"/>
          <w:szCs w:val="24"/>
          <w:lang w:val="sr-Latn-ME"/>
        </w:rPr>
        <w:t xml:space="preserve">, dok kod </w:t>
      </w:r>
      <w:r w:rsidR="007F72CE" w:rsidRPr="00DC49FF">
        <w:rPr>
          <w:rFonts w:ascii="Garamond" w:hAnsi="Garamond" w:cstheme="minorHAnsi"/>
          <w:sz w:val="24"/>
          <w:szCs w:val="24"/>
          <w:lang w:val="sr-Latn-ME"/>
        </w:rPr>
        <w:t>preostalih 23</w:t>
      </w:r>
      <w:r w:rsidRPr="00DC49FF">
        <w:rPr>
          <w:rFonts w:ascii="Garamond" w:hAnsi="Garamond" w:cstheme="minorHAnsi"/>
          <w:sz w:val="24"/>
          <w:szCs w:val="24"/>
          <w:lang w:val="sr-Latn-ME"/>
        </w:rPr>
        <w:t>7 projekta nije bilo realizovnaih plaćanja.</w:t>
      </w:r>
    </w:p>
    <w:p w:rsidR="00E157B2" w:rsidRPr="00DC49FF" w:rsidRDefault="005B2404" w:rsidP="001F2F26">
      <w:pPr>
        <w:jc w:val="both"/>
        <w:rPr>
          <w:rFonts w:ascii="Garamond" w:hAnsi="Garamond" w:cstheme="minorHAnsi"/>
          <w:sz w:val="24"/>
          <w:szCs w:val="24"/>
          <w:lang w:val="sr-Latn-ME"/>
        </w:rPr>
      </w:pPr>
      <w:r w:rsidRPr="00DC49FF">
        <w:rPr>
          <w:rFonts w:ascii="Garamond" w:hAnsi="Garamond" w:cstheme="minorHAnsi"/>
          <w:sz w:val="24"/>
          <w:szCs w:val="24"/>
          <w:lang w:val="sr-Latn-ME"/>
        </w:rPr>
        <w:t xml:space="preserve">Od ukupnog broja projekata čija je ralizacija u toku, za </w:t>
      </w:r>
      <w:r w:rsidR="0065194A" w:rsidRPr="00DC49FF">
        <w:rPr>
          <w:rFonts w:ascii="Garamond" w:hAnsi="Garamond" w:cstheme="minorHAnsi"/>
          <w:sz w:val="24"/>
          <w:szCs w:val="24"/>
          <w:lang w:val="sr-Latn-ME"/>
        </w:rPr>
        <w:t xml:space="preserve">30 </w:t>
      </w:r>
      <w:r w:rsidRPr="00DC49FF">
        <w:rPr>
          <w:rFonts w:ascii="Garamond" w:hAnsi="Garamond" w:cstheme="minorHAnsi"/>
          <w:sz w:val="24"/>
          <w:szCs w:val="24"/>
          <w:lang w:val="sr-Latn-ME"/>
        </w:rPr>
        <w:t xml:space="preserve">projekata </w:t>
      </w:r>
      <w:r w:rsidR="0065194A" w:rsidRPr="00DC49FF">
        <w:rPr>
          <w:rFonts w:ascii="Garamond" w:hAnsi="Garamond" w:cstheme="minorHAnsi"/>
          <w:sz w:val="24"/>
          <w:szCs w:val="24"/>
          <w:lang w:val="sr-Latn-ME"/>
        </w:rPr>
        <w:t xml:space="preserve">kod kojih je evidentirana najveća realizacija u toku godine </w:t>
      </w:r>
      <w:r w:rsidRPr="00DC49FF">
        <w:rPr>
          <w:rFonts w:ascii="Garamond" w:hAnsi="Garamond" w:cstheme="minorHAnsi"/>
          <w:sz w:val="24"/>
          <w:szCs w:val="24"/>
          <w:lang w:val="sr-Latn-ME"/>
        </w:rPr>
        <w:t xml:space="preserve">realizovana su sredstva </w:t>
      </w:r>
      <w:r w:rsidR="00E157B2" w:rsidRPr="00DC49FF">
        <w:rPr>
          <w:rFonts w:ascii="Garamond" w:hAnsi="Garamond" w:cstheme="minorHAnsi"/>
          <w:sz w:val="24"/>
          <w:szCs w:val="24"/>
          <w:lang w:val="sr-Latn-ME"/>
        </w:rPr>
        <w:t>u iznosud od</w:t>
      </w:r>
      <w:r w:rsidRPr="00DC49FF">
        <w:rPr>
          <w:rFonts w:ascii="Garamond" w:hAnsi="Garamond" w:cstheme="minorHAnsi"/>
          <w:sz w:val="24"/>
          <w:szCs w:val="24"/>
          <w:lang w:val="sr-Latn-ME"/>
        </w:rPr>
        <w:t xml:space="preserve"> </w:t>
      </w:r>
      <w:r w:rsidR="0065194A" w:rsidRPr="00DC49FF">
        <w:rPr>
          <w:rFonts w:ascii="Garamond" w:hAnsi="Garamond" w:cstheme="minorHAnsi"/>
          <w:sz w:val="24"/>
          <w:szCs w:val="24"/>
          <w:lang w:val="sr-Latn-ME"/>
        </w:rPr>
        <w:t xml:space="preserve">174 mil €, </w:t>
      </w:r>
      <w:r w:rsidRPr="00DC49FF">
        <w:rPr>
          <w:rFonts w:ascii="Garamond" w:hAnsi="Garamond" w:cstheme="minorHAnsi"/>
          <w:sz w:val="24"/>
          <w:szCs w:val="24"/>
          <w:lang w:val="sr-Latn-ME"/>
        </w:rPr>
        <w:t xml:space="preserve">odnosno okvirno </w:t>
      </w:r>
      <w:r w:rsidR="0065194A" w:rsidRPr="00DC49FF">
        <w:rPr>
          <w:rFonts w:ascii="Garamond" w:hAnsi="Garamond" w:cstheme="minorHAnsi"/>
          <w:sz w:val="24"/>
          <w:szCs w:val="24"/>
          <w:lang w:val="sr-Latn-ME"/>
        </w:rPr>
        <w:t>86%.</w:t>
      </w:r>
    </w:p>
    <w:p w:rsidR="00E157B2" w:rsidRDefault="00E157B2">
      <w:pPr>
        <w:rPr>
          <w:rFonts w:ascii="Garamond" w:hAnsi="Garamond" w:cstheme="minorHAnsi"/>
          <w:sz w:val="24"/>
          <w:szCs w:val="24"/>
          <w:highlight w:val="yellow"/>
          <w:lang w:val="sr-Latn-ME"/>
        </w:rPr>
      </w:pPr>
      <w:r>
        <w:rPr>
          <w:rFonts w:ascii="Garamond" w:hAnsi="Garamond" w:cstheme="minorHAnsi"/>
          <w:sz w:val="24"/>
          <w:szCs w:val="24"/>
          <w:highlight w:val="yellow"/>
          <w:lang w:val="sr-Latn-ME"/>
        </w:rPr>
        <w:br w:type="page"/>
      </w:r>
    </w:p>
    <w:p w:rsidR="005B2404" w:rsidRDefault="005B2404" w:rsidP="00A11EFB">
      <w:pPr>
        <w:rPr>
          <w:rFonts w:ascii="Garamond" w:hAnsi="Garamond" w:cstheme="minorHAnsi"/>
          <w:sz w:val="24"/>
          <w:szCs w:val="24"/>
          <w:lang w:val="sr-Latn-ME"/>
        </w:rPr>
      </w:pPr>
      <w:r w:rsidRPr="00DC49FF">
        <w:rPr>
          <w:rFonts w:ascii="Garamond" w:hAnsi="Garamond" w:cstheme="minorHAnsi"/>
          <w:sz w:val="24"/>
          <w:szCs w:val="24"/>
          <w:lang w:val="sr-Latn-ME"/>
        </w:rPr>
        <w:lastRenderedPageBreak/>
        <w:t>U nastavku je dat pregled realizacije kapitalnog budžeta, po programskoj strukturi, na nivou potprograma.</w:t>
      </w:r>
    </w:p>
    <w:tbl>
      <w:tblPr>
        <w:tblW w:w="9900" w:type="dxa"/>
        <w:jc w:val="center"/>
        <w:tblCellMar>
          <w:left w:w="57" w:type="dxa"/>
          <w:right w:w="57" w:type="dxa"/>
        </w:tblCellMar>
        <w:tblLook w:val="04A0" w:firstRow="1" w:lastRow="0" w:firstColumn="1" w:lastColumn="0" w:noHBand="0" w:noVBand="1"/>
      </w:tblPr>
      <w:tblGrid>
        <w:gridCol w:w="4961"/>
        <w:gridCol w:w="1112"/>
        <w:gridCol w:w="1275"/>
        <w:gridCol w:w="1276"/>
        <w:gridCol w:w="1276"/>
      </w:tblGrid>
      <w:tr w:rsidR="00E157B2" w:rsidRPr="00F81ED0" w:rsidTr="00F81ED0">
        <w:trPr>
          <w:trHeight w:val="900"/>
          <w:jc w:val="center"/>
        </w:trPr>
        <w:tc>
          <w:tcPr>
            <w:tcW w:w="4961" w:type="dxa"/>
            <w:tcBorders>
              <w:top w:val="single" w:sz="18" w:space="0" w:color="808080" w:themeColor="background1" w:themeShade="80"/>
              <w:left w:val="single" w:sz="18" w:space="0" w:color="808080" w:themeColor="background1" w:themeShade="80"/>
              <w:bottom w:val="single" w:sz="18" w:space="0" w:color="808080" w:themeColor="background1" w:themeShade="80"/>
              <w:right w:val="nil"/>
            </w:tcBorders>
            <w:shd w:val="clear" w:color="DDEBF7" w:fill="DDEBF7"/>
            <w:vAlign w:val="center"/>
            <w:hideMark/>
          </w:tcPr>
          <w:p w:rsidR="00E157B2" w:rsidRPr="00A11EFB" w:rsidRDefault="00E157B2" w:rsidP="00A11EFB">
            <w:pPr>
              <w:spacing w:before="60" w:after="60" w:line="240" w:lineRule="auto"/>
              <w:rPr>
                <w:rFonts w:ascii="Calibri" w:eastAsia="Times New Roman" w:hAnsi="Calibri" w:cs="Calibri"/>
                <w:b/>
                <w:bCs/>
                <w:color w:val="000000"/>
                <w:sz w:val="18"/>
                <w:szCs w:val="18"/>
                <w:lang w:eastAsia="en-GB"/>
              </w:rPr>
            </w:pPr>
            <w:r>
              <w:rPr>
                <w:rFonts w:ascii="Calibri" w:eastAsia="Times New Roman" w:hAnsi="Calibri" w:cs="Calibri"/>
                <w:b/>
                <w:bCs/>
                <w:color w:val="000000"/>
                <w:sz w:val="18"/>
                <w:szCs w:val="18"/>
                <w:lang w:eastAsia="en-GB"/>
              </w:rPr>
              <w:t>NAZIV POTPROGRAMA</w:t>
            </w:r>
          </w:p>
        </w:tc>
        <w:tc>
          <w:tcPr>
            <w:tcW w:w="1112" w:type="dxa"/>
            <w:tcBorders>
              <w:top w:val="single" w:sz="18" w:space="0" w:color="808080" w:themeColor="background1" w:themeShade="80"/>
              <w:left w:val="nil"/>
              <w:bottom w:val="single" w:sz="18" w:space="0" w:color="808080" w:themeColor="background1" w:themeShade="80"/>
              <w:right w:val="nil"/>
            </w:tcBorders>
            <w:shd w:val="clear" w:color="DDEBF7" w:fill="DDEBF7"/>
            <w:vAlign w:val="center"/>
            <w:hideMark/>
          </w:tcPr>
          <w:p w:rsidR="00E157B2" w:rsidRPr="00A11EFB" w:rsidRDefault="00E157B2" w:rsidP="00F81ED0">
            <w:pPr>
              <w:spacing w:before="60" w:after="60" w:line="240" w:lineRule="auto"/>
              <w:jc w:val="center"/>
              <w:rPr>
                <w:rFonts w:ascii="Calibri" w:eastAsia="Times New Roman" w:hAnsi="Calibri" w:cs="Calibri"/>
                <w:b/>
                <w:bCs/>
                <w:color w:val="000000"/>
                <w:sz w:val="18"/>
                <w:szCs w:val="18"/>
                <w:lang w:eastAsia="en-GB"/>
              </w:rPr>
            </w:pPr>
            <w:r w:rsidRPr="00A11EFB">
              <w:rPr>
                <w:rFonts w:ascii="Calibri" w:eastAsia="Times New Roman" w:hAnsi="Calibri" w:cs="Calibri"/>
                <w:b/>
                <w:bCs/>
                <w:color w:val="000000"/>
                <w:sz w:val="18"/>
                <w:szCs w:val="18"/>
                <w:lang w:eastAsia="en-GB"/>
              </w:rPr>
              <w:t>Plan 2022</w:t>
            </w:r>
          </w:p>
        </w:tc>
        <w:tc>
          <w:tcPr>
            <w:tcW w:w="1275" w:type="dxa"/>
            <w:tcBorders>
              <w:top w:val="single" w:sz="18" w:space="0" w:color="808080" w:themeColor="background1" w:themeShade="80"/>
              <w:left w:val="nil"/>
              <w:bottom w:val="single" w:sz="18" w:space="0" w:color="808080" w:themeColor="background1" w:themeShade="80"/>
              <w:right w:val="nil"/>
            </w:tcBorders>
            <w:shd w:val="clear" w:color="DDEBF7" w:fill="DDEBF7"/>
            <w:vAlign w:val="center"/>
            <w:hideMark/>
          </w:tcPr>
          <w:p w:rsidR="00E157B2" w:rsidRPr="00A11EFB" w:rsidRDefault="00E157B2" w:rsidP="00F81ED0">
            <w:pPr>
              <w:spacing w:before="60" w:after="60" w:line="240" w:lineRule="auto"/>
              <w:jc w:val="center"/>
              <w:rPr>
                <w:rFonts w:ascii="Calibri" w:eastAsia="Times New Roman" w:hAnsi="Calibri" w:cs="Calibri"/>
                <w:b/>
                <w:bCs/>
                <w:color w:val="000000"/>
                <w:sz w:val="18"/>
                <w:szCs w:val="18"/>
                <w:lang w:eastAsia="en-GB"/>
              </w:rPr>
            </w:pPr>
            <w:proofErr w:type="spellStart"/>
            <w:r w:rsidRPr="00A11EFB">
              <w:rPr>
                <w:rFonts w:ascii="Calibri" w:eastAsia="Times New Roman" w:hAnsi="Calibri" w:cs="Calibri"/>
                <w:b/>
                <w:bCs/>
                <w:color w:val="000000"/>
                <w:sz w:val="18"/>
                <w:szCs w:val="18"/>
                <w:lang w:eastAsia="en-GB"/>
              </w:rPr>
              <w:t>Preliminarno</w:t>
            </w:r>
            <w:proofErr w:type="spellEnd"/>
            <w:r w:rsidRPr="00A11EFB">
              <w:rPr>
                <w:rFonts w:ascii="Calibri" w:eastAsia="Times New Roman" w:hAnsi="Calibri" w:cs="Calibri"/>
                <w:b/>
                <w:bCs/>
                <w:color w:val="000000"/>
                <w:sz w:val="18"/>
                <w:szCs w:val="18"/>
                <w:lang w:eastAsia="en-GB"/>
              </w:rPr>
              <w:t xml:space="preserve"> </w:t>
            </w:r>
            <w:proofErr w:type="spellStart"/>
            <w:r w:rsidRPr="00A11EFB">
              <w:rPr>
                <w:rFonts w:ascii="Calibri" w:eastAsia="Times New Roman" w:hAnsi="Calibri" w:cs="Calibri"/>
                <w:b/>
                <w:bCs/>
                <w:color w:val="000000"/>
                <w:sz w:val="18"/>
                <w:szCs w:val="18"/>
                <w:lang w:eastAsia="en-GB"/>
              </w:rPr>
              <w:t>izvršenje</w:t>
            </w:r>
            <w:proofErr w:type="spellEnd"/>
            <w:r w:rsidRPr="00A11EFB">
              <w:rPr>
                <w:rFonts w:ascii="Calibri" w:eastAsia="Times New Roman" w:hAnsi="Calibri" w:cs="Calibri"/>
                <w:b/>
                <w:bCs/>
                <w:color w:val="000000"/>
                <w:sz w:val="18"/>
                <w:szCs w:val="18"/>
                <w:lang w:eastAsia="en-GB"/>
              </w:rPr>
              <w:t xml:space="preserve"> 2022</w:t>
            </w:r>
          </w:p>
        </w:tc>
        <w:tc>
          <w:tcPr>
            <w:tcW w:w="1276" w:type="dxa"/>
            <w:tcBorders>
              <w:top w:val="single" w:sz="18" w:space="0" w:color="808080" w:themeColor="background1" w:themeShade="80"/>
              <w:left w:val="nil"/>
              <w:bottom w:val="single" w:sz="18" w:space="0" w:color="808080" w:themeColor="background1" w:themeShade="80"/>
              <w:right w:val="nil"/>
            </w:tcBorders>
            <w:shd w:val="clear" w:color="DDEBF7" w:fill="DDEBF7"/>
            <w:vAlign w:val="center"/>
            <w:hideMark/>
          </w:tcPr>
          <w:p w:rsidR="00E157B2" w:rsidRPr="00A11EFB" w:rsidRDefault="00E157B2" w:rsidP="00F81ED0">
            <w:pPr>
              <w:spacing w:before="60" w:after="60" w:line="240" w:lineRule="auto"/>
              <w:jc w:val="center"/>
              <w:rPr>
                <w:rFonts w:ascii="Calibri" w:eastAsia="Times New Roman" w:hAnsi="Calibri" w:cs="Calibri"/>
                <w:b/>
                <w:bCs/>
                <w:color w:val="000000"/>
                <w:sz w:val="18"/>
                <w:szCs w:val="18"/>
                <w:lang w:eastAsia="en-GB"/>
              </w:rPr>
            </w:pPr>
            <w:proofErr w:type="spellStart"/>
            <w:r w:rsidRPr="00A11EFB">
              <w:rPr>
                <w:rFonts w:ascii="Calibri" w:eastAsia="Times New Roman" w:hAnsi="Calibri" w:cs="Calibri"/>
                <w:b/>
                <w:bCs/>
                <w:color w:val="000000"/>
                <w:sz w:val="18"/>
                <w:szCs w:val="18"/>
                <w:lang w:eastAsia="en-GB"/>
              </w:rPr>
              <w:t>Razlika</w:t>
            </w:r>
            <w:proofErr w:type="spellEnd"/>
            <w:r w:rsidRPr="00A11EFB">
              <w:rPr>
                <w:rFonts w:ascii="Calibri" w:eastAsia="Times New Roman" w:hAnsi="Calibri" w:cs="Calibri"/>
                <w:b/>
                <w:bCs/>
                <w:color w:val="000000"/>
                <w:sz w:val="18"/>
                <w:szCs w:val="18"/>
                <w:lang w:eastAsia="en-GB"/>
              </w:rPr>
              <w:br/>
              <w:t>(</w:t>
            </w:r>
            <w:proofErr w:type="spellStart"/>
            <w:r w:rsidRPr="00A11EFB">
              <w:rPr>
                <w:rFonts w:ascii="Calibri" w:eastAsia="Times New Roman" w:hAnsi="Calibri" w:cs="Calibri"/>
                <w:b/>
                <w:bCs/>
                <w:color w:val="000000"/>
                <w:sz w:val="18"/>
                <w:szCs w:val="18"/>
                <w:lang w:eastAsia="en-GB"/>
              </w:rPr>
              <w:t>nominalno</w:t>
            </w:r>
            <w:proofErr w:type="spellEnd"/>
            <w:r w:rsidRPr="00A11EFB">
              <w:rPr>
                <w:rFonts w:ascii="Calibri" w:eastAsia="Times New Roman" w:hAnsi="Calibri" w:cs="Calibri"/>
                <w:b/>
                <w:bCs/>
                <w:color w:val="000000"/>
                <w:sz w:val="18"/>
                <w:szCs w:val="18"/>
                <w:lang w:eastAsia="en-GB"/>
              </w:rPr>
              <w:t>)</w:t>
            </w:r>
          </w:p>
        </w:tc>
        <w:tc>
          <w:tcPr>
            <w:tcW w:w="1276" w:type="dxa"/>
            <w:tcBorders>
              <w:top w:val="single" w:sz="18" w:space="0" w:color="808080" w:themeColor="background1" w:themeShade="80"/>
              <w:left w:val="nil"/>
              <w:bottom w:val="single" w:sz="18" w:space="0" w:color="808080" w:themeColor="background1" w:themeShade="80"/>
              <w:right w:val="single" w:sz="18" w:space="0" w:color="808080" w:themeColor="background1" w:themeShade="80"/>
            </w:tcBorders>
            <w:shd w:val="clear" w:color="DDEBF7" w:fill="DDEBF7"/>
            <w:noWrap/>
            <w:vAlign w:val="center"/>
            <w:hideMark/>
          </w:tcPr>
          <w:p w:rsidR="00E157B2" w:rsidRPr="00A11EFB" w:rsidRDefault="00E157B2" w:rsidP="00F81ED0">
            <w:pPr>
              <w:spacing w:before="60" w:after="60" w:line="240" w:lineRule="auto"/>
              <w:jc w:val="center"/>
              <w:rPr>
                <w:rFonts w:ascii="Calibri" w:eastAsia="Times New Roman" w:hAnsi="Calibri" w:cs="Calibri"/>
                <w:b/>
                <w:bCs/>
                <w:color w:val="000000"/>
                <w:sz w:val="18"/>
                <w:szCs w:val="18"/>
                <w:lang w:eastAsia="en-GB"/>
              </w:rPr>
            </w:pPr>
            <w:proofErr w:type="spellStart"/>
            <w:r w:rsidRPr="00A11EFB">
              <w:rPr>
                <w:rFonts w:ascii="Calibri" w:eastAsia="Times New Roman" w:hAnsi="Calibri" w:cs="Calibri"/>
                <w:b/>
                <w:bCs/>
                <w:color w:val="000000"/>
                <w:sz w:val="18"/>
                <w:szCs w:val="18"/>
                <w:lang w:eastAsia="en-GB"/>
              </w:rPr>
              <w:t>Preliminarno</w:t>
            </w:r>
            <w:proofErr w:type="spellEnd"/>
            <w:r w:rsidRPr="00A11EFB">
              <w:rPr>
                <w:rFonts w:ascii="Calibri" w:eastAsia="Times New Roman" w:hAnsi="Calibri" w:cs="Calibri"/>
                <w:b/>
                <w:bCs/>
                <w:color w:val="000000"/>
                <w:sz w:val="18"/>
                <w:szCs w:val="18"/>
                <w:lang w:eastAsia="en-GB"/>
              </w:rPr>
              <w:t xml:space="preserve"> </w:t>
            </w:r>
            <w:proofErr w:type="spellStart"/>
            <w:r w:rsidRPr="00A11EFB">
              <w:rPr>
                <w:rFonts w:ascii="Calibri" w:eastAsia="Times New Roman" w:hAnsi="Calibri" w:cs="Calibri"/>
                <w:b/>
                <w:bCs/>
                <w:color w:val="000000"/>
                <w:sz w:val="18"/>
                <w:szCs w:val="18"/>
                <w:lang w:eastAsia="en-GB"/>
              </w:rPr>
              <w:t>Izvršenje</w:t>
            </w:r>
            <w:proofErr w:type="spellEnd"/>
            <w:r w:rsidRPr="00A11EFB">
              <w:rPr>
                <w:rFonts w:ascii="Calibri" w:eastAsia="Times New Roman" w:hAnsi="Calibri" w:cs="Calibri"/>
                <w:b/>
                <w:bCs/>
                <w:color w:val="000000"/>
                <w:sz w:val="18"/>
                <w:szCs w:val="18"/>
                <w:lang w:eastAsia="en-GB"/>
              </w:rPr>
              <w:t xml:space="preserve"> </w:t>
            </w:r>
            <w:r>
              <w:rPr>
                <w:rFonts w:ascii="Calibri" w:eastAsia="Times New Roman" w:hAnsi="Calibri" w:cs="Calibri"/>
                <w:b/>
                <w:bCs/>
                <w:color w:val="000000"/>
                <w:sz w:val="18"/>
                <w:szCs w:val="18"/>
                <w:lang w:eastAsia="en-GB"/>
              </w:rPr>
              <w:t>DECEMBAR</w:t>
            </w:r>
          </w:p>
        </w:tc>
      </w:tr>
      <w:tr w:rsidR="000A0CA3" w:rsidRPr="00F81ED0" w:rsidTr="000A0CA3">
        <w:trPr>
          <w:trHeight w:val="300"/>
          <w:jc w:val="center"/>
        </w:trPr>
        <w:tc>
          <w:tcPr>
            <w:tcW w:w="4961" w:type="dxa"/>
            <w:tcBorders>
              <w:top w:val="single" w:sz="18"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A11EFB" w:rsidRDefault="000A0CA3" w:rsidP="000A0CA3">
            <w:pPr>
              <w:spacing w:before="60" w:after="60" w:line="240" w:lineRule="auto"/>
              <w:rPr>
                <w:rFonts w:ascii="Calibri" w:eastAsia="Times New Roman" w:hAnsi="Calibri" w:cs="Calibri"/>
                <w:color w:val="000000"/>
                <w:sz w:val="18"/>
                <w:szCs w:val="18"/>
                <w:lang w:eastAsia="en-GB"/>
              </w:rPr>
            </w:pPr>
            <w:r w:rsidRPr="00A11EFB">
              <w:rPr>
                <w:rFonts w:ascii="Calibri" w:eastAsia="Times New Roman" w:hAnsi="Calibri" w:cs="Calibri"/>
                <w:color w:val="000000"/>
                <w:sz w:val="18"/>
                <w:szCs w:val="18"/>
                <w:lang w:eastAsia="en-GB"/>
              </w:rPr>
              <w:t xml:space="preserve">11 052 K01 - </w:t>
            </w:r>
            <w:proofErr w:type="spellStart"/>
            <w:r w:rsidRPr="00A11EFB">
              <w:rPr>
                <w:rFonts w:ascii="Calibri" w:eastAsia="Times New Roman" w:hAnsi="Calibri" w:cs="Calibri"/>
                <w:color w:val="000000"/>
                <w:sz w:val="18"/>
                <w:szCs w:val="18"/>
                <w:lang w:eastAsia="en-GB"/>
              </w:rPr>
              <w:t>Izgradnja</w:t>
            </w:r>
            <w:proofErr w:type="spellEnd"/>
            <w:r w:rsidRPr="00A11EFB">
              <w:rPr>
                <w:rFonts w:ascii="Calibri" w:eastAsia="Times New Roman" w:hAnsi="Calibri" w:cs="Calibri"/>
                <w:color w:val="000000"/>
                <w:sz w:val="18"/>
                <w:szCs w:val="18"/>
                <w:lang w:eastAsia="en-GB"/>
              </w:rPr>
              <w:t xml:space="preserve"> i </w:t>
            </w:r>
            <w:proofErr w:type="spellStart"/>
            <w:r w:rsidRPr="00A11EFB">
              <w:rPr>
                <w:rFonts w:ascii="Calibri" w:eastAsia="Times New Roman" w:hAnsi="Calibri" w:cs="Calibri"/>
                <w:color w:val="000000"/>
                <w:sz w:val="18"/>
                <w:szCs w:val="18"/>
                <w:lang w:eastAsia="en-GB"/>
              </w:rPr>
              <w:t>rekonstrukcija</w:t>
            </w:r>
            <w:proofErr w:type="spellEnd"/>
            <w:r w:rsidRPr="00A11EFB">
              <w:rPr>
                <w:rFonts w:ascii="Calibri" w:eastAsia="Times New Roman" w:hAnsi="Calibri" w:cs="Calibri"/>
                <w:color w:val="000000"/>
                <w:sz w:val="18"/>
                <w:szCs w:val="18"/>
                <w:lang w:eastAsia="en-GB"/>
              </w:rPr>
              <w:t xml:space="preserve"> </w:t>
            </w:r>
            <w:proofErr w:type="spellStart"/>
            <w:r w:rsidRPr="00A11EFB">
              <w:rPr>
                <w:rFonts w:ascii="Calibri" w:eastAsia="Times New Roman" w:hAnsi="Calibri" w:cs="Calibri"/>
                <w:color w:val="000000"/>
                <w:sz w:val="18"/>
                <w:szCs w:val="18"/>
                <w:lang w:eastAsia="en-GB"/>
              </w:rPr>
              <w:t>administrativnog</w:t>
            </w:r>
            <w:proofErr w:type="spellEnd"/>
            <w:r w:rsidRPr="00A11EFB">
              <w:rPr>
                <w:rFonts w:ascii="Calibri" w:eastAsia="Times New Roman" w:hAnsi="Calibri" w:cs="Calibri"/>
                <w:color w:val="000000"/>
                <w:sz w:val="18"/>
                <w:szCs w:val="18"/>
                <w:lang w:eastAsia="en-GB"/>
              </w:rPr>
              <w:t xml:space="preserve"> </w:t>
            </w:r>
            <w:proofErr w:type="spellStart"/>
            <w:r w:rsidRPr="00A11EFB">
              <w:rPr>
                <w:rFonts w:ascii="Calibri" w:eastAsia="Times New Roman" w:hAnsi="Calibri" w:cs="Calibri"/>
                <w:color w:val="000000"/>
                <w:sz w:val="18"/>
                <w:szCs w:val="18"/>
                <w:lang w:eastAsia="en-GB"/>
              </w:rPr>
              <w:t>prostora</w:t>
            </w:r>
            <w:proofErr w:type="spellEnd"/>
            <w:r w:rsidRPr="00A11EFB">
              <w:rPr>
                <w:rFonts w:ascii="Calibri" w:eastAsia="Times New Roman" w:hAnsi="Calibri" w:cs="Calibri"/>
                <w:color w:val="000000"/>
                <w:sz w:val="18"/>
                <w:szCs w:val="18"/>
                <w:lang w:eastAsia="en-GB"/>
              </w:rPr>
              <w:t xml:space="preserve"> za rad </w:t>
            </w:r>
            <w:proofErr w:type="spellStart"/>
            <w:r w:rsidRPr="00A11EFB">
              <w:rPr>
                <w:rFonts w:ascii="Calibri" w:eastAsia="Times New Roman" w:hAnsi="Calibri" w:cs="Calibri"/>
                <w:color w:val="000000"/>
                <w:sz w:val="18"/>
                <w:szCs w:val="18"/>
                <w:lang w:eastAsia="en-GB"/>
              </w:rPr>
              <w:t>državnih</w:t>
            </w:r>
            <w:proofErr w:type="spellEnd"/>
            <w:r w:rsidRPr="00A11EFB">
              <w:rPr>
                <w:rFonts w:ascii="Calibri" w:eastAsia="Times New Roman" w:hAnsi="Calibri" w:cs="Calibri"/>
                <w:color w:val="000000"/>
                <w:sz w:val="18"/>
                <w:szCs w:val="18"/>
                <w:lang w:eastAsia="en-GB"/>
              </w:rPr>
              <w:t xml:space="preserve"> </w:t>
            </w:r>
            <w:proofErr w:type="spellStart"/>
            <w:r w:rsidRPr="00A11EFB">
              <w:rPr>
                <w:rFonts w:ascii="Calibri" w:eastAsia="Times New Roman" w:hAnsi="Calibri" w:cs="Calibri"/>
                <w:color w:val="000000"/>
                <w:sz w:val="18"/>
                <w:szCs w:val="18"/>
                <w:lang w:eastAsia="en-GB"/>
              </w:rPr>
              <w:t>organa</w:t>
            </w:r>
            <w:proofErr w:type="spellEnd"/>
            <w:r w:rsidRPr="00A11EFB">
              <w:rPr>
                <w:rFonts w:ascii="Calibri" w:eastAsia="Times New Roman" w:hAnsi="Calibri" w:cs="Calibri"/>
                <w:color w:val="000000"/>
                <w:sz w:val="18"/>
                <w:szCs w:val="18"/>
                <w:lang w:eastAsia="en-GB"/>
              </w:rPr>
              <w:t xml:space="preserve"> - </w:t>
            </w:r>
            <w:proofErr w:type="spellStart"/>
            <w:r w:rsidRPr="00A11EFB">
              <w:rPr>
                <w:rFonts w:ascii="Calibri" w:eastAsia="Times New Roman" w:hAnsi="Calibri" w:cs="Calibri"/>
                <w:color w:val="000000"/>
                <w:sz w:val="18"/>
                <w:szCs w:val="18"/>
                <w:lang w:eastAsia="en-GB"/>
              </w:rPr>
              <w:t>sektor</w:t>
            </w:r>
            <w:proofErr w:type="spellEnd"/>
            <w:r w:rsidRPr="00A11EFB">
              <w:rPr>
                <w:rFonts w:ascii="Calibri" w:eastAsia="Times New Roman" w:hAnsi="Calibri" w:cs="Calibri"/>
                <w:color w:val="000000"/>
                <w:sz w:val="18"/>
                <w:szCs w:val="18"/>
                <w:lang w:eastAsia="en-GB"/>
              </w:rPr>
              <w:t xml:space="preserve"> </w:t>
            </w:r>
            <w:proofErr w:type="spellStart"/>
            <w:r w:rsidRPr="00A11EFB">
              <w:rPr>
                <w:rFonts w:ascii="Calibri" w:eastAsia="Times New Roman" w:hAnsi="Calibri" w:cs="Calibri"/>
                <w:color w:val="000000"/>
                <w:sz w:val="18"/>
                <w:szCs w:val="18"/>
                <w:lang w:eastAsia="en-GB"/>
              </w:rPr>
              <w:t>Politički</w:t>
            </w:r>
            <w:proofErr w:type="spellEnd"/>
            <w:r w:rsidRPr="00A11EFB">
              <w:rPr>
                <w:rFonts w:ascii="Calibri" w:eastAsia="Times New Roman" w:hAnsi="Calibri" w:cs="Calibri"/>
                <w:color w:val="000000"/>
                <w:sz w:val="18"/>
                <w:szCs w:val="18"/>
                <w:lang w:eastAsia="en-GB"/>
              </w:rPr>
              <w:t xml:space="preserve"> </w:t>
            </w:r>
            <w:proofErr w:type="spellStart"/>
            <w:r w:rsidRPr="00A11EFB">
              <w:rPr>
                <w:rFonts w:ascii="Calibri" w:eastAsia="Times New Roman" w:hAnsi="Calibri" w:cs="Calibri"/>
                <w:color w:val="000000"/>
                <w:sz w:val="18"/>
                <w:szCs w:val="18"/>
                <w:lang w:eastAsia="en-GB"/>
              </w:rPr>
              <w:t>sistem</w:t>
            </w:r>
            <w:proofErr w:type="spellEnd"/>
            <w:r w:rsidRPr="00A11EFB">
              <w:rPr>
                <w:rFonts w:ascii="Calibri" w:eastAsia="Times New Roman" w:hAnsi="Calibri" w:cs="Calibri"/>
                <w:color w:val="000000"/>
                <w:sz w:val="18"/>
                <w:szCs w:val="18"/>
                <w:lang w:eastAsia="en-GB"/>
              </w:rPr>
              <w:t xml:space="preserve"> i </w:t>
            </w:r>
            <w:proofErr w:type="spellStart"/>
            <w:r w:rsidRPr="00A11EFB">
              <w:rPr>
                <w:rFonts w:ascii="Calibri" w:eastAsia="Times New Roman" w:hAnsi="Calibri" w:cs="Calibri"/>
                <w:color w:val="000000"/>
                <w:sz w:val="18"/>
                <w:szCs w:val="18"/>
                <w:lang w:eastAsia="en-GB"/>
              </w:rPr>
              <w:t>upravljanje</w:t>
            </w:r>
            <w:proofErr w:type="spellEnd"/>
          </w:p>
        </w:tc>
        <w:tc>
          <w:tcPr>
            <w:tcW w:w="1112" w:type="dxa"/>
            <w:tcBorders>
              <w:top w:val="single" w:sz="18"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A11EFB"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0,18</w:t>
            </w:r>
          </w:p>
        </w:tc>
        <w:tc>
          <w:tcPr>
            <w:tcW w:w="1275" w:type="dxa"/>
            <w:tcBorders>
              <w:top w:val="single" w:sz="18"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A11EFB"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0,12</w:t>
            </w:r>
          </w:p>
        </w:tc>
        <w:tc>
          <w:tcPr>
            <w:tcW w:w="1276" w:type="dxa"/>
            <w:tcBorders>
              <w:top w:val="single" w:sz="18"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A11EFB"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-0,06</w:t>
            </w:r>
          </w:p>
        </w:tc>
        <w:tc>
          <w:tcPr>
            <w:tcW w:w="1276" w:type="dxa"/>
            <w:tcBorders>
              <w:top w:val="single" w:sz="18"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0,00</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12 024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administrativnog</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prostora</w:t>
            </w:r>
            <w:proofErr w:type="spellEnd"/>
            <w:r w:rsidRPr="00F81ED0">
              <w:rPr>
                <w:rFonts w:ascii="Calibri" w:eastAsia="Times New Roman" w:hAnsi="Calibri" w:cs="Calibri"/>
                <w:color w:val="000000"/>
                <w:sz w:val="18"/>
                <w:szCs w:val="18"/>
                <w:lang w:eastAsia="en-GB"/>
              </w:rPr>
              <w:t xml:space="preserve"> za rad </w:t>
            </w:r>
            <w:proofErr w:type="spellStart"/>
            <w:r w:rsidRPr="00F81ED0">
              <w:rPr>
                <w:rFonts w:ascii="Calibri" w:eastAsia="Times New Roman" w:hAnsi="Calibri" w:cs="Calibri"/>
                <w:color w:val="000000"/>
                <w:sz w:val="18"/>
                <w:szCs w:val="18"/>
                <w:lang w:eastAsia="en-GB"/>
              </w:rPr>
              <w:t>pravosuđa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0,21</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0,03</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-0,18</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0,02</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12 024 K02 -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koji</w:t>
            </w:r>
            <w:proofErr w:type="spellEnd"/>
            <w:r w:rsidRPr="00F81ED0">
              <w:rPr>
                <w:rFonts w:ascii="Calibri" w:eastAsia="Times New Roman" w:hAnsi="Calibri" w:cs="Calibri"/>
                <w:color w:val="000000"/>
                <w:sz w:val="18"/>
                <w:szCs w:val="18"/>
                <w:lang w:eastAsia="en-GB"/>
              </w:rPr>
              <w:t xml:space="preserve"> se </w:t>
            </w:r>
            <w:proofErr w:type="spellStart"/>
            <w:r w:rsidRPr="00F81ED0">
              <w:rPr>
                <w:rFonts w:ascii="Calibri" w:eastAsia="Times New Roman" w:hAnsi="Calibri" w:cs="Calibri"/>
                <w:color w:val="000000"/>
                <w:sz w:val="18"/>
                <w:szCs w:val="18"/>
                <w:lang w:eastAsia="en-GB"/>
              </w:rPr>
              <w:t>finansiraju</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iz</w:t>
            </w:r>
            <w:proofErr w:type="spellEnd"/>
            <w:r w:rsidRPr="00F81ED0">
              <w:rPr>
                <w:rFonts w:ascii="Calibri" w:eastAsia="Times New Roman" w:hAnsi="Calibri" w:cs="Calibri"/>
                <w:color w:val="000000"/>
                <w:sz w:val="18"/>
                <w:szCs w:val="18"/>
                <w:lang w:eastAsia="en-GB"/>
              </w:rPr>
              <w:t xml:space="preserve"> IPA </w:t>
            </w:r>
            <w:proofErr w:type="spellStart"/>
            <w:r w:rsidRPr="00F81ED0">
              <w:rPr>
                <w:rFonts w:ascii="Calibri" w:eastAsia="Times New Roman" w:hAnsi="Calibri" w:cs="Calibri"/>
                <w:color w:val="000000"/>
                <w:sz w:val="18"/>
                <w:szCs w:val="18"/>
                <w:lang w:eastAsia="en-GB"/>
              </w:rPr>
              <w:t>fondova</w:t>
            </w:r>
            <w:proofErr w:type="spellEnd"/>
            <w:r w:rsidRPr="00F81ED0">
              <w:rPr>
                <w:rFonts w:ascii="Calibri" w:eastAsia="Times New Roman" w:hAnsi="Calibri" w:cs="Calibri"/>
                <w:color w:val="000000"/>
                <w:sz w:val="18"/>
                <w:szCs w:val="18"/>
                <w:lang w:eastAsia="en-GB"/>
              </w:rPr>
              <w:t xml:space="preserve"> - </w:t>
            </w:r>
            <w:proofErr w:type="spellStart"/>
            <w:r w:rsidRPr="00F81ED0">
              <w:rPr>
                <w:rFonts w:ascii="Calibri" w:eastAsia="Times New Roman" w:hAnsi="Calibri" w:cs="Calibri"/>
                <w:color w:val="000000"/>
                <w:sz w:val="18"/>
                <w:szCs w:val="18"/>
                <w:lang w:eastAsia="en-GB"/>
              </w:rPr>
              <w:t>sektor</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Pravosuđe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0,00</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1,40</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1,4</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1,38</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13 023 K01 -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koji</w:t>
            </w:r>
            <w:proofErr w:type="spellEnd"/>
            <w:r w:rsidRPr="00F81ED0">
              <w:rPr>
                <w:rFonts w:ascii="Calibri" w:eastAsia="Times New Roman" w:hAnsi="Calibri" w:cs="Calibri"/>
                <w:color w:val="000000"/>
                <w:sz w:val="18"/>
                <w:szCs w:val="18"/>
                <w:lang w:eastAsia="en-GB"/>
              </w:rPr>
              <w:t xml:space="preserve"> se </w:t>
            </w:r>
            <w:proofErr w:type="spellStart"/>
            <w:r w:rsidRPr="00F81ED0">
              <w:rPr>
                <w:rFonts w:ascii="Calibri" w:eastAsia="Times New Roman" w:hAnsi="Calibri" w:cs="Calibri"/>
                <w:color w:val="000000"/>
                <w:sz w:val="18"/>
                <w:szCs w:val="18"/>
                <w:lang w:eastAsia="en-GB"/>
              </w:rPr>
              <w:t>finansiraju</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iz</w:t>
            </w:r>
            <w:proofErr w:type="spellEnd"/>
            <w:r w:rsidRPr="00F81ED0">
              <w:rPr>
                <w:rFonts w:ascii="Calibri" w:eastAsia="Times New Roman" w:hAnsi="Calibri" w:cs="Calibri"/>
                <w:color w:val="000000"/>
                <w:sz w:val="18"/>
                <w:szCs w:val="18"/>
                <w:lang w:eastAsia="en-GB"/>
              </w:rPr>
              <w:t xml:space="preserve"> IPA </w:t>
            </w:r>
            <w:proofErr w:type="spellStart"/>
            <w:r w:rsidRPr="00F81ED0">
              <w:rPr>
                <w:rFonts w:ascii="Calibri" w:eastAsia="Times New Roman" w:hAnsi="Calibri" w:cs="Calibri"/>
                <w:color w:val="000000"/>
                <w:sz w:val="18"/>
                <w:szCs w:val="18"/>
                <w:lang w:eastAsia="en-GB"/>
              </w:rPr>
              <w:t>fondova</w:t>
            </w:r>
            <w:proofErr w:type="spellEnd"/>
            <w:r w:rsidRPr="00F81ED0">
              <w:rPr>
                <w:rFonts w:ascii="Calibri" w:eastAsia="Times New Roman" w:hAnsi="Calibri" w:cs="Calibri"/>
                <w:color w:val="000000"/>
                <w:sz w:val="18"/>
                <w:szCs w:val="18"/>
                <w:lang w:eastAsia="en-GB"/>
              </w:rPr>
              <w:t xml:space="preserve"> - </w:t>
            </w:r>
            <w:proofErr w:type="spellStart"/>
            <w:r w:rsidRPr="00F81ED0">
              <w:rPr>
                <w:rFonts w:ascii="Calibri" w:eastAsia="Times New Roman" w:hAnsi="Calibri" w:cs="Calibri"/>
                <w:color w:val="000000"/>
                <w:sz w:val="18"/>
                <w:szCs w:val="18"/>
                <w:lang w:eastAsia="en-GB"/>
              </w:rPr>
              <w:t>sektor</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Javna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bezbijednost</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odbrana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0,02</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bottom"/>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0,00</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-0,02</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13 024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administrativnog</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prostora</w:t>
            </w:r>
            <w:proofErr w:type="spellEnd"/>
            <w:r w:rsidRPr="00F81ED0">
              <w:rPr>
                <w:rFonts w:ascii="Calibri" w:eastAsia="Times New Roman" w:hAnsi="Calibri" w:cs="Calibri"/>
                <w:color w:val="000000"/>
                <w:sz w:val="18"/>
                <w:szCs w:val="18"/>
                <w:lang w:eastAsia="en-GB"/>
              </w:rPr>
              <w:t xml:space="preserve"> za </w:t>
            </w:r>
            <w:proofErr w:type="spellStart"/>
            <w:r w:rsidRPr="00F81ED0">
              <w:rPr>
                <w:rFonts w:ascii="Calibri" w:eastAsia="Times New Roman" w:hAnsi="Calibri" w:cs="Calibri"/>
                <w:color w:val="000000"/>
                <w:sz w:val="18"/>
                <w:szCs w:val="18"/>
                <w:lang w:eastAsia="en-GB"/>
              </w:rPr>
              <w:t>potrebe</w:t>
            </w:r>
            <w:proofErr w:type="spellEnd"/>
            <w:r w:rsidRPr="00F81ED0">
              <w:rPr>
                <w:rFonts w:ascii="Calibri" w:eastAsia="Times New Roman" w:hAnsi="Calibri" w:cs="Calibri"/>
                <w:color w:val="000000"/>
                <w:sz w:val="18"/>
                <w:szCs w:val="18"/>
                <w:lang w:eastAsia="en-GB"/>
              </w:rPr>
              <w:t xml:space="preserve"> javne </w:t>
            </w:r>
            <w:proofErr w:type="spellStart"/>
            <w:r w:rsidRPr="00F81ED0">
              <w:rPr>
                <w:rFonts w:ascii="Calibri" w:eastAsia="Times New Roman" w:hAnsi="Calibri" w:cs="Calibri"/>
                <w:color w:val="000000"/>
                <w:sz w:val="18"/>
                <w:szCs w:val="18"/>
                <w:lang w:eastAsia="en-GB"/>
              </w:rPr>
              <w:t>bezbjednosti</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3,31</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2,30</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-1,01</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0,57</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13 025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administrativnog</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prostora</w:t>
            </w:r>
            <w:proofErr w:type="spellEnd"/>
            <w:r w:rsidRPr="00F81ED0">
              <w:rPr>
                <w:rFonts w:ascii="Calibri" w:eastAsia="Times New Roman" w:hAnsi="Calibri" w:cs="Calibri"/>
                <w:color w:val="000000"/>
                <w:sz w:val="18"/>
                <w:szCs w:val="18"/>
                <w:lang w:eastAsia="en-GB"/>
              </w:rPr>
              <w:t xml:space="preserve"> za </w:t>
            </w:r>
            <w:proofErr w:type="spellStart"/>
            <w:r w:rsidRPr="00F81ED0">
              <w:rPr>
                <w:rFonts w:ascii="Calibri" w:eastAsia="Times New Roman" w:hAnsi="Calibri" w:cs="Calibri"/>
                <w:color w:val="000000"/>
                <w:sz w:val="18"/>
                <w:szCs w:val="18"/>
                <w:lang w:eastAsia="en-GB"/>
              </w:rPr>
              <w:t>potrebe</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odbrane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1,36</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0,21</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-1,15</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15 019 K01 - Unapređenje </w:t>
            </w:r>
            <w:proofErr w:type="spellStart"/>
            <w:r w:rsidRPr="00F81ED0">
              <w:rPr>
                <w:rFonts w:ascii="Calibri" w:eastAsia="Times New Roman" w:hAnsi="Calibri" w:cs="Calibri"/>
                <w:color w:val="000000"/>
                <w:sz w:val="18"/>
                <w:szCs w:val="18"/>
                <w:lang w:eastAsia="en-GB"/>
              </w:rPr>
              <w:t>turističke</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ponude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16,90</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11,36</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-5,54</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1,63</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15 030 K01 - </w:t>
            </w:r>
            <w:proofErr w:type="spellStart"/>
            <w:r w:rsidRPr="00F81ED0">
              <w:rPr>
                <w:rFonts w:ascii="Calibri" w:eastAsia="Times New Roman" w:hAnsi="Calibri" w:cs="Calibri"/>
                <w:color w:val="000000"/>
                <w:sz w:val="18"/>
                <w:szCs w:val="18"/>
                <w:lang w:eastAsia="en-GB"/>
              </w:rPr>
              <w:t>Razvojni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Prijestonice</w:t>
            </w:r>
            <w:proofErr w:type="spellEnd"/>
            <w:r w:rsidRPr="00F81ED0">
              <w:rPr>
                <w:rFonts w:ascii="Calibri" w:eastAsia="Times New Roman" w:hAnsi="Calibri" w:cs="Calibri"/>
                <w:color w:val="000000"/>
                <w:sz w:val="18"/>
                <w:szCs w:val="18"/>
                <w:lang w:eastAsia="en-GB"/>
              </w:rPr>
              <w:t xml:space="preserve"> Cetinje</w:t>
            </w:r>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9,15</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7,96</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-1,19</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2,71</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17 019 K01 - </w:t>
            </w:r>
            <w:proofErr w:type="spellStart"/>
            <w:r w:rsidRPr="00F81ED0">
              <w:rPr>
                <w:rFonts w:ascii="Calibri" w:eastAsia="Times New Roman" w:hAnsi="Calibri" w:cs="Calibri"/>
                <w:color w:val="000000"/>
                <w:sz w:val="18"/>
                <w:szCs w:val="18"/>
                <w:lang w:eastAsia="en-GB"/>
              </w:rPr>
              <w:t>Državna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komisija</w:t>
            </w:r>
            <w:proofErr w:type="spellEnd"/>
            <w:r w:rsidRPr="00F81ED0">
              <w:rPr>
                <w:rFonts w:ascii="Calibri" w:eastAsia="Times New Roman" w:hAnsi="Calibri" w:cs="Calibri"/>
                <w:color w:val="000000"/>
                <w:sz w:val="18"/>
                <w:szCs w:val="18"/>
                <w:lang w:eastAsia="en-GB"/>
              </w:rPr>
              <w:t xml:space="preserve"> za </w:t>
            </w:r>
            <w:proofErr w:type="spellStart"/>
            <w:r w:rsidRPr="00F81ED0">
              <w:rPr>
                <w:rFonts w:ascii="Calibri" w:eastAsia="Times New Roman" w:hAnsi="Calibri" w:cs="Calibri"/>
                <w:color w:val="000000"/>
                <w:sz w:val="18"/>
                <w:szCs w:val="18"/>
                <w:lang w:eastAsia="en-GB"/>
              </w:rPr>
              <w:t>tehnički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pregled</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autoputa</w:t>
            </w:r>
            <w:proofErr w:type="spellEnd"/>
            <w:r w:rsidRPr="00F81ED0">
              <w:rPr>
                <w:rFonts w:ascii="Calibri" w:eastAsia="Times New Roman" w:hAnsi="Calibri" w:cs="Calibri"/>
                <w:color w:val="000000"/>
                <w:sz w:val="18"/>
                <w:szCs w:val="18"/>
                <w:lang w:eastAsia="en-GB"/>
              </w:rPr>
              <w:t xml:space="preserve"> Bar-</w:t>
            </w:r>
            <w:proofErr w:type="spellStart"/>
            <w:r w:rsidRPr="00F81ED0">
              <w:rPr>
                <w:rFonts w:ascii="Calibri" w:eastAsia="Times New Roman" w:hAnsi="Calibri" w:cs="Calibri"/>
                <w:color w:val="000000"/>
                <w:sz w:val="18"/>
                <w:szCs w:val="18"/>
                <w:lang w:eastAsia="en-GB"/>
              </w:rPr>
              <w:t>Boljare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0,81</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0,80</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-0,01</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0,32</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17 019 K02 -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koji</w:t>
            </w:r>
            <w:proofErr w:type="spellEnd"/>
            <w:r w:rsidRPr="00F81ED0">
              <w:rPr>
                <w:rFonts w:ascii="Calibri" w:eastAsia="Times New Roman" w:hAnsi="Calibri" w:cs="Calibri"/>
                <w:color w:val="000000"/>
                <w:sz w:val="18"/>
                <w:szCs w:val="18"/>
                <w:lang w:eastAsia="en-GB"/>
              </w:rPr>
              <w:t xml:space="preserve"> se </w:t>
            </w:r>
            <w:proofErr w:type="spellStart"/>
            <w:r w:rsidRPr="00F81ED0">
              <w:rPr>
                <w:rFonts w:ascii="Calibri" w:eastAsia="Times New Roman" w:hAnsi="Calibri" w:cs="Calibri"/>
                <w:color w:val="000000"/>
                <w:sz w:val="18"/>
                <w:szCs w:val="18"/>
                <w:lang w:eastAsia="en-GB"/>
              </w:rPr>
              <w:t>finansiraju</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iz</w:t>
            </w:r>
            <w:proofErr w:type="spellEnd"/>
            <w:r w:rsidRPr="00F81ED0">
              <w:rPr>
                <w:rFonts w:ascii="Calibri" w:eastAsia="Times New Roman" w:hAnsi="Calibri" w:cs="Calibri"/>
                <w:color w:val="000000"/>
                <w:sz w:val="18"/>
                <w:szCs w:val="18"/>
                <w:lang w:eastAsia="en-GB"/>
              </w:rPr>
              <w:t xml:space="preserve"> IPA </w:t>
            </w:r>
            <w:proofErr w:type="spellStart"/>
            <w:r w:rsidRPr="00F81ED0">
              <w:rPr>
                <w:rFonts w:ascii="Calibri" w:eastAsia="Times New Roman" w:hAnsi="Calibri" w:cs="Calibri"/>
                <w:color w:val="000000"/>
                <w:sz w:val="18"/>
                <w:szCs w:val="18"/>
                <w:lang w:eastAsia="en-GB"/>
              </w:rPr>
              <w:t>fondova</w:t>
            </w:r>
            <w:proofErr w:type="spellEnd"/>
            <w:r w:rsidRPr="00F81ED0">
              <w:rPr>
                <w:rFonts w:ascii="Calibri" w:eastAsia="Times New Roman" w:hAnsi="Calibri" w:cs="Calibri"/>
                <w:color w:val="000000"/>
                <w:sz w:val="18"/>
                <w:szCs w:val="18"/>
                <w:lang w:eastAsia="en-GB"/>
              </w:rPr>
              <w:t xml:space="preserve"> - </w:t>
            </w:r>
            <w:proofErr w:type="spellStart"/>
            <w:r w:rsidRPr="00F81ED0">
              <w:rPr>
                <w:rFonts w:ascii="Calibri" w:eastAsia="Times New Roman" w:hAnsi="Calibri" w:cs="Calibri"/>
                <w:color w:val="000000"/>
                <w:sz w:val="18"/>
                <w:szCs w:val="18"/>
                <w:lang w:eastAsia="en-GB"/>
              </w:rPr>
              <w:t>sektor</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Saobraćaj</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1,57</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3,89</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2,32</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0,96</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17 020 K01 -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regionalnih</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magistralnih</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puteva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64,25</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72,35</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8,1</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23,61</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17 020 K02 - </w:t>
            </w:r>
            <w:proofErr w:type="spellStart"/>
            <w:r w:rsidRPr="00F81ED0">
              <w:rPr>
                <w:rFonts w:ascii="Calibri" w:eastAsia="Times New Roman" w:hAnsi="Calibri" w:cs="Calibri"/>
                <w:color w:val="000000"/>
                <w:sz w:val="18"/>
                <w:szCs w:val="18"/>
                <w:lang w:eastAsia="en-GB"/>
              </w:rPr>
              <w:t>Rješavanje</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uskih</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grla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na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saobraćajnoj</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mreži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Crne</w:t>
            </w:r>
            <w:proofErr w:type="spellEnd"/>
            <w:r w:rsidRPr="00F81ED0">
              <w:rPr>
                <w:rFonts w:ascii="Calibri" w:eastAsia="Times New Roman" w:hAnsi="Calibri" w:cs="Calibri"/>
                <w:color w:val="000000"/>
                <w:sz w:val="18"/>
                <w:szCs w:val="18"/>
                <w:lang w:eastAsia="en-GB"/>
              </w:rPr>
              <w:t xml:space="preserve"> Gore</w:t>
            </w:r>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6,25</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4,10</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-2,15</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2,70</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17 020 K03 -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autoputeva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70,09</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68,06</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-2,03</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2,49</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17 020 K04 -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lokalne</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infrastrukture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26,02</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15,85</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-10,17</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6,49</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17 020 K05 - </w:t>
            </w:r>
            <w:proofErr w:type="spellStart"/>
            <w:r w:rsidRPr="00F81ED0">
              <w:rPr>
                <w:rFonts w:ascii="Calibri" w:eastAsia="Times New Roman" w:hAnsi="Calibri" w:cs="Calibri"/>
                <w:color w:val="000000"/>
                <w:sz w:val="18"/>
                <w:szCs w:val="18"/>
                <w:lang w:eastAsia="en-GB"/>
              </w:rPr>
              <w:t>Sanacija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mostova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klizišta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kosina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na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magistralnim</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regionalnim</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putevima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1,62</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0,85</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-0,77</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0,08</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18 003 K01 -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očuvanja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životne</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sredine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7,38</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0,43</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-6,95</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0,13</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18 003 K02 -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koji</w:t>
            </w:r>
            <w:proofErr w:type="spellEnd"/>
            <w:r w:rsidRPr="00F81ED0">
              <w:rPr>
                <w:rFonts w:ascii="Calibri" w:eastAsia="Times New Roman" w:hAnsi="Calibri" w:cs="Calibri"/>
                <w:color w:val="000000"/>
                <w:sz w:val="18"/>
                <w:szCs w:val="18"/>
                <w:lang w:eastAsia="en-GB"/>
              </w:rPr>
              <w:t xml:space="preserve"> se </w:t>
            </w:r>
            <w:proofErr w:type="spellStart"/>
            <w:r w:rsidRPr="00F81ED0">
              <w:rPr>
                <w:rFonts w:ascii="Calibri" w:eastAsia="Times New Roman" w:hAnsi="Calibri" w:cs="Calibri"/>
                <w:color w:val="000000"/>
                <w:sz w:val="18"/>
                <w:szCs w:val="18"/>
                <w:lang w:eastAsia="en-GB"/>
              </w:rPr>
              <w:t>finansiraju</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iz</w:t>
            </w:r>
            <w:proofErr w:type="spellEnd"/>
            <w:r w:rsidRPr="00F81ED0">
              <w:rPr>
                <w:rFonts w:ascii="Calibri" w:eastAsia="Times New Roman" w:hAnsi="Calibri" w:cs="Calibri"/>
                <w:color w:val="000000"/>
                <w:sz w:val="18"/>
                <w:szCs w:val="18"/>
                <w:lang w:eastAsia="en-GB"/>
              </w:rPr>
              <w:t xml:space="preserve"> IPA </w:t>
            </w:r>
            <w:proofErr w:type="spellStart"/>
            <w:r w:rsidRPr="00F81ED0">
              <w:rPr>
                <w:rFonts w:ascii="Calibri" w:eastAsia="Times New Roman" w:hAnsi="Calibri" w:cs="Calibri"/>
                <w:color w:val="000000"/>
                <w:sz w:val="18"/>
                <w:szCs w:val="18"/>
                <w:lang w:eastAsia="en-GB"/>
              </w:rPr>
              <w:t>fondova</w:t>
            </w:r>
            <w:proofErr w:type="spellEnd"/>
            <w:r w:rsidRPr="00F81ED0">
              <w:rPr>
                <w:rFonts w:ascii="Calibri" w:eastAsia="Times New Roman" w:hAnsi="Calibri" w:cs="Calibri"/>
                <w:color w:val="000000"/>
                <w:sz w:val="18"/>
                <w:szCs w:val="18"/>
                <w:lang w:eastAsia="en-GB"/>
              </w:rPr>
              <w:t xml:space="preserve"> - </w:t>
            </w:r>
            <w:proofErr w:type="spellStart"/>
            <w:r w:rsidRPr="00F81ED0">
              <w:rPr>
                <w:rFonts w:ascii="Calibri" w:eastAsia="Times New Roman" w:hAnsi="Calibri" w:cs="Calibri"/>
                <w:color w:val="000000"/>
                <w:sz w:val="18"/>
                <w:szCs w:val="18"/>
                <w:lang w:eastAsia="en-GB"/>
              </w:rPr>
              <w:t>sektor</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Održivi</w:t>
            </w:r>
            <w:proofErr w:type="spellEnd"/>
            <w:r w:rsidRPr="00F81ED0">
              <w:rPr>
                <w:rFonts w:ascii="Calibri" w:eastAsia="Times New Roman" w:hAnsi="Calibri" w:cs="Calibri"/>
                <w:color w:val="000000"/>
                <w:sz w:val="18"/>
                <w:szCs w:val="18"/>
                <w:lang w:eastAsia="en-GB"/>
              </w:rPr>
              <w:t xml:space="preserve"> razvoj</w:t>
            </w:r>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2,45</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2,84</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0,39</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19 032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objekata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obrazovanja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nauke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16,33</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8,11</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-8,22</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2,19</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19 032 K02 -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sportskih</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objekata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2,70</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0,30</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-2,4</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0,02</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19 032 K03 -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koji</w:t>
            </w:r>
            <w:proofErr w:type="spellEnd"/>
            <w:r w:rsidRPr="00F81ED0">
              <w:rPr>
                <w:rFonts w:ascii="Calibri" w:eastAsia="Times New Roman" w:hAnsi="Calibri" w:cs="Calibri"/>
                <w:color w:val="000000"/>
                <w:sz w:val="18"/>
                <w:szCs w:val="18"/>
                <w:lang w:eastAsia="en-GB"/>
              </w:rPr>
              <w:t xml:space="preserve"> se </w:t>
            </w:r>
            <w:proofErr w:type="spellStart"/>
            <w:r w:rsidRPr="00F81ED0">
              <w:rPr>
                <w:rFonts w:ascii="Calibri" w:eastAsia="Times New Roman" w:hAnsi="Calibri" w:cs="Calibri"/>
                <w:color w:val="000000"/>
                <w:sz w:val="18"/>
                <w:szCs w:val="18"/>
                <w:lang w:eastAsia="en-GB"/>
              </w:rPr>
              <w:t>finansiraju</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iz</w:t>
            </w:r>
            <w:proofErr w:type="spellEnd"/>
            <w:r w:rsidRPr="00F81ED0">
              <w:rPr>
                <w:rFonts w:ascii="Calibri" w:eastAsia="Times New Roman" w:hAnsi="Calibri" w:cs="Calibri"/>
                <w:color w:val="000000"/>
                <w:sz w:val="18"/>
                <w:szCs w:val="18"/>
                <w:lang w:eastAsia="en-GB"/>
              </w:rPr>
              <w:t xml:space="preserve"> IPA </w:t>
            </w:r>
            <w:proofErr w:type="spellStart"/>
            <w:r w:rsidRPr="00F81ED0">
              <w:rPr>
                <w:rFonts w:ascii="Calibri" w:eastAsia="Times New Roman" w:hAnsi="Calibri" w:cs="Calibri"/>
                <w:color w:val="000000"/>
                <w:sz w:val="18"/>
                <w:szCs w:val="18"/>
                <w:lang w:eastAsia="en-GB"/>
              </w:rPr>
              <w:t>fondova</w:t>
            </w:r>
            <w:proofErr w:type="spellEnd"/>
            <w:r w:rsidRPr="00F81ED0">
              <w:rPr>
                <w:rFonts w:ascii="Calibri" w:eastAsia="Times New Roman" w:hAnsi="Calibri" w:cs="Calibri"/>
                <w:color w:val="000000"/>
                <w:sz w:val="18"/>
                <w:szCs w:val="18"/>
                <w:lang w:eastAsia="en-GB"/>
              </w:rPr>
              <w:t xml:space="preserve"> - </w:t>
            </w:r>
            <w:proofErr w:type="spellStart"/>
            <w:r w:rsidRPr="00F81ED0">
              <w:rPr>
                <w:rFonts w:ascii="Calibri" w:eastAsia="Times New Roman" w:hAnsi="Calibri" w:cs="Calibri"/>
                <w:color w:val="000000"/>
                <w:sz w:val="18"/>
                <w:szCs w:val="18"/>
                <w:lang w:eastAsia="en-GB"/>
              </w:rPr>
              <w:t>sektor</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Obrazovanje</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nauka</w:t>
            </w:r>
            <w:proofErr w:type="spellEnd"/>
            <w:r w:rsidRPr="00F81ED0">
              <w:rPr>
                <w:rFonts w:ascii="Calibri" w:eastAsia="Times New Roman" w:hAnsi="Calibri" w:cs="Calibri"/>
                <w:color w:val="000000"/>
                <w:sz w:val="18"/>
                <w:szCs w:val="18"/>
                <w:lang w:eastAsia="en-GB"/>
              </w:rPr>
              <w:t xml:space="preserve">, sport i </w:t>
            </w:r>
            <w:proofErr w:type="spellStart"/>
            <w:r w:rsidRPr="00F81ED0">
              <w:rPr>
                <w:rFonts w:ascii="Calibri" w:eastAsia="Times New Roman" w:hAnsi="Calibri" w:cs="Calibri"/>
                <w:color w:val="000000"/>
                <w:sz w:val="18"/>
                <w:szCs w:val="18"/>
                <w:lang w:eastAsia="en-GB"/>
              </w:rPr>
              <w:t>mladi</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0,26</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0,28</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0,02</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0,20</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20 021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adaptacija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objekata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kulture</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2,39</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0,07</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-2,32</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21 011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objekata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zdravstva</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5,70</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1,29</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-4,41</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0,63</w:t>
            </w:r>
          </w:p>
        </w:tc>
      </w:tr>
      <w:tr w:rsidR="000A0CA3" w:rsidRPr="00F81ED0" w:rsidTr="000A0CA3">
        <w:trPr>
          <w:trHeight w:val="300"/>
          <w:jc w:val="center"/>
        </w:trPr>
        <w:tc>
          <w:tcPr>
            <w:tcW w:w="4961"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21 011 K02 - </w:t>
            </w:r>
            <w:proofErr w:type="spellStart"/>
            <w:r w:rsidRPr="00F81ED0">
              <w:rPr>
                <w:rFonts w:ascii="Calibri" w:eastAsia="Times New Roman" w:hAnsi="Calibri" w:cs="Calibri"/>
                <w:color w:val="000000"/>
                <w:sz w:val="18"/>
                <w:szCs w:val="18"/>
                <w:lang w:eastAsia="en-GB"/>
              </w:rPr>
              <w:t>Projekti</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koji</w:t>
            </w:r>
            <w:proofErr w:type="spellEnd"/>
            <w:r w:rsidRPr="00F81ED0">
              <w:rPr>
                <w:rFonts w:ascii="Calibri" w:eastAsia="Times New Roman" w:hAnsi="Calibri" w:cs="Calibri"/>
                <w:color w:val="000000"/>
                <w:sz w:val="18"/>
                <w:szCs w:val="18"/>
                <w:lang w:eastAsia="en-GB"/>
              </w:rPr>
              <w:t xml:space="preserve"> se </w:t>
            </w:r>
            <w:proofErr w:type="spellStart"/>
            <w:r w:rsidRPr="00F81ED0">
              <w:rPr>
                <w:rFonts w:ascii="Calibri" w:eastAsia="Times New Roman" w:hAnsi="Calibri" w:cs="Calibri"/>
                <w:color w:val="000000"/>
                <w:sz w:val="18"/>
                <w:szCs w:val="18"/>
                <w:lang w:eastAsia="en-GB"/>
              </w:rPr>
              <w:t>finansiraju</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iz</w:t>
            </w:r>
            <w:proofErr w:type="spellEnd"/>
            <w:r w:rsidRPr="00F81ED0">
              <w:rPr>
                <w:rFonts w:ascii="Calibri" w:eastAsia="Times New Roman" w:hAnsi="Calibri" w:cs="Calibri"/>
                <w:color w:val="000000"/>
                <w:sz w:val="18"/>
                <w:szCs w:val="18"/>
                <w:lang w:eastAsia="en-GB"/>
              </w:rPr>
              <w:t xml:space="preserve"> IPA </w:t>
            </w:r>
            <w:proofErr w:type="spellStart"/>
            <w:r w:rsidRPr="00F81ED0">
              <w:rPr>
                <w:rFonts w:ascii="Calibri" w:eastAsia="Times New Roman" w:hAnsi="Calibri" w:cs="Calibri"/>
                <w:color w:val="000000"/>
                <w:sz w:val="18"/>
                <w:szCs w:val="18"/>
                <w:lang w:eastAsia="en-GB"/>
              </w:rPr>
              <w:t>fondova</w:t>
            </w:r>
            <w:proofErr w:type="spellEnd"/>
            <w:r w:rsidRPr="00F81ED0">
              <w:rPr>
                <w:rFonts w:ascii="Calibri" w:eastAsia="Times New Roman" w:hAnsi="Calibri" w:cs="Calibri"/>
                <w:color w:val="000000"/>
                <w:sz w:val="18"/>
                <w:szCs w:val="18"/>
                <w:lang w:eastAsia="en-GB"/>
              </w:rPr>
              <w:t xml:space="preserve"> - </w:t>
            </w:r>
            <w:proofErr w:type="spellStart"/>
            <w:r w:rsidRPr="00F81ED0">
              <w:rPr>
                <w:rFonts w:ascii="Calibri" w:eastAsia="Times New Roman" w:hAnsi="Calibri" w:cs="Calibri"/>
                <w:color w:val="000000"/>
                <w:sz w:val="18"/>
                <w:szCs w:val="18"/>
                <w:lang w:eastAsia="en-GB"/>
              </w:rPr>
              <w:t>sektor</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Zdravstvo</w:t>
            </w:r>
            <w:proofErr w:type="spellEnd"/>
          </w:p>
        </w:tc>
        <w:tc>
          <w:tcPr>
            <w:tcW w:w="1112"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0,41</w:t>
            </w:r>
          </w:p>
        </w:tc>
        <w:tc>
          <w:tcPr>
            <w:tcW w:w="1275" w:type="dxa"/>
            <w:tcBorders>
              <w:top w:val="single" w:sz="2" w:space="0" w:color="808080" w:themeColor="background1" w:themeShade="80"/>
              <w:left w:val="nil"/>
              <w:bottom w:val="single" w:sz="2" w:space="0" w:color="808080" w:themeColor="background1" w:themeShade="80"/>
              <w:right w:val="nil"/>
            </w:tcBorders>
            <w:shd w:val="clear" w:color="auto" w:fill="auto"/>
            <w:noWrap/>
            <w:vAlign w:val="bottom"/>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0,22</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-0,19</w:t>
            </w:r>
          </w:p>
        </w:tc>
        <w:tc>
          <w:tcPr>
            <w:tcW w:w="1276" w:type="dxa"/>
            <w:tcBorders>
              <w:top w:val="single" w:sz="2" w:space="0" w:color="808080" w:themeColor="background1" w:themeShade="80"/>
              <w:left w:val="nil"/>
              <w:bottom w:val="single" w:sz="2"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w:t>
            </w:r>
          </w:p>
        </w:tc>
      </w:tr>
      <w:tr w:rsidR="000A0CA3" w:rsidRPr="00F81ED0" w:rsidTr="000A0CA3">
        <w:trPr>
          <w:trHeight w:val="300"/>
          <w:jc w:val="center"/>
        </w:trPr>
        <w:tc>
          <w:tcPr>
            <w:tcW w:w="4961" w:type="dxa"/>
            <w:tcBorders>
              <w:top w:val="single" w:sz="2" w:space="0" w:color="808080" w:themeColor="background1" w:themeShade="80"/>
              <w:left w:val="nil"/>
              <w:bottom w:val="single" w:sz="18"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rPr>
                <w:rFonts w:ascii="Calibri" w:eastAsia="Times New Roman" w:hAnsi="Calibri" w:cs="Calibri"/>
                <w:color w:val="000000"/>
                <w:sz w:val="18"/>
                <w:szCs w:val="18"/>
                <w:lang w:eastAsia="en-GB"/>
              </w:rPr>
            </w:pPr>
            <w:r w:rsidRPr="00F81ED0">
              <w:rPr>
                <w:rFonts w:ascii="Calibri" w:eastAsia="Times New Roman" w:hAnsi="Calibri" w:cs="Calibri"/>
                <w:color w:val="000000"/>
                <w:sz w:val="18"/>
                <w:szCs w:val="18"/>
                <w:lang w:eastAsia="en-GB"/>
              </w:rPr>
              <w:t xml:space="preserve">22 025 K01 - </w:t>
            </w:r>
            <w:proofErr w:type="spellStart"/>
            <w:r w:rsidRPr="00F81ED0">
              <w:rPr>
                <w:rFonts w:ascii="Calibri" w:eastAsia="Times New Roman" w:hAnsi="Calibri" w:cs="Calibri"/>
                <w:color w:val="000000"/>
                <w:sz w:val="18"/>
                <w:szCs w:val="18"/>
                <w:lang w:eastAsia="en-GB"/>
              </w:rPr>
              <w:t>Izgradnja</w:t>
            </w:r>
            <w:proofErr w:type="spellEnd"/>
            <w:r w:rsidRPr="00F81ED0">
              <w:rPr>
                <w:rFonts w:ascii="Calibri" w:eastAsia="Times New Roman" w:hAnsi="Calibri" w:cs="Calibri"/>
                <w:color w:val="000000"/>
                <w:sz w:val="18"/>
                <w:szCs w:val="18"/>
                <w:lang w:eastAsia="en-GB"/>
              </w:rPr>
              <w:t xml:space="preserve"> i </w:t>
            </w:r>
            <w:proofErr w:type="spellStart"/>
            <w:r w:rsidRPr="00F81ED0">
              <w:rPr>
                <w:rFonts w:ascii="Calibri" w:eastAsia="Times New Roman" w:hAnsi="Calibri" w:cs="Calibri"/>
                <w:color w:val="000000"/>
                <w:sz w:val="18"/>
                <w:szCs w:val="18"/>
                <w:lang w:eastAsia="en-GB"/>
              </w:rPr>
              <w:t>rekonstrukcija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objekata</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socijalnog</w:t>
            </w:r>
            <w:proofErr w:type="spellEnd"/>
            <w:r w:rsidRPr="00F81ED0">
              <w:rPr>
                <w:rFonts w:ascii="Calibri" w:eastAsia="Times New Roman" w:hAnsi="Calibri" w:cs="Calibri"/>
                <w:color w:val="000000"/>
                <w:sz w:val="18"/>
                <w:szCs w:val="18"/>
                <w:lang w:eastAsia="en-GB"/>
              </w:rPr>
              <w:t xml:space="preserve"> </w:t>
            </w:r>
            <w:proofErr w:type="spellStart"/>
            <w:r w:rsidRPr="00F81ED0">
              <w:rPr>
                <w:rFonts w:ascii="Calibri" w:eastAsia="Times New Roman" w:hAnsi="Calibri" w:cs="Calibri"/>
                <w:color w:val="000000"/>
                <w:sz w:val="18"/>
                <w:szCs w:val="18"/>
                <w:lang w:eastAsia="en-GB"/>
              </w:rPr>
              <w:t>staranja</w:t>
            </w:r>
            <w:proofErr w:type="spellEnd"/>
          </w:p>
        </w:tc>
        <w:tc>
          <w:tcPr>
            <w:tcW w:w="1112" w:type="dxa"/>
            <w:tcBorders>
              <w:top w:val="single" w:sz="2" w:space="0" w:color="808080" w:themeColor="background1" w:themeShade="80"/>
              <w:left w:val="nil"/>
              <w:bottom w:val="single" w:sz="18"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1,25</w:t>
            </w:r>
          </w:p>
        </w:tc>
        <w:tc>
          <w:tcPr>
            <w:tcW w:w="1275" w:type="dxa"/>
            <w:tcBorders>
              <w:top w:val="single" w:sz="2" w:space="0" w:color="808080" w:themeColor="background1" w:themeShade="80"/>
              <w:left w:val="nil"/>
              <w:bottom w:val="single" w:sz="18" w:space="0" w:color="808080" w:themeColor="background1" w:themeShade="80"/>
              <w:right w:val="nil"/>
            </w:tcBorders>
            <w:shd w:val="clear" w:color="auto" w:fill="auto"/>
            <w:noWrap/>
            <w:vAlign w:val="bottom"/>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0,26</w:t>
            </w:r>
          </w:p>
        </w:tc>
        <w:tc>
          <w:tcPr>
            <w:tcW w:w="1276" w:type="dxa"/>
            <w:tcBorders>
              <w:top w:val="single" w:sz="2" w:space="0" w:color="808080" w:themeColor="background1" w:themeShade="80"/>
              <w:left w:val="nil"/>
              <w:bottom w:val="single" w:sz="18"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-0,99</w:t>
            </w:r>
          </w:p>
        </w:tc>
        <w:tc>
          <w:tcPr>
            <w:tcW w:w="1276" w:type="dxa"/>
            <w:tcBorders>
              <w:top w:val="single" w:sz="2" w:space="0" w:color="808080" w:themeColor="background1" w:themeShade="80"/>
              <w:left w:val="nil"/>
              <w:bottom w:val="single" w:sz="18" w:space="0" w:color="808080" w:themeColor="background1" w:themeShade="80"/>
              <w:right w:val="nil"/>
            </w:tcBorders>
            <w:shd w:val="clear" w:color="auto" w:fill="auto"/>
            <w:noWrap/>
            <w:vAlign w:val="center"/>
            <w:hideMark/>
          </w:tcPr>
          <w:p w:rsidR="000A0CA3" w:rsidRPr="00F81ED0" w:rsidRDefault="000A0CA3" w:rsidP="000A0CA3">
            <w:pPr>
              <w:spacing w:before="60" w:after="60" w:line="240" w:lineRule="auto"/>
              <w:jc w:val="center"/>
              <w:rPr>
                <w:rFonts w:ascii="Calibri" w:eastAsia="Times New Roman" w:hAnsi="Calibri" w:cs="Calibri"/>
                <w:color w:val="000000"/>
                <w:sz w:val="18"/>
                <w:szCs w:val="18"/>
                <w:lang w:eastAsia="en-GB"/>
              </w:rPr>
            </w:pPr>
            <w:r>
              <w:rPr>
                <w:rFonts w:ascii="Calibri" w:hAnsi="Calibri" w:cs="Calibri"/>
                <w:color w:val="000000"/>
                <w:sz w:val="18"/>
                <w:szCs w:val="18"/>
              </w:rPr>
              <w:t>-</w:t>
            </w:r>
          </w:p>
        </w:tc>
      </w:tr>
      <w:tr w:rsidR="000A0CA3" w:rsidRPr="00F81ED0" w:rsidTr="00F81ED0">
        <w:trPr>
          <w:trHeight w:val="300"/>
          <w:jc w:val="center"/>
        </w:trPr>
        <w:tc>
          <w:tcPr>
            <w:tcW w:w="4961" w:type="dxa"/>
            <w:tcBorders>
              <w:top w:val="single" w:sz="18" w:space="0" w:color="808080" w:themeColor="background1" w:themeShade="80"/>
              <w:left w:val="single" w:sz="18" w:space="0" w:color="808080" w:themeColor="background1" w:themeShade="80"/>
              <w:bottom w:val="single" w:sz="18" w:space="0" w:color="808080" w:themeColor="background1" w:themeShade="80"/>
              <w:right w:val="nil"/>
            </w:tcBorders>
            <w:shd w:val="clear" w:color="DDEBF7" w:fill="DDEBF7"/>
            <w:noWrap/>
            <w:vAlign w:val="center"/>
            <w:hideMark/>
          </w:tcPr>
          <w:p w:rsidR="000A0CA3" w:rsidRPr="00F81ED0" w:rsidRDefault="000A0CA3" w:rsidP="000A0CA3">
            <w:pPr>
              <w:spacing w:before="60" w:after="60" w:line="240" w:lineRule="auto"/>
              <w:rPr>
                <w:rFonts w:ascii="Calibri" w:eastAsia="Times New Roman" w:hAnsi="Calibri" w:cs="Calibri"/>
                <w:b/>
                <w:bCs/>
                <w:color w:val="000000"/>
                <w:sz w:val="18"/>
                <w:szCs w:val="18"/>
                <w:lang w:eastAsia="en-GB"/>
              </w:rPr>
            </w:pPr>
            <w:r w:rsidRPr="00F81ED0">
              <w:rPr>
                <w:rFonts w:ascii="Calibri" w:eastAsia="Times New Roman" w:hAnsi="Calibri" w:cs="Calibri"/>
                <w:b/>
                <w:bCs/>
                <w:color w:val="000000"/>
                <w:sz w:val="18"/>
                <w:szCs w:val="18"/>
                <w:lang w:eastAsia="en-GB"/>
              </w:rPr>
              <w:t>UKUPNO</w:t>
            </w:r>
          </w:p>
        </w:tc>
        <w:tc>
          <w:tcPr>
            <w:tcW w:w="1112" w:type="dxa"/>
            <w:tcBorders>
              <w:top w:val="single" w:sz="18" w:space="0" w:color="808080" w:themeColor="background1" w:themeShade="80"/>
              <w:left w:val="nil"/>
              <w:bottom w:val="single" w:sz="18" w:space="0" w:color="808080" w:themeColor="background1" w:themeShade="80"/>
              <w:right w:val="nil"/>
            </w:tcBorders>
            <w:shd w:val="clear" w:color="DDEBF7" w:fill="DDEBF7"/>
            <w:noWrap/>
            <w:vAlign w:val="center"/>
            <w:hideMark/>
          </w:tcPr>
          <w:p w:rsidR="000A0CA3" w:rsidRPr="00F81ED0" w:rsidRDefault="000A0CA3" w:rsidP="000A0CA3">
            <w:pPr>
              <w:spacing w:before="60" w:after="60" w:line="240" w:lineRule="auto"/>
              <w:jc w:val="center"/>
              <w:rPr>
                <w:rFonts w:ascii="Calibri" w:eastAsia="Times New Roman" w:hAnsi="Calibri" w:cs="Calibri"/>
                <w:b/>
                <w:bCs/>
                <w:color w:val="000000"/>
                <w:sz w:val="18"/>
                <w:szCs w:val="18"/>
                <w:lang w:eastAsia="en-GB"/>
              </w:rPr>
            </w:pPr>
            <w:r w:rsidRPr="00F81ED0">
              <w:rPr>
                <w:rFonts w:ascii="Calibri" w:hAnsi="Calibri" w:cs="Calibri"/>
                <w:b/>
                <w:color w:val="000000"/>
                <w:sz w:val="18"/>
                <w:szCs w:val="18"/>
              </w:rPr>
              <w:t>240,64</w:t>
            </w:r>
          </w:p>
        </w:tc>
        <w:tc>
          <w:tcPr>
            <w:tcW w:w="1275" w:type="dxa"/>
            <w:tcBorders>
              <w:top w:val="single" w:sz="18" w:space="0" w:color="808080" w:themeColor="background1" w:themeShade="80"/>
              <w:left w:val="nil"/>
              <w:bottom w:val="single" w:sz="18" w:space="0" w:color="808080" w:themeColor="background1" w:themeShade="80"/>
              <w:right w:val="nil"/>
            </w:tcBorders>
            <w:shd w:val="clear" w:color="DDEBF7" w:fill="DDEBF7"/>
            <w:noWrap/>
            <w:vAlign w:val="center"/>
            <w:hideMark/>
          </w:tcPr>
          <w:p w:rsidR="000A0CA3" w:rsidRPr="00F81ED0" w:rsidRDefault="000A0CA3" w:rsidP="000A0CA3">
            <w:pPr>
              <w:spacing w:before="60" w:after="60" w:line="240" w:lineRule="auto"/>
              <w:jc w:val="center"/>
              <w:rPr>
                <w:rFonts w:ascii="Calibri" w:eastAsia="Times New Roman" w:hAnsi="Calibri" w:cs="Calibri"/>
                <w:b/>
                <w:bCs/>
                <w:color w:val="000000"/>
                <w:sz w:val="18"/>
                <w:szCs w:val="18"/>
                <w:lang w:eastAsia="en-GB"/>
              </w:rPr>
            </w:pPr>
            <w:r w:rsidRPr="00F81ED0">
              <w:rPr>
                <w:rFonts w:ascii="Calibri" w:hAnsi="Calibri" w:cs="Calibri"/>
                <w:b/>
                <w:color w:val="000000"/>
                <w:sz w:val="18"/>
                <w:szCs w:val="18"/>
              </w:rPr>
              <w:t>203,08</w:t>
            </w:r>
          </w:p>
        </w:tc>
        <w:tc>
          <w:tcPr>
            <w:tcW w:w="1276" w:type="dxa"/>
            <w:tcBorders>
              <w:top w:val="single" w:sz="18" w:space="0" w:color="808080" w:themeColor="background1" w:themeShade="80"/>
              <w:left w:val="nil"/>
              <w:bottom w:val="single" w:sz="18" w:space="0" w:color="808080" w:themeColor="background1" w:themeShade="80"/>
              <w:right w:val="nil"/>
            </w:tcBorders>
            <w:shd w:val="clear" w:color="DDEBF7" w:fill="DDEBF7"/>
            <w:noWrap/>
            <w:vAlign w:val="center"/>
            <w:hideMark/>
          </w:tcPr>
          <w:p w:rsidR="000A0CA3" w:rsidRPr="00F81ED0" w:rsidRDefault="000A0CA3" w:rsidP="000A0CA3">
            <w:pPr>
              <w:spacing w:before="60" w:after="60" w:line="240" w:lineRule="auto"/>
              <w:jc w:val="center"/>
              <w:rPr>
                <w:rFonts w:ascii="Calibri" w:eastAsia="Times New Roman" w:hAnsi="Calibri" w:cs="Calibri"/>
                <w:b/>
                <w:bCs/>
                <w:color w:val="000000"/>
                <w:sz w:val="18"/>
                <w:szCs w:val="18"/>
                <w:lang w:eastAsia="en-GB"/>
              </w:rPr>
            </w:pPr>
            <w:r>
              <w:rPr>
                <w:rFonts w:ascii="Calibri" w:hAnsi="Calibri" w:cs="Calibri"/>
                <w:b/>
                <w:bCs/>
                <w:color w:val="000000"/>
                <w:sz w:val="18"/>
                <w:szCs w:val="18"/>
              </w:rPr>
              <w:t>-37,56</w:t>
            </w:r>
          </w:p>
        </w:tc>
        <w:tc>
          <w:tcPr>
            <w:tcW w:w="1276" w:type="dxa"/>
            <w:tcBorders>
              <w:top w:val="single" w:sz="18" w:space="0" w:color="808080" w:themeColor="background1" w:themeShade="80"/>
              <w:left w:val="nil"/>
              <w:bottom w:val="single" w:sz="18" w:space="0" w:color="808080" w:themeColor="background1" w:themeShade="80"/>
              <w:right w:val="single" w:sz="18" w:space="0" w:color="808080" w:themeColor="background1" w:themeShade="80"/>
            </w:tcBorders>
            <w:shd w:val="clear" w:color="DDEBF7" w:fill="DDEBF7"/>
            <w:noWrap/>
            <w:vAlign w:val="center"/>
            <w:hideMark/>
          </w:tcPr>
          <w:p w:rsidR="000A0CA3" w:rsidRPr="00F81ED0" w:rsidRDefault="000A0CA3" w:rsidP="000A0CA3">
            <w:pPr>
              <w:spacing w:before="60" w:after="60" w:line="240" w:lineRule="auto"/>
              <w:jc w:val="center"/>
              <w:rPr>
                <w:rFonts w:ascii="Calibri" w:eastAsia="Times New Roman" w:hAnsi="Calibri" w:cs="Calibri"/>
                <w:b/>
                <w:bCs/>
                <w:color w:val="000000"/>
                <w:sz w:val="18"/>
                <w:szCs w:val="18"/>
                <w:lang w:eastAsia="en-GB"/>
              </w:rPr>
            </w:pPr>
            <w:r w:rsidRPr="00F81ED0">
              <w:rPr>
                <w:rFonts w:ascii="Calibri" w:hAnsi="Calibri" w:cs="Calibri"/>
                <w:b/>
                <w:color w:val="000000"/>
                <w:sz w:val="18"/>
                <w:szCs w:val="18"/>
              </w:rPr>
              <w:t>46,14</w:t>
            </w:r>
          </w:p>
        </w:tc>
      </w:tr>
    </w:tbl>
    <w:p w:rsidR="005B2404" w:rsidRPr="00D70DF5" w:rsidRDefault="005B2404" w:rsidP="005B2404">
      <w:pPr>
        <w:jc w:val="both"/>
        <w:rPr>
          <w:rFonts w:ascii="Garamond" w:hAnsi="Garamond" w:cstheme="minorHAnsi"/>
          <w:sz w:val="24"/>
          <w:szCs w:val="24"/>
          <w:lang w:val="sr-Latn-ME"/>
        </w:rPr>
      </w:pPr>
      <w:r w:rsidRPr="00D70DF5">
        <w:rPr>
          <w:rFonts w:ascii="Garamond" w:hAnsi="Garamond" w:cstheme="minorHAnsi"/>
          <w:b/>
          <w:sz w:val="24"/>
          <w:szCs w:val="24"/>
          <w:lang w:val="sr-Latn-ME"/>
        </w:rPr>
        <w:lastRenderedPageBreak/>
        <w:t xml:space="preserve">Izdaci budžeta u </w:t>
      </w:r>
      <w:r w:rsidR="003C6E87">
        <w:rPr>
          <w:rFonts w:ascii="Garamond" w:hAnsi="Garamond" w:cstheme="minorHAnsi"/>
          <w:b/>
          <w:sz w:val="24"/>
          <w:szCs w:val="24"/>
          <w:lang w:val="sr-Latn-ME"/>
        </w:rPr>
        <w:t>decembru</w:t>
      </w:r>
      <w:r w:rsidRPr="00D70DF5">
        <w:rPr>
          <w:rFonts w:ascii="Garamond" w:hAnsi="Garamond" w:cstheme="minorHAnsi"/>
          <w:b/>
          <w:sz w:val="24"/>
          <w:szCs w:val="24"/>
          <w:lang w:val="sr-Latn-ME"/>
        </w:rPr>
        <w:t xml:space="preserve"> 2022. godine</w:t>
      </w:r>
      <w:r w:rsidRPr="00D70DF5">
        <w:rPr>
          <w:rFonts w:ascii="Garamond" w:hAnsi="Garamond" w:cstheme="minorHAnsi"/>
          <w:sz w:val="24"/>
          <w:szCs w:val="24"/>
          <w:lang w:val="sr-Latn-ME"/>
        </w:rPr>
        <w:t xml:space="preserve"> iznosili su </w:t>
      </w:r>
      <w:r w:rsidR="00F8359B">
        <w:rPr>
          <w:rFonts w:ascii="Garamond" w:hAnsi="Garamond" w:cstheme="minorHAnsi"/>
          <w:sz w:val="24"/>
          <w:szCs w:val="24"/>
          <w:lang w:val="sr-Latn-ME"/>
        </w:rPr>
        <w:t>370</w:t>
      </w:r>
      <w:r w:rsidRPr="00D70DF5">
        <w:rPr>
          <w:rFonts w:ascii="Garamond" w:hAnsi="Garamond" w:cstheme="minorHAnsi"/>
          <w:sz w:val="24"/>
          <w:szCs w:val="24"/>
          <w:lang w:val="sr-Latn-ME"/>
        </w:rPr>
        <w:t>,</w:t>
      </w:r>
      <w:r w:rsidR="00F8359B">
        <w:rPr>
          <w:rFonts w:ascii="Garamond" w:hAnsi="Garamond" w:cstheme="minorHAnsi"/>
          <w:sz w:val="24"/>
          <w:szCs w:val="24"/>
          <w:lang w:val="sr-Latn-ME"/>
        </w:rPr>
        <w:t xml:space="preserve">7 </w:t>
      </w:r>
      <w:r w:rsidRPr="00D70DF5">
        <w:rPr>
          <w:rFonts w:ascii="Garamond" w:hAnsi="Garamond" w:cstheme="minorHAnsi"/>
          <w:sz w:val="24"/>
          <w:szCs w:val="24"/>
          <w:lang w:val="sr-Latn-ME"/>
        </w:rPr>
        <w:t xml:space="preserve">mil € i </w:t>
      </w:r>
      <w:r w:rsidR="00F8359B">
        <w:rPr>
          <w:rFonts w:ascii="Garamond" w:hAnsi="Garamond" w:cstheme="minorHAnsi"/>
          <w:sz w:val="24"/>
          <w:szCs w:val="24"/>
          <w:lang w:val="sr-Latn-ME"/>
        </w:rPr>
        <w:t xml:space="preserve">viši </w:t>
      </w:r>
      <w:r w:rsidRPr="00D70DF5">
        <w:rPr>
          <w:rFonts w:ascii="Garamond" w:hAnsi="Garamond" w:cstheme="minorHAnsi"/>
          <w:sz w:val="24"/>
          <w:szCs w:val="24"/>
          <w:lang w:val="sr-Latn-ME"/>
        </w:rPr>
        <w:t xml:space="preserve">su u odnosu na plan za </w:t>
      </w:r>
      <w:r w:rsidR="00262832">
        <w:rPr>
          <w:rFonts w:ascii="Garamond" w:hAnsi="Garamond" w:cstheme="minorHAnsi"/>
          <w:sz w:val="24"/>
          <w:szCs w:val="24"/>
          <w:lang w:val="sr-Latn-ME"/>
        </w:rPr>
        <w:t>59</w:t>
      </w:r>
      <w:r w:rsidR="00F8359B">
        <w:rPr>
          <w:rFonts w:ascii="Garamond" w:hAnsi="Garamond" w:cstheme="minorHAnsi"/>
          <w:sz w:val="24"/>
          <w:szCs w:val="24"/>
          <w:lang w:val="sr-Latn-ME"/>
        </w:rPr>
        <w:t>.</w:t>
      </w:r>
      <w:r w:rsidR="00262832">
        <w:rPr>
          <w:rFonts w:ascii="Garamond" w:hAnsi="Garamond" w:cstheme="minorHAnsi"/>
          <w:sz w:val="24"/>
          <w:szCs w:val="24"/>
          <w:lang w:val="sr-Latn-ME"/>
        </w:rPr>
        <w:t>2</w:t>
      </w:r>
      <w:r w:rsidRPr="00D70DF5">
        <w:rPr>
          <w:rFonts w:ascii="Garamond" w:hAnsi="Garamond" w:cstheme="minorHAnsi"/>
          <w:sz w:val="24"/>
          <w:szCs w:val="24"/>
          <w:lang w:val="sr-Latn-ME"/>
        </w:rPr>
        <w:t xml:space="preserve"> mil €, odnosno </w:t>
      </w:r>
      <w:r w:rsidR="00F8359B">
        <w:rPr>
          <w:rFonts w:ascii="Garamond" w:hAnsi="Garamond" w:cstheme="minorHAnsi"/>
          <w:sz w:val="24"/>
          <w:szCs w:val="24"/>
          <w:lang w:val="sr-Latn-ME"/>
        </w:rPr>
        <w:t>19</w:t>
      </w:r>
      <w:r w:rsidRPr="00D70DF5">
        <w:rPr>
          <w:rFonts w:ascii="Garamond" w:hAnsi="Garamond" w:cstheme="minorHAnsi"/>
          <w:sz w:val="24"/>
          <w:szCs w:val="24"/>
          <w:lang w:val="sr-Latn-ME"/>
        </w:rPr>
        <w:t xml:space="preserve">%. </w:t>
      </w:r>
      <w:r w:rsidR="00F8359B">
        <w:rPr>
          <w:rFonts w:ascii="Garamond" w:hAnsi="Garamond" w:cstheme="minorHAnsi"/>
          <w:sz w:val="24"/>
          <w:szCs w:val="24"/>
          <w:lang w:val="sr-Latn-ME"/>
        </w:rPr>
        <w:t>Više</w:t>
      </w:r>
      <w:r w:rsidRPr="00D70DF5">
        <w:rPr>
          <w:rFonts w:ascii="Garamond" w:hAnsi="Garamond" w:cstheme="minorHAnsi"/>
          <w:sz w:val="24"/>
          <w:szCs w:val="24"/>
          <w:lang w:val="sr-Latn-ME"/>
        </w:rPr>
        <w:t xml:space="preserve"> izvršenje </w:t>
      </w:r>
      <w:r w:rsidR="00F8359B">
        <w:rPr>
          <w:rFonts w:ascii="Garamond" w:hAnsi="Garamond" w:cstheme="minorHAnsi"/>
          <w:sz w:val="24"/>
          <w:szCs w:val="24"/>
          <w:lang w:val="sr-Latn-ME"/>
        </w:rPr>
        <w:t>u okviru Tekućeg budžeta i budžeta državnih fondova uslovljeno je većim izvršenjem rashoda za usluge, rashoda za tekuće održavanje, subvencija kao i transfera institucijama (dominantno usljed realizacije jednokratne podrške penzionerima i izmirivanja obaveza Fonda zdravstva</w:t>
      </w:r>
      <w:r w:rsidR="002D6A4F">
        <w:rPr>
          <w:rFonts w:ascii="Garamond" w:hAnsi="Garamond" w:cstheme="minorHAnsi"/>
          <w:sz w:val="24"/>
          <w:szCs w:val="24"/>
          <w:lang w:val="sr-Latn-ME"/>
        </w:rPr>
        <w:t>), dok je u okvi</w:t>
      </w:r>
      <w:r w:rsidR="00F8359B">
        <w:rPr>
          <w:rFonts w:ascii="Garamond" w:hAnsi="Garamond" w:cstheme="minorHAnsi"/>
          <w:sz w:val="24"/>
          <w:szCs w:val="24"/>
          <w:lang w:val="sr-Latn-ME"/>
        </w:rPr>
        <w:t>r</w:t>
      </w:r>
      <w:r w:rsidR="002D6A4F">
        <w:rPr>
          <w:rFonts w:ascii="Garamond" w:hAnsi="Garamond" w:cstheme="minorHAnsi"/>
          <w:sz w:val="24"/>
          <w:szCs w:val="24"/>
          <w:lang w:val="sr-Latn-ME"/>
        </w:rPr>
        <w:t>u</w:t>
      </w:r>
      <w:r w:rsidR="00F8359B">
        <w:rPr>
          <w:rFonts w:ascii="Garamond" w:hAnsi="Garamond" w:cstheme="minorHAnsi"/>
          <w:sz w:val="24"/>
          <w:szCs w:val="24"/>
          <w:lang w:val="sr-Latn-ME"/>
        </w:rPr>
        <w:t xml:space="preserve"> Kapitalnog budžeta </w:t>
      </w:r>
      <w:r w:rsidR="00262832">
        <w:rPr>
          <w:rFonts w:ascii="Garamond" w:hAnsi="Garamond" w:cstheme="minorHAnsi"/>
          <w:sz w:val="24"/>
          <w:szCs w:val="24"/>
          <w:lang w:val="sr-Latn-ME"/>
        </w:rPr>
        <w:t>realizacija na višem nivou od plana za 11.9 mil €, odnosno 34.5%.</w:t>
      </w:r>
    </w:p>
    <w:p w:rsidR="00536BB8" w:rsidRPr="00834EF7" w:rsidRDefault="00536BB8" w:rsidP="00536BB8">
      <w:pPr>
        <w:jc w:val="both"/>
        <w:rPr>
          <w:rFonts w:ascii="Garamond" w:hAnsi="Garamond"/>
          <w:sz w:val="24"/>
          <w:szCs w:val="24"/>
          <w:lang w:val="sr-Latn-ME"/>
        </w:rPr>
      </w:pPr>
      <w:r w:rsidRPr="00834EF7">
        <w:rPr>
          <w:rFonts w:ascii="Garamond" w:hAnsi="Garamond"/>
          <w:sz w:val="24"/>
          <w:szCs w:val="24"/>
          <w:lang w:val="sr-Latn-ME"/>
        </w:rPr>
        <w:t xml:space="preserve">Uzimajući u obzir ostvarene prihode i izvršene rashode, u </w:t>
      </w:r>
      <w:r w:rsidR="00D34CD4" w:rsidRPr="00834EF7">
        <w:rPr>
          <w:rFonts w:ascii="Garamond" w:hAnsi="Garamond"/>
          <w:sz w:val="24"/>
          <w:szCs w:val="24"/>
          <w:lang w:val="sr-Latn-ME"/>
        </w:rPr>
        <w:t>decembru</w:t>
      </w:r>
      <w:r w:rsidRPr="00834EF7">
        <w:rPr>
          <w:rFonts w:ascii="Garamond" w:hAnsi="Garamond"/>
          <w:sz w:val="24"/>
          <w:szCs w:val="24"/>
          <w:lang w:val="sr-Latn-ME"/>
        </w:rPr>
        <w:t xml:space="preserve"> mjesecu je ostvaren budžetski deficit od </w:t>
      </w:r>
      <w:r w:rsidR="00D34CD4" w:rsidRPr="00834EF7">
        <w:rPr>
          <w:rFonts w:ascii="Garamond" w:hAnsi="Garamond"/>
          <w:sz w:val="24"/>
          <w:szCs w:val="24"/>
          <w:lang w:val="sr-Latn-ME"/>
        </w:rPr>
        <w:t>152,0</w:t>
      </w:r>
      <w:r w:rsidRPr="00834EF7">
        <w:rPr>
          <w:rFonts w:ascii="Garamond" w:hAnsi="Garamond"/>
          <w:sz w:val="24"/>
          <w:szCs w:val="24"/>
          <w:lang w:val="sr-Latn-ME"/>
        </w:rPr>
        <w:t xml:space="preserve"> mil € odnosno </w:t>
      </w:r>
      <w:r w:rsidR="00D34CD4" w:rsidRPr="00834EF7">
        <w:rPr>
          <w:rFonts w:ascii="Garamond" w:hAnsi="Garamond"/>
          <w:sz w:val="24"/>
          <w:szCs w:val="24"/>
          <w:lang w:val="sr-Latn-ME"/>
        </w:rPr>
        <w:t>2</w:t>
      </w:r>
      <w:r w:rsidRPr="00834EF7">
        <w:rPr>
          <w:rFonts w:ascii="Garamond" w:hAnsi="Garamond"/>
          <w:sz w:val="24"/>
          <w:szCs w:val="24"/>
          <w:lang w:val="sr-Latn-ME"/>
        </w:rPr>
        <w:t xml:space="preserve">,7% BDP-a, što je za </w:t>
      </w:r>
      <w:r w:rsidR="00D34CD4" w:rsidRPr="00834EF7">
        <w:rPr>
          <w:rFonts w:ascii="Garamond" w:hAnsi="Garamond"/>
          <w:sz w:val="24"/>
          <w:szCs w:val="24"/>
          <w:lang w:val="sr-Latn-ME"/>
        </w:rPr>
        <w:t>36,5</w:t>
      </w:r>
      <w:r w:rsidRPr="00834EF7">
        <w:rPr>
          <w:rFonts w:ascii="Garamond" w:hAnsi="Garamond"/>
          <w:sz w:val="24"/>
          <w:szCs w:val="24"/>
          <w:lang w:val="sr-Latn-ME"/>
        </w:rPr>
        <w:t xml:space="preserve"> mil € </w:t>
      </w:r>
      <w:r w:rsidR="00D34CD4" w:rsidRPr="00834EF7">
        <w:rPr>
          <w:rFonts w:ascii="Garamond" w:hAnsi="Garamond"/>
          <w:sz w:val="24"/>
          <w:szCs w:val="24"/>
          <w:lang w:val="sr-Latn-ME"/>
        </w:rPr>
        <w:t>više</w:t>
      </w:r>
      <w:r w:rsidRPr="00834EF7">
        <w:rPr>
          <w:rFonts w:ascii="Garamond" w:hAnsi="Garamond"/>
          <w:sz w:val="24"/>
          <w:szCs w:val="24"/>
          <w:lang w:val="sr-Latn-ME"/>
        </w:rPr>
        <w:t xml:space="preserve"> od planiranog.</w:t>
      </w:r>
    </w:p>
    <w:p w:rsidR="00E553CC" w:rsidRPr="0023741A" w:rsidRDefault="00536BB8" w:rsidP="00536BB8">
      <w:pPr>
        <w:jc w:val="both"/>
        <w:rPr>
          <w:rFonts w:ascii="Garamond" w:hAnsi="Garamond"/>
          <w:b/>
          <w:sz w:val="24"/>
          <w:szCs w:val="24"/>
          <w:lang w:val="sr-Latn-ME"/>
        </w:rPr>
      </w:pPr>
      <w:r w:rsidRPr="0023741A">
        <w:rPr>
          <w:rFonts w:ascii="Garamond" w:hAnsi="Garamond"/>
          <w:b/>
          <w:sz w:val="24"/>
          <w:szCs w:val="24"/>
          <w:lang w:val="sr-Latn-ME"/>
        </w:rPr>
        <w:t>Posmatrajući ukupno ostvareni re</w:t>
      </w:r>
      <w:r w:rsidR="00834EF7" w:rsidRPr="0023741A">
        <w:rPr>
          <w:rFonts w:ascii="Garamond" w:hAnsi="Garamond"/>
          <w:b/>
          <w:sz w:val="24"/>
          <w:szCs w:val="24"/>
          <w:lang w:val="sr-Latn-ME"/>
        </w:rPr>
        <w:t>zultat u periodu januar-decembar</w:t>
      </w:r>
      <w:r w:rsidRPr="0023741A">
        <w:rPr>
          <w:rFonts w:ascii="Garamond" w:hAnsi="Garamond"/>
          <w:b/>
          <w:sz w:val="24"/>
          <w:szCs w:val="24"/>
          <w:lang w:val="sr-Latn-ME"/>
        </w:rPr>
        <w:t xml:space="preserve"> 2022. godine, budžetski </w:t>
      </w:r>
      <w:r w:rsidR="00FD1DEF">
        <w:rPr>
          <w:rFonts w:ascii="Garamond" w:hAnsi="Garamond"/>
          <w:b/>
          <w:sz w:val="24"/>
          <w:szCs w:val="24"/>
          <w:lang w:val="sr-Latn-ME"/>
        </w:rPr>
        <w:t xml:space="preserve">gotovinski </w:t>
      </w:r>
      <w:r w:rsidRPr="0023741A">
        <w:rPr>
          <w:rFonts w:ascii="Garamond" w:hAnsi="Garamond"/>
          <w:b/>
          <w:sz w:val="24"/>
          <w:szCs w:val="24"/>
          <w:lang w:val="sr-Latn-ME"/>
        </w:rPr>
        <w:t>deficit iznosi</w:t>
      </w:r>
      <w:r w:rsidR="00834EF7" w:rsidRPr="0023741A">
        <w:rPr>
          <w:rFonts w:ascii="Garamond" w:hAnsi="Garamond"/>
          <w:b/>
          <w:sz w:val="24"/>
          <w:szCs w:val="24"/>
          <w:lang w:val="sr-Latn-ME"/>
        </w:rPr>
        <w:t>o je</w:t>
      </w:r>
      <w:r w:rsidRPr="0023741A">
        <w:rPr>
          <w:rFonts w:ascii="Garamond" w:hAnsi="Garamond"/>
          <w:b/>
          <w:sz w:val="24"/>
          <w:szCs w:val="24"/>
          <w:lang w:val="sr-Latn-ME"/>
        </w:rPr>
        <w:t xml:space="preserve"> </w:t>
      </w:r>
      <w:r w:rsidR="00834EF7" w:rsidRPr="0023741A">
        <w:rPr>
          <w:rFonts w:ascii="Garamond" w:hAnsi="Garamond"/>
          <w:b/>
          <w:sz w:val="24"/>
          <w:szCs w:val="24"/>
          <w:lang w:val="sr-Latn-ME"/>
        </w:rPr>
        <w:t>249,1</w:t>
      </w:r>
      <w:r w:rsidRPr="0023741A">
        <w:rPr>
          <w:rFonts w:ascii="Garamond" w:hAnsi="Garamond"/>
          <w:b/>
          <w:sz w:val="24"/>
          <w:szCs w:val="24"/>
          <w:lang w:val="sr-Latn-ME"/>
        </w:rPr>
        <w:t xml:space="preserve"> mil €, odnosno </w:t>
      </w:r>
      <w:r w:rsidR="00834EF7" w:rsidRPr="0023741A">
        <w:rPr>
          <w:rFonts w:ascii="Garamond" w:hAnsi="Garamond"/>
          <w:b/>
          <w:sz w:val="24"/>
          <w:szCs w:val="24"/>
          <w:lang w:val="sr-Latn-ME"/>
        </w:rPr>
        <w:t>4,4</w:t>
      </w:r>
      <w:r w:rsidRPr="0023741A">
        <w:rPr>
          <w:rFonts w:ascii="Garamond" w:hAnsi="Garamond"/>
          <w:b/>
          <w:sz w:val="24"/>
          <w:szCs w:val="24"/>
          <w:lang w:val="sr-Latn-ME"/>
        </w:rPr>
        <w:t>% procijenjenog BDP-a</w:t>
      </w:r>
      <w:r w:rsidR="00FD1DEF">
        <w:rPr>
          <w:rFonts w:ascii="Garamond" w:hAnsi="Garamond"/>
          <w:b/>
          <w:sz w:val="24"/>
          <w:szCs w:val="24"/>
          <w:lang w:val="sr-Latn-ME"/>
        </w:rPr>
        <w:t>.</w:t>
      </w:r>
      <w:bookmarkStart w:id="0" w:name="_GoBack"/>
      <w:bookmarkEnd w:id="0"/>
    </w:p>
    <w:sectPr w:rsidR="00E553CC" w:rsidRPr="00237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51"/>
    <w:rsid w:val="000369E2"/>
    <w:rsid w:val="000A0CA3"/>
    <w:rsid w:val="000A60E0"/>
    <w:rsid w:val="000C72F1"/>
    <w:rsid w:val="000D6F18"/>
    <w:rsid w:val="000F1F49"/>
    <w:rsid w:val="001F2F26"/>
    <w:rsid w:val="0023741A"/>
    <w:rsid w:val="00262832"/>
    <w:rsid w:val="002D6A4F"/>
    <w:rsid w:val="002E2184"/>
    <w:rsid w:val="002F0BC1"/>
    <w:rsid w:val="00385BF6"/>
    <w:rsid w:val="003A4B51"/>
    <w:rsid w:val="003B4C01"/>
    <w:rsid w:val="003B6AAF"/>
    <w:rsid w:val="003C6E87"/>
    <w:rsid w:val="003E4AB5"/>
    <w:rsid w:val="00401928"/>
    <w:rsid w:val="00411241"/>
    <w:rsid w:val="0044193F"/>
    <w:rsid w:val="0049759B"/>
    <w:rsid w:val="004A08FA"/>
    <w:rsid w:val="004C237A"/>
    <w:rsid w:val="00512A9C"/>
    <w:rsid w:val="00536BB8"/>
    <w:rsid w:val="005B2404"/>
    <w:rsid w:val="0061517F"/>
    <w:rsid w:val="0065194A"/>
    <w:rsid w:val="0072145D"/>
    <w:rsid w:val="007847DC"/>
    <w:rsid w:val="007F72CE"/>
    <w:rsid w:val="0080487E"/>
    <w:rsid w:val="00834EF7"/>
    <w:rsid w:val="00956581"/>
    <w:rsid w:val="009D1233"/>
    <w:rsid w:val="00A05760"/>
    <w:rsid w:val="00A11EFB"/>
    <w:rsid w:val="00A22159"/>
    <w:rsid w:val="00A26F63"/>
    <w:rsid w:val="00B0202D"/>
    <w:rsid w:val="00BA126C"/>
    <w:rsid w:val="00BB488F"/>
    <w:rsid w:val="00BC35AF"/>
    <w:rsid w:val="00C84C4B"/>
    <w:rsid w:val="00CA6157"/>
    <w:rsid w:val="00D34CD4"/>
    <w:rsid w:val="00DC49FF"/>
    <w:rsid w:val="00E157B2"/>
    <w:rsid w:val="00E17C72"/>
    <w:rsid w:val="00E21749"/>
    <w:rsid w:val="00E553CC"/>
    <w:rsid w:val="00EE28A3"/>
    <w:rsid w:val="00F134A6"/>
    <w:rsid w:val="00F23656"/>
    <w:rsid w:val="00F81ED0"/>
    <w:rsid w:val="00F8359B"/>
    <w:rsid w:val="00FD1DEF"/>
    <w:rsid w:val="00FD228E"/>
    <w:rsid w:val="00FD5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1E0E1-1DCD-4314-8B60-1CC73A05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73309">
      <w:bodyDiv w:val="1"/>
      <w:marLeft w:val="0"/>
      <w:marRight w:val="0"/>
      <w:marTop w:val="0"/>
      <w:marBottom w:val="0"/>
      <w:divBdr>
        <w:top w:val="none" w:sz="0" w:space="0" w:color="auto"/>
        <w:left w:val="none" w:sz="0" w:space="0" w:color="auto"/>
        <w:bottom w:val="none" w:sz="0" w:space="0" w:color="auto"/>
        <w:right w:val="none" w:sz="0" w:space="0" w:color="auto"/>
      </w:divBdr>
    </w:div>
    <w:div w:id="1441486159">
      <w:bodyDiv w:val="1"/>
      <w:marLeft w:val="0"/>
      <w:marRight w:val="0"/>
      <w:marTop w:val="0"/>
      <w:marBottom w:val="0"/>
      <w:divBdr>
        <w:top w:val="none" w:sz="0" w:space="0" w:color="auto"/>
        <w:left w:val="none" w:sz="0" w:space="0" w:color="auto"/>
        <w:bottom w:val="none" w:sz="0" w:space="0" w:color="auto"/>
        <w:right w:val="none" w:sz="0" w:space="0" w:color="auto"/>
      </w:divBdr>
    </w:div>
    <w:div w:id="1685133031">
      <w:bodyDiv w:val="1"/>
      <w:marLeft w:val="0"/>
      <w:marRight w:val="0"/>
      <w:marTop w:val="0"/>
      <w:marBottom w:val="0"/>
      <w:divBdr>
        <w:top w:val="none" w:sz="0" w:space="0" w:color="auto"/>
        <w:left w:val="none" w:sz="0" w:space="0" w:color="auto"/>
        <w:bottom w:val="none" w:sz="0" w:space="0" w:color="auto"/>
        <w:right w:val="none" w:sz="0" w:space="0" w:color="auto"/>
      </w:divBdr>
    </w:div>
    <w:div w:id="1838181037">
      <w:bodyDiv w:val="1"/>
      <w:marLeft w:val="0"/>
      <w:marRight w:val="0"/>
      <w:marTop w:val="0"/>
      <w:marBottom w:val="0"/>
      <w:divBdr>
        <w:top w:val="none" w:sz="0" w:space="0" w:color="auto"/>
        <w:left w:val="none" w:sz="0" w:space="0" w:color="auto"/>
        <w:bottom w:val="none" w:sz="0" w:space="0" w:color="auto"/>
        <w:right w:val="none" w:sz="0" w:space="0" w:color="auto"/>
      </w:divBdr>
    </w:div>
    <w:div w:id="193019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Stanisic</dc:creator>
  <cp:keywords/>
  <dc:description/>
  <cp:lastModifiedBy>Ljubica Radovic</cp:lastModifiedBy>
  <cp:revision>2</cp:revision>
  <cp:lastPrinted>2023-01-31T11:49:00Z</cp:lastPrinted>
  <dcterms:created xsi:type="dcterms:W3CDTF">2023-01-31T12:59:00Z</dcterms:created>
  <dcterms:modified xsi:type="dcterms:W3CDTF">2023-01-31T12:59:00Z</dcterms:modified>
</cp:coreProperties>
</file>