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5406D">
      <w:pPr>
        <w:rPr>
          <w:rFonts w:ascii="Garamond" w:hAnsi="Garamond" w:cs="Garamond"/>
          <w:sz w:val="28"/>
          <w:szCs w:val="28"/>
        </w:rPr>
      </w:pPr>
    </w:p>
    <w:p w14:paraId="2A814FFF">
      <w:pPr>
        <w:jc w:val="right"/>
        <w:rPr>
          <w:rFonts w:ascii="Garamond" w:hAnsi="Garamond" w:cs="Garamond"/>
          <w:sz w:val="28"/>
          <w:szCs w:val="28"/>
          <w:lang w:val="sr-Latn-ME"/>
        </w:rPr>
      </w:pPr>
      <w:r>
        <w:rPr>
          <w:rFonts w:ascii="Garamond" w:hAnsi="Garamond" w:cs="Garamond"/>
          <w:sz w:val="28"/>
          <w:szCs w:val="28"/>
          <w:lang w:val="sr-Latn-ME"/>
        </w:rPr>
        <w:t xml:space="preserve">NACRT </w:t>
      </w:r>
    </w:p>
    <w:p w14:paraId="063133FD">
      <w:pPr>
        <w:rPr>
          <w:rFonts w:ascii="Garamond" w:hAnsi="Garamond" w:cs="Garamond"/>
          <w:sz w:val="28"/>
          <w:szCs w:val="28"/>
          <w:lang w:val="sr-Latn-ME"/>
        </w:rPr>
      </w:pPr>
    </w:p>
    <w:p w14:paraId="0A94FF01">
      <w:pPr>
        <w:jc w:val="center"/>
        <w:rPr>
          <w:rFonts w:ascii="Garamond" w:hAnsi="Garamond" w:cs="Garamond"/>
          <w:b/>
          <w:bCs/>
          <w:sz w:val="28"/>
          <w:szCs w:val="28"/>
          <w:lang w:val="sr-Latn-ME"/>
        </w:rPr>
      </w:pPr>
      <w:r>
        <w:rPr>
          <w:rFonts w:ascii="Garamond" w:hAnsi="Garamond" w:cs="Garamond"/>
          <w:b/>
          <w:bCs/>
          <w:sz w:val="28"/>
          <w:szCs w:val="28"/>
          <w:lang w:val="sr-Latn-ME"/>
        </w:rPr>
        <w:t>Zakona o prekursorima eksploziva</w:t>
      </w:r>
      <w:r>
        <w:rPr>
          <w:rFonts w:ascii="Garamond" w:hAnsi="Garamond" w:eastAsia="Tahoma" w:cs="Garamond"/>
          <w:b/>
          <w:sz w:val="28"/>
          <w:szCs w:val="28"/>
        </w:rPr>
        <w:t>*</w:t>
      </w:r>
    </w:p>
    <w:p w14:paraId="0E3841D2">
      <w:pPr>
        <w:jc w:val="center"/>
        <w:rPr>
          <w:rFonts w:ascii="Garamond" w:hAnsi="Garamond" w:cs="Garamond"/>
          <w:b/>
          <w:bCs/>
          <w:sz w:val="28"/>
          <w:szCs w:val="28"/>
          <w:lang w:val="sr-Latn-ME"/>
        </w:rPr>
      </w:pPr>
    </w:p>
    <w:p w14:paraId="49394747">
      <w:pPr>
        <w:jc w:val="both"/>
        <w:rPr>
          <w:rFonts w:ascii="Garamond" w:hAnsi="Garamond" w:cs="Garamond"/>
          <w:b/>
          <w:bCs/>
          <w:sz w:val="28"/>
          <w:szCs w:val="28"/>
          <w:lang w:val="sr-Latn-ME"/>
        </w:rPr>
      </w:pPr>
      <w:r>
        <w:rPr>
          <w:rFonts w:ascii="Garamond" w:hAnsi="Garamond" w:cs="Garamond"/>
          <w:b/>
          <w:bCs/>
          <w:sz w:val="28"/>
          <w:szCs w:val="28"/>
          <w:lang w:val="sr-Latn-ME"/>
        </w:rPr>
        <w:t xml:space="preserve">        I OSNOVNE ODREDBE</w:t>
      </w:r>
    </w:p>
    <w:p w14:paraId="7788FEDE">
      <w:pPr>
        <w:jc w:val="both"/>
        <w:rPr>
          <w:rFonts w:ascii="Garamond" w:hAnsi="Garamond" w:cs="Garamond"/>
          <w:b/>
          <w:bCs/>
          <w:sz w:val="28"/>
          <w:szCs w:val="28"/>
          <w:lang w:val="sr-Latn-ME"/>
        </w:rPr>
      </w:pPr>
    </w:p>
    <w:p w14:paraId="1C2D6904">
      <w:pPr>
        <w:jc w:val="center"/>
        <w:rPr>
          <w:rFonts w:ascii="Garamond" w:hAnsi="Garamond" w:cs="Garamond"/>
          <w:b/>
          <w:bCs/>
          <w:sz w:val="28"/>
          <w:szCs w:val="28"/>
          <w:lang w:val="sr-Latn-ME"/>
        </w:rPr>
      </w:pPr>
      <w:r>
        <w:rPr>
          <w:rFonts w:ascii="Garamond" w:hAnsi="Garamond" w:cs="Garamond"/>
          <w:b/>
          <w:bCs/>
          <w:sz w:val="28"/>
          <w:szCs w:val="28"/>
          <w:lang w:val="sr-Latn-ME"/>
        </w:rPr>
        <w:t>Predmet</w:t>
      </w:r>
    </w:p>
    <w:p w14:paraId="6EB47142">
      <w:pPr>
        <w:jc w:val="center"/>
        <w:rPr>
          <w:rFonts w:ascii="Garamond" w:hAnsi="Garamond" w:cs="Garamond"/>
          <w:b/>
          <w:bCs/>
          <w:sz w:val="28"/>
          <w:szCs w:val="28"/>
          <w:lang w:val="sr-Latn-ME"/>
        </w:rPr>
      </w:pPr>
      <w:r>
        <w:rPr>
          <w:rFonts w:ascii="Garamond" w:hAnsi="Garamond" w:cs="Garamond"/>
          <w:b/>
          <w:bCs/>
          <w:sz w:val="28"/>
          <w:szCs w:val="28"/>
          <w:lang w:val="sr-Latn-ME"/>
        </w:rPr>
        <w:t>Član 1</w:t>
      </w:r>
    </w:p>
    <w:p w14:paraId="4C80CFE7">
      <w:pPr>
        <w:ind w:firstLine="560" w:firstLineChars="200"/>
        <w:jc w:val="both"/>
        <w:rPr>
          <w:rFonts w:ascii="Garamond" w:hAnsi="Garamond" w:eastAsia="SimSun" w:cs="Garamond"/>
          <w:color w:val="000000"/>
          <w:sz w:val="28"/>
          <w:szCs w:val="28"/>
        </w:rPr>
      </w:pPr>
      <w:r>
        <w:rPr>
          <w:rFonts w:ascii="Garamond" w:hAnsi="Garamond" w:eastAsia="SimSun" w:cs="Garamond"/>
          <w:color w:val="000000"/>
          <w:sz w:val="28"/>
          <w:szCs w:val="28"/>
        </w:rPr>
        <w:t>Ovim Zakonom se propisuje stavljanje u promet, uvođenje, pos</w:t>
      </w:r>
      <w:r>
        <w:rPr>
          <w:rFonts w:ascii="Garamond" w:hAnsi="Garamond" w:eastAsia="SimSun" w:cs="Garamond"/>
          <w:color w:val="000000"/>
          <w:sz w:val="28"/>
          <w:szCs w:val="28"/>
          <w:lang w:val="sr-Latn-ME"/>
        </w:rPr>
        <w:t>j</w:t>
      </w:r>
      <w:r>
        <w:rPr>
          <w:rFonts w:ascii="Garamond" w:hAnsi="Garamond" w:eastAsia="SimSun" w:cs="Garamond"/>
          <w:color w:val="000000"/>
          <w:sz w:val="28"/>
          <w:szCs w:val="28"/>
        </w:rPr>
        <w:t>edovanje, upotreba, nadzor i razm</w:t>
      </w:r>
      <w:r>
        <w:rPr>
          <w:rFonts w:ascii="Garamond" w:hAnsi="Garamond" w:eastAsia="SimSun" w:cs="Garamond"/>
          <w:color w:val="000000"/>
          <w:sz w:val="28"/>
          <w:szCs w:val="28"/>
          <w:lang w:val="sr-Latn-ME"/>
        </w:rPr>
        <w:t>j</w:t>
      </w:r>
      <w:r>
        <w:rPr>
          <w:rFonts w:ascii="Garamond" w:hAnsi="Garamond" w:eastAsia="SimSun" w:cs="Garamond"/>
          <w:color w:val="000000"/>
          <w:sz w:val="28"/>
          <w:szCs w:val="28"/>
        </w:rPr>
        <w:t>ena informacija u vezi sa supstancama i sm</w:t>
      </w:r>
      <w:r>
        <w:rPr>
          <w:rFonts w:ascii="Garamond" w:hAnsi="Garamond" w:eastAsia="SimSun" w:cs="Garamond"/>
          <w:color w:val="000000"/>
          <w:sz w:val="28"/>
          <w:szCs w:val="28"/>
          <w:lang w:val="sr-Latn-ME"/>
        </w:rPr>
        <w:t>j</w:t>
      </w:r>
      <w:r>
        <w:rPr>
          <w:rFonts w:ascii="Garamond" w:hAnsi="Garamond" w:eastAsia="SimSun" w:cs="Garamond"/>
          <w:color w:val="000000"/>
          <w:sz w:val="28"/>
          <w:szCs w:val="28"/>
        </w:rPr>
        <w:t>ešama koje se mogu zloupotr</w:t>
      </w:r>
      <w:r>
        <w:rPr>
          <w:rFonts w:ascii="Garamond" w:hAnsi="Garamond" w:eastAsia="SimSun" w:cs="Garamond"/>
          <w:color w:val="000000"/>
          <w:sz w:val="28"/>
          <w:szCs w:val="28"/>
          <w:lang w:val="sr-Latn-ME"/>
        </w:rPr>
        <w:t>ij</w:t>
      </w:r>
      <w:r>
        <w:rPr>
          <w:rFonts w:ascii="Garamond" w:hAnsi="Garamond" w:eastAsia="SimSun" w:cs="Garamond"/>
          <w:color w:val="000000"/>
          <w:sz w:val="28"/>
          <w:szCs w:val="28"/>
        </w:rPr>
        <w:t>ebiti za nedozvoljenu proizvodnju eksploziva, sa ciljem ograničavanja dostupnosti pojedinačnim korisnicima tih supstanci i sm</w:t>
      </w:r>
      <w:r>
        <w:rPr>
          <w:rFonts w:ascii="Garamond" w:hAnsi="Garamond" w:eastAsia="SimSun" w:cs="Garamond"/>
          <w:color w:val="000000"/>
          <w:sz w:val="28"/>
          <w:szCs w:val="28"/>
          <w:lang w:val="sr-Latn-ME"/>
        </w:rPr>
        <w:t>j</w:t>
      </w:r>
      <w:r>
        <w:rPr>
          <w:rFonts w:ascii="Garamond" w:hAnsi="Garamond" w:eastAsia="SimSun" w:cs="Garamond"/>
          <w:color w:val="000000"/>
          <w:sz w:val="28"/>
          <w:szCs w:val="28"/>
        </w:rPr>
        <w:t>eša i sa ciljem osiguravanja odgovarajućeg prijavljivanja sumnjivih transakcija u lancu snabd</w:t>
      </w:r>
      <w:r>
        <w:rPr>
          <w:rFonts w:ascii="Garamond" w:hAnsi="Garamond" w:eastAsia="SimSun" w:cs="Garamond"/>
          <w:color w:val="000000"/>
          <w:sz w:val="28"/>
          <w:szCs w:val="28"/>
          <w:lang w:val="sr-Latn-ME"/>
        </w:rPr>
        <w:t>ije</w:t>
      </w:r>
      <w:r>
        <w:rPr>
          <w:rFonts w:ascii="Garamond" w:hAnsi="Garamond" w:eastAsia="SimSun" w:cs="Garamond"/>
          <w:color w:val="000000"/>
          <w:sz w:val="28"/>
          <w:szCs w:val="28"/>
        </w:rPr>
        <w:t>vanja.</w:t>
      </w:r>
    </w:p>
    <w:p w14:paraId="2F9E9C58">
      <w:pPr>
        <w:ind w:firstLine="560" w:firstLineChars="200"/>
        <w:jc w:val="both"/>
        <w:rPr>
          <w:rFonts w:ascii="Garamond" w:hAnsi="Garamond" w:eastAsia="SimSun" w:cs="Garamond"/>
          <w:color w:val="000000"/>
          <w:sz w:val="28"/>
          <w:szCs w:val="28"/>
        </w:rPr>
      </w:pPr>
    </w:p>
    <w:p w14:paraId="2869B590">
      <w:pPr>
        <w:jc w:val="center"/>
        <w:rPr>
          <w:rFonts w:ascii="Garamond" w:hAnsi="Garamond" w:cs="Garamond"/>
          <w:b/>
          <w:bCs/>
          <w:sz w:val="28"/>
          <w:szCs w:val="28"/>
          <w:lang w:val="sr-Latn-ME"/>
        </w:rPr>
      </w:pPr>
      <w:r>
        <w:rPr>
          <w:rFonts w:ascii="Garamond" w:hAnsi="Garamond" w:cs="Garamond"/>
          <w:b/>
          <w:bCs/>
          <w:sz w:val="28"/>
          <w:szCs w:val="28"/>
          <w:lang w:val="sr-Latn-ME"/>
        </w:rPr>
        <w:t>Izuzeće</w:t>
      </w:r>
    </w:p>
    <w:p w14:paraId="42A81B35">
      <w:pPr>
        <w:jc w:val="center"/>
        <w:rPr>
          <w:rFonts w:ascii="Garamond" w:hAnsi="Garamond" w:cs="Garamond"/>
          <w:b/>
          <w:bCs/>
          <w:sz w:val="28"/>
          <w:szCs w:val="28"/>
          <w:lang w:val="sr-Latn-ME"/>
        </w:rPr>
      </w:pPr>
      <w:r>
        <w:rPr>
          <w:rFonts w:ascii="Garamond" w:hAnsi="Garamond" w:cs="Garamond"/>
          <w:b/>
          <w:bCs/>
          <w:sz w:val="28"/>
          <w:szCs w:val="28"/>
          <w:lang w:val="sr-Latn-ME"/>
        </w:rPr>
        <w:t>Član 2</w:t>
      </w:r>
    </w:p>
    <w:p w14:paraId="4BAD333C">
      <w:pPr>
        <w:ind w:firstLine="560" w:firstLineChars="200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Ovaj 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z</w:t>
      </w:r>
      <w:r>
        <w:rPr>
          <w:rFonts w:ascii="Garamond" w:hAnsi="Garamond" w:cs="Garamond"/>
          <w:color w:val="000000"/>
          <w:sz w:val="28"/>
          <w:szCs w:val="28"/>
        </w:rPr>
        <w:t>akon se ne odnosi na:</w:t>
      </w:r>
    </w:p>
    <w:p w14:paraId="3F46CCCC">
      <w:pPr>
        <w:pStyle w:val="6"/>
        <w:spacing w:beforeAutospacing="0" w:afterAutospacing="0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a) proizvode</w:t>
      </w:r>
      <w:r>
        <w:rPr>
          <w:rFonts w:hint="default" w:ascii="Garamond" w:hAnsi="Garamond" w:cs="Garamond"/>
          <w:color w:val="000000"/>
          <w:sz w:val="28"/>
          <w:szCs w:val="28"/>
          <w:lang w:val="sr-Latn-ME"/>
        </w:rPr>
        <w:t>,</w:t>
      </w:r>
      <w:r>
        <w:rPr>
          <w:rFonts w:ascii="Garamond" w:hAnsi="Garamond" w:cs="Garamond"/>
          <w:color w:val="000000"/>
          <w:sz w:val="28"/>
          <w:szCs w:val="28"/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odnosno predmete kojem je tokom proizvodnje dat određeni oblik ili dizajn koji više određuje njegovu funkciju nego hemijski sastav, a u skladu sa Zakonom o hemikalijama;</w:t>
      </w:r>
    </w:p>
    <w:p w14:paraId="04294280">
      <w:pPr>
        <w:pStyle w:val="6"/>
        <w:spacing w:beforeAutospacing="0" w:afterAutospacing="0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b) pirotehnička sredstva definisana zakonom o eksplozivnim i pirotehničkim materijama za civilnu upotrebu;</w:t>
      </w:r>
    </w:p>
    <w:p w14:paraId="1F10A922">
      <w:pPr>
        <w:pStyle w:val="6"/>
        <w:spacing w:beforeAutospacing="0" w:afterAutospacing="0"/>
        <w:jc w:val="both"/>
        <w:rPr>
          <w:rFonts w:hint="default" w:ascii="Garamond" w:hAnsi="Garamond" w:cs="Garamond"/>
          <w:color w:val="000000"/>
          <w:sz w:val="28"/>
          <w:szCs w:val="28"/>
          <w:lang w:val="sr-Latn-ME"/>
        </w:rPr>
      </w:pPr>
      <w:r>
        <w:rPr>
          <w:rFonts w:ascii="Garamond" w:hAnsi="Garamond" w:cs="Garamond"/>
          <w:color w:val="000000"/>
          <w:sz w:val="28"/>
          <w:szCs w:val="28"/>
        </w:rPr>
        <w:t>c) pirotehnička sredstva nam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ij</w:t>
      </w:r>
      <w:r>
        <w:rPr>
          <w:rFonts w:ascii="Garamond" w:hAnsi="Garamond" w:cs="Garamond"/>
          <w:color w:val="000000"/>
          <w:sz w:val="28"/>
          <w:szCs w:val="28"/>
        </w:rPr>
        <w:t>enjena za nekomercijalnu upotrebu</w:t>
      </w:r>
      <w:r>
        <w:rPr>
          <w:rFonts w:hint="default" w:ascii="Garamond" w:hAnsi="Garamond" w:cs="Garamond"/>
          <w:color w:val="000000"/>
          <w:sz w:val="28"/>
          <w:szCs w:val="28"/>
          <w:lang w:val="sr-Latn-ME"/>
        </w:rPr>
        <w:t>,</w:t>
      </w:r>
      <w:r>
        <w:rPr>
          <w:rFonts w:ascii="Garamond" w:hAnsi="Garamond" w:cs="Garamond"/>
          <w:color w:val="000000"/>
          <w:sz w:val="28"/>
          <w:szCs w:val="28"/>
        </w:rPr>
        <w:t xml:space="preserve"> koja u skladu sa nacionalnim zakonodavstvom koristi Vojska Crne Gore, organ nadle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žan za poslove policije i službe zaštite i spašavanja</w:t>
      </w:r>
      <w:r>
        <w:rPr>
          <w:rFonts w:hint="default" w:ascii="Garamond" w:hAnsi="Garamond" w:cs="Garamond"/>
          <w:color w:val="000000"/>
          <w:sz w:val="28"/>
          <w:szCs w:val="28"/>
          <w:lang w:val="sr-Latn-ME"/>
        </w:rPr>
        <w:t>;</w:t>
      </w:r>
    </w:p>
    <w:p w14:paraId="3CD819F9">
      <w:pPr>
        <w:pStyle w:val="6"/>
        <w:spacing w:beforeAutospacing="0" w:afterAutospacing="0"/>
        <w:jc w:val="both"/>
        <w:rPr>
          <w:rFonts w:hint="default" w:ascii="Garamond" w:hAnsi="Garamond" w:cs="Garamond"/>
          <w:color w:val="000000"/>
          <w:sz w:val="28"/>
          <w:szCs w:val="28"/>
          <w:lang w:val="sr-Latn-ME"/>
        </w:rPr>
      </w:pPr>
      <w:r>
        <w:rPr>
          <w:rFonts w:ascii="Garamond" w:hAnsi="Garamond" w:cs="Garamond"/>
          <w:color w:val="000000"/>
          <w:sz w:val="28"/>
          <w:szCs w:val="28"/>
        </w:rPr>
        <w:t>d) pirotehnička sredstva koja su sastavni dio opreme za spašavanje na moru</w:t>
      </w:r>
      <w:r>
        <w:rPr>
          <w:rFonts w:hint="default" w:ascii="Garamond" w:hAnsi="Garamond" w:cs="Garamond"/>
          <w:color w:val="000000"/>
          <w:sz w:val="28"/>
          <w:szCs w:val="28"/>
          <w:lang w:val="sr-Latn-ME"/>
        </w:rPr>
        <w:t>;</w:t>
      </w:r>
    </w:p>
    <w:p w14:paraId="6203FBC3">
      <w:pPr>
        <w:pStyle w:val="6"/>
        <w:spacing w:beforeAutospacing="0" w:afterAutospacing="0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e) pirotehnička sredstva nam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ij</w:t>
      </w:r>
      <w:r>
        <w:rPr>
          <w:rFonts w:ascii="Garamond" w:hAnsi="Garamond" w:cs="Garamond"/>
          <w:color w:val="000000"/>
          <w:sz w:val="28"/>
          <w:szCs w:val="28"/>
        </w:rPr>
        <w:t>enjena za upotrebu u vazduhoplovnoj industriji;</w:t>
      </w:r>
    </w:p>
    <w:p w14:paraId="709A7E43">
      <w:pPr>
        <w:pStyle w:val="6"/>
        <w:spacing w:beforeAutospacing="0" w:afterAutospacing="0"/>
        <w:jc w:val="both"/>
        <w:rPr>
          <w:rFonts w:ascii="Garamond" w:hAnsi="Garamond" w:cs="Garamond"/>
          <w:color w:val="000000"/>
          <w:sz w:val="28"/>
          <w:szCs w:val="28"/>
          <w:lang w:val="sr-Latn-ME"/>
        </w:rPr>
      </w:pPr>
      <w:r>
        <w:rPr>
          <w:rFonts w:ascii="Garamond" w:hAnsi="Garamond" w:cs="Garamond"/>
          <w:color w:val="000000"/>
          <w:sz w:val="28"/>
          <w:szCs w:val="28"/>
        </w:rPr>
        <w:t>f) udarne kapisle nam</w:t>
      </w:r>
      <w:r>
        <w:rPr>
          <w:rFonts w:hint="default" w:ascii="Garamond" w:hAnsi="Garamond" w:cs="Garamond"/>
          <w:color w:val="000000"/>
          <w:sz w:val="28"/>
          <w:szCs w:val="28"/>
          <w:lang w:val="sr-Latn-ME"/>
        </w:rPr>
        <w:t>ij</w:t>
      </w:r>
      <w:r>
        <w:rPr>
          <w:rFonts w:ascii="Garamond" w:hAnsi="Garamond" w:cs="Garamond"/>
          <w:color w:val="000000"/>
          <w:sz w:val="28"/>
          <w:szCs w:val="28"/>
        </w:rPr>
        <w:t>enjene za igračke;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 xml:space="preserve"> i</w:t>
      </w:r>
    </w:p>
    <w:p w14:paraId="42944029">
      <w:pPr>
        <w:pStyle w:val="6"/>
        <w:spacing w:beforeAutospacing="0" w:afterAutospacing="0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g) ljekovi koji su stavljeni u promet za pojedinačne korisnike na osnovu l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j</w:t>
      </w:r>
      <w:r>
        <w:rPr>
          <w:rFonts w:ascii="Garamond" w:hAnsi="Garamond" w:cs="Garamond"/>
          <w:color w:val="000000"/>
          <w:sz w:val="28"/>
          <w:szCs w:val="28"/>
        </w:rPr>
        <w:t>ekarskog recepta u skladu sa važećim nacionalnim zakonom.</w:t>
      </w:r>
    </w:p>
    <w:p w14:paraId="65E43680">
      <w:pPr>
        <w:jc w:val="both"/>
        <w:rPr>
          <w:rFonts w:ascii="Garamond" w:hAnsi="Garamond" w:eastAsia="SimSun" w:cs="Garamond"/>
          <w:color w:val="000000"/>
          <w:sz w:val="28"/>
          <w:szCs w:val="28"/>
          <w:lang w:val="sr-Latn-ME"/>
        </w:rPr>
      </w:pPr>
    </w:p>
    <w:p w14:paraId="7D39A757">
      <w:pPr>
        <w:pStyle w:val="7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Značenje izraza</w:t>
      </w:r>
    </w:p>
    <w:p w14:paraId="506FB96C">
      <w:pPr>
        <w:pStyle w:val="8"/>
        <w:spacing w:before="0" w:after="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Član </w:t>
      </w:r>
      <w:r>
        <w:rPr>
          <w:rFonts w:ascii="Garamond" w:hAnsi="Garamond" w:cs="Garamond"/>
          <w:sz w:val="28"/>
          <w:szCs w:val="28"/>
          <w:lang w:val="sr-Latn-ME"/>
        </w:rPr>
        <w:t>3</w:t>
      </w:r>
      <w:r>
        <w:rPr>
          <w:rFonts w:ascii="Garamond" w:hAnsi="Garamond" w:cs="Garamond"/>
          <w:sz w:val="28"/>
          <w:szCs w:val="28"/>
        </w:rPr>
        <w:t xml:space="preserve"> ﻿ </w:t>
      </w:r>
    </w:p>
    <w:p w14:paraId="0F56492F">
      <w:pPr>
        <w:pStyle w:val="9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Izrazi upotrijebljeni u ovom zakonu imaju sljedeća značenja:</w:t>
      </w:r>
    </w:p>
    <w:p w14:paraId="14479E13">
      <w:pPr>
        <w:pStyle w:val="6"/>
        <w:spacing w:beforeAutospacing="0" w:afterAutospacing="0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1) „supstanca“ jeste hemijski element i njegova jedinjenja u prirodnom stanju ili dobijena u proizvodnom procesu uključujući aditive koji su neophodni za održavanje njene stabilnosti i nečistoće koje proizilaze iz prim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ij</w:t>
      </w:r>
      <w:r>
        <w:rPr>
          <w:rFonts w:ascii="Garamond" w:hAnsi="Garamond" w:cs="Garamond"/>
          <w:color w:val="000000"/>
          <w:sz w:val="28"/>
          <w:szCs w:val="28"/>
        </w:rPr>
        <w:t>enjenog procesa, izuzimajući rastvarač koji se može izdvojiti tako da to ne utiče na stabilnost supstance ili prom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j</w:t>
      </w:r>
      <w:r>
        <w:rPr>
          <w:rFonts w:ascii="Garamond" w:hAnsi="Garamond" w:cs="Garamond"/>
          <w:color w:val="000000"/>
          <w:sz w:val="28"/>
          <w:szCs w:val="28"/>
        </w:rPr>
        <w:t>enu njenog sastava;</w:t>
      </w:r>
    </w:p>
    <w:p w14:paraId="0C67A669">
      <w:pPr>
        <w:pStyle w:val="6"/>
        <w:spacing w:beforeAutospacing="0" w:afterAutospacing="0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2) „sm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j</w:t>
      </w:r>
      <w:r>
        <w:rPr>
          <w:rFonts w:ascii="Garamond" w:hAnsi="Garamond" w:cs="Garamond"/>
          <w:color w:val="000000"/>
          <w:sz w:val="28"/>
          <w:szCs w:val="28"/>
        </w:rPr>
        <w:t>eša“ jeste m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j</w:t>
      </w:r>
      <w:r>
        <w:rPr>
          <w:rFonts w:ascii="Garamond" w:hAnsi="Garamond" w:cs="Garamond"/>
          <w:color w:val="000000"/>
          <w:sz w:val="28"/>
          <w:szCs w:val="28"/>
        </w:rPr>
        <w:t>ešavina ili rastvor dv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ij</w:t>
      </w:r>
      <w:r>
        <w:rPr>
          <w:rFonts w:ascii="Garamond" w:hAnsi="Garamond" w:cs="Garamond"/>
          <w:color w:val="000000"/>
          <w:sz w:val="28"/>
          <w:szCs w:val="28"/>
        </w:rPr>
        <w:t>e ili više supstanci;</w:t>
      </w:r>
    </w:p>
    <w:p w14:paraId="30CEA038">
      <w:pPr>
        <w:pStyle w:val="6"/>
        <w:spacing w:beforeAutospacing="0" w:afterAutospacing="0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3) „proizvod“ jeste predmet kome je tokom proizvodnje dat određeni oblik, površina ili dizajn koji više određuje njegovu funkciju nego hemijski sastav;</w:t>
      </w:r>
    </w:p>
    <w:p w14:paraId="47115345">
      <w:pPr>
        <w:pStyle w:val="6"/>
        <w:spacing w:beforeAutospacing="0" w:afterAutospacing="0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4) „stavljanje u promet“ jeste snabd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ij</w:t>
      </w:r>
      <w:r>
        <w:rPr>
          <w:rFonts w:ascii="Garamond" w:hAnsi="Garamond" w:cs="Garamond"/>
          <w:color w:val="000000"/>
          <w:sz w:val="28"/>
          <w:szCs w:val="28"/>
        </w:rPr>
        <w:t>evanje, bilo uz naknadu ili bez naknade;</w:t>
      </w:r>
    </w:p>
    <w:p w14:paraId="462F2ABE">
      <w:pPr>
        <w:pStyle w:val="6"/>
        <w:tabs>
          <w:tab w:val="left" w:pos="7110"/>
        </w:tabs>
        <w:spacing w:beforeAutospacing="0" w:afterAutospacing="0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5) „uvođenje” </w:t>
      </w:r>
      <w:r>
        <w:rPr>
          <w:rFonts w:hint="default" w:ascii="Garamond" w:hAnsi="Garamond" w:cs="Garamond"/>
          <w:color w:val="000000"/>
          <w:sz w:val="28"/>
          <w:szCs w:val="28"/>
          <w:lang w:val="en-US"/>
        </w:rPr>
        <w:t xml:space="preserve">je postupak </w:t>
      </w:r>
      <w:r>
        <w:rPr>
          <w:rFonts w:hint="default" w:ascii="Garamond" w:hAnsi="Garamond" w:cs="Garamond"/>
          <w:color w:val="000000"/>
          <w:sz w:val="28"/>
          <w:szCs w:val="28"/>
          <w:lang w:val="sr-Latn-ME"/>
        </w:rPr>
        <w:t>donošenja</w:t>
      </w:r>
      <w:bookmarkStart w:id="4" w:name="_GoBack"/>
      <w:bookmarkEnd w:id="4"/>
      <w:r>
        <w:rPr>
          <w:rFonts w:hint="default" w:ascii="Garamond" w:hAnsi="Garamond" w:cs="Garamond"/>
          <w:color w:val="005E00"/>
          <w:sz w:val="28"/>
          <w:szCs w:val="28"/>
          <w:lang w:val="en-US"/>
        </w:rPr>
        <w:t xml:space="preserve"> </w:t>
      </w:r>
      <w:r>
        <w:rPr>
          <w:rFonts w:ascii="Garamond" w:hAnsi="Garamond" w:cs="Garamond"/>
          <w:color w:val="000000"/>
          <w:sz w:val="28"/>
          <w:szCs w:val="28"/>
        </w:rPr>
        <w:t xml:space="preserve">supstance na područje neke države, iz treće zemlje, u okviru bilo kojeg carinskog postupka, u skladu sa relevantnim zakonima o uvozu, izvozu, uključujući tranzit; </w:t>
      </w:r>
    </w:p>
    <w:p w14:paraId="1A8A94B8">
      <w:pPr>
        <w:pStyle w:val="6"/>
        <w:spacing w:beforeAutospacing="0" w:afterAutospacing="0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6) „upotreba“ jeste prerada, formulisanje, potrošnja, skladištenje, držanje, obrada, punjenje u sud, prem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j</w:t>
      </w:r>
      <w:r>
        <w:rPr>
          <w:rFonts w:ascii="Garamond" w:hAnsi="Garamond" w:cs="Garamond"/>
          <w:color w:val="000000"/>
          <w:sz w:val="28"/>
          <w:szCs w:val="28"/>
        </w:rPr>
        <w:t>eštanje iz jednog suda u drugi, m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ij</w:t>
      </w:r>
      <w:r>
        <w:rPr>
          <w:rFonts w:ascii="Garamond" w:hAnsi="Garamond" w:cs="Garamond"/>
          <w:color w:val="000000"/>
          <w:sz w:val="28"/>
          <w:szCs w:val="28"/>
        </w:rPr>
        <w:t>ešanje, proizvodnja proizvoda ili bilo kakvo drugo korišćenje;</w:t>
      </w:r>
    </w:p>
    <w:p w14:paraId="53DBC368">
      <w:pPr>
        <w:pStyle w:val="6"/>
        <w:spacing w:beforeAutospacing="0" w:afterAutospacing="0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7) „sumnjiva transakcija” jeste svaka transakcija u vezi sa regulisanim prekursorima eksploziva za koju, nakon uzimanja u obzir svih relevantnih faktora, postoje osnovani razlozi za sumnju da se dotična supstanca ili sm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j</w:t>
      </w:r>
      <w:r>
        <w:rPr>
          <w:rFonts w:ascii="Garamond" w:hAnsi="Garamond" w:cs="Garamond"/>
          <w:color w:val="000000"/>
          <w:sz w:val="28"/>
          <w:szCs w:val="28"/>
        </w:rPr>
        <w:t>eša nam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j</w:t>
      </w:r>
      <w:r>
        <w:rPr>
          <w:rFonts w:ascii="Garamond" w:hAnsi="Garamond" w:cs="Garamond"/>
          <w:color w:val="000000"/>
          <w:sz w:val="28"/>
          <w:szCs w:val="28"/>
        </w:rPr>
        <w:t>erava upotrebiti za nedozvoljenu proizvodnju eksploziva;</w:t>
      </w:r>
    </w:p>
    <w:p w14:paraId="49D70F66">
      <w:pPr>
        <w:pStyle w:val="6"/>
        <w:spacing w:beforeAutospacing="0" w:afterAutospacing="0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8) „pojedinačni korisnik” jeste svako fizičko ili pravno lice koje d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j</w:t>
      </w:r>
      <w:r>
        <w:rPr>
          <w:rFonts w:ascii="Garamond" w:hAnsi="Garamond" w:cs="Garamond"/>
          <w:color w:val="000000"/>
          <w:sz w:val="28"/>
          <w:szCs w:val="28"/>
        </w:rPr>
        <w:t>eluje u svrhe koje nisu u vezi sa njegovom trgovačkom, poslovnom ili profesionalnom d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j</w:t>
      </w:r>
      <w:r>
        <w:rPr>
          <w:rFonts w:ascii="Garamond" w:hAnsi="Garamond" w:cs="Garamond"/>
          <w:color w:val="000000"/>
          <w:sz w:val="28"/>
          <w:szCs w:val="28"/>
        </w:rPr>
        <w:t>elatnošću;</w:t>
      </w:r>
    </w:p>
    <w:p w14:paraId="7B67D08D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/>
          <w:sz w:val="28"/>
          <w:szCs w:val="28"/>
        </w:rPr>
        <w:t>9) „profesionalni korisnik” je privredni subjekat koje ima dokazivu potrebu za ograničenim prekursorom eksploziva za svrhe povezane sa njegovom trgovačkom, poslovnom ili profesionalnom d</w:t>
      </w:r>
      <w:r>
        <w:rPr>
          <w:rFonts w:ascii="Garamond" w:hAnsi="Garamond" w:cs="Garamond"/>
          <w:color w:val="000000"/>
          <w:sz w:val="28"/>
          <w:szCs w:val="28"/>
          <w:lang w:val="sr-Latn-ME"/>
        </w:rPr>
        <w:t>j</w:t>
      </w:r>
      <w:r>
        <w:rPr>
          <w:rFonts w:ascii="Garamond" w:hAnsi="Garamond" w:cs="Garamond"/>
          <w:color w:val="000000"/>
          <w:sz w:val="28"/>
          <w:szCs w:val="28"/>
        </w:rPr>
        <w:t>elatnošću,</w:t>
      </w:r>
      <w:r>
        <w:rPr>
          <w:rFonts w:hint="default" w:ascii="Garamond" w:hAnsi="Garamond" w:cs="Garamond"/>
          <w:color w:val="000000"/>
          <w:sz w:val="28"/>
          <w:szCs w:val="28"/>
          <w:lang w:val="sr-Latn-ME"/>
        </w:rPr>
        <w:t xml:space="preserve"> </w:t>
      </w:r>
      <w:r>
        <w:rPr>
          <w:rFonts w:ascii="Garamond" w:hAnsi="Garamond" w:cs="Garamond"/>
          <w:color w:val="000000"/>
          <w:sz w:val="28"/>
          <w:szCs w:val="28"/>
        </w:rPr>
        <w:t xml:space="preserve">uključujući poljoprivredne aktivnosti koje se obavljaju u punom ili nepunom radnom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vremenu i ne nužno zavisno od veličine zemljišta na kojem se obavljaju te poljoprivredne aktivnosti, pod uslovom da te svrhe ne uključuju stavljanje tog ograničenog prekursora eksploziva na raspolaganje drugoj osobi;</w:t>
      </w:r>
    </w:p>
    <w:p w14:paraId="03EE5C76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10) „privredni subjekat” jeste svako fizičko ili pravno lice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ili skup takvih lica, koji regulisane prekursore eksploziva stavlja u promet na tržištu, na internetu ili izvan njega, uključujući prodavnice na internetu;</w:t>
      </w:r>
    </w:p>
    <w:p w14:paraId="2B78F511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11) „prodavnica na internetu” jeste pružalac usluga posredovanja koji omogućuje privrednim subjektima, sa jedne strane, i pojedinačnim korisnicima, profesionalnim korisnicima ili drugim privrednim subjektima, sa druge strane, sklapanje transakcija koje se odnose na regulisane prekursore eksploziva putem prodaje na internetu ili ugovorâ o pružanju usluga, na stranici prodavnice na internetu ili na stranici privrednog subjekta, koji se koristi računarskim uslugama koje pruža ta prodavnica na internetu;</w:t>
      </w:r>
    </w:p>
    <w:p w14:paraId="02C57291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12) „ograničeni prekursor eksploziva” jeste supstanca sa spiska iz Priloga I, koja je u koncentraciji većoj od odgovarajuće granične vrednosti određene u koloni 2 tabele iz Priloga I, uključujući sm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ešu ili drugu supstancu u kojoj je neka supstanca sa spiska iz tog Priloga prisutna u koncentraciji koja premašuje odgovarajuću graničnu vr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ednost;</w:t>
      </w:r>
    </w:p>
    <w:p w14:paraId="67908373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13) „regulisani prekursor eksploziva” jeste supstanca sa spiska iz Priloga I ili Priloga II, uključujući sm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ešu ili drugu supstancu u kojoj je prisutna supstanca navedena u tim Prilozima, a što isključuje homogene smeše sa više od pet sastojaka u kojima je koncentracija svake supstance iz Priloga I ili Priloga II manja od 1% masenog ud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ela;</w:t>
      </w:r>
    </w:p>
    <w:p w14:paraId="4C41093B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14) „poljoprivredna aktivnost” jeste proizvodnja, podizanje zasada ili uzgoj poljoprivrednih proizvoda, uključujući ubiranje plodova, mužu, uzgoj i držanje životinja u poljoprivredne svrhe ili održavanje poljoprivredne površine u dobrom poljoprivrednom i ekološkom stanju kako je određeno relevant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nim zakonom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7308E8B3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FA8221F">
      <w:pPr>
        <w:pStyle w:val="6"/>
        <w:spacing w:beforeAutospacing="0" w:afterAutospacing="0"/>
        <w:jc w:val="both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II PROCEDURE I MJERE BEZBJEDNOSTI</w:t>
      </w:r>
    </w:p>
    <w:p w14:paraId="7B610206">
      <w:pPr>
        <w:pStyle w:val="6"/>
        <w:spacing w:beforeAutospacing="0" w:afterAutospacing="0"/>
        <w:jc w:val="both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</w:p>
    <w:p w14:paraId="1E132427">
      <w:pPr>
        <w:jc w:val="center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Sloboda kretanja</w:t>
      </w:r>
    </w:p>
    <w:p w14:paraId="63F78C23">
      <w:pPr>
        <w:jc w:val="center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Član 4</w:t>
      </w:r>
    </w:p>
    <w:p w14:paraId="6242D08D">
      <w:pPr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Nadležni organi ne sm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ju zabranjivati, ograničavati niti sprečavati stavljanje u promet regulisanih prekursora eksploziva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,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osim u slučajevima povezanim nezakonitom proizvodnjom eksploziva. Materijama iz Priloga I i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Priloga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II ovog 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z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akona može se prometovati u skladu sa relevantnim zakonima i za dalju profesionalnu upotrebu, osim ako ovim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zakonom nije drugačije propisano. </w:t>
      </w:r>
    </w:p>
    <w:p w14:paraId="4940CBE3">
      <w:pPr>
        <w:jc w:val="both"/>
        <w:rPr>
          <w:rFonts w:ascii="Garamond" w:hAnsi="Garamond" w:eastAsia="SimSu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</w:p>
    <w:p w14:paraId="67B62F3C">
      <w:pPr>
        <w:jc w:val="center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Stavljanje u promet, uvođenje, </w:t>
      </w:r>
      <w:r>
        <w:rPr>
          <w:rFonts w:ascii="Garamond" w:hAnsi="Garamond" w:cs="Garamond"/>
          <w:b/>
          <w:bCs/>
          <w:color w:val="auto"/>
          <w:sz w:val="28"/>
          <w:szCs w:val="28"/>
          <w:lang w:val="sr-Latn-ME"/>
        </w:rPr>
        <w:t xml:space="preserve">posjedovanje i korišćenje ograničenih </w:t>
      </w: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prekursora eksploziva</w:t>
      </w:r>
    </w:p>
    <w:p w14:paraId="6046329B">
      <w:pPr>
        <w:jc w:val="center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Član 5</w:t>
      </w:r>
    </w:p>
    <w:p w14:paraId="679662F1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Ograničeni prekursor eksploziva ne sm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ije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se stavljati u promet za pojedinačne korisnike, niti ih oni sm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iju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uvoditi, pos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edovati ili upotrebljavati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.</w:t>
      </w:r>
    </w:p>
    <w:p w14:paraId="42D70D0C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Ograničenje iz stava 1 takođe važi  i za sm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eše koje sadrže hlorate ili perhlorate navedene u Prilogu I, ako ukupna koncentracija tih supstanci u sm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eši premašuje graničnu vr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ednost za bilo koju od supstanci iz kolone 2 tabele u Prilogu I.</w:t>
      </w:r>
    </w:p>
    <w:p w14:paraId="4EA63296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D60900">
      <w:pPr>
        <w:jc w:val="center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Obavještenje lanca snabdijevanja i obaveze</w:t>
      </w:r>
    </w:p>
    <w:p w14:paraId="79000ADA">
      <w:pPr>
        <w:jc w:val="center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Član 6</w:t>
      </w:r>
    </w:p>
    <w:p w14:paraId="2139AA90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Privredni subjekat koji stavlja u promet regulisani prekursor eksploziva drugom privrednom subjektu obav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eštava ga u pisanom obliku da su nabavka, uvođenje, pos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edovanje ili upotreba tog regulisanog prekursora eksploziva od strane pojedinačnih korisnika podložni obavezama o prijavljivanju iz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člana 8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ovog Zakona.</w:t>
      </w:r>
    </w:p>
    <w:p w14:paraId="4B1F4F0C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Pisana razm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ena informacija čuva se tako da postoji dokumentacija o tome da je lanac snabd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evanja obav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ešten. Te informacije mogu biti sadržane i u pratećem bezbjednosnom listu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,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u skladu sa relevantnim zakonom o hemikalijama. Nadležni organ može zatražiti od privrednog subjekta dokaz o obav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eštavanju lanca snabdijevanja.</w:t>
      </w:r>
    </w:p>
    <w:p w14:paraId="6796C4AE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Privredni subjekat koji stavlja u promet regulisane prekursore eksploziva profesionalnom korisniku mora da zaposlene informi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še koji od proizvoda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,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koj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e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stavlja na tržište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,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sadrže regulisane prekursore eksploziva kao i da ga uputi u obaveze privrednog subjekta kada je u pitanju ova djelatnost.</w:t>
      </w:r>
    </w:p>
    <w:p w14:paraId="71BF45C7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Privredni subjekat mora da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</w:p>
    <w:p w14:paraId="74571869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onemogući da proizvod bude slobodno dostupan,</w:t>
      </w:r>
    </w:p>
    <w:p w14:paraId="3A67F9B6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- je na adekvatan način uskladišten,</w:t>
      </w:r>
    </w:p>
    <w:p w14:paraId="482EF9F8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-proizvode drži na policama iza prodajnog pulta i na taj način spriječi direktan kontakt kupca sa proizvodom,</w:t>
      </w:r>
    </w:p>
    <w:p w14:paraId="3C8144A3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-obezbijedi da prodavnica na internetu preduzima sve mjere kako bi osigurala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da su njeni korisnici koji stavljaju na tržište regulisane prekursore eksploziva upotrebom njenih usluga obav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ešteni o svojim obavezama na osnovu ovog Zakona,</w:t>
      </w:r>
    </w:p>
    <w:p w14:paraId="0E010481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-prodavnica na internetu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mora pružati informacije o sprovođenju ovog zakona na jasan i d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elotvoran način i one moraju biti pružene proaktivno, blagovremeno i biti lako dostupne. Informacije se pružaju po naručivanju, a ne po isporuci. Prodavnice istovremeno moraju imati stranicu sa najčešće postavljenim pitanjima u vezi sa ovim Zakonom,</w:t>
      </w:r>
    </w:p>
    <w:p w14:paraId="17A3E0F2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prodavnica na internetu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preduzima m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ere kako bi osigurala da njeni korisnici poštuju svoje obaveze u skladu sa ovim članom pr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 transakcije kada pomoću njenih usluga stavljaju na tržište ograničene prekursore eksploziva.</w:t>
      </w:r>
    </w:p>
    <w:p w14:paraId="36ED028D">
      <w:pPr>
        <w:pStyle w:val="6"/>
        <w:spacing w:beforeAutospacing="0" w:afterAutospacing="0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71890D">
      <w:pPr>
        <w:jc w:val="center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Provjera nakon prodaje</w:t>
      </w:r>
    </w:p>
    <w:p w14:paraId="06773C14">
      <w:pPr>
        <w:jc w:val="center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Član 7</w:t>
      </w:r>
    </w:p>
    <w:p w14:paraId="02003D6F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Privredni subjekat koji stavlja na tr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žište ograničeni prekursor eksploziva profesionalnom korisniku ili drugom privrednom subjektu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,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kako bi provjerio da je potencijalni kupac profesionalni korisnik ili drugi privredni subjekat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,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mora za svaku transakciju zatražiti sledeće podatke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bookmarkStart w:id="0" w:name="_Hlk193102870"/>
    </w:p>
    <w:bookmarkEnd w:id="0"/>
    <w:p w14:paraId="3D065B72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(a) dokaz o identitetu osobe ovlašćene za zastupanje potencijalnog kupca;</w:t>
      </w:r>
    </w:p>
    <w:p w14:paraId="77B2CA8D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(b) podatke o trgovačkoj, poslovnoj ili profesionalnoj d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elatnosti zajedno sa nazivom, adresom i PDV brojem ili bilo kojim drugim odgovarajućim registarskim brojem firme potencijalnog kupca, ako postoji;</w:t>
      </w:r>
    </w:p>
    <w:p w14:paraId="5514E5F5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(c) za koju svrhu potencijalni kupac planira upotr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ebiti ograničene prekursore eksploziva (obrazac izjave kupca dat u Prilogu I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II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). Izjava kupca mora se popuniti za svaku transakciju, osim ako je takva provera već sprovedena za tog potencijalnog kupca u razdoblju od godinu dana koji prethode toj transakciji, a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transakcija ne odstupa znatno od prethodnih transakcija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.</w:t>
      </w:r>
    </w:p>
    <w:p w14:paraId="3F89FC55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Privredni subjekat mora obratiti posebnu pažnju ako:</w:t>
      </w:r>
    </w:p>
    <w:p w14:paraId="253E4CFA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- potencijalni kupac želi da kupi mnogo veću količinu ograničenog prekursora bez pravnog obrazloženja; </w:t>
      </w:r>
    </w:p>
    <w:p w14:paraId="07E76F38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-  je došlo do promjene adrese potencijalnog kupca; </w:t>
      </w:r>
    </w:p>
    <w:p w14:paraId="021DD2CD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-  je došlo do promjene adrese za isporuku ili načina isporuke;</w:t>
      </w:r>
    </w:p>
    <w:p w14:paraId="513D7EAC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-  je došlo do promjene načina plaćanja; </w:t>
      </w:r>
    </w:p>
    <w:p w14:paraId="2096E444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-  je došlo do promjene kontakta informacija potencijalnog kupca. </w:t>
      </w:r>
    </w:p>
    <w:p w14:paraId="746B8C20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Kako bi se prov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erila planirana upotreba ograničenog prekursora eksploziva, privredni subjekat procenjuje je li planirana upotreba u skladu sa trgovačkom, poslovnom, ili profesionalnom d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elatnošću potencijalnog kupca.</w:t>
      </w:r>
    </w:p>
    <w:p w14:paraId="0DE21443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Privredni subjekat može odbiti transakciju ako postoji opravdana sumnja u legitimnost planirane upotrebe ili u nam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eru potencijalnog kupca da ograničeni prekursor eksploziva upotr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ebi u legitimne svrhe.</w:t>
      </w:r>
    </w:p>
    <w:p w14:paraId="3A8DF31F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Privredni subjekat odmah prijavljuje takve transakcije ili pokušaje transakcija Upravi policije.</w:t>
      </w:r>
    </w:p>
    <w:p w14:paraId="3FAA8AB4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Za potrebe provjere poštovanja ovog Zakona, te spr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ečavanja i otkrivanja nezakonite proizvodnje eksploziva, privredni subjekti čuvaju gore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navedene podatke (kopija lične karte; dokument o pravnom licu; kopija dozvole i izjava kupca) u periodu od 18 meseci nakon datuma transakcije. Informacije se čuvaju u skladu sa propisom kojim se uređuje zakon o zaštiti podataka i licnosti. Tokom perioda čuvanja podataka, ti podaci moraju biti dostupni za inspekciju na zaht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ev nacionalnih inspekcijskih organa ili organa za sprovođenje zakona.</w:t>
      </w:r>
    </w:p>
    <w:p w14:paraId="3DA7561D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3343E6">
      <w:pPr>
        <w:jc w:val="center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Prepoznavanja i prijava sumnjivih transakcija, nestanaka i krađa</w:t>
      </w:r>
    </w:p>
    <w:p w14:paraId="3A2C4580">
      <w:pPr>
        <w:jc w:val="center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Član 8</w:t>
      </w:r>
    </w:p>
    <w:p w14:paraId="687DDFE2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U cilju sprečavanja i otkrivanja nezakonite proizvodnje eksploziva, privredni subjekti i prodavnice na internetu prijavljuju sumnjive transakcije.</w:t>
      </w:r>
    </w:p>
    <w:p w14:paraId="432AE30F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Privredni subjekti i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prodavnica na internetu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to čine nakon što su razmotrili sve okolnosti, a posebno ako se potencijalni kupac ponaša na jedan ili više od sledećih načina:</w:t>
      </w:r>
    </w:p>
    <w:p w14:paraId="7E5B4ACC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(a) nejasan je u vezi sa planiranom upotrebom regulisanih prekursora eksploziva;</w:t>
      </w:r>
    </w:p>
    <w:p w14:paraId="6BFF5781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(b) d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eluje kao da nije upoznat sa planiranom upotrebom regulisanih prekursora eksploziva ili je ne može uv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erljivo objasniti;</w:t>
      </w:r>
    </w:p>
    <w:p w14:paraId="3421C2EC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(c) nam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erava kupiti regulisane prekursore eksploziva u količinama, kombinacijama ili koncentracijama neuobičajenima za legitimnu upotrebu;</w:t>
      </w:r>
    </w:p>
    <w:p w14:paraId="4B731FD8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(d) nije voljan pružiti dokaz svog identiteta, boravišta ili, prema potrebi, statusa profesionalnog korisnika ili privrednog subjekta;</w:t>
      </w:r>
    </w:p>
    <w:p w14:paraId="21A1743C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(e) insistira na korišćenju neuobičajenih načina plaćanja, uključujući velike količine gotovine.</w:t>
      </w:r>
    </w:p>
    <w:p w14:paraId="5C717F29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Privredni subjekti i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prodavnica na internetu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moraju imati uspostavljene prikladne, razumne i srazmerne postupke za otkrivanje sumnjivih transakcija, prilagođene za posebno okruženje u kojem se ti regulisani prekursori eksploziva stavljaju na tržište.</w:t>
      </w:r>
    </w:p>
    <w:p w14:paraId="1E6A08F9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Privredni subjekti i internetska tržišta mogu odbiti sumnjivu transakciju. Oni moraju prijaviti sumnjivu transakciju ili pokušaj sumnjive transakcije u roku od 24 sata od trenutka kada su zaključili da je sumnjiva. Prilikom prijavljivanja takve transakcije oni daju identitet kupca, ako je to moguće, i sve pojedinosti na temelju kojih su zaključili da je transakcija sumnjiva nacionalnoj kontakt tački. </w:t>
      </w:r>
    </w:p>
    <w:p w14:paraId="1396A2D7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Privredni subjekti i profesionalni korisnici moraju prijaviti znatne nestanke i krađe regulisanih prekursora eksploziva u roku od 24 sata od otkrivanja nacionalnoj kontakt tački. </w:t>
      </w:r>
    </w:p>
    <w:p w14:paraId="4AB9F6E5">
      <w:pPr>
        <w:pStyle w:val="6"/>
        <w:spacing w:beforeAutospacing="0" w:afterAutospacing="0"/>
        <w:ind w:firstLine="420" w:firstLineChars="15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44F047">
      <w:pPr>
        <w:pStyle w:val="6"/>
        <w:spacing w:beforeAutospacing="0" w:afterAutospacing="0"/>
        <w:ind w:firstLine="422" w:firstLineChars="150"/>
        <w:jc w:val="center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Nacionalna kontakt tačka</w:t>
      </w:r>
    </w:p>
    <w:p w14:paraId="30944573">
      <w:pPr>
        <w:pStyle w:val="6"/>
        <w:spacing w:beforeAutospacing="0" w:afterAutospacing="0"/>
        <w:ind w:firstLine="422" w:firstLineChars="150"/>
        <w:jc w:val="center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Član 9</w:t>
      </w:r>
    </w:p>
    <w:p w14:paraId="2E795DA3">
      <w:pPr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Nacionalna kontakt tačka za prijavu sumnjivih transakcija ili značajnih nestanaka ili krađa stvari ili smješa ili stvari koji ih sadrže (u daljem tekstu: Nacionalna kontakt tačka) je Uprava policije.</w:t>
      </w:r>
    </w:p>
    <w:p w14:paraId="63357F49">
      <w:pPr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Nacionalna kontakt tačka prikuplja i prosleđuje Evropskoj komisiji i nacionalnim kontakt tačkama država članica Evropske unije podatke o sumnjivim transakcijama ili značajnim nestancima ili krađama stvari ili smješa ili stvari koje ih sadrže. </w:t>
      </w:r>
    </w:p>
    <w:p w14:paraId="08AA22F0">
      <w:pPr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Nacionalna kontakt tačka vodi evidenciju o prijavljenim sumnjivim transakcijama, značajnim nestancima ili krađama. </w:t>
      </w:r>
    </w:p>
    <w:p w14:paraId="25CE78D0">
      <w:pPr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Nacionalna kontakt tačka oba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v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ještava Evropsku komisiju o aktivnostima za podizanje svijesti iz člana 1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ovog zakona. </w:t>
      </w:r>
    </w:p>
    <w:p w14:paraId="25AF4A44">
      <w:pPr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Podaci o Nacionalnoj kontakt tački (telefonski broj i adresa elektronske pošte) i uputstva za prijavu sumnjivih transakcija, nestanaka i krađa biće dostupni na internet stranic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Uprave policije.</w:t>
      </w:r>
    </w:p>
    <w:p w14:paraId="4C4178E3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833F83">
      <w:pPr>
        <w:jc w:val="center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Podizanje svijesti</w:t>
      </w:r>
    </w:p>
    <w:p w14:paraId="7169DA92">
      <w:pPr>
        <w:jc w:val="center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Član 10</w:t>
      </w:r>
    </w:p>
    <w:p w14:paraId="0C9FF644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Nadležni organi iz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člana 11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mogu organizovati informativne aktivnosti sa privrednim subjektima i profesionalnim korisnicima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u vezi sa ovim zakonom i njegovim sprovođenjem.</w:t>
      </w:r>
    </w:p>
    <w:p w14:paraId="1CD5DF40">
      <w:pPr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Nadležni organi najmanje jednom godišnje preduzimaju aktivnosti za podizanje svijesti prilagođene specifičnostima različitih sektora u kojima se upotrebljavaju regulisani prekursori eksploziva. </w:t>
      </w:r>
    </w:p>
    <w:p w14:paraId="4B42C2E9">
      <w:pPr>
        <w:pStyle w:val="6"/>
        <w:spacing w:beforeAutospacing="0" w:afterAutospacing="0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13836229">
      <w:pPr>
        <w:pStyle w:val="6"/>
        <w:spacing w:beforeAutospacing="0" w:afterAutospacing="0"/>
        <w:ind w:firstLine="562" w:firstLineChars="200"/>
        <w:jc w:val="both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III. NADZOR</w:t>
      </w:r>
    </w:p>
    <w:p w14:paraId="2F5B20C7">
      <w:pPr>
        <w:pStyle w:val="6"/>
        <w:spacing w:beforeAutospacing="0" w:afterAutospacing="0"/>
        <w:ind w:firstLine="562" w:firstLineChars="200"/>
        <w:jc w:val="both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</w:p>
    <w:p w14:paraId="2B89C0F4">
      <w:pPr>
        <w:jc w:val="center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Nadzor nad sprovođenjem zakona</w:t>
      </w:r>
    </w:p>
    <w:p w14:paraId="134A285F">
      <w:pPr>
        <w:jc w:val="center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Član 11</w:t>
      </w:r>
    </w:p>
    <w:p w14:paraId="4BCF7C52">
      <w:pPr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Nadzor nad sprovođenjem ovog zakona u okviru utvđenih nadležnosti vrše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 Ministarstvo, Uprava policije, organ uprave nadležan za poslove zdravlja, organ uprave nadležan za poslove zaštite životne sredine, organ uprave nadležan za poslove ekonomije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, organ uprave nadležan za poslove poljoprivrede, šumarstva i vodoprivrede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i nadležni inspekcijski organi, preko zdravstvene, sanitarne i ekološke inspekcije.</w:t>
      </w:r>
    </w:p>
    <w:p w14:paraId="001DA07E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1885D46C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</w:p>
    <w:p w14:paraId="0CEC46FE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</w:p>
    <w:p w14:paraId="22079C66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</w:p>
    <w:p w14:paraId="6BCCB53F">
      <w:pPr>
        <w:jc w:val="center"/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Upravne mjere i radnje</w:t>
      </w:r>
    </w:p>
    <w:p w14:paraId="053ACF3F">
      <w:pP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bCs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                                                   Član 12</w:t>
      </w:r>
    </w:p>
    <w:p w14:paraId="0669363C">
      <w:pPr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Pored upravnih mjera i radnji propisanih zakonom kojim je uređen inspekcijski nadzor, inspektor ima ovlašćenja i da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: </w:t>
      </w:r>
    </w:p>
    <w:p w14:paraId="128D0AD9">
      <w:pPr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- naredi uklanjanje nedostataka utvrđenih inspekcijskim nadzorom u vezi sa stavljanjem na tržište ili korišćenjem ograničenog prekursora eksploziva te odrediti rok za njihovo uklanjanje; </w:t>
      </w:r>
    </w:p>
    <w:p w14:paraId="23E22BCA">
      <w:pPr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-zabrani stavljanje na tržište i korištenje ograničenog prekursora eksploziva ako nijesu ispunjeni uslovi za stavljanje na tržište ili upotrebu; </w:t>
      </w:r>
    </w:p>
    <w:p w14:paraId="59ED6DB8">
      <w:pPr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- naredi privrednom subjektu edukovanje zaposlenih sa sadržajem regulisanih prekursora eksploziva u proizvodima koji se stavljaju na tržište i obavezama iz člana 5 ovog zakona; </w:t>
      </w:r>
    </w:p>
    <w:p w14:paraId="3EC4B7AA">
      <w:pPr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- naredi preduzimanja mjera i aktivnosti kako bi korisnici internetskog tržišta bili obaviješteni o svojim obavezama iz ovog zakona; </w:t>
      </w:r>
    </w:p>
    <w:p w14:paraId="117F46DA">
      <w:pPr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- zabrani obavljanje djelatnosti subjekta internetskog tržišta čiji korisnici ne poštuju obaveze propisane ovim zakonom; </w:t>
      </w:r>
    </w:p>
    <w:p w14:paraId="6906871B">
      <w:pPr>
        <w:ind w:firstLine="560" w:firstLineChars="200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- naredi preduzimanje drugih mjera za koje je ovlašćen ovim zakonom i drugim propisom. </w:t>
      </w:r>
    </w:p>
    <w:p w14:paraId="75A3F107">
      <w:pPr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EEEC82">
      <w:pPr>
        <w:pStyle w:val="10"/>
        <w:jc w:val="left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b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IV</w:t>
      </w:r>
      <w:r>
        <w:rPr>
          <w:rFonts w:ascii="Garamond" w:hAnsi="Garamond" w:cs="Garamond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KAZNENE ODREDBE </w:t>
      </w:r>
    </w:p>
    <w:p w14:paraId="3BBC5A08">
      <w:pPr>
        <w:pStyle w:val="8"/>
        <w:spacing w:before="0" w:after="0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Član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13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﻿ </w:t>
      </w:r>
    </w:p>
    <w:p w14:paraId="43D6BEAC">
      <w:pPr>
        <w:pStyle w:val="9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Novčanom kaznom od 1.500 eura do 16.000 eura kazniće se za prekršaj pravno lice, ako:</w:t>
      </w:r>
    </w:p>
    <w:p w14:paraId="205D9731">
      <w:pPr>
        <w:pStyle w:val="9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1)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pojedinačnom korisniku stavi na raspolaganje ograničeni prekursor eksploziva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(član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5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stav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1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);</w:t>
      </w:r>
    </w:p>
    <w:p w14:paraId="0DEF39F3">
      <w:pPr>
        <w:pStyle w:val="9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2)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pojedinačnom korisniku stavi na raspolaganje smješe koje sadrž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e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klorate ili perklorate na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v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edene na popisu u Prilogu I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,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ako ukupna koncentracija tih stvari u smješi premašuje graničnu vrijednost za bilo koju od supstanci iz kolone 2 tab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e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le u Prilogu 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(član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5 stav 2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); </w:t>
      </w:r>
    </w:p>
    <w:p w14:paraId="1684DD21">
      <w:pPr>
        <w:pStyle w:val="9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3)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drugom privrednom subjektu stavi na raspolaganje ograničeni prekursor eksploziva i ne obavijesti ga u pisanom obliku da su nabavka, uvođenje, posjedovanje ili upotreba tog ograničenog prekursora eksploziva od strane pojedinačnih korisnika podložni ograničenju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(član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6 stav 1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);</w:t>
      </w:r>
    </w:p>
    <w:p w14:paraId="02240A44">
      <w:pPr>
        <w:pStyle w:val="9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4)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drugom privrednom subjektu stavi na raspolaganje regulisani prekursor eksploziva i ne obavijesti ga u pisanom obliku da su nabavka, uvođenje, posjedovanje ili upotreba tog regulisanog prekursora eksploziva od st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ra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ne pojedinačnih korisnika podložni obavezama prijave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(član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6 stav 2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);</w:t>
      </w:r>
    </w:p>
    <w:p w14:paraId="3BAA8CEC">
      <w:pPr>
        <w:pStyle w:val="9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5)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u pisanom obliku ne upozna zaposlene koji učestvuju u prodajnom lancu, odmah po zasnivanju radnog odnosa i kasnije jednom godišnje, sa sadržajem regulisanih prekursora eksploziva u proizvodima koje stavlja na tržište i o obavezama iz člana 5 i 6 ovog zakona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(član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član 6 stav 4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);</w:t>
      </w:r>
    </w:p>
    <w:p w14:paraId="18ED18C0">
      <w:pPr>
        <w:spacing w:line="252" w:lineRule="auto"/>
        <w:jc w:val="both"/>
        <w:rPr>
          <w:rFonts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eastAsia="Times New Roman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6) 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nije preduzeo mjere kako bi osigurao da njeni korisnici poštuju svoje obaveze u skladu sa ovim članom prije transakcije kada pomoću njenih usluga stavljaju na tržište ograničene prekursore eksploziva 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(član 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7 stav 7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);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</w:t>
      </w:r>
    </w:p>
    <w:p w14:paraId="2586750C">
      <w:pPr>
        <w:pStyle w:val="9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7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ne 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čuva podatke u periodu od 18 mjeseci od datuma transakcije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(član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7 stav 6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);</w:t>
      </w:r>
    </w:p>
    <w:p w14:paraId="32450FE6">
      <w:pPr>
        <w:pStyle w:val="9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8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ne omogući nadležnoj i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ns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pekciji uvid u podatke 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(član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7 stav 6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);</w:t>
      </w:r>
    </w:p>
    <w:p w14:paraId="1E7FA96C">
      <w:pPr>
        <w:pStyle w:val="9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9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Nacionalnoj kontaktnoj tački ne prijavi svaku sumnjivu transakciju ili pokušaj sumnjive transakcije u roku od 24 sata od saznanja da se radi o sumnjivoj transakciji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(član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8 stav 4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);</w:t>
      </w:r>
    </w:p>
    <w:p w14:paraId="229356EC">
      <w:pPr>
        <w:pStyle w:val="9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0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Nacionalnoj kontakt tački ne prijavi zantni nestanak ili krađu regulisanih prekursora eksploziva u roku od 24 sata od trenutka saznanja za nestanak ili krađu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(član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8 stav 5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);</w:t>
      </w:r>
    </w:p>
    <w:p w14:paraId="26C4F40A">
      <w:pPr>
        <w:pStyle w:val="9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Za prekršaj iz stava 1 ovog člana kazniće se i odgovorno lice u pravnom licu novčanom kaznom od 300 eura do 1500 eura.</w:t>
      </w:r>
    </w:p>
    <w:p w14:paraId="62FFC8B9">
      <w:pPr>
        <w:pStyle w:val="9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Za prekršaj iz stava 1 ovog člana kazniće se preduzetnik novčanom kaznom od 750 eura do 4.000 eura.</w:t>
      </w:r>
    </w:p>
    <w:p w14:paraId="6BA6E4AD">
      <w:pPr>
        <w:pStyle w:val="9"/>
        <w:ind w:left="0" w:firstLine="0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3FB1E3">
      <w:pPr>
        <w:pStyle w:val="8"/>
        <w:spacing w:before="0" w:after="0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Član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14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9981B6C">
      <w:pPr>
        <w:pStyle w:val="9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Novčanom kaznom od 200 eura do 550 eura kazniće se za prekršaj fizičko lice, ako:</w:t>
      </w:r>
    </w:p>
    <w:p w14:paraId="7B60BC6C">
      <w:pPr>
        <w:pStyle w:val="9"/>
        <w:numPr>
          <w:ilvl w:val="0"/>
          <w:numId w:val="1"/>
        </w:numPr>
        <w:rPr>
          <w:rFonts w:ascii="Garamond" w:hAnsi="Garamond" w:eastAsia="Times New Roman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pojedinačnom korisniku stavi na raspolaganje ograničeni prekursor eksp</w:t>
      </w:r>
      <w:r>
        <w:rPr>
          <w:rFonts w:hint="default"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loz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iva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(član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4 stav 1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);</w:t>
      </w:r>
    </w:p>
    <w:p w14:paraId="4929724C">
      <w:pPr>
        <w:pStyle w:val="9"/>
        <w:ind w:left="390" w:firstLine="0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eastAsia="Times New Roman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2) 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pojedinačnom korisniku stavi na raspolaganje smješe koje sadrža klorate ili perklorate navedene na popisu u Prilogu I, ako ukupna koncentracija tih stvari u smješi premašuje graničnu vrijednost</w:t>
      </w:r>
      <w:r>
        <w:rPr>
          <w:rFonts w:hint="default"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za bilo koju od stvari</w:t>
      </w:r>
      <w:r>
        <w:rPr>
          <w:rFonts w:hint="default"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,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određenu u koloni 2 tablice iz Priloga I</w:t>
      </w:r>
      <w:r>
        <w:rPr>
          <w:rFonts w:hint="default"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,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(član 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4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stav 2)</w:t>
      </w:r>
      <w:r>
        <w:rPr>
          <w:rFonts w:ascii="Garamond" w:hAnsi="Garamond" w:eastAsia="Times New Roman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;</w:t>
      </w:r>
    </w:p>
    <w:p w14:paraId="12EFFB57">
      <w:pPr>
        <w:pStyle w:val="9"/>
        <w:ind w:left="0" w:firstLine="0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52365DD">
      <w:pPr>
        <w:pStyle w:val="10"/>
        <w:jc w:val="left"/>
        <w:rPr>
          <w:rFonts w:ascii="Garamond" w:hAnsi="Garamond" w:cs="Garamond"/>
          <w:b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V. </w:t>
      </w:r>
      <w:r>
        <w:rPr>
          <w:rFonts w:ascii="Garamond" w:hAnsi="Garamond" w:cs="Garamond"/>
          <w:b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ZAVRŠNE ODREDBE</w:t>
      </w:r>
    </w:p>
    <w:p w14:paraId="66ED2930">
      <w:pPr>
        <w:pStyle w:val="10"/>
        <w:jc w:val="left"/>
        <w:rPr>
          <w:rFonts w:ascii="Garamond" w:hAnsi="Garamond" w:cs="Garamond"/>
          <w:b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</w:p>
    <w:p w14:paraId="4EB04DF8">
      <w:pPr>
        <w:pStyle w:val="7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Stupanje na snagu</w:t>
      </w:r>
    </w:p>
    <w:p w14:paraId="5CAC09E5">
      <w:pPr>
        <w:pStyle w:val="8"/>
        <w:spacing w:before="0" w:after="0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Član 1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5</w:t>
      </w:r>
    </w:p>
    <w:p w14:paraId="4F04781F">
      <w:pPr>
        <w:pStyle w:val="9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Ovaj zakon stupa na snagu osmog dana od dana objavljivanja u "Službenom listu Crne Gore".</w:t>
      </w:r>
    </w:p>
    <w:p w14:paraId="4F3020C3">
      <w:pPr>
        <w:pStyle w:val="9"/>
        <w:ind w:left="0" w:leftChars="0" w:firstLine="0" w:firstLineChars="0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38105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 w:themeColor="text1"/>
          <w:sz w:val="28"/>
          <w:szCs w:val="28"/>
          <w:lang w:val="sr-Latn-CS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:lang w:val="sr-Latn-CS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Garamond" w:hAnsi="Garamond" w:eastAsia="Tahoma" w:cs="Garamond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</w:t>
      </w:r>
      <w:r>
        <w:rPr>
          <w:rFonts w:ascii="Garamond" w:hAnsi="Garamond" w:cs="Garamond"/>
          <w:color w:val="000000" w:themeColor="text1"/>
          <w:sz w:val="28"/>
          <w:szCs w:val="28"/>
          <w:lang w:val="sr-Latn-CS"/>
          <w14:textFill>
            <w14:solidFill>
              <w14:schemeClr w14:val="tx1"/>
            </w14:solidFill>
          </w14:textFill>
        </w:rPr>
        <w:t xml:space="preserve"> U ovaj zakon prenijete su odredbe Direktive br.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2019/1148</w:t>
      </w:r>
      <w:r>
        <w:rPr>
          <w:rFonts w:ascii="Garamond" w:hAnsi="Garamond" w:cs="Garamond"/>
          <w:color w:val="000000" w:themeColor="text1"/>
          <w:sz w:val="28"/>
          <w:szCs w:val="28"/>
          <w:lang w:val="sr-Latn-CS"/>
          <w14:textFill>
            <w14:solidFill>
              <w14:schemeClr w14:val="tx1"/>
            </w14:solidFill>
          </w14:textFill>
        </w:rPr>
        <w:t xml:space="preserve"> Evropskog parlamenta i Savjeta od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20. juna</w:t>
      </w:r>
      <w:r>
        <w:rPr>
          <w:rFonts w:ascii="Garamond" w:hAnsi="Garamond" w:cs="Garamond"/>
          <w:color w:val="000000" w:themeColor="text1"/>
          <w:sz w:val="28"/>
          <w:szCs w:val="28"/>
          <w:lang w:val="sr-Latn-CS"/>
          <w14:textFill>
            <w14:solidFill>
              <w14:schemeClr w14:val="tx1"/>
            </w14:solidFill>
          </w14:textFill>
        </w:rPr>
        <w:t xml:space="preserve"> 2023. godine o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stavljanju na tržištu i upotreba prekursora eksploziva</w:t>
      </w:r>
      <w:r>
        <w:rPr>
          <w:rFonts w:ascii="Garamond" w:hAnsi="Garamond" w:cs="Garamond"/>
          <w:color w:val="000000" w:themeColor="text1"/>
          <w:sz w:val="28"/>
          <w:szCs w:val="28"/>
          <w:lang w:val="sr-Latn-CS"/>
          <w14:textFill>
            <w14:solidFill>
              <w14:schemeClr w14:val="tx1"/>
            </w14:solidFill>
          </w14:textFill>
        </w:rPr>
        <w:t xml:space="preserve">. </w:t>
      </w:r>
    </w:p>
    <w:p w14:paraId="0BE35E2E">
      <w:pPr>
        <w:pStyle w:val="9"/>
        <w:rPr>
          <w:rFonts w:ascii="Garamond" w:hAnsi="Garamond" w:cs="Garamond"/>
          <w:color w:val="FF0000"/>
          <w:sz w:val="28"/>
          <w:szCs w:val="28"/>
        </w:rPr>
      </w:pPr>
    </w:p>
    <w:p w14:paraId="0764A092">
      <w:pPr>
        <w:pStyle w:val="6"/>
        <w:jc w:val="both"/>
        <w:rPr>
          <w:b/>
          <w:bCs/>
          <w:color w:val="000000"/>
          <w:u w:val="single"/>
        </w:rPr>
      </w:pPr>
    </w:p>
    <w:p w14:paraId="6BF6200F">
      <w:pPr>
        <w:pStyle w:val="6"/>
        <w:jc w:val="both"/>
        <w:rPr>
          <w:b/>
          <w:bCs/>
          <w:color w:val="000000"/>
          <w:u w:val="single"/>
        </w:rPr>
      </w:pPr>
    </w:p>
    <w:p w14:paraId="2D99EAA6">
      <w:pPr>
        <w:pStyle w:val="6"/>
        <w:jc w:val="both"/>
        <w:rPr>
          <w:b/>
          <w:bCs/>
          <w:color w:val="000000"/>
          <w:u w:val="single"/>
        </w:rPr>
      </w:pPr>
    </w:p>
    <w:p w14:paraId="435AEFD7">
      <w:pPr>
        <w:pStyle w:val="6"/>
        <w:jc w:val="both"/>
        <w:rPr>
          <w:color w:val="000000"/>
        </w:rPr>
      </w:pPr>
      <w:r>
        <w:rPr>
          <w:b/>
          <w:bCs/>
          <w:color w:val="000000"/>
          <w:u w:val="single"/>
        </w:rPr>
        <w:t>Prilog I</w:t>
      </w:r>
    </w:p>
    <w:p w14:paraId="3F1304A4">
      <w:pPr>
        <w:pStyle w:val="6"/>
        <w:jc w:val="both"/>
        <w:rPr>
          <w:color w:val="000000"/>
        </w:rPr>
      </w:pPr>
      <w:r>
        <w:rPr>
          <w:b/>
          <w:bCs/>
          <w:color w:val="000000"/>
          <w:u w:val="single"/>
        </w:rPr>
        <w:t>OGRANIČENI PREKURSORI EKSPLOZIVA</w:t>
      </w:r>
    </w:p>
    <w:p w14:paraId="20A08226">
      <w:pPr>
        <w:pStyle w:val="6"/>
        <w:jc w:val="both"/>
        <w:rPr>
          <w:color w:val="000000"/>
        </w:rPr>
      </w:pPr>
      <w:r>
        <w:rPr>
          <w:color w:val="000000"/>
        </w:rPr>
        <w:t>Spisak supstanci koje se ne sm</w:t>
      </w:r>
      <w:r>
        <w:rPr>
          <w:rFonts w:hint="default"/>
          <w:color w:val="000000"/>
          <w:lang w:val="sr-Latn-ME"/>
        </w:rPr>
        <w:t>i</w:t>
      </w:r>
      <w:r>
        <w:rPr>
          <w:color w:val="000000"/>
        </w:rPr>
        <w:t>ju stavljati na tržište pojedinačnim korisnicima, niti ih pojedinačni korisnici sm</w:t>
      </w:r>
      <w:r>
        <w:rPr>
          <w:rFonts w:hint="default"/>
          <w:color w:val="000000"/>
          <w:lang w:val="sr-Latn-ME"/>
        </w:rPr>
        <w:t>i</w:t>
      </w:r>
      <w:r>
        <w:rPr>
          <w:color w:val="000000"/>
        </w:rPr>
        <w:t>ju uvoditi, pos</w:t>
      </w:r>
      <w:r>
        <w:rPr>
          <w:rFonts w:hint="default"/>
          <w:color w:val="000000"/>
          <w:lang w:val="sr-Latn-ME"/>
        </w:rPr>
        <w:t>j</w:t>
      </w:r>
      <w:r>
        <w:rPr>
          <w:color w:val="000000"/>
        </w:rPr>
        <w:t>edovati ili upotrebljavati kao takve ili u sm</w:t>
      </w:r>
      <w:r>
        <w:rPr>
          <w:rFonts w:hint="default"/>
          <w:color w:val="000000"/>
          <w:lang w:val="sr-Latn-ME"/>
        </w:rPr>
        <w:t>je</w:t>
      </w:r>
      <w:r>
        <w:rPr>
          <w:color w:val="000000"/>
        </w:rPr>
        <w:t>šama ili supstancama koje sadrže te supstance, osim ako je njihova koncentracija jednaka ili niža od graničnih vrednosti utvrđenih u koloni 2, i u vezi sa kojima sumnjive transakcije te nestanke i krađe treba prijaviti u roku od 24 sata.</w:t>
      </w:r>
    </w:p>
    <w:p w14:paraId="335DB3A2">
      <w:pPr>
        <w:pStyle w:val="6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Style w:val="4"/>
        <w:tblW w:w="1029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2"/>
        <w:gridCol w:w="1872"/>
        <w:gridCol w:w="1440"/>
        <w:gridCol w:w="1440"/>
        <w:gridCol w:w="1512"/>
      </w:tblGrid>
      <w:tr w14:paraId="46E3FE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53447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0.1_table01"/>
            <w:bookmarkEnd w:id="1"/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E8312B9">
            <w:pPr>
              <w:pStyle w:val="6"/>
              <w:jc w:val="both"/>
            </w:pPr>
            <w:r>
              <w:t>Grani</w:t>
            </w:r>
            <w:r>
              <w:rPr>
                <w:rFonts w:ascii="Calibri" w:hAnsi="Calibri" w:cs="Calibri"/>
              </w:rPr>
              <w:t>čna vrednost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C6973B">
            <w:pPr>
              <w:pStyle w:val="6"/>
              <w:jc w:val="both"/>
            </w:pPr>
            <w:r>
              <w:t>Gornja grani</w:t>
            </w:r>
            <w:r>
              <w:rPr>
                <w:rFonts w:ascii="Calibri" w:hAnsi="Calibri" w:cs="Calibri"/>
              </w:rPr>
              <w:t>čna vrednost za potrebe dozvola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330834">
            <w:pPr>
              <w:pStyle w:val="6"/>
              <w:jc w:val="both"/>
            </w:pPr>
            <w:r>
              <w:t>Oznaka kombinovane nomenklature (KN) za posebno hemijski definisano jedinjenje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F9CEFA7">
            <w:pPr>
              <w:pStyle w:val="6"/>
              <w:jc w:val="both"/>
            </w:pPr>
            <w:r>
              <w:t>Oznaka kombinovane nomenklature (KN) za sme</w:t>
            </w:r>
            <w:r>
              <w:rPr>
                <w:rFonts w:ascii="Calibri" w:hAnsi="Calibri" w:cs="Calibri"/>
              </w:rPr>
              <w:t>šu bez sastojaka</w:t>
            </w:r>
          </w:p>
        </w:tc>
      </w:tr>
      <w:tr w14:paraId="2050E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6D58B328">
            <w:pPr>
              <w:pStyle w:val="6"/>
              <w:jc w:val="both"/>
            </w:pPr>
            <w:r>
              <w:t>Azotna kiselina (CAS RN 7979-37-2)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04D43A5">
            <w:pPr>
              <w:pStyle w:val="6"/>
              <w:jc w:val="both"/>
            </w:pPr>
            <w:r>
              <w:t>3% masenog udela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21CE63">
            <w:pPr>
              <w:pStyle w:val="6"/>
              <w:jc w:val="both"/>
            </w:pPr>
            <w:r>
              <w:t>10% masenog udela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F7770EB">
            <w:pPr>
              <w:pStyle w:val="6"/>
              <w:jc w:val="both"/>
            </w:pPr>
            <w:r>
              <w:t>Ex 2808 00 00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55A7EB8">
            <w:pPr>
              <w:pStyle w:val="6"/>
              <w:jc w:val="both"/>
            </w:pPr>
            <w:r>
              <w:t>Ex 3824 99 96</w:t>
            </w:r>
          </w:p>
        </w:tc>
      </w:tr>
      <w:tr w14:paraId="17CB5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0A90DCBE">
            <w:pPr>
              <w:pStyle w:val="6"/>
              <w:jc w:val="both"/>
            </w:pPr>
            <w:r>
              <w:t>Vodonik peroksid (CAS RN 7722-84-1)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BBF9651">
            <w:pPr>
              <w:pStyle w:val="6"/>
              <w:jc w:val="both"/>
            </w:pPr>
            <w:r>
              <w:t>12% masenog udela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EC81AA">
            <w:pPr>
              <w:pStyle w:val="6"/>
              <w:jc w:val="both"/>
            </w:pPr>
            <w:r>
              <w:t>35% masenog udela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9E0772">
            <w:pPr>
              <w:pStyle w:val="6"/>
              <w:jc w:val="both"/>
            </w:pPr>
            <w:r>
              <w:t>2847 00 00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9A14C7B">
            <w:pPr>
              <w:pStyle w:val="6"/>
              <w:jc w:val="both"/>
            </w:pPr>
            <w:r>
              <w:t>Ex 3824 99 96</w:t>
            </w:r>
          </w:p>
        </w:tc>
      </w:tr>
      <w:tr w14:paraId="5094B6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2BA6D428">
            <w:pPr>
              <w:pStyle w:val="6"/>
              <w:jc w:val="both"/>
            </w:pPr>
            <w:r>
              <w:t>Sumporna kiselina (CAS RN 7664-93-9)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581D9FB">
            <w:pPr>
              <w:pStyle w:val="6"/>
              <w:jc w:val="both"/>
            </w:pPr>
            <w:r>
              <w:t>15% masenog udela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EECEEDA">
            <w:pPr>
              <w:pStyle w:val="6"/>
              <w:jc w:val="both"/>
            </w:pPr>
            <w:r>
              <w:t>40% masenog udela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F7B7CD">
            <w:pPr>
              <w:pStyle w:val="6"/>
              <w:jc w:val="both"/>
            </w:pPr>
            <w:r>
              <w:t>Ex 2807 00 00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8EBF509">
            <w:pPr>
              <w:pStyle w:val="6"/>
              <w:jc w:val="both"/>
            </w:pPr>
            <w:r>
              <w:t>Ex 3824 99 96</w:t>
            </w:r>
          </w:p>
        </w:tc>
      </w:tr>
      <w:tr w14:paraId="18C2CC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7C913499">
            <w:pPr>
              <w:pStyle w:val="6"/>
              <w:jc w:val="both"/>
            </w:pPr>
            <w:r>
              <w:t>Nitrometan (CAS RN 75-52-5)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A6DB7B7">
            <w:pPr>
              <w:pStyle w:val="6"/>
              <w:jc w:val="both"/>
            </w:pPr>
            <w:r>
              <w:t>16% masenog udela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DEEECDD">
            <w:pPr>
              <w:pStyle w:val="6"/>
              <w:jc w:val="both"/>
            </w:pPr>
            <w:r>
              <w:t>100% masenog udela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705989">
            <w:pPr>
              <w:pStyle w:val="6"/>
              <w:jc w:val="both"/>
            </w:pPr>
            <w:r>
              <w:t>Ex 2904 20 00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4CE7CB6">
            <w:pPr>
              <w:pStyle w:val="6"/>
              <w:jc w:val="both"/>
            </w:pPr>
            <w:r>
              <w:t>Ex 3824 99 92</w:t>
            </w:r>
          </w:p>
        </w:tc>
      </w:tr>
      <w:tr w14:paraId="103419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4301C972">
            <w:pPr>
              <w:pStyle w:val="6"/>
              <w:jc w:val="both"/>
            </w:pPr>
            <w:r>
              <w:t>Amonijum nitrat (CAS RN 6484-52-2)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699ADB8">
            <w:pPr>
              <w:pStyle w:val="6"/>
              <w:jc w:val="both"/>
            </w:pPr>
            <w:r>
              <w:t>16% masenog udela azota u odnosu na amonijum nitrat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D239FF">
            <w:pPr>
              <w:pStyle w:val="6"/>
              <w:jc w:val="both"/>
            </w:pPr>
            <w:r>
              <w:t>Nije dopu</w:t>
            </w:r>
            <w:r>
              <w:rPr>
                <w:rFonts w:ascii="Calibri" w:hAnsi="Calibri" w:cs="Calibri"/>
              </w:rPr>
              <w:t>šteno izdavanje dozvola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C342B2">
            <w:pPr>
              <w:pStyle w:val="6"/>
              <w:jc w:val="both"/>
            </w:pPr>
            <w:r>
              <w:t>3102 30 10 (u vodenom rastvoru)</w:t>
            </w:r>
          </w:p>
          <w:p w14:paraId="028311AC">
            <w:pPr>
              <w:pStyle w:val="6"/>
              <w:jc w:val="both"/>
            </w:pPr>
            <w:r>
              <w:rPr>
                <w:rFonts w:ascii="Calibri" w:hAnsi="Calibri" w:cs="Calibri"/>
              </w:rPr>
              <w:t>3103 30 90 (ostalo)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9E3647D">
            <w:pPr>
              <w:pStyle w:val="6"/>
              <w:jc w:val="both"/>
            </w:pPr>
            <w:r>
              <w:t>Ex 3824 99 96</w:t>
            </w:r>
          </w:p>
        </w:tc>
      </w:tr>
      <w:tr w14:paraId="5122ED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18E7FF59">
            <w:pPr>
              <w:pStyle w:val="6"/>
              <w:jc w:val="both"/>
            </w:pPr>
            <w:r>
              <w:t>Kalijum hlorat (CAS RN 3811-04-9)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C3136E3">
            <w:pPr>
              <w:pStyle w:val="6"/>
              <w:jc w:val="both"/>
            </w:pPr>
            <w:r>
              <w:t>40% masenog udela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1EBED4">
            <w:pPr>
              <w:pStyle w:val="6"/>
              <w:jc w:val="both"/>
            </w:pPr>
            <w:r>
              <w:t>Nije dopu</w:t>
            </w:r>
            <w:r>
              <w:rPr>
                <w:rFonts w:ascii="Calibri" w:hAnsi="Calibri" w:cs="Calibri"/>
              </w:rPr>
              <w:t>šteno izdavanje dozvola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ED0A9D">
            <w:pPr>
              <w:pStyle w:val="6"/>
              <w:jc w:val="both"/>
            </w:pPr>
            <w:r>
              <w:t>Ex 2829 19 00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FCC5743">
            <w:pPr>
              <w:pStyle w:val="6"/>
              <w:jc w:val="both"/>
            </w:pPr>
            <w:r>
              <w:t>Ex 3824 99 96</w:t>
            </w:r>
          </w:p>
        </w:tc>
      </w:tr>
      <w:tr w14:paraId="6D46F5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273AD349">
            <w:pPr>
              <w:pStyle w:val="6"/>
              <w:jc w:val="both"/>
            </w:pPr>
            <w:r>
              <w:t>Kalijum perhlorat (CAS RN 7778-74-7)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3844CC0">
            <w:pPr>
              <w:pStyle w:val="6"/>
              <w:jc w:val="both"/>
            </w:pPr>
            <w:r>
              <w:t>3% masenog udela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55A24B">
            <w:pPr>
              <w:pStyle w:val="6"/>
              <w:jc w:val="both"/>
            </w:pPr>
            <w:r>
              <w:t>Nije dopu</w:t>
            </w:r>
            <w:r>
              <w:rPr>
                <w:rFonts w:ascii="Calibri" w:hAnsi="Calibri" w:cs="Calibri"/>
              </w:rPr>
              <w:t>šteno izdavanje dozvola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2DE0556">
            <w:pPr>
              <w:pStyle w:val="6"/>
              <w:jc w:val="both"/>
            </w:pPr>
            <w:r>
              <w:t>Ex 2829 90 10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319026F">
            <w:pPr>
              <w:pStyle w:val="6"/>
              <w:jc w:val="both"/>
            </w:pPr>
            <w:r>
              <w:t>Ex 3824 99 96</w:t>
            </w:r>
          </w:p>
        </w:tc>
      </w:tr>
      <w:tr w14:paraId="3DF58B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2E4B72A8">
            <w:pPr>
              <w:pStyle w:val="6"/>
              <w:jc w:val="both"/>
            </w:pPr>
            <w:r>
              <w:t>Natrijum hlorat (CAS RN 7775-09-9)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4948CB2">
            <w:pPr>
              <w:pStyle w:val="6"/>
              <w:jc w:val="both"/>
            </w:pPr>
            <w:r>
              <w:t>3% masenog udela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7C678F">
            <w:pPr>
              <w:pStyle w:val="6"/>
              <w:jc w:val="both"/>
            </w:pPr>
            <w:r>
              <w:t>Nije dopu</w:t>
            </w:r>
            <w:r>
              <w:rPr>
                <w:rFonts w:ascii="Calibri" w:hAnsi="Calibri" w:cs="Calibri"/>
              </w:rPr>
              <w:t>šteno izdavanje dozvola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CDDD71">
            <w:pPr>
              <w:pStyle w:val="6"/>
              <w:jc w:val="both"/>
            </w:pPr>
            <w:r>
              <w:t>2829 11 00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4F07923">
            <w:pPr>
              <w:pStyle w:val="6"/>
              <w:jc w:val="both"/>
            </w:pPr>
            <w:r>
              <w:t>Ex 3824 99 96</w:t>
            </w:r>
          </w:p>
        </w:tc>
      </w:tr>
      <w:tr w14:paraId="219302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21DCFA45">
            <w:pPr>
              <w:pStyle w:val="6"/>
              <w:jc w:val="both"/>
            </w:pPr>
            <w:r>
              <w:t>Natrijum perhlorat (CAS RN 7601-89-0)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3ED88E1">
            <w:pPr>
              <w:pStyle w:val="6"/>
              <w:jc w:val="both"/>
            </w:pPr>
            <w:r>
              <w:t>3% masenog udela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E76465">
            <w:pPr>
              <w:pStyle w:val="6"/>
              <w:jc w:val="both"/>
            </w:pPr>
            <w:r>
              <w:t>Nije dopu</w:t>
            </w:r>
            <w:r>
              <w:rPr>
                <w:rFonts w:ascii="Calibri" w:hAnsi="Calibri" w:cs="Calibri"/>
              </w:rPr>
              <w:t>šteno izdavanje dozvola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73A708">
            <w:pPr>
              <w:pStyle w:val="6"/>
              <w:jc w:val="both"/>
            </w:pPr>
            <w:r>
              <w:t>Ex 2829 90 00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2E30566">
            <w:pPr>
              <w:pStyle w:val="6"/>
              <w:jc w:val="both"/>
            </w:pPr>
            <w:r>
              <w:t>Ex 3824 99 96</w:t>
            </w:r>
          </w:p>
        </w:tc>
      </w:tr>
      <w:tr w14:paraId="3BE8AF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48CC0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945C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34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F74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47B9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</w:tr>
    </w:tbl>
    <w:p w14:paraId="7C316FCA">
      <w:pPr>
        <w:pStyle w:val="6"/>
        <w:jc w:val="both"/>
        <w:rPr>
          <w:color w:val="000000"/>
        </w:rPr>
      </w:pPr>
      <w:r>
        <w:rPr>
          <w:color w:val="000000"/>
        </w:rPr>
        <w:t> </w:t>
      </w:r>
    </w:p>
    <w:p w14:paraId="5C1F8A7F">
      <w:pPr>
        <w:pStyle w:val="6"/>
        <w:jc w:val="both"/>
        <w:rPr>
          <w:color w:val="000000"/>
        </w:rPr>
      </w:pPr>
      <w:r>
        <w:rPr>
          <w:b/>
          <w:bCs/>
          <w:color w:val="000000"/>
          <w:u w:val="single"/>
        </w:rPr>
        <w:t>Prilog II</w:t>
      </w:r>
    </w:p>
    <w:p w14:paraId="4BB03FC5">
      <w:pPr>
        <w:pStyle w:val="6"/>
        <w:jc w:val="both"/>
        <w:rPr>
          <w:color w:val="000000"/>
        </w:rPr>
      </w:pPr>
      <w:r>
        <w:rPr>
          <w:b/>
          <w:bCs/>
          <w:color w:val="000000"/>
          <w:u w:val="single"/>
        </w:rPr>
        <w:t>PREKURSORI EKSPLOZIVA KOJE TREBA PRIJAVITI</w:t>
      </w:r>
    </w:p>
    <w:p w14:paraId="538EB073">
      <w:pPr>
        <w:pStyle w:val="6"/>
        <w:jc w:val="both"/>
        <w:rPr>
          <w:color w:val="000000"/>
        </w:rPr>
      </w:pPr>
      <w:r>
        <w:rPr>
          <w:color w:val="000000"/>
        </w:rPr>
        <w:t>Spisak supstanci kao takvih ili u sm</w:t>
      </w:r>
      <w:r>
        <w:rPr>
          <w:rFonts w:hint="default"/>
          <w:color w:val="000000"/>
          <w:lang w:val="sr-Latn-ME"/>
        </w:rPr>
        <w:t>j</w:t>
      </w:r>
      <w:r>
        <w:rPr>
          <w:color w:val="000000"/>
        </w:rPr>
        <w:t>ešama ili u supstancama za koje sumnjive transakcije te nestanke i krađe treba prijaviti u roku od 24 sata.</w:t>
      </w:r>
    </w:p>
    <w:p w14:paraId="2306D64A">
      <w:pPr>
        <w:pStyle w:val="6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Style w:val="4"/>
        <w:tblW w:w="9144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2"/>
        <w:gridCol w:w="2520"/>
        <w:gridCol w:w="2592"/>
      </w:tblGrid>
      <w:tr w14:paraId="5FF1DF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noWrap/>
            <w:vAlign w:val="center"/>
          </w:tcPr>
          <w:p w14:paraId="209EFAFF">
            <w:pPr>
              <w:pStyle w:val="6"/>
              <w:jc w:val="both"/>
            </w:pPr>
            <w:bookmarkStart w:id="2" w:name="0.1_table02"/>
            <w:bookmarkEnd w:id="2"/>
            <w:r>
              <w:t>Naziv supstance i registarski broj iz Me</w:t>
            </w:r>
            <w:r>
              <w:rPr>
                <w:rFonts w:ascii="Calibri" w:hAnsi="Calibri" w:cs="Calibri"/>
              </w:rPr>
              <w:t>đunarodnog registra hemikalija (CAS)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679EC4D">
            <w:pPr>
              <w:pStyle w:val="6"/>
              <w:jc w:val="both"/>
            </w:pPr>
            <w:r>
              <w:t>Kombinovana nomenklatura (KN)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A956945">
            <w:pPr>
              <w:pStyle w:val="6"/>
              <w:jc w:val="both"/>
            </w:pPr>
            <w:r>
              <w:t>Oznaka kombinovane nomenklature (KN) za sm</w:t>
            </w:r>
            <w:r>
              <w:rPr>
                <w:rFonts w:hint="default"/>
                <w:lang w:val="sr-Latn-ME"/>
              </w:rPr>
              <w:t>j</w:t>
            </w:r>
            <w:r>
              <w:t>e</w:t>
            </w:r>
            <w:r>
              <w:rPr>
                <w:rFonts w:ascii="Calibri" w:hAnsi="Calibri" w:cs="Calibri"/>
              </w:rPr>
              <w:t>šu bez sastojaka</w:t>
            </w:r>
          </w:p>
        </w:tc>
      </w:tr>
      <w:tr w14:paraId="11B6DE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3E5AA0FF">
            <w:pPr>
              <w:pStyle w:val="6"/>
              <w:jc w:val="both"/>
            </w:pPr>
            <w:r>
              <w:t>Heksamin (CAS RN 100-97-0)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BD894E2">
            <w:pPr>
              <w:pStyle w:val="6"/>
              <w:jc w:val="both"/>
            </w:pPr>
            <w:r>
              <w:t>Ex 2933 69 40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6D0F4F8">
            <w:pPr>
              <w:pStyle w:val="6"/>
              <w:jc w:val="both"/>
            </w:pPr>
            <w:r>
              <w:t>Ex 3824 99 93</w:t>
            </w:r>
          </w:p>
        </w:tc>
      </w:tr>
      <w:tr w14:paraId="10DD9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769EEBC3">
            <w:pPr>
              <w:pStyle w:val="6"/>
              <w:jc w:val="both"/>
            </w:pPr>
            <w:r>
              <w:t>Aceton (CAS RN 67-64-1)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68B9F87">
            <w:pPr>
              <w:pStyle w:val="6"/>
              <w:jc w:val="both"/>
            </w:pPr>
            <w:r>
              <w:t>2914 11 00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F68BABC">
            <w:pPr>
              <w:pStyle w:val="6"/>
              <w:jc w:val="both"/>
            </w:pPr>
            <w:r>
              <w:t>Ex 3824 99 92</w:t>
            </w:r>
          </w:p>
        </w:tc>
      </w:tr>
      <w:tr w14:paraId="52425F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0D61C029">
            <w:pPr>
              <w:pStyle w:val="6"/>
              <w:jc w:val="both"/>
            </w:pPr>
            <w:r>
              <w:t>Kalijum nitrat (CAS RN 7757-79-1)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C25030D">
            <w:pPr>
              <w:pStyle w:val="6"/>
              <w:jc w:val="both"/>
            </w:pPr>
            <w:r>
              <w:t>2834 21 00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EB52DE0">
            <w:pPr>
              <w:pStyle w:val="6"/>
              <w:jc w:val="both"/>
            </w:pPr>
            <w:r>
              <w:t>Ex 3824 99 96</w:t>
            </w:r>
          </w:p>
        </w:tc>
      </w:tr>
      <w:tr w14:paraId="36C39D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1A7601A1">
            <w:pPr>
              <w:pStyle w:val="6"/>
              <w:jc w:val="both"/>
            </w:pPr>
            <w:r>
              <w:t>Natrijum nitrat (CAS RN 7631-99-4)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0062BD">
            <w:pPr>
              <w:pStyle w:val="6"/>
              <w:jc w:val="both"/>
            </w:pPr>
            <w:r>
              <w:t>3102 50 00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DC0CE90">
            <w:pPr>
              <w:pStyle w:val="6"/>
              <w:jc w:val="both"/>
            </w:pPr>
            <w:r>
              <w:t>Ex 3824 99 96</w:t>
            </w:r>
          </w:p>
        </w:tc>
      </w:tr>
      <w:tr w14:paraId="5B69C7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09A2AA1F">
            <w:pPr>
              <w:pStyle w:val="6"/>
              <w:jc w:val="both"/>
            </w:pPr>
            <w:r>
              <w:t>Kalcijum nitrat (CAS RN 10124-37-5)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0D7C00">
            <w:pPr>
              <w:pStyle w:val="6"/>
              <w:jc w:val="both"/>
            </w:pPr>
            <w:r>
              <w:t>Ex 2843 29 80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FE076EF">
            <w:pPr>
              <w:pStyle w:val="6"/>
              <w:jc w:val="both"/>
            </w:pPr>
            <w:r>
              <w:t>Ex 3824 99 96</w:t>
            </w:r>
          </w:p>
        </w:tc>
      </w:tr>
      <w:tr w14:paraId="5CE1D9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76385808">
            <w:pPr>
              <w:pStyle w:val="6"/>
              <w:jc w:val="both"/>
            </w:pPr>
            <w:r>
              <w:t>Kalcijum amonijum nitrat (CAS RN 15245-12-2)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725EC5">
            <w:pPr>
              <w:pStyle w:val="6"/>
              <w:jc w:val="both"/>
            </w:pPr>
            <w:r>
              <w:t>Ex 3102 60 00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04B4588">
            <w:pPr>
              <w:pStyle w:val="6"/>
              <w:jc w:val="both"/>
            </w:pPr>
            <w:r>
              <w:t>Ex 3824 99 96</w:t>
            </w:r>
          </w:p>
        </w:tc>
      </w:tr>
      <w:tr w14:paraId="2736BC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0774DA01">
            <w:pPr>
              <w:pStyle w:val="6"/>
              <w:jc w:val="both"/>
            </w:pPr>
            <w:r>
              <w:t>Magnezijum, prah (CAS RN 7439-95-4)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D58093">
            <w:pPr>
              <w:pStyle w:val="6"/>
              <w:jc w:val="both"/>
            </w:pPr>
            <w:r>
              <w:t>Ex 8104 30 00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A33F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</w:tr>
      <w:tr w14:paraId="619A36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086501DB">
            <w:pPr>
              <w:pStyle w:val="6"/>
              <w:jc w:val="both"/>
            </w:pPr>
            <w:r>
              <w:t>Magnezijum nitrat heksahidrat (CAS RN 13446-18-9 )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55D47CE">
            <w:pPr>
              <w:pStyle w:val="6"/>
              <w:jc w:val="both"/>
            </w:pPr>
            <w:r>
              <w:t>Ex 2834 29 80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7346F28">
            <w:pPr>
              <w:pStyle w:val="6"/>
              <w:jc w:val="both"/>
            </w:pPr>
            <w:r>
              <w:t>Ex 3824 99 96</w:t>
            </w:r>
          </w:p>
        </w:tc>
      </w:tr>
      <w:tr w14:paraId="0B8302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153006B5">
            <w:pPr>
              <w:pStyle w:val="6"/>
              <w:jc w:val="both"/>
            </w:pPr>
            <w:r>
              <w:t>Aluminijumski prah (CAS RN 7429-90-5)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644A6A8">
            <w:pPr>
              <w:pStyle w:val="6"/>
              <w:jc w:val="both"/>
            </w:pPr>
            <w:r>
              <w:t>Ex 7603 20 00 ili</w:t>
            </w:r>
          </w:p>
          <w:p w14:paraId="0420DFF8">
            <w:pPr>
              <w:pStyle w:val="6"/>
              <w:jc w:val="both"/>
            </w:pPr>
            <w:r>
              <w:rPr>
                <w:rFonts w:ascii="Calibri" w:hAnsi="Calibri" w:cs="Calibri"/>
              </w:rPr>
              <w:t>7603 10 00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6CFD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</w:tr>
      <w:tr w14:paraId="50F43B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2" w:type="dxa"/>
            <w:shd w:val="clear" w:color="auto" w:fill="auto"/>
            <w:vAlign w:val="center"/>
          </w:tcPr>
          <w:p w14:paraId="6028F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C458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A635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</w:tr>
    </w:tbl>
    <w:p w14:paraId="2179DEDE">
      <w:pPr>
        <w:pStyle w:val="6"/>
        <w:jc w:val="both"/>
        <w:rPr>
          <w:color w:val="000000"/>
        </w:rPr>
      </w:pPr>
      <w:r>
        <w:rPr>
          <w:color w:val="000000"/>
        </w:rPr>
        <w:t> </w:t>
      </w:r>
    </w:p>
    <w:p w14:paraId="3EB9275A">
      <w:pPr>
        <w:pStyle w:val="6"/>
        <w:spacing w:beforeAutospacing="0"/>
        <w:jc w:val="both"/>
        <w:rPr>
          <w:color w:val="000000"/>
          <w:lang w:val="sr-Latn-ME"/>
        </w:rPr>
      </w:pPr>
      <w:r>
        <w:rPr>
          <w:b/>
          <w:bCs/>
          <w:color w:val="000000"/>
          <w:u w:val="single"/>
        </w:rPr>
        <w:t xml:space="preserve">Prilog </w:t>
      </w:r>
      <w:r>
        <w:rPr>
          <w:b/>
          <w:bCs/>
          <w:color w:val="000000"/>
          <w:u w:val="single"/>
          <w:lang w:val="sr-Latn-ME"/>
        </w:rPr>
        <w:t>III</w:t>
      </w:r>
    </w:p>
    <w:p w14:paraId="07BB5C9F">
      <w:pPr>
        <w:pStyle w:val="6"/>
        <w:jc w:val="both"/>
        <w:rPr>
          <w:color w:val="000000"/>
        </w:rPr>
      </w:pPr>
      <w:r>
        <w:rPr>
          <w:b/>
          <w:bCs/>
          <w:color w:val="000000"/>
          <w:u w:val="single"/>
        </w:rPr>
        <w:t>IZJAVA KUPCA</w:t>
      </w:r>
    </w:p>
    <w:p w14:paraId="4FD328ED">
      <w:pPr>
        <w:pStyle w:val="6"/>
        <w:jc w:val="both"/>
        <w:rPr>
          <w:color w:val="000000"/>
        </w:rPr>
      </w:pPr>
      <w:r>
        <w:rPr>
          <w:b/>
          <w:bCs/>
          <w:color w:val="000000"/>
          <w:u w:val="single"/>
        </w:rPr>
        <w:t>O posebnoj upotrebi ili upotrebama ograničenih prekursora eksploziva</w:t>
      </w:r>
    </w:p>
    <w:p w14:paraId="59BB10BE">
      <w:pPr>
        <w:pStyle w:val="6"/>
        <w:jc w:val="both"/>
        <w:rPr>
          <w:color w:val="000000"/>
        </w:rPr>
      </w:pPr>
      <w:r>
        <w:rPr>
          <w:b/>
          <w:bCs/>
          <w:color w:val="000000"/>
          <w:u w:val="single"/>
        </w:rPr>
        <w:t>(Ispuniti velikim slovima)</w:t>
      </w:r>
    </w:p>
    <w:p w14:paraId="0B5464D5">
      <w:pPr>
        <w:pStyle w:val="6"/>
        <w:jc w:val="both"/>
        <w:rPr>
          <w:color w:val="000000"/>
        </w:rPr>
      </w:pPr>
      <w:r>
        <w:rPr>
          <w:rFonts w:hint="default"/>
          <w:color w:val="000000"/>
          <w:lang w:val="sr-Latn-ME"/>
        </w:rPr>
        <w:t>Naniže</w:t>
      </w:r>
      <w:r>
        <w:rPr>
          <w:color w:val="000000"/>
        </w:rPr>
        <w:t xml:space="preserve"> potpisani,</w:t>
      </w:r>
    </w:p>
    <w:p w14:paraId="6746860E">
      <w:pPr>
        <w:pStyle w:val="6"/>
        <w:jc w:val="both"/>
        <w:rPr>
          <w:color w:val="000000"/>
        </w:rPr>
      </w:pPr>
      <w:r>
        <w:rPr>
          <w:color w:val="000000"/>
        </w:rPr>
        <w:t>Ime (kupca):</w:t>
      </w:r>
    </w:p>
    <w:p w14:paraId="40A1B86F">
      <w:pPr>
        <w:pStyle w:val="6"/>
        <w:jc w:val="both"/>
        <w:rPr>
          <w:color w:val="000000"/>
        </w:rPr>
      </w:pPr>
      <w:r>
        <w:rPr>
          <w:color w:val="000000"/>
        </w:rPr>
        <w:t>Dokaz o identitetu (broj, organ koji je izdao ispravu):</w:t>
      </w:r>
    </w:p>
    <w:p w14:paraId="2C7E4B60">
      <w:pPr>
        <w:pStyle w:val="6"/>
        <w:jc w:val="both"/>
        <w:rPr>
          <w:color w:val="000000"/>
        </w:rPr>
      </w:pPr>
      <w:r>
        <w:rPr>
          <w:color w:val="000000"/>
        </w:rPr>
        <w:t>Ovlašćeni zastupnik:</w:t>
      </w:r>
    </w:p>
    <w:p w14:paraId="53D1B249">
      <w:pPr>
        <w:pStyle w:val="6"/>
        <w:jc w:val="both"/>
        <w:rPr>
          <w:color w:val="000000"/>
        </w:rPr>
      </w:pPr>
      <w:r>
        <w:rPr>
          <w:color w:val="000000"/>
        </w:rPr>
        <w:t>Firme (matične):</w:t>
      </w:r>
    </w:p>
    <w:p w14:paraId="63E08C4F">
      <w:pPr>
        <w:pStyle w:val="6"/>
        <w:jc w:val="both"/>
        <w:rPr>
          <w:color w:val="000000"/>
        </w:rPr>
      </w:pPr>
      <w:r>
        <w:rPr>
          <w:color w:val="000000"/>
        </w:rPr>
        <w:t>PDV broj ili bilo koji drugi identifikacioni broj firme:</w:t>
      </w:r>
    </w:p>
    <w:p w14:paraId="4A31F4CC">
      <w:pPr>
        <w:pStyle w:val="6"/>
        <w:jc w:val="both"/>
        <w:rPr>
          <w:color w:val="000000"/>
        </w:rPr>
      </w:pPr>
      <w:r>
        <w:rPr>
          <w:color w:val="000000"/>
        </w:rPr>
        <w:t>Trgovačka/poslovna/profesionalna delatnost:</w:t>
      </w:r>
    </w:p>
    <w:tbl>
      <w:tblPr>
        <w:tblStyle w:val="4"/>
        <w:tblW w:w="747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7"/>
        <w:gridCol w:w="1230"/>
        <w:gridCol w:w="1158"/>
        <w:gridCol w:w="1204"/>
        <w:gridCol w:w="1376"/>
        <w:gridCol w:w="1211"/>
      </w:tblGrid>
      <w:tr w14:paraId="472226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8" w:type="dxa"/>
            <w:shd w:val="clear" w:color="auto" w:fill="auto"/>
            <w:noWrap/>
            <w:vAlign w:val="center"/>
          </w:tcPr>
          <w:p w14:paraId="46DB24CE">
            <w:pPr>
              <w:pStyle w:val="6"/>
              <w:jc w:val="both"/>
            </w:pPr>
            <w:bookmarkStart w:id="3" w:name="0.1_table03"/>
            <w:bookmarkEnd w:id="3"/>
            <w:r>
              <w:t>Komercijalni naziv proizvoda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4E558E3">
            <w:pPr>
              <w:pStyle w:val="6"/>
              <w:jc w:val="both"/>
            </w:pPr>
            <w:r>
              <w:t>Ograni</w:t>
            </w:r>
            <w:r>
              <w:rPr>
                <w:rFonts w:ascii="Calibri" w:hAnsi="Calibri" w:cs="Calibri"/>
              </w:rPr>
              <w:t>čeni prekursor eksploziva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0F823BF">
            <w:pPr>
              <w:pStyle w:val="6"/>
              <w:jc w:val="both"/>
            </w:pPr>
            <w:r>
              <w:t>CAS broj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7FD7228">
            <w:pPr>
              <w:pStyle w:val="6"/>
              <w:jc w:val="both"/>
            </w:pPr>
            <w:r>
              <w:t>Koli</w:t>
            </w:r>
            <w:r>
              <w:rPr>
                <w:rFonts w:ascii="Calibri" w:hAnsi="Calibri" w:cs="Calibri"/>
              </w:rPr>
              <w:t>čina (kg/litra)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E024050">
            <w:pPr>
              <w:pStyle w:val="6"/>
              <w:jc w:val="both"/>
            </w:pPr>
            <w:r>
              <w:t>Koncentracija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D49E480">
            <w:pPr>
              <w:pStyle w:val="6"/>
              <w:jc w:val="both"/>
            </w:pPr>
            <w:r>
              <w:t>Planirana upotreba</w:t>
            </w:r>
          </w:p>
        </w:tc>
      </w:tr>
      <w:tr w14:paraId="2FB136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8" w:type="dxa"/>
            <w:shd w:val="clear" w:color="auto" w:fill="auto"/>
            <w:vAlign w:val="center"/>
          </w:tcPr>
          <w:p w14:paraId="0819E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653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C7B4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AD1C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FB7D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73EA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</w:tr>
      <w:tr w14:paraId="0875C2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8" w:type="dxa"/>
            <w:shd w:val="clear" w:color="auto" w:fill="auto"/>
            <w:vAlign w:val="center"/>
          </w:tcPr>
          <w:p w14:paraId="37E42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5545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3EB8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91E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D6F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C5C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</w:tr>
      <w:tr w14:paraId="50E3E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8" w:type="dxa"/>
            <w:shd w:val="clear" w:color="auto" w:fill="auto"/>
            <w:vAlign w:val="center"/>
          </w:tcPr>
          <w:p w14:paraId="6856E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52D9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795D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B16A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3695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95BC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</w:tr>
      <w:tr w14:paraId="61B279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8" w:type="dxa"/>
            <w:shd w:val="clear" w:color="auto" w:fill="auto"/>
            <w:vAlign w:val="center"/>
          </w:tcPr>
          <w:p w14:paraId="22F0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6B50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64C9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878B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4749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49E2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bidi="ar"/>
              </w:rPr>
              <w:t> </w:t>
            </w:r>
          </w:p>
        </w:tc>
      </w:tr>
    </w:tbl>
    <w:p w14:paraId="04E72785">
      <w:pPr>
        <w:pStyle w:val="6"/>
        <w:jc w:val="both"/>
        <w:rPr>
          <w:color w:val="000000"/>
        </w:rPr>
      </w:pPr>
      <w:r>
        <w:rPr>
          <w:color w:val="000000"/>
        </w:rPr>
        <w:t> </w:t>
      </w:r>
    </w:p>
    <w:p w14:paraId="5991FD1B">
      <w:pPr>
        <w:pStyle w:val="6"/>
        <w:jc w:val="both"/>
        <w:rPr>
          <w:color w:val="000000"/>
        </w:rPr>
      </w:pPr>
      <w:r>
        <w:rPr>
          <w:b/>
          <w:bCs/>
          <w:color w:val="000000"/>
          <w:u w:val="single"/>
        </w:rPr>
        <w:t>Privredni subjekat</w:t>
      </w:r>
    </w:p>
    <w:p w14:paraId="213BCDA2">
      <w:pPr>
        <w:pStyle w:val="6"/>
        <w:jc w:val="both"/>
        <w:rPr>
          <w:color w:val="000000"/>
        </w:rPr>
      </w:pPr>
      <w:r>
        <w:rPr>
          <w:rFonts w:ascii="Symbol" w:hAnsi="Symbol" w:cs="Symbol"/>
          <w:color w:val="000000"/>
        </w:rPr>
        <w:t></w:t>
      </w:r>
      <w:r>
        <w:rPr>
          <w:color w:val="000000"/>
        </w:rPr>
        <w:t> Izjavljujem da će se komercijalni proizvod i supstanca ili sm</w:t>
      </w:r>
      <w:r>
        <w:rPr>
          <w:rFonts w:hint="default"/>
          <w:color w:val="000000"/>
          <w:lang w:val="sr-Latn-ME"/>
        </w:rPr>
        <w:t>j</w:t>
      </w:r>
      <w:r>
        <w:rPr>
          <w:color w:val="000000"/>
        </w:rPr>
        <w:t>eša koja je sadrži upotrebljavati samo za naznačenu upotrebu, koja je u svakom slučaju legitimna, te će se prodati ili isporučiti drugom kupcu samo ako drugi kupac podnese sličnu izjavu o upotrebi, uz poštovanje ograničenja utvrđenih ovim Zakonom o prekursorima eksploziva u pogledu stavljanja u promet za pojedinačne korisnike.</w:t>
      </w:r>
    </w:p>
    <w:p w14:paraId="6A04FFDC">
      <w:pPr>
        <w:pStyle w:val="6"/>
        <w:jc w:val="both"/>
        <w:rPr>
          <w:color w:val="000000"/>
        </w:rPr>
      </w:pPr>
      <w:r>
        <w:rPr>
          <w:b/>
          <w:bCs/>
          <w:color w:val="000000"/>
          <w:u w:val="single"/>
        </w:rPr>
        <w:t>Pojedinačni korisnik sa dozvolom</w:t>
      </w:r>
    </w:p>
    <w:p w14:paraId="725C9A4C">
      <w:pPr>
        <w:pStyle w:val="6"/>
        <w:jc w:val="both"/>
        <w:rPr>
          <w:color w:val="000000"/>
        </w:rPr>
      </w:pPr>
      <w:r>
        <w:rPr>
          <w:rFonts w:ascii="Symbol" w:hAnsi="Symbol" w:cs="Symbol"/>
          <w:color w:val="000000"/>
        </w:rPr>
        <w:t></w:t>
      </w:r>
      <w:r>
        <w:rPr>
          <w:color w:val="000000"/>
        </w:rPr>
        <w:t> Izjavljujem da će se komercijalni proizvod i supstanca ili sm</w:t>
      </w:r>
      <w:r>
        <w:rPr>
          <w:rFonts w:hint="default"/>
          <w:color w:val="000000"/>
          <w:lang w:val="sr-Latn-ME"/>
        </w:rPr>
        <w:t>j</w:t>
      </w:r>
      <w:r>
        <w:rPr>
          <w:color w:val="000000"/>
        </w:rPr>
        <w:t>eša koja je sadrži upotrebljavati samo za naznačenu upotrebu, koja je u svakom slučaju legitimna.</w:t>
      </w:r>
    </w:p>
    <w:p w14:paraId="6190553B">
      <w:pPr>
        <w:pStyle w:val="6"/>
        <w:jc w:val="both"/>
        <w:rPr>
          <w:color w:val="000000"/>
        </w:rPr>
      </w:pPr>
      <w:r>
        <w:rPr>
          <w:color w:val="000000"/>
        </w:rPr>
        <w:t> </w:t>
      </w:r>
    </w:p>
    <w:p w14:paraId="327093BF">
      <w:pPr>
        <w:pStyle w:val="6"/>
        <w:jc w:val="both"/>
        <w:rPr>
          <w:color w:val="000000"/>
        </w:rPr>
      </w:pPr>
      <w:r>
        <w:rPr>
          <w:color w:val="000000"/>
        </w:rPr>
        <w:t>Potpis:</w:t>
      </w:r>
    </w:p>
    <w:p w14:paraId="26CF6AFF">
      <w:pPr>
        <w:pStyle w:val="6"/>
        <w:jc w:val="both"/>
        <w:rPr>
          <w:color w:val="000000"/>
        </w:rPr>
      </w:pPr>
      <w:r>
        <w:rPr>
          <w:color w:val="000000"/>
        </w:rPr>
        <w:t>Ime:</w:t>
      </w:r>
    </w:p>
    <w:p w14:paraId="2EE3F358">
      <w:pPr>
        <w:pStyle w:val="6"/>
        <w:jc w:val="both"/>
        <w:rPr>
          <w:color w:val="000000"/>
        </w:rPr>
      </w:pPr>
      <w:r>
        <w:rPr>
          <w:color w:val="000000"/>
        </w:rPr>
        <w:t>Funkcija:</w:t>
      </w:r>
    </w:p>
    <w:p w14:paraId="249C755F">
      <w:pPr>
        <w:pStyle w:val="6"/>
        <w:spacing w:beforeAutospacing="0"/>
        <w:jc w:val="both"/>
        <w:rPr>
          <w:color w:val="000000"/>
        </w:rPr>
      </w:pPr>
      <w:r>
        <w:rPr>
          <w:color w:val="000000"/>
        </w:rPr>
        <w:t>Datum: </w:t>
      </w:r>
    </w:p>
    <w:p w14:paraId="3491C451">
      <w:pPr>
        <w:pStyle w:val="6"/>
        <w:spacing w:beforeAutospacing="0"/>
        <w:jc w:val="both"/>
        <w:rPr>
          <w:color w:val="000000"/>
        </w:rPr>
      </w:pPr>
    </w:p>
    <w:p w14:paraId="6EEC4E2E">
      <w:pPr>
        <w:pStyle w:val="6"/>
        <w:spacing w:beforeAutospacing="0"/>
        <w:jc w:val="both"/>
        <w:rPr>
          <w:color w:val="000000"/>
        </w:rPr>
      </w:pPr>
    </w:p>
    <w:p w14:paraId="0FC81629">
      <w:pPr>
        <w:pStyle w:val="6"/>
        <w:spacing w:beforeAutospacing="0"/>
        <w:jc w:val="both"/>
        <w:rPr>
          <w:color w:val="000000"/>
        </w:rPr>
      </w:pPr>
    </w:p>
    <w:p w14:paraId="36867C6A">
      <w:pPr>
        <w:pStyle w:val="6"/>
        <w:spacing w:beforeAutospacing="0"/>
        <w:jc w:val="both"/>
        <w:rPr>
          <w:color w:val="000000"/>
        </w:rPr>
      </w:pPr>
    </w:p>
    <w:p w14:paraId="2A800CA9">
      <w:pPr>
        <w:pStyle w:val="2"/>
        <w:spacing w:before="90"/>
        <w:ind w:left="134" w:right="135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OBRAZLOŽENJE</w:t>
      </w:r>
    </w:p>
    <w:p w14:paraId="4D13C1DB">
      <w:pPr>
        <w:pStyle w:val="5"/>
        <w:spacing w:before="8"/>
        <w:rPr>
          <w:rFonts w:ascii="Garamond" w:hAnsi="Garamond" w:cs="Garamond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2028B2">
      <w:pPr>
        <w:ind w:left="838"/>
        <w:rPr>
          <w:rFonts w:ascii="Garamond" w:hAnsi="Garamond" w:cs="Garamond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Garamond" w:hAnsi="Garamond" w:cs="Garamond"/>
          <w:b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Garamond" w:hAnsi="Garamond" w:cs="Garamond"/>
          <w:b/>
          <w:color w:val="000000" w:themeColor="text1"/>
          <w:spacing w:val="5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USTAVNI</w:t>
      </w:r>
      <w:r>
        <w:rPr>
          <w:rFonts w:ascii="Garamond" w:hAnsi="Garamond" w:cs="Garamond"/>
          <w:b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OSNOV</w:t>
      </w:r>
      <w:r>
        <w:rPr>
          <w:rFonts w:ascii="Garamond" w:hAnsi="Garamond" w:cs="Garamond"/>
          <w:b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ZA</w:t>
      </w:r>
      <w:r>
        <w:rPr>
          <w:rFonts w:ascii="Garamond" w:hAnsi="Garamond" w:cs="Garamond"/>
          <w:b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DONOŠENJE</w:t>
      </w:r>
      <w:r>
        <w:rPr>
          <w:rFonts w:ascii="Garamond" w:hAnsi="Garamond" w:cs="Garamond"/>
          <w:b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ZAKONA</w:t>
      </w:r>
    </w:p>
    <w:p w14:paraId="7C77DBFF">
      <w:pPr>
        <w:pStyle w:val="5"/>
        <w:spacing w:before="4"/>
        <w:rPr>
          <w:rFonts w:ascii="Garamond" w:hAnsi="Garamond" w:cs="Garamond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18B875">
      <w:pPr>
        <w:pStyle w:val="5"/>
        <w:spacing w:line="259" w:lineRule="auto"/>
        <w:ind w:left="118" w:right="121" w:firstLine="719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Ustavni</w:t>
      </w:r>
      <w:r>
        <w:rPr>
          <w:rFonts w:ascii="Garamond" w:hAnsi="Garamond" w:cs="Garamond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osnov</w:t>
      </w:r>
      <w:r>
        <w:rPr>
          <w:rFonts w:ascii="Garamond" w:hAnsi="Garamond" w:cs="Garamond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za</w:t>
      </w:r>
      <w:r>
        <w:rPr>
          <w:rFonts w:ascii="Garamond" w:hAnsi="Garamond" w:cs="Garamond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donošenje</w:t>
      </w:r>
      <w:r>
        <w:rPr>
          <w:rFonts w:ascii="Garamond" w:hAnsi="Garamond" w:cs="Garamond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Nacrta</w:t>
      </w:r>
      <w:r>
        <w:rPr>
          <w:rFonts w:ascii="Garamond" w:hAnsi="Garamond" w:cs="Garamond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zakona</w:t>
      </w:r>
      <w:r>
        <w:rPr>
          <w:rFonts w:ascii="Garamond" w:hAnsi="Garamond" w:cs="Garamond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ascii="Garamond" w:hAnsi="Garamond" w:cs="Garamond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prekursorima eksplo</w:t>
      </w:r>
      <w:r>
        <w:rPr>
          <w:rFonts w:ascii="Garamond" w:hAnsi="Garamond" w:cs="Garamond"/>
          <w:color w:val="000000" w:themeColor="text1"/>
          <w:spacing w:val="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>ziva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sadržan je u odredbi člana 16 stav 1 tačka 5 Ustava Crne Gore,</w:t>
      </w:r>
      <w:r>
        <w:rPr>
          <w:rFonts w:ascii="Garamond" w:hAnsi="Garamond" w:cs="Garamond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kojom</w:t>
      </w:r>
      <w:r>
        <w:rPr>
          <w:rFonts w:ascii="Garamond" w:hAnsi="Garamond" w:cs="Garamond"/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je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predviđeno</w:t>
      </w:r>
      <w:r>
        <w:rPr>
          <w:rFonts w:ascii="Garamond" w:hAnsi="Garamond" w:cs="Garamond"/>
          <w:color w:val="000000" w:themeColor="text1"/>
          <w:spacing w:val="3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da</w:t>
      </w:r>
      <w:r>
        <w:rPr>
          <w:rFonts w:ascii="Garamond" w:hAnsi="Garamond" w:cs="Garamond"/>
          <w:color w:val="000000" w:themeColor="text1"/>
          <w:spacing w:val="3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se</w:t>
      </w:r>
      <w:r>
        <w:rPr>
          <w:rFonts w:ascii="Garamond" w:hAnsi="Garamond" w:cs="Garamond"/>
          <w:color w:val="000000" w:themeColor="text1"/>
          <w:spacing w:val="3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zakonom,</w:t>
      </w:r>
      <w:r>
        <w:rPr>
          <w:rFonts w:ascii="Garamond" w:hAnsi="Garamond" w:cs="Garamond"/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u</w:t>
      </w:r>
      <w:r>
        <w:rPr>
          <w:rFonts w:ascii="Garamond" w:hAnsi="Garamond" w:cs="Garamond"/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skladu</w:t>
      </w:r>
      <w:r>
        <w:rPr>
          <w:rFonts w:ascii="Garamond" w:hAnsi="Garamond" w:cs="Garamond"/>
          <w:color w:val="000000" w:themeColor="text1"/>
          <w:spacing w:val="3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sa</w:t>
      </w:r>
      <w:r>
        <w:rPr>
          <w:rFonts w:ascii="Garamond" w:hAnsi="Garamond" w:cs="Garamond"/>
          <w:color w:val="000000" w:themeColor="text1"/>
          <w:spacing w:val="3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Ustavom,</w:t>
      </w:r>
      <w:r>
        <w:rPr>
          <w:rFonts w:ascii="Garamond" w:hAnsi="Garamond" w:cs="Garamond"/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uređuju</w:t>
      </w:r>
      <w:r>
        <w:rPr>
          <w:rFonts w:ascii="Garamond" w:hAnsi="Garamond" w:cs="Garamond"/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pitanja</w:t>
      </w:r>
      <w:r>
        <w:rPr>
          <w:rFonts w:ascii="Garamond" w:hAnsi="Garamond" w:cs="Garamond"/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od</w:t>
      </w:r>
      <w:r>
        <w:rPr>
          <w:rFonts w:ascii="Garamond" w:hAnsi="Garamond" w:cs="Garamond"/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interesa</w:t>
      </w:r>
      <w:r>
        <w:rPr>
          <w:rFonts w:ascii="Garamond" w:hAnsi="Garamond" w:cs="Garamond"/>
          <w:color w:val="000000" w:themeColor="text1"/>
          <w:spacing w:val="3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za </w:t>
      </w:r>
      <w:r>
        <w:rPr>
          <w:rFonts w:ascii="Garamond" w:hAnsi="Garamond" w:cs="Garamond"/>
          <w:color w:val="000000" w:themeColor="text1"/>
          <w:spacing w:val="-5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Crnu</w:t>
      </w:r>
      <w:r>
        <w:rPr>
          <w:rFonts w:ascii="Garamond" w:hAnsi="Garamond" w:cs="Garamond"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Goru.</w:t>
      </w:r>
    </w:p>
    <w:p w14:paraId="2B996EFE">
      <w:pPr>
        <w:pStyle w:val="5"/>
        <w:spacing w:before="5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ADE0E6A">
      <w:pPr>
        <w:pStyle w:val="2"/>
        <w:numPr>
          <w:ilvl w:val="0"/>
          <w:numId w:val="2"/>
        </w:numPr>
        <w:tabs>
          <w:tab w:val="left" w:pos="1206"/>
        </w:tabs>
        <w:ind w:hanging="368"/>
        <w:jc w:val="both"/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RAZLOZI</w:t>
      </w:r>
      <w:r>
        <w:rPr>
          <w:rFonts w:ascii="Garamond" w:hAnsi="Garamond" w:cs="Garamond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ZA</w:t>
      </w:r>
      <w:r>
        <w:rPr>
          <w:rFonts w:ascii="Garamond" w:hAnsi="Garamond" w:cs="Garamond"/>
          <w:color w:val="000000" w:themeColor="text1"/>
          <w:spacing w:val="-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DONOŠENJE</w:t>
      </w:r>
      <w:r>
        <w:rPr>
          <w:rFonts w:ascii="Garamond" w:hAnsi="Garamond" w:cs="Garamond"/>
          <w:color w:val="000000" w:themeColor="text1"/>
          <w:spacing w:val="-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ZAKONA</w:t>
      </w:r>
    </w:p>
    <w:p w14:paraId="7CC18D0D">
      <w:pPr>
        <w:pStyle w:val="5"/>
        <w:spacing w:before="4"/>
        <w:rPr>
          <w:rFonts w:ascii="Garamond" w:hAnsi="Garamond" w:cs="Garamond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7D339C1">
      <w:pPr>
        <w:pStyle w:val="5"/>
        <w:spacing w:line="259" w:lineRule="auto"/>
        <w:ind w:left="118" w:right="121" w:firstLine="719"/>
        <w:jc w:val="both"/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</w:pP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Donošenje</w:t>
      </w:r>
      <w:r>
        <w:rPr>
          <w:rFonts w:ascii="Garamond" w:hAnsi="Garamond" w:cs="Garamond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Nacrta</w:t>
      </w:r>
      <w:r>
        <w:rPr>
          <w:rFonts w:ascii="Garamond" w:hAnsi="Garamond" w:cs="Garamond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zakona</w:t>
      </w:r>
      <w:r>
        <w:rPr>
          <w:rFonts w:ascii="Garamond" w:hAnsi="Garamond" w:cs="Garamond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ascii="Garamond" w:hAnsi="Garamond" w:cs="Garamond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cs="Garamond"/>
          <w:color w:val="000000" w:themeColor="text1"/>
          <w:sz w:val="28"/>
          <w:szCs w:val="28"/>
          <w:lang w:val="sr-Latn-ME"/>
          <w14:textFill>
            <w14:solidFill>
              <w14:schemeClr w14:val="tx1"/>
            </w14:solidFill>
          </w14:textFill>
        </w:rPr>
        <w:t xml:space="preserve">prekursorima eksploziva propisuju se pravila o raspolaganja, posjedovanju i upotrebi supstanci i smješa koje bi se mogle zloupotrijebiti za nezakonitu proizvodnju eksploziva, s ciljem ograničavanja dostupnosti pojedinačnim korisnicima tih supstanci i smješa kao i osiguravanja odgovarajućeg prijavljivanja sumnjivih transakcija u prometu. </w:t>
      </w:r>
    </w:p>
    <w:p w14:paraId="328BB904">
      <w:pPr>
        <w:pStyle w:val="5"/>
        <w:spacing w:before="10"/>
        <w:jc w:val="both"/>
        <w:rPr>
          <w:rFonts w:ascii="Garamond" w:hAnsi="Garamond" w:cs="Garamond"/>
          <w:sz w:val="28"/>
          <w:szCs w:val="28"/>
        </w:rPr>
      </w:pPr>
    </w:p>
    <w:p w14:paraId="3E521739">
      <w:pPr>
        <w:pStyle w:val="2"/>
        <w:numPr>
          <w:ilvl w:val="0"/>
          <w:numId w:val="2"/>
        </w:numPr>
        <w:tabs>
          <w:tab w:val="left" w:pos="1276"/>
        </w:tabs>
        <w:spacing w:before="1" w:line="259" w:lineRule="auto"/>
        <w:ind w:left="1318" w:right="121" w:hanging="480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USAGLAŠENOST</w:t>
      </w:r>
      <w:r>
        <w:rPr>
          <w:rFonts w:ascii="Garamond" w:hAnsi="Garamond" w:cs="Garamond"/>
          <w:spacing w:val="3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ZAKONA</w:t>
      </w:r>
      <w:r>
        <w:rPr>
          <w:rFonts w:ascii="Garamond" w:hAnsi="Garamond" w:cs="Garamond"/>
          <w:spacing w:val="30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SA</w:t>
      </w:r>
      <w:r>
        <w:rPr>
          <w:rFonts w:ascii="Garamond" w:hAnsi="Garamond" w:cs="Garamond"/>
          <w:spacing w:val="33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PRAVNOM</w:t>
      </w:r>
      <w:r>
        <w:rPr>
          <w:rFonts w:ascii="Garamond" w:hAnsi="Garamond" w:cs="Garamond"/>
          <w:spacing w:val="32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TEKOVINOM</w:t>
      </w:r>
      <w:r>
        <w:rPr>
          <w:rFonts w:ascii="Garamond" w:hAnsi="Garamond" w:cs="Garamond"/>
          <w:spacing w:val="3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EVROPSKE</w:t>
      </w:r>
      <w:r>
        <w:rPr>
          <w:rFonts w:ascii="Garamond" w:hAnsi="Garamond" w:cs="Garamond"/>
          <w:spacing w:val="-57"/>
          <w:sz w:val="28"/>
          <w:szCs w:val="28"/>
        </w:rPr>
        <w:t xml:space="preserve">  </w:t>
      </w:r>
      <w:r>
        <w:rPr>
          <w:rFonts w:ascii="Garamond" w:hAnsi="Garamond" w:cs="Garamond"/>
          <w:sz w:val="28"/>
          <w:szCs w:val="28"/>
        </w:rPr>
        <w:t>UNIJE</w:t>
      </w:r>
      <w:r>
        <w:rPr>
          <w:rFonts w:ascii="Garamond" w:hAnsi="Garamond" w:cs="Garamond"/>
          <w:spacing w:val="-2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I</w:t>
      </w:r>
      <w:r>
        <w:rPr>
          <w:rFonts w:ascii="Garamond" w:hAnsi="Garamond" w:cs="Garamond"/>
          <w:spacing w:val="-2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POTVRĐENIM</w:t>
      </w:r>
      <w:r>
        <w:rPr>
          <w:rFonts w:ascii="Garamond" w:hAnsi="Garamond" w:cs="Garamond"/>
          <w:spacing w:val="-2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MEĐUNARODNIM KONVENCIJAMA</w:t>
      </w:r>
    </w:p>
    <w:p w14:paraId="1716EF0D">
      <w:pPr>
        <w:pStyle w:val="5"/>
        <w:spacing w:before="4"/>
        <w:rPr>
          <w:rFonts w:ascii="Garamond" w:hAnsi="Garamond" w:cs="Garamond"/>
          <w:b/>
          <w:sz w:val="28"/>
          <w:szCs w:val="28"/>
        </w:rPr>
      </w:pPr>
    </w:p>
    <w:p w14:paraId="64402FF2">
      <w:pPr>
        <w:pStyle w:val="5"/>
        <w:spacing w:line="259" w:lineRule="auto"/>
        <w:ind w:left="118" w:right="120" w:firstLine="719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Tekst</w:t>
      </w:r>
      <w:r>
        <w:rPr>
          <w:rFonts w:ascii="Garamond" w:hAnsi="Garamond" w:cs="Garamond"/>
          <w:spacing w:val="33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ovog</w:t>
      </w:r>
      <w:r>
        <w:rPr>
          <w:rFonts w:ascii="Garamond" w:hAnsi="Garamond" w:cs="Garamond"/>
          <w:spacing w:val="29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zakona</w:t>
      </w:r>
      <w:r>
        <w:rPr>
          <w:rFonts w:ascii="Garamond" w:hAnsi="Garamond" w:cs="Garamond"/>
          <w:spacing w:val="3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usaglašen</w:t>
      </w:r>
      <w:r>
        <w:rPr>
          <w:rFonts w:ascii="Garamond" w:hAnsi="Garamond" w:cs="Garamond"/>
          <w:spacing w:val="33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je</w:t>
      </w:r>
      <w:r>
        <w:rPr>
          <w:rFonts w:ascii="Garamond" w:hAnsi="Garamond" w:cs="Garamond"/>
          <w:spacing w:val="3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sa</w:t>
      </w:r>
      <w:r>
        <w:rPr>
          <w:rFonts w:ascii="Garamond" w:hAnsi="Garamond" w:cs="Garamond"/>
          <w:spacing w:val="32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opštim</w:t>
      </w:r>
      <w:r>
        <w:rPr>
          <w:rFonts w:ascii="Garamond" w:hAnsi="Garamond" w:cs="Garamond"/>
          <w:spacing w:val="33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principima</w:t>
      </w:r>
      <w:r>
        <w:rPr>
          <w:rFonts w:ascii="Garamond" w:hAnsi="Garamond" w:cs="Garamond"/>
          <w:spacing w:val="32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Savjeta</w:t>
      </w:r>
      <w:r>
        <w:rPr>
          <w:rFonts w:ascii="Garamond" w:hAnsi="Garamond" w:cs="Garamond"/>
          <w:spacing w:val="3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Evrope</w:t>
      </w:r>
      <w:r>
        <w:rPr>
          <w:rFonts w:ascii="Garamond" w:hAnsi="Garamond" w:cs="Garamond"/>
          <w:spacing w:val="3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u</w:t>
      </w:r>
      <w:r>
        <w:rPr>
          <w:rFonts w:ascii="Garamond" w:hAnsi="Garamond" w:cs="Garamond"/>
          <w:spacing w:val="32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ovoj</w:t>
      </w:r>
      <w:r>
        <w:rPr>
          <w:rFonts w:ascii="Garamond" w:hAnsi="Garamond" w:cs="Garamond"/>
          <w:spacing w:val="33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oblasti,</w:t>
      </w:r>
      <w:r>
        <w:rPr>
          <w:rFonts w:ascii="Garamond" w:hAnsi="Garamond" w:cs="Garamond"/>
          <w:spacing w:val="-58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kao</w:t>
      </w:r>
      <w:r>
        <w:rPr>
          <w:rFonts w:ascii="Garamond" w:hAnsi="Garamond" w:cs="Garamond"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i</w:t>
      </w:r>
      <w:r>
        <w:rPr>
          <w:rFonts w:ascii="Garamond" w:hAnsi="Garamond" w:cs="Garamond"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sa</w:t>
      </w:r>
      <w:r>
        <w:rPr>
          <w:rFonts w:ascii="Garamond" w:hAnsi="Garamond" w:cs="Garamond"/>
          <w:spacing w:val="-2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rješenjima najbolje</w:t>
      </w:r>
      <w:r>
        <w:rPr>
          <w:rFonts w:ascii="Garamond" w:hAnsi="Garamond" w:cs="Garamond"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prakse,</w:t>
      </w:r>
      <w:r>
        <w:rPr>
          <w:rFonts w:ascii="Garamond" w:hAnsi="Garamond" w:cs="Garamond"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kako</w:t>
      </w:r>
      <w:r>
        <w:rPr>
          <w:rFonts w:ascii="Garamond" w:hAnsi="Garamond" w:cs="Garamond"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u okruženju</w:t>
      </w:r>
      <w:r>
        <w:rPr>
          <w:rFonts w:ascii="Garamond" w:hAnsi="Garamond" w:cs="Garamond"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tako</w:t>
      </w:r>
      <w:r>
        <w:rPr>
          <w:rFonts w:ascii="Garamond" w:hAnsi="Garamond" w:cs="Garamond"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i u</w:t>
      </w:r>
      <w:r>
        <w:rPr>
          <w:rFonts w:ascii="Garamond" w:hAnsi="Garamond" w:cs="Garamond"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drugim</w:t>
      </w:r>
      <w:r>
        <w:rPr>
          <w:rFonts w:ascii="Garamond" w:hAnsi="Garamond" w:cs="Garamond"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evropskim</w:t>
      </w:r>
      <w:r>
        <w:rPr>
          <w:rFonts w:ascii="Garamond" w:hAnsi="Garamond" w:cs="Garamond"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zemljama.</w:t>
      </w:r>
    </w:p>
    <w:p w14:paraId="0991326F">
      <w:pPr>
        <w:pStyle w:val="5"/>
        <w:spacing w:line="259" w:lineRule="auto"/>
        <w:ind w:left="118" w:right="119" w:firstLine="719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  <w:lang w:val="sr-Latn-ME"/>
        </w:rPr>
        <w:t>Ka</w:t>
      </w:r>
      <w:r>
        <w:rPr>
          <w:rFonts w:ascii="Garamond" w:hAnsi="Garamond" w:cs="Garamond"/>
          <w:sz w:val="28"/>
          <w:szCs w:val="28"/>
        </w:rPr>
        <w:t>ko bi se ispunili prioriteti u okviru procesa stabilizacije i pridruživanja i</w:t>
      </w:r>
      <w:r>
        <w:rPr>
          <w:rFonts w:ascii="Garamond" w:hAnsi="Garamond" w:cs="Garamond"/>
          <w:spacing w:val="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približili standardima koji se primjenjuju u EU, napominjemo da je osnovni tekst Zakona o</w:t>
      </w:r>
      <w:r>
        <w:rPr>
          <w:rFonts w:ascii="Garamond" w:hAnsi="Garamond" w:cs="Garamond"/>
          <w:spacing w:val="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prevozu</w:t>
      </w:r>
      <w:r>
        <w:rPr>
          <w:rFonts w:ascii="Garamond" w:hAnsi="Garamond" w:cs="Garamond"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opasnih</w:t>
      </w:r>
      <w:r>
        <w:rPr>
          <w:rFonts w:ascii="Garamond" w:hAnsi="Garamond" w:cs="Garamond"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materija usklađen sa</w:t>
      </w:r>
      <w:r>
        <w:rPr>
          <w:rFonts w:ascii="Garamond" w:hAnsi="Garamond" w:cs="Garamond"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sljedećim</w:t>
      </w:r>
      <w:r>
        <w:rPr>
          <w:rFonts w:ascii="Garamond" w:hAnsi="Garamond" w:cs="Garamond"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Direktivama:</w:t>
      </w:r>
    </w:p>
    <w:p w14:paraId="53643DD0">
      <w:pPr>
        <w:pStyle w:val="11"/>
        <w:numPr>
          <w:ilvl w:val="0"/>
          <w:numId w:val="3"/>
        </w:numPr>
        <w:shd w:val="clear" w:color="auto" w:fill="FFFFFF"/>
        <w:contextualSpacing/>
        <w:jc w:val="both"/>
        <w:rPr>
          <w:rFonts w:ascii="Garamond" w:hAnsi="Garamond" w:cs="Garamond"/>
          <w:b/>
          <w:sz w:val="28"/>
          <w:szCs w:val="28"/>
          <w:lang w:val="sr-Latn-ME"/>
        </w:rPr>
      </w:pPr>
      <w:r>
        <w:rPr>
          <w:rFonts w:ascii="Garamond" w:hAnsi="Garamond" w:cs="Garamond"/>
          <w:bCs/>
          <w:sz w:val="28"/>
          <w:szCs w:val="28"/>
          <w:lang w:val="sr-Latn-ME"/>
        </w:rPr>
        <w:t>Direktiva EU 2019/1148 Evropskog parlamenta i Vijeća od 20. juna 2019. o stavljanju na tržište i upotrebi prekursora eksploziva</w:t>
      </w:r>
    </w:p>
    <w:p w14:paraId="79730047">
      <w:pPr>
        <w:pStyle w:val="11"/>
        <w:tabs>
          <w:tab w:val="left" w:pos="1029"/>
        </w:tabs>
        <w:spacing w:line="259" w:lineRule="auto"/>
        <w:ind w:left="0" w:right="117" w:firstLine="0"/>
        <w:jc w:val="both"/>
        <w:rPr>
          <w:rFonts w:ascii="Garamond" w:hAnsi="Garamond" w:cs="Garamond"/>
          <w:sz w:val="28"/>
          <w:szCs w:val="28"/>
        </w:rPr>
      </w:pPr>
    </w:p>
    <w:p w14:paraId="21126C77">
      <w:pPr>
        <w:pStyle w:val="2"/>
        <w:numPr>
          <w:ilvl w:val="0"/>
          <w:numId w:val="2"/>
        </w:numPr>
        <w:tabs>
          <w:tab w:val="left" w:pos="1226"/>
        </w:tabs>
        <w:ind w:left="1225" w:hanging="388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OBJAŠNJENJE</w:t>
      </w:r>
      <w:r>
        <w:rPr>
          <w:rFonts w:ascii="Garamond" w:hAnsi="Garamond" w:cs="Garamond"/>
          <w:spacing w:val="-6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OSNOVNIH</w:t>
      </w:r>
      <w:r>
        <w:rPr>
          <w:rFonts w:ascii="Garamond" w:hAnsi="Garamond" w:cs="Garamond"/>
          <w:spacing w:val="-5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PRAVNIH</w:t>
      </w:r>
      <w:r>
        <w:rPr>
          <w:rFonts w:ascii="Garamond" w:hAnsi="Garamond" w:cs="Garamond"/>
          <w:spacing w:val="-5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INSTITUTA</w:t>
      </w:r>
    </w:p>
    <w:p w14:paraId="289CBE10">
      <w:pPr>
        <w:pStyle w:val="2"/>
        <w:tabs>
          <w:tab w:val="left" w:pos="1226"/>
        </w:tabs>
        <w:ind w:left="0"/>
        <w:jc w:val="both"/>
        <w:rPr>
          <w:rFonts w:ascii="Garamond" w:hAnsi="Garamond" w:cs="Garamond"/>
          <w:sz w:val="28"/>
          <w:szCs w:val="28"/>
          <w:lang w:val="sr-Latn-ME"/>
        </w:rPr>
      </w:pPr>
      <w:r>
        <w:rPr>
          <w:rFonts w:ascii="Garamond" w:hAnsi="Garamond" w:cs="Garamond"/>
          <w:sz w:val="28"/>
          <w:szCs w:val="28"/>
          <w:lang w:val="sr-Latn-ME"/>
        </w:rPr>
        <w:t xml:space="preserve"> </w:t>
      </w:r>
    </w:p>
    <w:p w14:paraId="00C166A3">
      <w:pPr>
        <w:pStyle w:val="2"/>
        <w:tabs>
          <w:tab w:val="left" w:pos="1226"/>
        </w:tabs>
        <w:ind w:left="0" w:firstLine="560" w:firstLineChars="200"/>
        <w:jc w:val="both"/>
        <w:rPr>
          <w:rFonts w:ascii="Garamond" w:hAnsi="Garamond" w:cs="Garamond"/>
          <w:b w:val="0"/>
          <w:bCs w:val="0"/>
          <w:sz w:val="28"/>
          <w:szCs w:val="28"/>
          <w:lang w:val="sr-Latn-ME"/>
        </w:rPr>
      </w:pPr>
      <w:r>
        <w:rPr>
          <w:rFonts w:ascii="Garamond" w:hAnsi="Garamond" w:cs="Garamond"/>
          <w:b w:val="0"/>
          <w:bCs w:val="0"/>
          <w:sz w:val="28"/>
          <w:szCs w:val="28"/>
          <w:lang w:val="sr-Latn-ME"/>
        </w:rPr>
        <w:t xml:space="preserve">Poglavlje I. U osnovnim odredbama navedene su oblasti koje su detaljano popisane u materijalnim odredbama, zatim oblasti koje su izuzete, kao i značenje izraza. </w:t>
      </w:r>
    </w:p>
    <w:p w14:paraId="5F7060B4">
      <w:pPr>
        <w:pStyle w:val="2"/>
        <w:tabs>
          <w:tab w:val="left" w:pos="1226"/>
        </w:tabs>
        <w:ind w:left="0" w:firstLine="560" w:firstLineChars="200"/>
        <w:jc w:val="both"/>
        <w:rPr>
          <w:rFonts w:ascii="Garamond" w:hAnsi="Garamond" w:cs="Garamond"/>
          <w:b w:val="0"/>
          <w:bCs w:val="0"/>
          <w:sz w:val="28"/>
          <w:szCs w:val="28"/>
          <w:lang w:val="sr-Latn-ME"/>
        </w:rPr>
      </w:pPr>
      <w:r>
        <w:rPr>
          <w:rFonts w:ascii="Garamond" w:hAnsi="Garamond" w:cs="Garamond"/>
          <w:b w:val="0"/>
          <w:bCs w:val="0"/>
          <w:sz w:val="28"/>
          <w:szCs w:val="28"/>
          <w:lang w:val="sr-Latn-ME"/>
        </w:rPr>
        <w:t xml:space="preserve">Poglavlje II. U poglavlju procedure i mjere bezbjednosti propisane je nadležnost državnih organa, procedure u vezi stavljanja u promet, uvođenja, posjedovanja, upotrebe, nadzor i razmjene informacija u vezi sa supstancama i smješama koje se mogu zloupotrijebiti za nedozvoljenu proizvodnju eksploziva, sa ciljem ograničavanja dostupnosti pojedinačnim korisnicima tih supstanci i smješta i sa ciljem osiguravanja odgovarajućeg prijavljivanja sumnjivih transakcija u lancu snabdijevanja. </w:t>
      </w:r>
    </w:p>
    <w:p w14:paraId="1247F34D">
      <w:pPr>
        <w:pStyle w:val="9"/>
        <w:ind w:left="0" w:firstLine="560" w:firstLineChars="200"/>
        <w:rPr>
          <w:rFonts w:ascii="Garamond" w:hAnsi="Garamond" w:eastAsia="Calibri" w:cs="Garamond"/>
          <w:sz w:val="28"/>
          <w:szCs w:val="28"/>
        </w:rPr>
      </w:pPr>
      <w:r>
        <w:rPr>
          <w:rFonts w:ascii="Garamond" w:hAnsi="Garamond" w:eastAsia="Calibri" w:cs="Garamond"/>
          <w:sz w:val="28"/>
          <w:szCs w:val="28"/>
        </w:rPr>
        <w:t xml:space="preserve">Poglavlje </w:t>
      </w:r>
      <w:r>
        <w:rPr>
          <w:rFonts w:ascii="Garamond" w:hAnsi="Garamond" w:eastAsia="Calibri" w:cs="Garamond"/>
          <w:sz w:val="28"/>
          <w:szCs w:val="28"/>
          <w:lang w:val="sr-Latn-ME"/>
        </w:rPr>
        <w:t>III</w:t>
      </w:r>
      <w:r>
        <w:rPr>
          <w:rFonts w:ascii="Garamond" w:hAnsi="Garamond" w:eastAsia="Calibri" w:cs="Garamond"/>
          <w:sz w:val="28"/>
          <w:szCs w:val="28"/>
        </w:rPr>
        <w:t xml:space="preserve">. U poglavlju nadzor propisano je ko vrši  nadzor nad sprovođenjem zakona, takođe propisane su upravne mjere i radnje, odnosno ovlašćenja inspektora. </w:t>
      </w:r>
    </w:p>
    <w:p w14:paraId="0750183D">
      <w:pPr>
        <w:pStyle w:val="9"/>
        <w:ind w:firstLine="476" w:firstLineChars="170"/>
        <w:rPr>
          <w:rFonts w:ascii="Garamond" w:hAnsi="Garamond" w:eastAsia="Calibri" w:cs="Garamond"/>
          <w:sz w:val="28"/>
          <w:szCs w:val="28"/>
        </w:rPr>
      </w:pPr>
      <w:r>
        <w:rPr>
          <w:rFonts w:ascii="Garamond" w:hAnsi="Garamond" w:eastAsia="Calibri" w:cs="Garamond"/>
          <w:sz w:val="28"/>
          <w:szCs w:val="28"/>
        </w:rPr>
        <w:t xml:space="preserve">Poglavlje </w:t>
      </w:r>
      <w:r>
        <w:rPr>
          <w:rFonts w:ascii="Garamond" w:hAnsi="Garamond" w:eastAsia="Calibri" w:cs="Garamond"/>
          <w:sz w:val="28"/>
          <w:szCs w:val="28"/>
          <w:lang w:val="sr-Latn-ME"/>
        </w:rPr>
        <w:t>IV</w:t>
      </w:r>
      <w:r>
        <w:rPr>
          <w:rFonts w:ascii="Garamond" w:hAnsi="Garamond" w:eastAsia="Calibri" w:cs="Garamond"/>
          <w:sz w:val="28"/>
          <w:szCs w:val="28"/>
        </w:rPr>
        <w:t xml:space="preserve">. U poglavlju kaznene odredbe propisane su kaznene odredbe za prekrašaj pravnog lica, odgovornog lica u pravnom licu i fizičkog lica. </w:t>
      </w:r>
    </w:p>
    <w:p w14:paraId="6829BF12">
      <w:pPr>
        <w:pStyle w:val="9"/>
        <w:ind w:left="0" w:firstLine="560" w:firstLineChars="200"/>
        <w:rPr>
          <w:rFonts w:ascii="Garamond" w:hAnsi="Garamond" w:eastAsia="Calibri" w:cs="Garamond"/>
          <w:sz w:val="28"/>
          <w:szCs w:val="28"/>
        </w:rPr>
      </w:pPr>
      <w:r>
        <w:rPr>
          <w:rFonts w:ascii="Garamond" w:hAnsi="Garamond" w:eastAsia="Calibri" w:cs="Garamond"/>
          <w:sz w:val="28"/>
          <w:szCs w:val="28"/>
        </w:rPr>
        <w:t xml:space="preserve">Poglavlje V. U završnim odredbama, između ostalog, propisan je rok za </w:t>
      </w:r>
      <w:r>
        <w:rPr>
          <w:rFonts w:ascii="Garamond" w:hAnsi="Garamond" w:eastAsia="Calibri" w:cs="Garamond"/>
          <w:sz w:val="28"/>
          <w:szCs w:val="28"/>
          <w:lang w:val="sr-Latn-ME"/>
        </w:rPr>
        <w:t>stupanje na snagu zakona</w:t>
      </w:r>
      <w:r>
        <w:rPr>
          <w:rFonts w:ascii="Garamond" w:hAnsi="Garamond" w:eastAsia="Calibri" w:cs="Garamond"/>
          <w:sz w:val="28"/>
          <w:szCs w:val="28"/>
        </w:rPr>
        <w:t xml:space="preserve">. </w:t>
      </w:r>
    </w:p>
    <w:p w14:paraId="73F97067">
      <w:pPr>
        <w:pStyle w:val="6"/>
        <w:spacing w:beforeAutospacing="0" w:after="135" w:afterAutospacing="0"/>
        <w:rPr>
          <w:rFonts w:ascii="Garamond" w:hAnsi="Garamond" w:cs="Garamond"/>
          <w:b/>
          <w:sz w:val="28"/>
          <w:szCs w:val="28"/>
        </w:rPr>
      </w:pPr>
    </w:p>
    <w:p w14:paraId="69FE672A">
      <w:pPr>
        <w:pStyle w:val="6"/>
        <w:spacing w:beforeAutospacing="0" w:after="135" w:afterAutospacing="0"/>
        <w:rPr>
          <w:rFonts w:ascii="Garamond" w:hAnsi="Garamond" w:cs="Garamond"/>
          <w:b/>
          <w:sz w:val="28"/>
          <w:szCs w:val="28"/>
        </w:rPr>
      </w:pPr>
      <w:r>
        <w:rPr>
          <w:rFonts w:ascii="Garamond" w:hAnsi="Garamond" w:cs="Garamond"/>
          <w:b/>
          <w:sz w:val="28"/>
          <w:szCs w:val="28"/>
        </w:rPr>
        <w:t xml:space="preserve">  V. PROCJENA FINANSIJSKIH SREDSTAVA ZA SRPOVOĐENJE ZAKONA  </w:t>
      </w:r>
    </w:p>
    <w:p w14:paraId="16781C4E">
      <w:pPr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   Za sprovođenje ovog zakona nije potrebno obezbijediti finansijska sredstva u budžetu Crne Gore. </w:t>
      </w:r>
    </w:p>
    <w:p w14:paraId="1AE66B5E">
      <w:pPr>
        <w:spacing w:line="275" w:lineRule="exact"/>
        <w:ind w:left="838"/>
        <w:jc w:val="both"/>
        <w:rPr>
          <w:rFonts w:ascii="Garamond" w:hAnsi="Garamond" w:cs="Garamond"/>
          <w:sz w:val="28"/>
          <w:szCs w:val="28"/>
        </w:rPr>
      </w:pPr>
    </w:p>
    <w:p w14:paraId="5AFA6A4F">
      <w:pPr>
        <w:pStyle w:val="6"/>
        <w:spacing w:beforeAutospacing="0"/>
        <w:jc w:val="both"/>
        <w:rPr>
          <w:rFonts w:ascii="Garamond" w:hAnsi="Garamond" w:cs="Garamond"/>
          <w:color w:val="000000"/>
          <w:sz w:val="28"/>
          <w:szCs w:val="28"/>
        </w:rPr>
      </w:pPr>
    </w:p>
    <w:p w14:paraId="28DE6453">
      <w:pPr>
        <w:pStyle w:val="6"/>
        <w:spacing w:beforeAutospacing="0"/>
        <w:jc w:val="both"/>
        <w:rPr>
          <w:rFonts w:ascii="Garamond" w:hAnsi="Garamond" w:cs="Garamond"/>
          <w:color w:val="000000"/>
          <w:sz w:val="28"/>
          <w:szCs w:val="28"/>
        </w:rPr>
      </w:pPr>
    </w:p>
    <w:p w14:paraId="5F4AF298">
      <w:pPr>
        <w:pStyle w:val="6"/>
        <w:spacing w:beforeAutospacing="0"/>
        <w:jc w:val="both"/>
        <w:rPr>
          <w:rFonts w:ascii="Garamond" w:hAnsi="Garamond" w:cs="Garamond"/>
          <w:color w:val="000000"/>
          <w:sz w:val="28"/>
          <w:szCs w:val="28"/>
        </w:rPr>
      </w:pPr>
    </w:p>
    <w:p w14:paraId="357502F4">
      <w:pPr>
        <w:pStyle w:val="6"/>
        <w:spacing w:beforeAutospacing="0"/>
        <w:jc w:val="both"/>
        <w:rPr>
          <w:rFonts w:ascii="Garamond" w:hAnsi="Garamond" w:cs="Garamond"/>
          <w:color w:val="000000"/>
          <w:sz w:val="28"/>
          <w:szCs w:val="28"/>
        </w:rPr>
      </w:pPr>
    </w:p>
    <w:p w14:paraId="49ECA3DA">
      <w:pPr>
        <w:pStyle w:val="6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 </w:t>
      </w:r>
    </w:p>
    <w:p w14:paraId="374C9A3D">
      <w:pPr>
        <w:pStyle w:val="6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 </w:t>
      </w:r>
    </w:p>
    <w:p w14:paraId="4AB8512C">
      <w:pPr>
        <w:pStyle w:val="6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 </w:t>
      </w:r>
    </w:p>
    <w:p w14:paraId="20D24AFA">
      <w:pPr>
        <w:jc w:val="both"/>
        <w:rPr>
          <w:rFonts w:ascii="Garamond" w:hAnsi="Garamond" w:cs="Garamond"/>
          <w:color w:val="000000"/>
          <w:sz w:val="28"/>
          <w:szCs w:val="28"/>
        </w:rPr>
      </w:pPr>
    </w:p>
    <w:p w14:paraId="33222904">
      <w:pPr>
        <w:jc w:val="both"/>
        <w:rPr>
          <w:rFonts w:ascii="Garamond" w:hAnsi="Garamond" w:cs="Garamond"/>
          <w:color w:val="000000"/>
          <w:sz w:val="28"/>
          <w:szCs w:val="28"/>
        </w:rPr>
      </w:pPr>
    </w:p>
    <w:p w14:paraId="6104FA2A">
      <w:pPr>
        <w:jc w:val="both"/>
        <w:rPr>
          <w:rFonts w:ascii="Garamond" w:hAnsi="Garamond" w:cs="Garamond"/>
          <w:color w:val="000000"/>
          <w:sz w:val="28"/>
          <w:szCs w:val="28"/>
        </w:rPr>
      </w:pPr>
    </w:p>
    <w:p w14:paraId="3666BD46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/>
          <w:sz w:val="28"/>
          <w:szCs w:val="28"/>
          <w:lang w:val="sr-Latn-ME"/>
        </w:rPr>
      </w:pPr>
    </w:p>
    <w:p w14:paraId="0737C5EA">
      <w:pPr>
        <w:pStyle w:val="6"/>
        <w:spacing w:beforeAutospacing="0" w:afterAutospacing="0"/>
        <w:ind w:firstLine="560" w:firstLineChars="200"/>
        <w:jc w:val="both"/>
        <w:rPr>
          <w:rFonts w:ascii="Garamond" w:hAnsi="Garamond" w:cs="Garamond"/>
          <w:color w:val="000000"/>
          <w:sz w:val="28"/>
          <w:szCs w:val="28"/>
        </w:rPr>
      </w:pPr>
    </w:p>
    <w:p w14:paraId="6068DB0D">
      <w:pPr>
        <w:pStyle w:val="6"/>
        <w:spacing w:beforeAutospacing="0" w:afterAutospacing="0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 </w:t>
      </w:r>
    </w:p>
    <w:p w14:paraId="5ED97053">
      <w:pPr>
        <w:pStyle w:val="6"/>
        <w:spacing w:beforeAutospacing="0" w:afterAutospacing="0"/>
        <w:jc w:val="both"/>
        <w:rPr>
          <w:color w:val="000000"/>
        </w:rPr>
      </w:pPr>
    </w:p>
    <w:p w14:paraId="2F9E50C3">
      <w:pPr>
        <w:pStyle w:val="6"/>
        <w:spacing w:beforeAutospacing="0" w:afterAutospacing="0"/>
        <w:ind w:firstLine="480" w:firstLineChars="200"/>
        <w:jc w:val="both"/>
        <w:rPr>
          <w:color w:val="000000"/>
        </w:rPr>
      </w:pPr>
    </w:p>
    <w:p w14:paraId="46ACE7EC">
      <w:pPr>
        <w:pStyle w:val="6"/>
        <w:spacing w:beforeAutospacing="0" w:afterAutospacing="0"/>
        <w:ind w:firstLine="480" w:firstLineChars="200"/>
        <w:jc w:val="both"/>
        <w:rPr>
          <w:color w:val="000000"/>
        </w:rPr>
      </w:pPr>
    </w:p>
    <w:p w14:paraId="7CE67A7A">
      <w:pPr>
        <w:pStyle w:val="6"/>
        <w:spacing w:beforeAutospacing="0" w:afterAutospacing="0"/>
        <w:ind w:firstLine="480" w:firstLineChars="200"/>
        <w:jc w:val="both"/>
        <w:rPr>
          <w:color w:val="000000"/>
        </w:rPr>
      </w:pPr>
    </w:p>
    <w:p w14:paraId="537CEA73">
      <w:pPr>
        <w:pStyle w:val="6"/>
        <w:spacing w:beforeAutospacing="0" w:afterAutospacing="0"/>
        <w:ind w:firstLine="480" w:firstLineChars="200"/>
        <w:jc w:val="both"/>
        <w:rPr>
          <w:color w:val="000000"/>
        </w:rPr>
      </w:pPr>
    </w:p>
    <w:p w14:paraId="30F4C077">
      <w:pPr>
        <w:ind w:firstLine="480" w:firstLineChars="20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sr-Latn-ME"/>
        </w:rPr>
      </w:pPr>
    </w:p>
    <w:p w14:paraId="35DDC04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3C5CD4"/>
    <w:multiLevelType w:val="multilevel"/>
    <w:tmpl w:val="5B3C5CD4"/>
    <w:lvl w:ilvl="0" w:tentative="0">
      <w:start w:val="1"/>
      <w:numFmt w:val="decimal"/>
      <w:lvlText w:val="%1)"/>
      <w:lvlJc w:val="left"/>
      <w:pPr>
        <w:ind w:left="750" w:hanging="360"/>
      </w:pPr>
      <w:rPr>
        <w:rFonts w:hint="default" w:ascii="Tahoma" w:hAnsi="Tahoma" w:cs="Tahoma" w:eastAsiaTheme="minorEastAsia"/>
        <w:sz w:val="23"/>
      </w:rPr>
    </w:lvl>
    <w:lvl w:ilvl="1" w:tentative="0">
      <w:start w:val="1"/>
      <w:numFmt w:val="lowerLetter"/>
      <w:lvlText w:val="%2."/>
      <w:lvlJc w:val="left"/>
      <w:pPr>
        <w:ind w:left="1470" w:hanging="360"/>
      </w:pPr>
    </w:lvl>
    <w:lvl w:ilvl="2" w:tentative="0">
      <w:start w:val="1"/>
      <w:numFmt w:val="lowerRoman"/>
      <w:lvlText w:val="%3."/>
      <w:lvlJc w:val="right"/>
      <w:pPr>
        <w:ind w:left="2190" w:hanging="180"/>
      </w:pPr>
    </w:lvl>
    <w:lvl w:ilvl="3" w:tentative="0">
      <w:start w:val="1"/>
      <w:numFmt w:val="decimal"/>
      <w:lvlText w:val="%4."/>
      <w:lvlJc w:val="left"/>
      <w:pPr>
        <w:ind w:left="2910" w:hanging="360"/>
      </w:pPr>
    </w:lvl>
    <w:lvl w:ilvl="4" w:tentative="0">
      <w:start w:val="1"/>
      <w:numFmt w:val="lowerLetter"/>
      <w:lvlText w:val="%5."/>
      <w:lvlJc w:val="left"/>
      <w:pPr>
        <w:ind w:left="3630" w:hanging="360"/>
      </w:pPr>
    </w:lvl>
    <w:lvl w:ilvl="5" w:tentative="0">
      <w:start w:val="1"/>
      <w:numFmt w:val="lowerRoman"/>
      <w:lvlText w:val="%6."/>
      <w:lvlJc w:val="right"/>
      <w:pPr>
        <w:ind w:left="4350" w:hanging="180"/>
      </w:pPr>
    </w:lvl>
    <w:lvl w:ilvl="6" w:tentative="0">
      <w:start w:val="1"/>
      <w:numFmt w:val="decimal"/>
      <w:lvlText w:val="%7."/>
      <w:lvlJc w:val="left"/>
      <w:pPr>
        <w:ind w:left="5070" w:hanging="360"/>
      </w:pPr>
    </w:lvl>
    <w:lvl w:ilvl="7" w:tentative="0">
      <w:start w:val="1"/>
      <w:numFmt w:val="lowerLetter"/>
      <w:lvlText w:val="%8."/>
      <w:lvlJc w:val="left"/>
      <w:pPr>
        <w:ind w:left="5790" w:hanging="360"/>
      </w:pPr>
    </w:lvl>
    <w:lvl w:ilvl="8" w:tentative="0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71726DB2"/>
    <w:multiLevelType w:val="multilevel"/>
    <w:tmpl w:val="71726DB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AC535F7"/>
    <w:multiLevelType w:val="multilevel"/>
    <w:tmpl w:val="7AC535F7"/>
    <w:lvl w:ilvl="0" w:tentative="0">
      <w:start w:val="2"/>
      <w:numFmt w:val="upperRoman"/>
      <w:lvlText w:val="%1."/>
      <w:lvlJc w:val="left"/>
      <w:pPr>
        <w:ind w:left="1205" w:hanging="367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4320" w:hanging="367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4874" w:hanging="367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5428" w:hanging="367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5982" w:hanging="367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6536" w:hanging="367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7090" w:hanging="367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644" w:hanging="367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8198" w:hanging="367"/>
      </w:pPr>
      <w:rPr>
        <w:rFonts w:hint="default"/>
        <w:lang w:val="hr-HR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FD1089"/>
    <w:rsid w:val="00000EB3"/>
    <w:rsid w:val="00001CD0"/>
    <w:rsid w:val="0000590E"/>
    <w:rsid w:val="00005BEA"/>
    <w:rsid w:val="00013D22"/>
    <w:rsid w:val="00037E87"/>
    <w:rsid w:val="00041AF1"/>
    <w:rsid w:val="0004281F"/>
    <w:rsid w:val="0004430F"/>
    <w:rsid w:val="000475C3"/>
    <w:rsid w:val="0008076F"/>
    <w:rsid w:val="00081177"/>
    <w:rsid w:val="00093624"/>
    <w:rsid w:val="00095A1B"/>
    <w:rsid w:val="000A64F3"/>
    <w:rsid w:val="000B033C"/>
    <w:rsid w:val="000B79EB"/>
    <w:rsid w:val="000C225E"/>
    <w:rsid w:val="000D4D03"/>
    <w:rsid w:val="000F1485"/>
    <w:rsid w:val="00120F91"/>
    <w:rsid w:val="00126903"/>
    <w:rsid w:val="00134784"/>
    <w:rsid w:val="00134CFD"/>
    <w:rsid w:val="0014227C"/>
    <w:rsid w:val="0015286D"/>
    <w:rsid w:val="00186120"/>
    <w:rsid w:val="00195EF4"/>
    <w:rsid w:val="001A2C2C"/>
    <w:rsid w:val="001B1E3F"/>
    <w:rsid w:val="001B4A53"/>
    <w:rsid w:val="00203B27"/>
    <w:rsid w:val="00214583"/>
    <w:rsid w:val="0022202B"/>
    <w:rsid w:val="00226000"/>
    <w:rsid w:val="00274CEF"/>
    <w:rsid w:val="00287776"/>
    <w:rsid w:val="002B1380"/>
    <w:rsid w:val="00306F20"/>
    <w:rsid w:val="00312E1E"/>
    <w:rsid w:val="0033415A"/>
    <w:rsid w:val="00352407"/>
    <w:rsid w:val="00353E25"/>
    <w:rsid w:val="003C1046"/>
    <w:rsid w:val="003D1CF3"/>
    <w:rsid w:val="003D54C6"/>
    <w:rsid w:val="003E5574"/>
    <w:rsid w:val="004013CE"/>
    <w:rsid w:val="004072D0"/>
    <w:rsid w:val="00416C87"/>
    <w:rsid w:val="00417B0E"/>
    <w:rsid w:val="00477BA2"/>
    <w:rsid w:val="00482B15"/>
    <w:rsid w:val="004857C2"/>
    <w:rsid w:val="00495B81"/>
    <w:rsid w:val="004A5EC3"/>
    <w:rsid w:val="004D7A0B"/>
    <w:rsid w:val="004E3972"/>
    <w:rsid w:val="004E48F0"/>
    <w:rsid w:val="00503053"/>
    <w:rsid w:val="005118B1"/>
    <w:rsid w:val="005519A6"/>
    <w:rsid w:val="005A0AEA"/>
    <w:rsid w:val="005F7621"/>
    <w:rsid w:val="00606904"/>
    <w:rsid w:val="00636622"/>
    <w:rsid w:val="00644045"/>
    <w:rsid w:val="00661AEF"/>
    <w:rsid w:val="00673463"/>
    <w:rsid w:val="00673B8D"/>
    <w:rsid w:val="00682F3D"/>
    <w:rsid w:val="006938B2"/>
    <w:rsid w:val="006944C3"/>
    <w:rsid w:val="006A0585"/>
    <w:rsid w:val="006A086C"/>
    <w:rsid w:val="006A21AD"/>
    <w:rsid w:val="006D3B7E"/>
    <w:rsid w:val="00700845"/>
    <w:rsid w:val="007066D5"/>
    <w:rsid w:val="00711B3B"/>
    <w:rsid w:val="00712341"/>
    <w:rsid w:val="00734AF5"/>
    <w:rsid w:val="00765103"/>
    <w:rsid w:val="00765C13"/>
    <w:rsid w:val="007A5197"/>
    <w:rsid w:val="007D3851"/>
    <w:rsid w:val="007E5F13"/>
    <w:rsid w:val="007F450B"/>
    <w:rsid w:val="007F568F"/>
    <w:rsid w:val="00804778"/>
    <w:rsid w:val="00825C31"/>
    <w:rsid w:val="00841A08"/>
    <w:rsid w:val="008559E4"/>
    <w:rsid w:val="00856E58"/>
    <w:rsid w:val="00876A61"/>
    <w:rsid w:val="00881007"/>
    <w:rsid w:val="00883109"/>
    <w:rsid w:val="008902D1"/>
    <w:rsid w:val="008932C5"/>
    <w:rsid w:val="008B38D0"/>
    <w:rsid w:val="008C3303"/>
    <w:rsid w:val="00904A86"/>
    <w:rsid w:val="00906AB1"/>
    <w:rsid w:val="00911569"/>
    <w:rsid w:val="00917512"/>
    <w:rsid w:val="00917EA0"/>
    <w:rsid w:val="00944724"/>
    <w:rsid w:val="009620B4"/>
    <w:rsid w:val="009634B4"/>
    <w:rsid w:val="00981D3F"/>
    <w:rsid w:val="009A623D"/>
    <w:rsid w:val="009A77E8"/>
    <w:rsid w:val="009B104E"/>
    <w:rsid w:val="009C0E13"/>
    <w:rsid w:val="009C376B"/>
    <w:rsid w:val="009C3804"/>
    <w:rsid w:val="009D3392"/>
    <w:rsid w:val="009D4E9B"/>
    <w:rsid w:val="00A022E0"/>
    <w:rsid w:val="00A14B0B"/>
    <w:rsid w:val="00A161BF"/>
    <w:rsid w:val="00A21342"/>
    <w:rsid w:val="00A25EBB"/>
    <w:rsid w:val="00A32816"/>
    <w:rsid w:val="00A53A5F"/>
    <w:rsid w:val="00A55DFB"/>
    <w:rsid w:val="00A57BB5"/>
    <w:rsid w:val="00A610A4"/>
    <w:rsid w:val="00A93808"/>
    <w:rsid w:val="00AC0568"/>
    <w:rsid w:val="00AF2A70"/>
    <w:rsid w:val="00B008FB"/>
    <w:rsid w:val="00B02D12"/>
    <w:rsid w:val="00B266F8"/>
    <w:rsid w:val="00B469B4"/>
    <w:rsid w:val="00B54575"/>
    <w:rsid w:val="00B735F3"/>
    <w:rsid w:val="00B85F2A"/>
    <w:rsid w:val="00B9455B"/>
    <w:rsid w:val="00BA61EE"/>
    <w:rsid w:val="00BB110D"/>
    <w:rsid w:val="00BB22A3"/>
    <w:rsid w:val="00BB3F27"/>
    <w:rsid w:val="00BC42A2"/>
    <w:rsid w:val="00C2604B"/>
    <w:rsid w:val="00C273A5"/>
    <w:rsid w:val="00C366FE"/>
    <w:rsid w:val="00C43653"/>
    <w:rsid w:val="00C6234C"/>
    <w:rsid w:val="00C728C9"/>
    <w:rsid w:val="00C74963"/>
    <w:rsid w:val="00C76FF5"/>
    <w:rsid w:val="00C90F29"/>
    <w:rsid w:val="00CC3ACF"/>
    <w:rsid w:val="00CD61B6"/>
    <w:rsid w:val="00CE17E7"/>
    <w:rsid w:val="00D00498"/>
    <w:rsid w:val="00D30506"/>
    <w:rsid w:val="00D64046"/>
    <w:rsid w:val="00D679FA"/>
    <w:rsid w:val="00D94C40"/>
    <w:rsid w:val="00D96CFD"/>
    <w:rsid w:val="00DA2326"/>
    <w:rsid w:val="00DA711A"/>
    <w:rsid w:val="00E17681"/>
    <w:rsid w:val="00E520E2"/>
    <w:rsid w:val="00E62F62"/>
    <w:rsid w:val="00E66744"/>
    <w:rsid w:val="00E70F11"/>
    <w:rsid w:val="00E83D32"/>
    <w:rsid w:val="00EA2F79"/>
    <w:rsid w:val="00ED7855"/>
    <w:rsid w:val="00EF31B6"/>
    <w:rsid w:val="00F23178"/>
    <w:rsid w:val="00F36496"/>
    <w:rsid w:val="00F61170"/>
    <w:rsid w:val="00F6149B"/>
    <w:rsid w:val="00F65E00"/>
    <w:rsid w:val="00FB01C4"/>
    <w:rsid w:val="00FB768E"/>
    <w:rsid w:val="00FC15F9"/>
    <w:rsid w:val="00FC6E6C"/>
    <w:rsid w:val="00FC7948"/>
    <w:rsid w:val="014A7F00"/>
    <w:rsid w:val="05B83459"/>
    <w:rsid w:val="05F47384"/>
    <w:rsid w:val="070E1C98"/>
    <w:rsid w:val="0AAA25B9"/>
    <w:rsid w:val="0FD77846"/>
    <w:rsid w:val="10827079"/>
    <w:rsid w:val="139D07E8"/>
    <w:rsid w:val="16FD1089"/>
    <w:rsid w:val="17A56CE2"/>
    <w:rsid w:val="206F54C4"/>
    <w:rsid w:val="24CE0337"/>
    <w:rsid w:val="2AB642E7"/>
    <w:rsid w:val="2D037FED"/>
    <w:rsid w:val="3C605B17"/>
    <w:rsid w:val="3C606D0A"/>
    <w:rsid w:val="427D34DF"/>
    <w:rsid w:val="42D84B6B"/>
    <w:rsid w:val="434B62A5"/>
    <w:rsid w:val="45CA791C"/>
    <w:rsid w:val="524D72A0"/>
    <w:rsid w:val="67122F37"/>
    <w:rsid w:val="6C7B0516"/>
    <w:rsid w:val="75156453"/>
    <w:rsid w:val="7ABD01A7"/>
    <w:rsid w:val="7BB3700E"/>
    <w:rsid w:val="7FA0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qFormat/>
    <w:uiPriority w:val="1"/>
    <w:pPr>
      <w:ind w:left="4257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</w:rPr>
  </w:style>
  <w:style w:type="paragraph" w:customStyle="1" w:styleId="7">
    <w:name w:val="_7podnas"/>
    <w:basedOn w:val="1"/>
    <w:qFormat/>
    <w:uiPriority w:val="0"/>
    <w:pPr>
      <w:spacing w:before="60"/>
      <w:jc w:val="center"/>
    </w:pPr>
    <w:rPr>
      <w:rFonts w:ascii="Tahoma" w:hAnsi="Tahoma" w:cs="Tahoma"/>
      <w:b/>
      <w:bCs/>
      <w:sz w:val="27"/>
      <w:szCs w:val="27"/>
    </w:rPr>
  </w:style>
  <w:style w:type="paragraph" w:customStyle="1" w:styleId="8">
    <w:name w:val="_4clan"/>
    <w:basedOn w:val="1"/>
    <w:qFormat/>
    <w:uiPriority w:val="0"/>
    <w:pPr>
      <w:spacing w:before="240" w:after="240"/>
      <w:jc w:val="center"/>
    </w:pPr>
    <w:rPr>
      <w:rFonts w:ascii="Tahoma" w:hAnsi="Tahoma" w:cs="Tahoma"/>
      <w:b/>
      <w:bCs/>
      <w:sz w:val="24"/>
      <w:szCs w:val="24"/>
    </w:rPr>
  </w:style>
  <w:style w:type="paragraph" w:customStyle="1" w:styleId="9">
    <w:name w:val="_1tekst"/>
    <w:basedOn w:val="1"/>
    <w:qFormat/>
    <w:uiPriority w:val="0"/>
    <w:pPr>
      <w:ind w:left="150" w:right="150" w:firstLine="240"/>
      <w:jc w:val="both"/>
    </w:pPr>
    <w:rPr>
      <w:rFonts w:ascii="Tahoma" w:hAnsi="Tahoma" w:cs="Tahoma"/>
      <w:sz w:val="23"/>
      <w:szCs w:val="23"/>
    </w:rPr>
  </w:style>
  <w:style w:type="paragraph" w:customStyle="1" w:styleId="10">
    <w:name w:val="_6naslov"/>
    <w:basedOn w:val="1"/>
    <w:qFormat/>
    <w:uiPriority w:val="0"/>
    <w:pPr>
      <w:spacing w:before="60" w:after="30"/>
      <w:jc w:val="center"/>
    </w:pPr>
    <w:rPr>
      <w:rFonts w:ascii="Tahoma" w:hAnsi="Tahoma" w:cs="Tahoma"/>
      <w:sz w:val="32"/>
      <w:szCs w:val="32"/>
    </w:rPr>
  </w:style>
  <w:style w:type="paragraph" w:styleId="11">
    <w:name w:val="List Paragraph"/>
    <w:basedOn w:val="1"/>
    <w:qFormat/>
    <w:uiPriority w:val="1"/>
    <w:pPr>
      <w:ind w:left="118" w:firstLine="707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1EE3F-F853-4B28-BC27-A9B8624A22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3693</Words>
  <Characters>21051</Characters>
  <Lines>175</Lines>
  <Paragraphs>49</Paragraphs>
  <TotalTime>52</TotalTime>
  <ScaleCrop>false</ScaleCrop>
  <LinksUpToDate>false</LinksUpToDate>
  <CharactersWithSpaces>24695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2025-05-29T07:36:00Z</dcterms:created>
  <dc:creator>Korisnik</dc:creator>
  <cp:lastModifiedBy>Korisnik</cp:lastModifiedBy>
  <dcterms:modified xsi:type="dcterms:W3CDTF">2025-06-09T19:14:32Z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4C216562C77E458CAD5C5D0385230836_13</vt:lpwstr>
  </property>
</Properties>
</file>