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BA" w:rsidRDefault="00AE31BA" w:rsidP="00B31936">
      <w:pPr>
        <w:spacing w:line="276" w:lineRule="auto"/>
        <w:jc w:val="center"/>
        <w:rPr>
          <w:rFonts w:ascii="Arial" w:hAnsi="Arial" w:cs="Arial"/>
          <w:b/>
          <w:sz w:val="22"/>
          <w:szCs w:val="22"/>
        </w:rPr>
      </w:pPr>
      <w:r>
        <w:rPr>
          <w:rFonts w:ascii="Arial" w:hAnsi="Arial" w:cs="Arial"/>
          <w:b/>
          <w:sz w:val="22"/>
          <w:szCs w:val="22"/>
        </w:rPr>
        <w:t xml:space="preserve">                                                                                                                                  Nacrt</w:t>
      </w:r>
    </w:p>
    <w:p w:rsidR="00AE31BA" w:rsidRDefault="00AE31BA" w:rsidP="00B31936">
      <w:pPr>
        <w:spacing w:line="276" w:lineRule="auto"/>
        <w:jc w:val="center"/>
        <w:rPr>
          <w:rFonts w:ascii="Arial" w:hAnsi="Arial" w:cs="Arial"/>
          <w:b/>
          <w:sz w:val="22"/>
          <w:szCs w:val="22"/>
        </w:rPr>
      </w:pPr>
    </w:p>
    <w:p w:rsidR="004A2308" w:rsidRPr="00B31936" w:rsidRDefault="00B31936" w:rsidP="00B31936">
      <w:pPr>
        <w:spacing w:line="276" w:lineRule="auto"/>
        <w:jc w:val="center"/>
        <w:rPr>
          <w:rFonts w:ascii="Arial" w:hAnsi="Arial" w:cs="Arial"/>
          <w:b/>
          <w:sz w:val="22"/>
          <w:szCs w:val="22"/>
        </w:rPr>
      </w:pPr>
      <w:proofErr w:type="gramStart"/>
      <w:r>
        <w:rPr>
          <w:rFonts w:ascii="Arial" w:hAnsi="Arial" w:cs="Arial"/>
          <w:b/>
          <w:sz w:val="22"/>
          <w:szCs w:val="22"/>
        </w:rPr>
        <w:t>DOPUNA</w:t>
      </w:r>
      <w:r w:rsidR="004A2308" w:rsidRPr="003D08CC">
        <w:rPr>
          <w:rFonts w:ascii="Arial" w:hAnsi="Arial" w:cs="Arial"/>
          <w:b/>
          <w:sz w:val="22"/>
          <w:szCs w:val="22"/>
        </w:rPr>
        <w:t xml:space="preserve">  PLANA</w:t>
      </w:r>
      <w:proofErr w:type="gramEnd"/>
      <w:r>
        <w:rPr>
          <w:rFonts w:ascii="Arial" w:hAnsi="Arial" w:cs="Arial"/>
          <w:b/>
          <w:sz w:val="22"/>
          <w:szCs w:val="22"/>
        </w:rPr>
        <w:t xml:space="preserve"> </w:t>
      </w:r>
      <w:r w:rsidR="004A2308" w:rsidRPr="00B31936">
        <w:rPr>
          <w:rFonts w:ascii="Arial" w:hAnsi="Arial" w:cs="Arial"/>
          <w:b/>
          <w:sz w:val="22"/>
          <w:szCs w:val="22"/>
        </w:rPr>
        <w:t>DAVANJA KONCESIJA ZA DETALJNA GEOLOŠKA ISTRAŽIVANJA I EKSPLOATA</w:t>
      </w:r>
      <w:r w:rsidR="002533CC" w:rsidRPr="00B31936">
        <w:rPr>
          <w:rFonts w:ascii="Arial" w:hAnsi="Arial" w:cs="Arial"/>
          <w:b/>
          <w:sz w:val="22"/>
          <w:szCs w:val="22"/>
        </w:rPr>
        <w:t xml:space="preserve">CIJU MINERALNIH SIROVINA ZA 2018. </w:t>
      </w:r>
      <w:r w:rsidR="004A2308" w:rsidRPr="00B31936">
        <w:rPr>
          <w:rFonts w:ascii="Arial" w:hAnsi="Arial" w:cs="Arial"/>
          <w:b/>
          <w:sz w:val="22"/>
          <w:szCs w:val="22"/>
        </w:rPr>
        <w:t>GODINU</w:t>
      </w:r>
    </w:p>
    <w:p w:rsidR="004A2308" w:rsidRPr="003D08CC" w:rsidRDefault="004A2308" w:rsidP="003D08CC">
      <w:pPr>
        <w:pStyle w:val="BodyText"/>
        <w:spacing w:line="276" w:lineRule="auto"/>
      </w:pPr>
    </w:p>
    <w:p w:rsidR="004A2308" w:rsidRDefault="004A2308" w:rsidP="003D08CC">
      <w:pPr>
        <w:pStyle w:val="BodyText"/>
        <w:spacing w:line="276" w:lineRule="auto"/>
      </w:pPr>
    </w:p>
    <w:p w:rsidR="00AB4EE8" w:rsidRDefault="00AB4EE8" w:rsidP="003D08CC">
      <w:pPr>
        <w:pStyle w:val="BodyText"/>
        <w:spacing w:line="276" w:lineRule="auto"/>
      </w:pPr>
      <w:r>
        <w:t>U V O D</w:t>
      </w:r>
    </w:p>
    <w:p w:rsidR="00AB4EE8" w:rsidRPr="003D08CC" w:rsidRDefault="00AB4EE8" w:rsidP="003D08CC">
      <w:pPr>
        <w:pStyle w:val="BodyText"/>
        <w:spacing w:line="276" w:lineRule="auto"/>
      </w:pPr>
    </w:p>
    <w:p w:rsidR="004A2308" w:rsidRPr="003D08CC" w:rsidRDefault="004A2308" w:rsidP="003D08CC">
      <w:pPr>
        <w:pStyle w:val="BodyText"/>
        <w:spacing w:line="276" w:lineRule="auto"/>
        <w:rPr>
          <w:b w:val="0"/>
        </w:rPr>
      </w:pPr>
      <w:r w:rsidRPr="003D08CC">
        <w:rPr>
          <w:b w:val="0"/>
        </w:rPr>
        <w:t>Vlada Crne Gore, na sjednici od 28. decembra 2017. godine, donijela je Plan davanja koncesija za detaljna geološka istraživanja i eksploataciju mineralnih sirovina za 2018. godinu, u skladu sa članom 7 stav 1 Zakona o koncesijama („Sl.list CG“, br.08/09).</w:t>
      </w:r>
    </w:p>
    <w:p w:rsidR="004A2308" w:rsidRPr="003D08CC" w:rsidRDefault="004A2308" w:rsidP="003D08CC">
      <w:pPr>
        <w:pStyle w:val="BodyText"/>
        <w:spacing w:line="276" w:lineRule="auto"/>
        <w:rPr>
          <w:b w:val="0"/>
        </w:rPr>
      </w:pPr>
    </w:p>
    <w:p w:rsidR="004A2308" w:rsidRPr="003D08CC" w:rsidRDefault="000238B4" w:rsidP="003D08CC">
      <w:pPr>
        <w:spacing w:line="276" w:lineRule="auto"/>
        <w:jc w:val="both"/>
        <w:rPr>
          <w:rFonts w:ascii="Arial" w:hAnsi="Arial" w:cs="Arial"/>
          <w:sz w:val="22"/>
          <w:szCs w:val="22"/>
        </w:rPr>
      </w:pPr>
      <w:proofErr w:type="gramStart"/>
      <w:r>
        <w:rPr>
          <w:rFonts w:ascii="Arial" w:hAnsi="Arial" w:cs="Arial"/>
          <w:sz w:val="22"/>
          <w:szCs w:val="22"/>
        </w:rPr>
        <w:t xml:space="preserve">S obzirom da je više pravnih lica iskazalo </w:t>
      </w:r>
      <w:r w:rsidR="004A2308" w:rsidRPr="003D08CC">
        <w:rPr>
          <w:rFonts w:ascii="Arial" w:hAnsi="Arial" w:cs="Arial"/>
          <w:sz w:val="22"/>
          <w:szCs w:val="22"/>
        </w:rPr>
        <w:t>zaint</w:t>
      </w:r>
      <w:r w:rsidR="008B3783" w:rsidRPr="003D08CC">
        <w:rPr>
          <w:rFonts w:ascii="Arial" w:hAnsi="Arial" w:cs="Arial"/>
          <w:sz w:val="22"/>
          <w:szCs w:val="22"/>
        </w:rPr>
        <w:t>eresovanost za dodjelu koncesija</w:t>
      </w:r>
      <w:r w:rsidR="004A2308" w:rsidRPr="003D08CC">
        <w:rPr>
          <w:rFonts w:ascii="Arial" w:hAnsi="Arial" w:cs="Arial"/>
          <w:sz w:val="22"/>
          <w:szCs w:val="22"/>
        </w:rPr>
        <w:t xml:space="preserve"> za detaljna geološka istraživanja i ek</w:t>
      </w:r>
      <w:r>
        <w:rPr>
          <w:rFonts w:ascii="Arial" w:hAnsi="Arial" w:cs="Arial"/>
          <w:sz w:val="22"/>
          <w:szCs w:val="22"/>
        </w:rPr>
        <w:t>sploataciju mineralnih sirovina, k</w:t>
      </w:r>
      <w:r w:rsidR="008502A9">
        <w:rPr>
          <w:rFonts w:ascii="Arial" w:hAnsi="Arial" w:cs="Arial"/>
          <w:sz w:val="22"/>
          <w:szCs w:val="22"/>
        </w:rPr>
        <w:t>oje nijesu uvrštene u donešeni P</w:t>
      </w:r>
      <w:r>
        <w:rPr>
          <w:rFonts w:ascii="Arial" w:hAnsi="Arial" w:cs="Arial"/>
          <w:sz w:val="22"/>
          <w:szCs w:val="22"/>
        </w:rPr>
        <w:t>lan koncesija za 2018.</w:t>
      </w:r>
      <w:proofErr w:type="gramEnd"/>
      <w:r>
        <w:rPr>
          <w:rFonts w:ascii="Arial" w:hAnsi="Arial" w:cs="Arial"/>
          <w:sz w:val="22"/>
          <w:szCs w:val="22"/>
        </w:rPr>
        <w:t xml:space="preserve"> </w:t>
      </w:r>
      <w:proofErr w:type="gramStart"/>
      <w:r>
        <w:rPr>
          <w:rFonts w:ascii="Arial" w:hAnsi="Arial" w:cs="Arial"/>
          <w:sz w:val="22"/>
          <w:szCs w:val="22"/>
        </w:rPr>
        <w:t>godin</w:t>
      </w:r>
      <w:r w:rsidR="004F1C05">
        <w:rPr>
          <w:rFonts w:ascii="Arial" w:hAnsi="Arial" w:cs="Arial"/>
          <w:sz w:val="22"/>
          <w:szCs w:val="22"/>
        </w:rPr>
        <w:t>u</w:t>
      </w:r>
      <w:proofErr w:type="gramEnd"/>
      <w:r w:rsidR="004A2308" w:rsidRPr="003D08CC">
        <w:rPr>
          <w:rFonts w:ascii="Arial" w:hAnsi="Arial" w:cs="Arial"/>
          <w:sz w:val="22"/>
          <w:szCs w:val="22"/>
        </w:rPr>
        <w:t xml:space="preserve"> </w:t>
      </w:r>
      <w:r>
        <w:rPr>
          <w:rFonts w:ascii="Arial" w:hAnsi="Arial" w:cs="Arial"/>
          <w:sz w:val="22"/>
          <w:szCs w:val="22"/>
        </w:rPr>
        <w:t xml:space="preserve">i </w:t>
      </w:r>
      <w:r w:rsidR="008502A9">
        <w:rPr>
          <w:rFonts w:ascii="Arial" w:hAnsi="Arial" w:cs="Arial"/>
          <w:sz w:val="22"/>
          <w:szCs w:val="22"/>
        </w:rPr>
        <w:t>s obzirom na</w:t>
      </w:r>
      <w:r w:rsidR="00D56B4E">
        <w:rPr>
          <w:rFonts w:ascii="Arial" w:hAnsi="Arial" w:cs="Arial"/>
          <w:sz w:val="22"/>
          <w:szCs w:val="22"/>
        </w:rPr>
        <w:t xml:space="preserve"> potencijal mineralne sirovine arhitektonsko-građevinskog (ukrasnog) kamena u Opštini Danilovgrad</w:t>
      </w:r>
      <w:r w:rsidR="004F1C05">
        <w:rPr>
          <w:rFonts w:ascii="Arial" w:hAnsi="Arial" w:cs="Arial"/>
          <w:sz w:val="22"/>
          <w:szCs w:val="22"/>
        </w:rPr>
        <w:t xml:space="preserve">, </w:t>
      </w:r>
      <w:r w:rsidR="004A2308" w:rsidRPr="003D08CC">
        <w:rPr>
          <w:rFonts w:ascii="Arial" w:hAnsi="Arial" w:cs="Arial"/>
          <w:sz w:val="22"/>
          <w:szCs w:val="22"/>
        </w:rPr>
        <w:t xml:space="preserve">Ministarstvo ekonomije dostavlja </w:t>
      </w:r>
      <w:r w:rsidR="008502A9">
        <w:rPr>
          <w:rFonts w:ascii="Arial" w:hAnsi="Arial" w:cs="Arial"/>
          <w:sz w:val="22"/>
          <w:szCs w:val="22"/>
        </w:rPr>
        <w:t>Vladi na donošenje dopune istog.</w:t>
      </w:r>
    </w:p>
    <w:p w:rsidR="004A2308" w:rsidRPr="003D08CC" w:rsidRDefault="004A2308" w:rsidP="003D08CC">
      <w:pPr>
        <w:spacing w:line="276" w:lineRule="auto"/>
        <w:jc w:val="both"/>
        <w:rPr>
          <w:rFonts w:ascii="Arial" w:hAnsi="Arial" w:cs="Arial"/>
          <w:sz w:val="22"/>
          <w:szCs w:val="22"/>
        </w:rPr>
      </w:pPr>
    </w:p>
    <w:p w:rsidR="008B3783" w:rsidRPr="003D08CC" w:rsidRDefault="004A2308" w:rsidP="003D08CC">
      <w:pPr>
        <w:spacing w:line="276" w:lineRule="auto"/>
        <w:jc w:val="both"/>
        <w:rPr>
          <w:rFonts w:ascii="Arial" w:hAnsi="Arial" w:cs="Arial"/>
          <w:sz w:val="22"/>
          <w:szCs w:val="22"/>
        </w:rPr>
      </w:pPr>
      <w:r w:rsidRPr="003D08CC">
        <w:rPr>
          <w:rFonts w:ascii="Arial" w:hAnsi="Arial" w:cs="Arial"/>
          <w:sz w:val="22"/>
          <w:szCs w:val="22"/>
        </w:rPr>
        <w:t>Shodno članu 41 stav 1 Zakona o koncesijama, inicijativu za pokretanje postupka davanja koncesije koja nije sadržana u Planu iz člana</w:t>
      </w:r>
      <w:r w:rsidR="008B3783" w:rsidRPr="003D08CC">
        <w:rPr>
          <w:rFonts w:ascii="Arial" w:hAnsi="Arial" w:cs="Arial"/>
          <w:sz w:val="22"/>
          <w:szCs w:val="22"/>
        </w:rPr>
        <w:t xml:space="preserve"> 7 stav 1 ovo</w:t>
      </w:r>
      <w:r w:rsidR="008502A9">
        <w:rPr>
          <w:rFonts w:ascii="Arial" w:hAnsi="Arial" w:cs="Arial"/>
          <w:sz w:val="22"/>
          <w:szCs w:val="22"/>
        </w:rPr>
        <w:t>g zakona, podnijela su sljedeća privredna društva:</w:t>
      </w:r>
    </w:p>
    <w:p w:rsidR="004A2308" w:rsidRPr="003D08CC" w:rsidRDefault="004A2308" w:rsidP="003D08CC">
      <w:pPr>
        <w:spacing w:line="276" w:lineRule="auto"/>
        <w:jc w:val="both"/>
        <w:rPr>
          <w:rFonts w:ascii="Arial" w:hAnsi="Arial" w:cs="Arial"/>
          <w:sz w:val="22"/>
          <w:szCs w:val="22"/>
        </w:rPr>
      </w:pPr>
    </w:p>
    <w:p w:rsidR="008B3783"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 xml:space="preserve">1. </w:t>
      </w:r>
      <w:r w:rsidR="008B3783" w:rsidRPr="003D08CC">
        <w:rPr>
          <w:rFonts w:ascii="Arial" w:hAnsi="Arial" w:cs="Arial"/>
          <w:sz w:val="22"/>
          <w:szCs w:val="22"/>
        </w:rPr>
        <w:t>DOO „Tofi“ – Rožaje za ležište tehničko-građevinskog kamena „Krš“ – Kaluđerski laz, opština Rožaje;</w:t>
      </w:r>
    </w:p>
    <w:p w:rsidR="002533CC"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 xml:space="preserve">2. </w:t>
      </w:r>
      <w:r w:rsidR="00080CFD" w:rsidRPr="003D08CC">
        <w:rPr>
          <w:rFonts w:ascii="Arial" w:hAnsi="Arial" w:cs="Arial"/>
          <w:sz w:val="22"/>
          <w:szCs w:val="22"/>
        </w:rPr>
        <w:t>DOO „Alis“ – Rožaje za pojavu</w:t>
      </w:r>
      <w:r w:rsidR="008B3783" w:rsidRPr="003D08CC">
        <w:rPr>
          <w:rFonts w:ascii="Arial" w:hAnsi="Arial" w:cs="Arial"/>
          <w:sz w:val="22"/>
          <w:szCs w:val="22"/>
        </w:rPr>
        <w:t xml:space="preserve"> tehničko-građevinskog kamena „Pogled“, opština Rožaje;</w:t>
      </w:r>
    </w:p>
    <w:p w:rsidR="00D56B4E" w:rsidRDefault="009911A8" w:rsidP="003D08CC">
      <w:pPr>
        <w:spacing w:line="276" w:lineRule="auto"/>
        <w:jc w:val="both"/>
        <w:rPr>
          <w:rFonts w:ascii="Arial" w:hAnsi="Arial" w:cs="Arial"/>
          <w:sz w:val="22"/>
          <w:szCs w:val="22"/>
        </w:rPr>
      </w:pPr>
      <w:r w:rsidRPr="003D08CC">
        <w:rPr>
          <w:rFonts w:ascii="Arial" w:hAnsi="Arial" w:cs="Arial"/>
          <w:sz w:val="22"/>
          <w:szCs w:val="22"/>
        </w:rPr>
        <w:t xml:space="preserve">3. </w:t>
      </w:r>
      <w:r w:rsidR="00080CFD" w:rsidRPr="003D08CC">
        <w:rPr>
          <w:rFonts w:ascii="Arial" w:hAnsi="Arial" w:cs="Arial"/>
          <w:sz w:val="22"/>
          <w:szCs w:val="22"/>
        </w:rPr>
        <w:t>DOO „M</w:t>
      </w:r>
      <w:r w:rsidR="00D56B4E">
        <w:rPr>
          <w:rFonts w:ascii="Arial" w:hAnsi="Arial" w:cs="Arial"/>
          <w:sz w:val="22"/>
          <w:szCs w:val="22"/>
        </w:rPr>
        <w:t>atador Co</w:t>
      </w:r>
      <w:proofErr w:type="gramStart"/>
      <w:r w:rsidR="00D56B4E">
        <w:rPr>
          <w:rFonts w:ascii="Arial" w:hAnsi="Arial" w:cs="Arial"/>
          <w:sz w:val="22"/>
          <w:szCs w:val="22"/>
        </w:rPr>
        <w:t>“ –</w:t>
      </w:r>
      <w:proofErr w:type="gramEnd"/>
      <w:r w:rsidR="00D56B4E">
        <w:rPr>
          <w:rFonts w:ascii="Arial" w:hAnsi="Arial" w:cs="Arial"/>
          <w:sz w:val="22"/>
          <w:szCs w:val="22"/>
        </w:rPr>
        <w:t xml:space="preserve"> Bijelo Polje za</w:t>
      </w:r>
      <w:r w:rsidR="00080CFD" w:rsidRPr="003D08CC">
        <w:rPr>
          <w:rFonts w:ascii="Arial" w:hAnsi="Arial" w:cs="Arial"/>
          <w:sz w:val="22"/>
          <w:szCs w:val="22"/>
        </w:rPr>
        <w:t xml:space="preserve"> pojavu tehničko-građevinskog kamena</w:t>
      </w:r>
      <w:r w:rsidR="00D56B4E">
        <w:rPr>
          <w:rFonts w:ascii="Arial" w:hAnsi="Arial" w:cs="Arial"/>
          <w:sz w:val="22"/>
          <w:szCs w:val="22"/>
        </w:rPr>
        <w:t xml:space="preserve"> “Bioča”, opština Bijelo</w:t>
      </w:r>
    </w:p>
    <w:p w:rsidR="00D56B4E" w:rsidRDefault="00D56B4E" w:rsidP="003D08CC">
      <w:pPr>
        <w:spacing w:line="276" w:lineRule="auto"/>
        <w:jc w:val="both"/>
        <w:rPr>
          <w:rFonts w:ascii="Arial" w:hAnsi="Arial" w:cs="Arial"/>
          <w:sz w:val="22"/>
          <w:szCs w:val="22"/>
        </w:rPr>
      </w:pPr>
      <w:r>
        <w:rPr>
          <w:rFonts w:ascii="Arial" w:hAnsi="Arial" w:cs="Arial"/>
          <w:sz w:val="22"/>
          <w:szCs w:val="22"/>
        </w:rPr>
        <w:t xml:space="preserve">    Polje;</w:t>
      </w:r>
    </w:p>
    <w:p w:rsidR="00D56B4E" w:rsidRDefault="00D56B4E" w:rsidP="003D08CC">
      <w:pPr>
        <w:spacing w:line="276" w:lineRule="auto"/>
        <w:jc w:val="both"/>
        <w:rPr>
          <w:rFonts w:ascii="Arial" w:hAnsi="Arial" w:cs="Arial"/>
          <w:sz w:val="22"/>
          <w:szCs w:val="22"/>
        </w:rPr>
      </w:pPr>
      <w:r>
        <w:rPr>
          <w:rFonts w:ascii="Arial" w:hAnsi="Arial" w:cs="Arial"/>
          <w:sz w:val="22"/>
          <w:szCs w:val="22"/>
        </w:rPr>
        <w:t>4. DOO “Elas” – Bijelo Polje za pojavu tehničko-građevinskog kamena “Zoganje”, opština Ulcinj</w:t>
      </w:r>
      <w:r w:rsidR="008502A9">
        <w:rPr>
          <w:rFonts w:ascii="Arial" w:hAnsi="Arial" w:cs="Arial"/>
          <w:sz w:val="22"/>
          <w:szCs w:val="22"/>
        </w:rPr>
        <w:t>.</w:t>
      </w:r>
    </w:p>
    <w:p w:rsidR="00D56B4E" w:rsidRDefault="00D56B4E" w:rsidP="003D08CC">
      <w:pPr>
        <w:spacing w:line="276" w:lineRule="auto"/>
        <w:jc w:val="both"/>
        <w:rPr>
          <w:rFonts w:ascii="Arial" w:hAnsi="Arial" w:cs="Arial"/>
          <w:sz w:val="22"/>
          <w:szCs w:val="22"/>
        </w:rPr>
      </w:pPr>
    </w:p>
    <w:p w:rsidR="008502A9" w:rsidRDefault="008502A9" w:rsidP="003D08CC">
      <w:pPr>
        <w:spacing w:line="276" w:lineRule="auto"/>
        <w:jc w:val="both"/>
        <w:rPr>
          <w:rFonts w:ascii="Arial" w:hAnsi="Arial" w:cs="Arial"/>
          <w:sz w:val="22"/>
          <w:szCs w:val="22"/>
        </w:rPr>
      </w:pPr>
      <w:r>
        <w:rPr>
          <w:rFonts w:ascii="Arial" w:hAnsi="Arial" w:cs="Arial"/>
          <w:sz w:val="22"/>
          <w:szCs w:val="22"/>
        </w:rPr>
        <w:t xml:space="preserve">U skladu </w:t>
      </w:r>
      <w:proofErr w:type="gramStart"/>
      <w:r>
        <w:rPr>
          <w:rFonts w:ascii="Arial" w:hAnsi="Arial" w:cs="Arial"/>
          <w:sz w:val="22"/>
          <w:szCs w:val="22"/>
        </w:rPr>
        <w:t>sa</w:t>
      </w:r>
      <w:proofErr w:type="gramEnd"/>
      <w:r>
        <w:rPr>
          <w:rFonts w:ascii="Arial" w:hAnsi="Arial" w:cs="Arial"/>
          <w:sz w:val="22"/>
          <w:szCs w:val="22"/>
        </w:rPr>
        <w:t xml:space="preserve"> članom 7 stav 1 Zakona o koncesijama, Ministarstvo ekonomije uvrštava u dopunu Plana koncesija za 2018. </w:t>
      </w:r>
      <w:proofErr w:type="gramStart"/>
      <w:r>
        <w:rPr>
          <w:rFonts w:ascii="Arial" w:hAnsi="Arial" w:cs="Arial"/>
          <w:sz w:val="22"/>
          <w:szCs w:val="22"/>
        </w:rPr>
        <w:t>godinu</w:t>
      </w:r>
      <w:proofErr w:type="gramEnd"/>
      <w:r>
        <w:rPr>
          <w:rFonts w:ascii="Arial" w:hAnsi="Arial" w:cs="Arial"/>
          <w:sz w:val="22"/>
          <w:szCs w:val="22"/>
        </w:rPr>
        <w:t xml:space="preserve"> sljedeće pojave mineralne sirovine:</w:t>
      </w:r>
    </w:p>
    <w:p w:rsidR="00D56B4E" w:rsidRDefault="008502A9" w:rsidP="003D08CC">
      <w:pPr>
        <w:spacing w:line="276" w:lineRule="auto"/>
        <w:jc w:val="both"/>
        <w:rPr>
          <w:rFonts w:ascii="Arial" w:hAnsi="Arial" w:cs="Arial"/>
          <w:sz w:val="22"/>
          <w:szCs w:val="22"/>
        </w:rPr>
      </w:pPr>
      <w:r>
        <w:rPr>
          <w:rFonts w:ascii="Arial" w:hAnsi="Arial" w:cs="Arial"/>
          <w:sz w:val="22"/>
          <w:szCs w:val="22"/>
        </w:rPr>
        <w:t xml:space="preserve"> </w:t>
      </w:r>
    </w:p>
    <w:p w:rsidR="00D56B4E" w:rsidRDefault="008502A9" w:rsidP="003D08CC">
      <w:pPr>
        <w:spacing w:line="276" w:lineRule="auto"/>
        <w:jc w:val="both"/>
        <w:rPr>
          <w:rFonts w:ascii="Arial" w:hAnsi="Arial" w:cs="Arial"/>
          <w:sz w:val="22"/>
          <w:szCs w:val="22"/>
        </w:rPr>
      </w:pPr>
      <w:r>
        <w:rPr>
          <w:rFonts w:ascii="Arial" w:hAnsi="Arial" w:cs="Arial"/>
          <w:sz w:val="22"/>
          <w:szCs w:val="22"/>
        </w:rPr>
        <w:t>1</w:t>
      </w:r>
      <w:r w:rsidR="00D56B4E">
        <w:rPr>
          <w:rFonts w:ascii="Arial" w:hAnsi="Arial" w:cs="Arial"/>
          <w:sz w:val="22"/>
          <w:szCs w:val="22"/>
        </w:rPr>
        <w:t xml:space="preserve">. Pojava arhitektonsko-građevinskog (ukrasnog) kamena “Kriva ploča” – Slatina, opština </w:t>
      </w:r>
      <w:r>
        <w:rPr>
          <w:rFonts w:ascii="Arial" w:hAnsi="Arial" w:cs="Arial"/>
          <w:sz w:val="22"/>
          <w:szCs w:val="22"/>
        </w:rPr>
        <w:t>Danilovgrad;</w:t>
      </w:r>
    </w:p>
    <w:p w:rsidR="008502A9" w:rsidRDefault="008502A9" w:rsidP="008502A9">
      <w:pPr>
        <w:spacing w:line="276" w:lineRule="auto"/>
        <w:jc w:val="both"/>
        <w:rPr>
          <w:rFonts w:ascii="Arial" w:hAnsi="Arial" w:cs="Arial"/>
          <w:sz w:val="22"/>
          <w:szCs w:val="22"/>
        </w:rPr>
      </w:pPr>
      <w:r>
        <w:rPr>
          <w:rFonts w:ascii="Arial" w:hAnsi="Arial" w:cs="Arial"/>
          <w:sz w:val="22"/>
          <w:szCs w:val="22"/>
        </w:rPr>
        <w:t>2. Pojava arhitektonsko-građevinskog (ukrasnog) kamena “</w:t>
      </w:r>
      <w:r w:rsidR="00B31936">
        <w:rPr>
          <w:rFonts w:ascii="Arial" w:hAnsi="Arial" w:cs="Arial"/>
          <w:sz w:val="22"/>
          <w:szCs w:val="22"/>
        </w:rPr>
        <w:t>Vinići</w:t>
      </w:r>
      <w:r>
        <w:rPr>
          <w:rFonts w:ascii="Arial" w:hAnsi="Arial" w:cs="Arial"/>
          <w:sz w:val="22"/>
          <w:szCs w:val="22"/>
        </w:rPr>
        <w:t xml:space="preserve">”, opština </w:t>
      </w:r>
      <w:r w:rsidR="00B31936">
        <w:rPr>
          <w:rFonts w:ascii="Arial" w:hAnsi="Arial" w:cs="Arial"/>
          <w:sz w:val="22"/>
          <w:szCs w:val="22"/>
        </w:rPr>
        <w:t>Danilovgrad.</w:t>
      </w:r>
    </w:p>
    <w:p w:rsidR="00265400" w:rsidRDefault="00265400" w:rsidP="006A478C">
      <w:pPr>
        <w:spacing w:line="276" w:lineRule="auto"/>
        <w:jc w:val="both"/>
        <w:rPr>
          <w:rFonts w:ascii="Arial" w:hAnsi="Arial" w:cs="Arial"/>
          <w:sz w:val="22"/>
          <w:szCs w:val="22"/>
        </w:rPr>
      </w:pPr>
    </w:p>
    <w:p w:rsidR="004F3D5E" w:rsidRDefault="004F3D5E" w:rsidP="006A478C">
      <w:pPr>
        <w:spacing w:line="276" w:lineRule="auto"/>
        <w:jc w:val="both"/>
        <w:rPr>
          <w:rFonts w:ascii="Arial" w:hAnsi="Arial" w:cs="Arial"/>
          <w:sz w:val="22"/>
          <w:szCs w:val="22"/>
        </w:rPr>
      </w:pPr>
      <w:r>
        <w:rPr>
          <w:rFonts w:ascii="Arial" w:hAnsi="Arial" w:cs="Arial"/>
          <w:sz w:val="22"/>
          <w:szCs w:val="22"/>
        </w:rPr>
        <w:t xml:space="preserve">Ležišta i pojave nemetaličnih mineralnih sirovina kojima pripadaju tehničko-građevinski i arhitektonsko-građevinski (ukrsani) kamen su, relativno, pravilno raspoređeni na teritoriji Crne Gore, što je </w:t>
      </w:r>
      <w:r w:rsidR="00EA5382">
        <w:rPr>
          <w:rFonts w:ascii="Arial" w:hAnsi="Arial" w:cs="Arial"/>
          <w:sz w:val="22"/>
          <w:szCs w:val="22"/>
        </w:rPr>
        <w:t>povoljno sa gledišta lokalne potrošnje, kao i zapošljavanja. Crna Gora, a time i njen sjeverni region, raspolaže značajnim sirovinskim potencijalom za proizvodnju arhitektonsko-građevinskog (ukrasnog) i tehničko-građevinskog kamena. S</w:t>
      </w:r>
      <w:r w:rsidR="00087138">
        <w:rPr>
          <w:rFonts w:ascii="Arial" w:hAnsi="Arial" w:cs="Arial"/>
          <w:sz w:val="22"/>
          <w:szCs w:val="22"/>
        </w:rPr>
        <w:t>koro dvije trećine površine Crne Gore čine krečnjaci, dolomiti i magamatske stijene koje se mogu koristiti za ovu proizvodnju.</w:t>
      </w:r>
    </w:p>
    <w:p w:rsidR="00C76A56" w:rsidRDefault="00C76A56" w:rsidP="006A478C">
      <w:pPr>
        <w:spacing w:line="276" w:lineRule="auto"/>
        <w:jc w:val="both"/>
        <w:rPr>
          <w:rFonts w:ascii="Arial" w:hAnsi="Arial" w:cs="Arial"/>
          <w:sz w:val="22"/>
          <w:szCs w:val="22"/>
        </w:rPr>
      </w:pPr>
    </w:p>
    <w:p w:rsidR="00087138" w:rsidRDefault="00087138" w:rsidP="006A478C">
      <w:pPr>
        <w:spacing w:line="276" w:lineRule="auto"/>
        <w:jc w:val="both"/>
        <w:rPr>
          <w:rFonts w:ascii="Arial" w:hAnsi="Arial" w:cs="Arial"/>
          <w:sz w:val="22"/>
          <w:szCs w:val="22"/>
        </w:rPr>
      </w:pPr>
      <w:r>
        <w:rPr>
          <w:rFonts w:ascii="Arial" w:hAnsi="Arial" w:cs="Arial"/>
          <w:sz w:val="22"/>
          <w:szCs w:val="22"/>
        </w:rPr>
        <w:t xml:space="preserve">Geološka istraživanja u Crnoj Gori su intezivna zahvaljujući godišnjim programima koje utvrđuje Ministarstvo ekonomije, a realizuje ih JU Zavod za geološka istraživanja – Podgorica. Većina projekata je višegodišnja i finansiraju </w:t>
      </w:r>
      <w:r w:rsidR="000240D2">
        <w:rPr>
          <w:rFonts w:ascii="Arial" w:hAnsi="Arial" w:cs="Arial"/>
          <w:sz w:val="22"/>
          <w:szCs w:val="22"/>
        </w:rPr>
        <w:t xml:space="preserve">se iz Budžeta Crne Gore. Među mnogim projektima je i Projekat: Prikupljanje i analiza podataka, izrada informacione baze i ocjena potencijalnosti kao osnove za planiranje proizvodnje i snabdijevanje primarnim </w:t>
      </w:r>
      <w:r w:rsidR="007C3286">
        <w:rPr>
          <w:rFonts w:ascii="Arial" w:hAnsi="Arial" w:cs="Arial"/>
          <w:sz w:val="22"/>
          <w:szCs w:val="22"/>
        </w:rPr>
        <w:t xml:space="preserve">kamenim agregatima u Crnoj Gori, koji je Ministarstvo ekonomije 2015. godine uvrstilo u Program geoloških istraživanja od interesa za Crnu Goru, kao višegodišnji Projekat. </w:t>
      </w:r>
      <w:r w:rsidR="000240D2">
        <w:rPr>
          <w:rFonts w:ascii="Arial" w:hAnsi="Arial" w:cs="Arial"/>
          <w:sz w:val="22"/>
          <w:szCs w:val="22"/>
        </w:rPr>
        <w:t xml:space="preserve"> </w:t>
      </w:r>
      <w:r w:rsidR="004226FF">
        <w:rPr>
          <w:rFonts w:ascii="Arial" w:hAnsi="Arial" w:cs="Arial"/>
          <w:sz w:val="22"/>
          <w:szCs w:val="22"/>
        </w:rPr>
        <w:t>U okviru aktivnosti u 2016. godini, po ovom Projektu, izdvojen je određen broj lokacija i širih podr</w:t>
      </w:r>
      <w:r w:rsidR="001607D5">
        <w:rPr>
          <w:rFonts w:ascii="Arial" w:hAnsi="Arial" w:cs="Arial"/>
          <w:sz w:val="22"/>
          <w:szCs w:val="22"/>
        </w:rPr>
        <w:t>u</w:t>
      </w:r>
      <w:r w:rsidR="004226FF">
        <w:rPr>
          <w:rFonts w:ascii="Arial" w:hAnsi="Arial" w:cs="Arial"/>
          <w:sz w:val="22"/>
          <w:szCs w:val="22"/>
        </w:rPr>
        <w:t>čja sa aspekta potencijalnosti</w:t>
      </w:r>
      <w:r w:rsidR="00921292">
        <w:rPr>
          <w:rFonts w:ascii="Arial" w:hAnsi="Arial" w:cs="Arial"/>
          <w:sz w:val="22"/>
          <w:szCs w:val="22"/>
        </w:rPr>
        <w:t xml:space="preserve">. Perspektivni prostori su izdvojeni u okviru povoljnih geoloških struktura i stijenskih kompleksa. </w:t>
      </w:r>
      <w:r w:rsidR="00B61781">
        <w:rPr>
          <w:rFonts w:ascii="Arial" w:hAnsi="Arial" w:cs="Arial"/>
          <w:sz w:val="22"/>
          <w:szCs w:val="22"/>
        </w:rPr>
        <w:t xml:space="preserve">Izvršena je identifikacija, izdvajanje i okonturivanje određenih lokacija </w:t>
      </w:r>
      <w:r w:rsidR="00B61781">
        <w:rPr>
          <w:rFonts w:ascii="Arial" w:hAnsi="Arial" w:cs="Arial"/>
          <w:sz w:val="22"/>
          <w:szCs w:val="22"/>
        </w:rPr>
        <w:lastRenderedPageBreak/>
        <w:t>na području opština, između ostalih i Rožaja i Bijelog Polja (padine brda Male Rudi</w:t>
      </w:r>
      <w:r w:rsidR="00AD4709">
        <w:rPr>
          <w:rFonts w:ascii="Arial" w:hAnsi="Arial" w:cs="Arial"/>
          <w:sz w:val="22"/>
          <w:szCs w:val="22"/>
        </w:rPr>
        <w:t>ne Bioča, opština Bijelo Po</w:t>
      </w:r>
      <w:r w:rsidR="00D577D9">
        <w:rPr>
          <w:rFonts w:ascii="Arial" w:hAnsi="Arial" w:cs="Arial"/>
          <w:sz w:val="22"/>
          <w:szCs w:val="22"/>
        </w:rPr>
        <w:t>lje; padine brda Vrhovje-Dacići</w:t>
      </w:r>
      <w:r w:rsidR="00AD4709">
        <w:rPr>
          <w:rFonts w:ascii="Arial" w:hAnsi="Arial" w:cs="Arial"/>
          <w:sz w:val="22"/>
          <w:szCs w:val="22"/>
        </w:rPr>
        <w:t>-P</w:t>
      </w:r>
      <w:r w:rsidR="00D577D9">
        <w:rPr>
          <w:rFonts w:ascii="Arial" w:hAnsi="Arial" w:cs="Arial"/>
          <w:sz w:val="22"/>
          <w:szCs w:val="22"/>
        </w:rPr>
        <w:t xml:space="preserve">ogled i </w:t>
      </w:r>
      <w:r w:rsidR="00AD4709">
        <w:rPr>
          <w:rFonts w:ascii="Arial" w:hAnsi="Arial" w:cs="Arial"/>
          <w:sz w:val="22"/>
          <w:szCs w:val="22"/>
        </w:rPr>
        <w:t>utvrđeno ležište Krš-kaluđerksi laz, opština Rožaje).</w:t>
      </w:r>
      <w:r w:rsidR="001607D5">
        <w:rPr>
          <w:rFonts w:ascii="Arial" w:hAnsi="Arial" w:cs="Arial"/>
          <w:sz w:val="22"/>
          <w:szCs w:val="22"/>
        </w:rPr>
        <w:t xml:space="preserve"> Na osnovu podataka iz Osnovne geološke karte, 1:100 000, odnosno na osnovu do sada izvedenih osnovnih geoloških istraživanja, lokalitet tehničko-građevinskog kamena „Zoganje“</w:t>
      </w:r>
      <w:r w:rsidR="00E47D0C">
        <w:rPr>
          <w:rFonts w:ascii="Arial" w:hAnsi="Arial" w:cs="Arial"/>
          <w:sz w:val="22"/>
          <w:szCs w:val="22"/>
        </w:rPr>
        <w:t xml:space="preserve"> ima potencijalnost sa aspekta gelogije i shodno </w:t>
      </w:r>
      <w:r w:rsidR="00D577D9">
        <w:rPr>
          <w:rFonts w:ascii="Arial" w:hAnsi="Arial" w:cs="Arial"/>
          <w:sz w:val="22"/>
          <w:szCs w:val="22"/>
        </w:rPr>
        <w:t>tome prepoznat je kao koncesioni</w:t>
      </w:r>
      <w:r w:rsidR="00E47D0C">
        <w:rPr>
          <w:rFonts w:ascii="Arial" w:hAnsi="Arial" w:cs="Arial"/>
          <w:sz w:val="22"/>
          <w:szCs w:val="22"/>
        </w:rPr>
        <w:t xml:space="preserve"> prostor u PUP-u Opštine Ulcinj.</w:t>
      </w:r>
    </w:p>
    <w:p w:rsidR="00D577D9" w:rsidRDefault="00D577D9" w:rsidP="006A478C">
      <w:pPr>
        <w:spacing w:line="276" w:lineRule="auto"/>
        <w:jc w:val="both"/>
        <w:rPr>
          <w:rFonts w:ascii="Arial" w:hAnsi="Arial" w:cs="Arial"/>
          <w:sz w:val="22"/>
          <w:szCs w:val="22"/>
        </w:rPr>
      </w:pPr>
    </w:p>
    <w:p w:rsidR="00C76A56" w:rsidRDefault="000240D2" w:rsidP="006A478C">
      <w:pPr>
        <w:spacing w:line="276" w:lineRule="auto"/>
        <w:jc w:val="both"/>
        <w:rPr>
          <w:rFonts w:ascii="Arial" w:hAnsi="Arial" w:cs="Arial"/>
          <w:sz w:val="22"/>
          <w:szCs w:val="22"/>
        </w:rPr>
      </w:pPr>
      <w:r>
        <w:rPr>
          <w:rFonts w:ascii="Arial" w:hAnsi="Arial" w:cs="Arial"/>
          <w:sz w:val="22"/>
          <w:szCs w:val="22"/>
        </w:rPr>
        <w:t xml:space="preserve">Svi do sada urađeni projekti i </w:t>
      </w:r>
      <w:r w:rsidR="001607D5">
        <w:rPr>
          <w:rFonts w:ascii="Arial" w:hAnsi="Arial" w:cs="Arial"/>
          <w:sz w:val="22"/>
          <w:szCs w:val="22"/>
        </w:rPr>
        <w:t xml:space="preserve">izvedena </w:t>
      </w:r>
      <w:r>
        <w:rPr>
          <w:rFonts w:ascii="Arial" w:hAnsi="Arial" w:cs="Arial"/>
          <w:sz w:val="22"/>
          <w:szCs w:val="22"/>
        </w:rPr>
        <w:t>istraživanja i oni koji su u fazi realizacije, daju mogućnost da se, sa geološkog aspekta, može valorizovati mineralna sirovina tehničko-građevinski kamen na području opštinā</w:t>
      </w:r>
      <w:r w:rsidR="00C76A56">
        <w:rPr>
          <w:rFonts w:ascii="Arial" w:hAnsi="Arial" w:cs="Arial"/>
          <w:sz w:val="22"/>
          <w:szCs w:val="22"/>
        </w:rPr>
        <w:t xml:space="preserve"> Bijelo Polje, </w:t>
      </w:r>
      <w:r>
        <w:rPr>
          <w:rFonts w:ascii="Arial" w:hAnsi="Arial" w:cs="Arial"/>
          <w:sz w:val="22"/>
          <w:szCs w:val="22"/>
        </w:rPr>
        <w:t>Rožaj</w:t>
      </w:r>
      <w:r w:rsidR="00C76A56">
        <w:rPr>
          <w:rFonts w:ascii="Arial" w:hAnsi="Arial" w:cs="Arial"/>
          <w:sz w:val="22"/>
          <w:szCs w:val="22"/>
        </w:rPr>
        <w:t xml:space="preserve">e i Ulcinj, </w:t>
      </w:r>
      <w:r>
        <w:rPr>
          <w:rFonts w:ascii="Arial" w:hAnsi="Arial" w:cs="Arial"/>
          <w:sz w:val="22"/>
          <w:szCs w:val="22"/>
        </w:rPr>
        <w:t>odnosno na lokalitetima „Krš“ – Kauđerski laz i „Pogled“</w:t>
      </w:r>
      <w:r w:rsidR="00C76A56">
        <w:rPr>
          <w:rFonts w:ascii="Arial" w:hAnsi="Arial" w:cs="Arial"/>
          <w:sz w:val="22"/>
          <w:szCs w:val="22"/>
        </w:rPr>
        <w:t>, opština Rožaje, na lokalitetu „Bioča“, opština Bijelo Polje i „Zoganje“</w:t>
      </w:r>
      <w:r w:rsidR="007C3286">
        <w:rPr>
          <w:rFonts w:ascii="Arial" w:hAnsi="Arial" w:cs="Arial"/>
          <w:sz w:val="22"/>
          <w:szCs w:val="22"/>
        </w:rPr>
        <w:t>, opština Ulcinj.</w:t>
      </w:r>
      <w:r w:rsidR="004226FF">
        <w:rPr>
          <w:rFonts w:ascii="Arial" w:hAnsi="Arial" w:cs="Arial"/>
          <w:sz w:val="22"/>
          <w:szCs w:val="22"/>
        </w:rPr>
        <w:t xml:space="preserve"> </w:t>
      </w:r>
    </w:p>
    <w:p w:rsidR="00E47D0C" w:rsidRPr="00265400" w:rsidRDefault="00E47D0C" w:rsidP="006A478C">
      <w:pPr>
        <w:spacing w:line="276" w:lineRule="auto"/>
        <w:jc w:val="both"/>
        <w:rPr>
          <w:rFonts w:ascii="Arial" w:hAnsi="Arial" w:cs="Arial"/>
          <w:sz w:val="22"/>
          <w:szCs w:val="22"/>
        </w:rPr>
      </w:pPr>
    </w:p>
    <w:p w:rsidR="006A478C" w:rsidRDefault="00C76A56" w:rsidP="006A478C">
      <w:pPr>
        <w:spacing w:line="276" w:lineRule="auto"/>
        <w:jc w:val="both"/>
        <w:rPr>
          <w:rFonts w:ascii="Arial" w:hAnsi="Arial" w:cs="Arial"/>
          <w:sz w:val="22"/>
          <w:szCs w:val="22"/>
        </w:rPr>
      </w:pPr>
      <w:r>
        <w:rPr>
          <w:rFonts w:ascii="Arial" w:hAnsi="Arial" w:cs="Arial"/>
          <w:sz w:val="22"/>
          <w:szCs w:val="22"/>
        </w:rPr>
        <w:t>Davanjem koncesija u ovim opštinama, obezbjeđuje se odgovarajući javni interes, unaprjeđenje</w:t>
      </w:r>
      <w:r w:rsidR="006A478C" w:rsidRPr="006A478C">
        <w:rPr>
          <w:rFonts w:ascii="Arial" w:hAnsi="Arial" w:cs="Arial"/>
          <w:sz w:val="22"/>
          <w:szCs w:val="22"/>
        </w:rPr>
        <w:t xml:space="preserve"> ru</w:t>
      </w:r>
      <w:r>
        <w:rPr>
          <w:rFonts w:ascii="Arial" w:hAnsi="Arial" w:cs="Arial"/>
          <w:sz w:val="22"/>
          <w:szCs w:val="22"/>
        </w:rPr>
        <w:t>darske djelatnosti, obezbjeđenje</w:t>
      </w:r>
      <w:r w:rsidR="006A478C" w:rsidRPr="006A478C">
        <w:rPr>
          <w:rFonts w:ascii="Arial" w:hAnsi="Arial" w:cs="Arial"/>
          <w:sz w:val="22"/>
          <w:szCs w:val="22"/>
        </w:rPr>
        <w:t xml:space="preserve"> održivog korišćenja neobnovljivog mineralnog resursa zasnovanog </w:t>
      </w:r>
      <w:proofErr w:type="gramStart"/>
      <w:r w:rsidR="006A478C" w:rsidRPr="006A478C">
        <w:rPr>
          <w:rFonts w:ascii="Arial" w:hAnsi="Arial" w:cs="Arial"/>
          <w:sz w:val="22"/>
          <w:szCs w:val="22"/>
        </w:rPr>
        <w:t>na</w:t>
      </w:r>
      <w:proofErr w:type="gramEnd"/>
      <w:r w:rsidR="006A478C" w:rsidRPr="006A478C">
        <w:rPr>
          <w:rFonts w:ascii="Arial" w:hAnsi="Arial" w:cs="Arial"/>
          <w:sz w:val="22"/>
          <w:szCs w:val="22"/>
        </w:rPr>
        <w:t xml:space="preserve"> njegovom dugoročnom korišćenju, veće zaposlenosti, kao i racionalnog, ekonomičnog, pravilnog i efikasnog</w:t>
      </w:r>
      <w:r>
        <w:rPr>
          <w:rFonts w:ascii="Arial" w:hAnsi="Arial" w:cs="Arial"/>
          <w:sz w:val="22"/>
          <w:szCs w:val="22"/>
        </w:rPr>
        <w:t xml:space="preserve"> korišćenja ovog prirodnog resursa</w:t>
      </w:r>
      <w:r w:rsidR="006A478C" w:rsidRPr="006A478C">
        <w:rPr>
          <w:rFonts w:ascii="Arial" w:hAnsi="Arial" w:cs="Arial"/>
          <w:sz w:val="22"/>
          <w:szCs w:val="22"/>
        </w:rPr>
        <w:t xml:space="preserve">, tehničko-tehnološkog unaprjeđenja i očuvanja životne sredine. </w:t>
      </w:r>
    </w:p>
    <w:p w:rsidR="00C76A56" w:rsidRDefault="00C76A56" w:rsidP="006A478C">
      <w:pPr>
        <w:spacing w:line="276" w:lineRule="auto"/>
        <w:jc w:val="both"/>
        <w:rPr>
          <w:rFonts w:ascii="Arial" w:hAnsi="Arial" w:cs="Arial"/>
          <w:sz w:val="22"/>
          <w:szCs w:val="22"/>
        </w:rPr>
      </w:pPr>
    </w:p>
    <w:p w:rsidR="006A478C" w:rsidRDefault="00C76A56" w:rsidP="006A478C">
      <w:pPr>
        <w:spacing w:line="276" w:lineRule="auto"/>
        <w:jc w:val="both"/>
        <w:rPr>
          <w:rFonts w:ascii="Arial" w:hAnsi="Arial" w:cs="Arial"/>
          <w:sz w:val="22"/>
          <w:szCs w:val="22"/>
        </w:rPr>
      </w:pPr>
      <w:proofErr w:type="gramStart"/>
      <w:r>
        <w:rPr>
          <w:rFonts w:ascii="Arial" w:hAnsi="Arial" w:cs="Arial"/>
          <w:sz w:val="22"/>
          <w:szCs w:val="22"/>
        </w:rPr>
        <w:t>Posebno tre</w:t>
      </w:r>
      <w:r w:rsidR="00E47D0C">
        <w:rPr>
          <w:rFonts w:ascii="Arial" w:hAnsi="Arial" w:cs="Arial"/>
          <w:sz w:val="22"/>
          <w:szCs w:val="22"/>
        </w:rPr>
        <w:t xml:space="preserve">ba istaći da u opštinama Bijelo Polje i Ulcinj </w:t>
      </w:r>
      <w:r w:rsidR="007434F5">
        <w:rPr>
          <w:rFonts w:ascii="Arial" w:hAnsi="Arial" w:cs="Arial"/>
          <w:sz w:val="22"/>
          <w:szCs w:val="22"/>
        </w:rPr>
        <w:t xml:space="preserve">Vlada Crne Gore ima dva zaključena ugovora o koncesiji </w:t>
      </w:r>
      <w:r w:rsidR="00E47D0C">
        <w:rPr>
          <w:rFonts w:ascii="Arial" w:hAnsi="Arial" w:cs="Arial"/>
          <w:sz w:val="22"/>
          <w:szCs w:val="22"/>
        </w:rPr>
        <w:t>za eksploataciju tehničko-građevinskog kamena.</w:t>
      </w:r>
      <w:proofErr w:type="gramEnd"/>
      <w:r w:rsidR="00E47D0C">
        <w:rPr>
          <w:rFonts w:ascii="Arial" w:hAnsi="Arial" w:cs="Arial"/>
          <w:sz w:val="22"/>
          <w:szCs w:val="22"/>
        </w:rPr>
        <w:t xml:space="preserve"> </w:t>
      </w:r>
      <w:proofErr w:type="gramStart"/>
      <w:r w:rsidR="00E47D0C">
        <w:rPr>
          <w:rFonts w:ascii="Arial" w:hAnsi="Arial" w:cs="Arial"/>
          <w:sz w:val="22"/>
          <w:szCs w:val="22"/>
        </w:rPr>
        <w:t xml:space="preserve">Davanjem novih koncesija </w:t>
      </w:r>
      <w:r w:rsidR="007434F5">
        <w:rPr>
          <w:rFonts w:ascii="Arial" w:hAnsi="Arial" w:cs="Arial"/>
          <w:sz w:val="22"/>
          <w:szCs w:val="22"/>
        </w:rPr>
        <w:t xml:space="preserve">obezbjediće se tržišna konkurencija kao podsticaj razvoja privrednih aktivnosti u </w:t>
      </w:r>
      <w:r w:rsidR="00E47D0C">
        <w:rPr>
          <w:rFonts w:ascii="Arial" w:hAnsi="Arial" w:cs="Arial"/>
          <w:sz w:val="22"/>
          <w:szCs w:val="22"/>
        </w:rPr>
        <w:t>ovim opštinama.</w:t>
      </w:r>
      <w:proofErr w:type="gramEnd"/>
      <w:r w:rsidR="00E47D0C">
        <w:rPr>
          <w:rFonts w:ascii="Arial" w:hAnsi="Arial" w:cs="Arial"/>
          <w:sz w:val="22"/>
          <w:szCs w:val="22"/>
        </w:rPr>
        <w:t xml:space="preserve"> </w:t>
      </w:r>
    </w:p>
    <w:p w:rsidR="007434F5" w:rsidRDefault="007434F5" w:rsidP="006A478C">
      <w:pPr>
        <w:spacing w:line="276" w:lineRule="auto"/>
        <w:jc w:val="both"/>
        <w:rPr>
          <w:rFonts w:ascii="Arial" w:hAnsi="Arial" w:cs="Arial"/>
          <w:sz w:val="22"/>
          <w:szCs w:val="22"/>
        </w:rPr>
      </w:pPr>
    </w:p>
    <w:p w:rsidR="00594B4C" w:rsidRDefault="007C3286" w:rsidP="006A478C">
      <w:pPr>
        <w:spacing w:line="276" w:lineRule="auto"/>
        <w:jc w:val="both"/>
        <w:rPr>
          <w:rFonts w:ascii="Arial" w:hAnsi="Arial" w:cs="Arial"/>
          <w:sz w:val="22"/>
          <w:szCs w:val="22"/>
        </w:rPr>
      </w:pPr>
      <w:proofErr w:type="gramStart"/>
      <w:r>
        <w:rPr>
          <w:rFonts w:ascii="Arial" w:hAnsi="Arial" w:cs="Arial"/>
          <w:sz w:val="22"/>
          <w:szCs w:val="22"/>
        </w:rPr>
        <w:t>Ministarstvo ekonomije je 2013.</w:t>
      </w:r>
      <w:proofErr w:type="gramEnd"/>
      <w:r>
        <w:rPr>
          <w:rFonts w:ascii="Arial" w:hAnsi="Arial" w:cs="Arial"/>
          <w:sz w:val="22"/>
          <w:szCs w:val="22"/>
        </w:rPr>
        <w:t xml:space="preserve"> </w:t>
      </w:r>
      <w:proofErr w:type="gramStart"/>
      <w:r>
        <w:rPr>
          <w:rFonts w:ascii="Arial" w:hAnsi="Arial" w:cs="Arial"/>
          <w:sz w:val="22"/>
          <w:szCs w:val="22"/>
        </w:rPr>
        <w:t>godine</w:t>
      </w:r>
      <w:proofErr w:type="gramEnd"/>
      <w:r>
        <w:rPr>
          <w:rFonts w:ascii="Arial" w:hAnsi="Arial" w:cs="Arial"/>
          <w:sz w:val="22"/>
          <w:szCs w:val="22"/>
        </w:rPr>
        <w:t xml:space="preserve"> uvrstilo u Program geoloških istraživanja od interesa za Cr</w:t>
      </w:r>
      <w:r w:rsidR="00D577D9">
        <w:rPr>
          <w:rFonts w:ascii="Arial" w:hAnsi="Arial" w:cs="Arial"/>
          <w:sz w:val="22"/>
          <w:szCs w:val="22"/>
        </w:rPr>
        <w:t>nu Goru višegodišnji Projekat: I</w:t>
      </w:r>
      <w:r>
        <w:rPr>
          <w:rFonts w:ascii="Arial" w:hAnsi="Arial" w:cs="Arial"/>
          <w:sz w:val="22"/>
          <w:szCs w:val="22"/>
        </w:rPr>
        <w:t>straživanje i ekonomski značaj karbonatnih sirovina na području Bjelopavlića, koji realizuje JU Zavod za geološka istraživanja – Podgorica. Na osnovu dosadašnjih rezultata istraživanja, odnosno formaciono-mineragenetske analize karbonatnih terena Crne Gore, može se zaključiti da rudni rejon Bjelopavlića predstavlja najznačajnije područje kada je u pitanju arhitektonsko-građevinski (ukrasni) kame</w:t>
      </w:r>
      <w:r w:rsidR="00594B4C">
        <w:rPr>
          <w:rFonts w:ascii="Arial" w:hAnsi="Arial" w:cs="Arial"/>
          <w:sz w:val="22"/>
          <w:szCs w:val="22"/>
        </w:rPr>
        <w:t xml:space="preserve">n, </w:t>
      </w:r>
      <w:r w:rsidR="00D577D9">
        <w:rPr>
          <w:rFonts w:ascii="Arial" w:hAnsi="Arial" w:cs="Arial"/>
          <w:sz w:val="22"/>
          <w:szCs w:val="22"/>
        </w:rPr>
        <w:t xml:space="preserve">I to </w:t>
      </w:r>
      <w:r w:rsidR="00594B4C">
        <w:rPr>
          <w:rFonts w:ascii="Arial" w:hAnsi="Arial" w:cs="Arial"/>
          <w:sz w:val="22"/>
          <w:szCs w:val="22"/>
        </w:rPr>
        <w:t xml:space="preserve">kada su u pitanju postojeća ležišta, tako </w:t>
      </w:r>
      <w:r w:rsidR="00D577D9">
        <w:rPr>
          <w:rFonts w:ascii="Arial" w:hAnsi="Arial" w:cs="Arial"/>
          <w:sz w:val="22"/>
          <w:szCs w:val="22"/>
        </w:rPr>
        <w:t>i</w:t>
      </w:r>
      <w:r w:rsidR="00594B4C">
        <w:rPr>
          <w:rFonts w:ascii="Arial" w:hAnsi="Arial" w:cs="Arial"/>
          <w:sz w:val="22"/>
          <w:szCs w:val="22"/>
        </w:rPr>
        <w:t xml:space="preserve"> u pogledu pronalaska novih ležišta ove mineralne sirovine. Takođe, </w:t>
      </w:r>
      <w:proofErr w:type="gramStart"/>
      <w:r w:rsidR="00594B4C">
        <w:rPr>
          <w:rFonts w:ascii="Arial" w:hAnsi="Arial" w:cs="Arial"/>
          <w:sz w:val="22"/>
          <w:szCs w:val="22"/>
        </w:rPr>
        <w:t>na</w:t>
      </w:r>
      <w:proofErr w:type="gramEnd"/>
      <w:r w:rsidR="00594B4C">
        <w:rPr>
          <w:rFonts w:ascii="Arial" w:hAnsi="Arial" w:cs="Arial"/>
          <w:sz w:val="22"/>
          <w:szCs w:val="22"/>
        </w:rPr>
        <w:t xml:space="preserve"> osnovu rezultata dosadašnjih ispitivanja krednih krečnjaka ovog područja do kojih se došlo kroz Projekat: Potencijalnost krednih krečnjaka u Crnoj Gori kao sirovine za proizvodnju karbonatnih punila, (koji je, takođe, višegodišnji Projekat), može se zaključiti da ovi krečnjaci posjeduju izuzetna kvalitativna svojstva u pogledu hemijskog sastava (sadržaja CaCO</w:t>
      </w:r>
      <w:r w:rsidR="00594B4C">
        <w:rPr>
          <w:rFonts w:ascii="Arial" w:hAnsi="Arial" w:cs="Arial"/>
          <w:sz w:val="22"/>
          <w:szCs w:val="22"/>
          <w:vertAlign w:val="subscript"/>
        </w:rPr>
        <w:t>3</w:t>
      </w:r>
      <w:r w:rsidR="00594B4C">
        <w:rPr>
          <w:rFonts w:ascii="Arial" w:hAnsi="Arial" w:cs="Arial"/>
          <w:sz w:val="22"/>
          <w:szCs w:val="22"/>
        </w:rPr>
        <w:t xml:space="preserve"> komponente), odnosno stepena čistoće krečnjaka.</w:t>
      </w:r>
      <w:r w:rsidR="00D577D9">
        <w:rPr>
          <w:rFonts w:ascii="Arial" w:hAnsi="Arial" w:cs="Arial"/>
          <w:sz w:val="22"/>
          <w:szCs w:val="22"/>
        </w:rPr>
        <w:t xml:space="preserve"> </w:t>
      </w:r>
      <w:r w:rsidR="00594B4C">
        <w:rPr>
          <w:rFonts w:ascii="Arial" w:hAnsi="Arial" w:cs="Arial"/>
          <w:sz w:val="22"/>
          <w:szCs w:val="22"/>
        </w:rPr>
        <w:t xml:space="preserve">Znači, jednom sveobuhvatnom analizom pojedinih formacija karbonatnih stijena </w:t>
      </w:r>
      <w:r w:rsidR="00D577D9">
        <w:rPr>
          <w:rFonts w:ascii="Arial" w:hAnsi="Arial" w:cs="Arial"/>
          <w:sz w:val="22"/>
          <w:szCs w:val="22"/>
        </w:rPr>
        <w:t>i</w:t>
      </w:r>
      <w:r w:rsidR="00594B4C">
        <w:rPr>
          <w:rFonts w:ascii="Arial" w:hAnsi="Arial" w:cs="Arial"/>
          <w:sz w:val="22"/>
          <w:szCs w:val="22"/>
        </w:rPr>
        <w:t xml:space="preserve"> uslova njihovog obrazovanja, mogu se u okviru definisanog istražnog prostora izdvojiti uži potencijalni prostori za dokazivanje manjih </w:t>
      </w:r>
      <w:r w:rsidR="00D577D9">
        <w:rPr>
          <w:rFonts w:ascii="Arial" w:hAnsi="Arial" w:cs="Arial"/>
          <w:sz w:val="22"/>
          <w:szCs w:val="22"/>
        </w:rPr>
        <w:t>i</w:t>
      </w:r>
      <w:r w:rsidR="00594B4C">
        <w:rPr>
          <w:rFonts w:ascii="Arial" w:hAnsi="Arial" w:cs="Arial"/>
          <w:sz w:val="22"/>
          <w:szCs w:val="22"/>
        </w:rPr>
        <w:t xml:space="preserve"> većih pojava </w:t>
      </w:r>
      <w:r w:rsidR="00D577D9">
        <w:rPr>
          <w:rFonts w:ascii="Arial" w:hAnsi="Arial" w:cs="Arial"/>
          <w:sz w:val="22"/>
          <w:szCs w:val="22"/>
        </w:rPr>
        <w:t>i</w:t>
      </w:r>
      <w:r w:rsidR="00594B4C">
        <w:rPr>
          <w:rFonts w:ascii="Arial" w:hAnsi="Arial" w:cs="Arial"/>
          <w:sz w:val="22"/>
          <w:szCs w:val="22"/>
        </w:rPr>
        <w:t xml:space="preserve"> ležišta krečnjaka </w:t>
      </w:r>
      <w:proofErr w:type="gramStart"/>
      <w:r w:rsidR="00594B4C">
        <w:rPr>
          <w:rFonts w:ascii="Arial" w:hAnsi="Arial" w:cs="Arial"/>
          <w:sz w:val="22"/>
          <w:szCs w:val="22"/>
        </w:rPr>
        <w:t>sa</w:t>
      </w:r>
      <w:proofErr w:type="gramEnd"/>
      <w:r w:rsidR="00594B4C">
        <w:rPr>
          <w:rFonts w:ascii="Arial" w:hAnsi="Arial" w:cs="Arial"/>
          <w:sz w:val="22"/>
          <w:szCs w:val="22"/>
        </w:rPr>
        <w:t xml:space="preserve"> kvalitetom koji će zadovoljiti njihovu primjenu kao arhitektonsko-građevinski (ukrasni), tehničko-građevinski kamen ili kao sirovina za proizvodnju karbonatnih punila.</w:t>
      </w:r>
      <w:r w:rsidR="00686F6A">
        <w:rPr>
          <w:rFonts w:ascii="Arial" w:hAnsi="Arial" w:cs="Arial"/>
          <w:sz w:val="22"/>
          <w:szCs w:val="22"/>
        </w:rPr>
        <w:t xml:space="preserve"> </w:t>
      </w:r>
      <w:proofErr w:type="gramStart"/>
      <w:r w:rsidR="00686F6A">
        <w:rPr>
          <w:rFonts w:ascii="Arial" w:hAnsi="Arial" w:cs="Arial"/>
          <w:sz w:val="22"/>
          <w:szCs w:val="22"/>
        </w:rPr>
        <w:t xml:space="preserve">Ovim Projektom obuhvaćeni su, između ostalih </w:t>
      </w:r>
      <w:r w:rsidR="00D577D9">
        <w:rPr>
          <w:rFonts w:ascii="Arial" w:hAnsi="Arial" w:cs="Arial"/>
          <w:sz w:val="22"/>
          <w:szCs w:val="22"/>
        </w:rPr>
        <w:t>i</w:t>
      </w:r>
      <w:r w:rsidR="00686F6A">
        <w:rPr>
          <w:rFonts w:ascii="Arial" w:hAnsi="Arial" w:cs="Arial"/>
          <w:sz w:val="22"/>
          <w:szCs w:val="22"/>
        </w:rPr>
        <w:t xml:space="preserve"> lokaliteti “Kriva ploča” – Slatina i “Vinići”.</w:t>
      </w:r>
      <w:proofErr w:type="gramEnd"/>
    </w:p>
    <w:p w:rsidR="00D577D9" w:rsidRDefault="00D577D9" w:rsidP="006A478C">
      <w:pPr>
        <w:spacing w:line="276" w:lineRule="auto"/>
        <w:jc w:val="both"/>
        <w:rPr>
          <w:rFonts w:ascii="Arial" w:hAnsi="Arial" w:cs="Arial"/>
          <w:sz w:val="22"/>
          <w:szCs w:val="22"/>
        </w:rPr>
      </w:pPr>
    </w:p>
    <w:p w:rsidR="00A95C38" w:rsidRDefault="00686F6A" w:rsidP="006A478C">
      <w:pPr>
        <w:spacing w:line="276" w:lineRule="auto"/>
        <w:jc w:val="both"/>
        <w:rPr>
          <w:rFonts w:ascii="Arial" w:hAnsi="Arial" w:cs="Arial"/>
          <w:sz w:val="22"/>
          <w:szCs w:val="22"/>
        </w:rPr>
      </w:pPr>
      <w:proofErr w:type="gramStart"/>
      <w:r>
        <w:rPr>
          <w:rFonts w:ascii="Arial" w:hAnsi="Arial" w:cs="Arial"/>
          <w:sz w:val="22"/>
          <w:szCs w:val="22"/>
        </w:rPr>
        <w:t>Proizvodnja i korišćenje arhitektonsko-građevinskog (ukrasnog) kamena u Opštini Danilovgrad, odnosno u Bjelopavlićima ima veoma dugu tradiciju.</w:t>
      </w:r>
      <w:proofErr w:type="gramEnd"/>
      <w:r>
        <w:rPr>
          <w:rFonts w:ascii="Arial" w:hAnsi="Arial" w:cs="Arial"/>
          <w:sz w:val="22"/>
          <w:szCs w:val="22"/>
        </w:rPr>
        <w:t xml:space="preserve"> Tokom višedecenijske eksploatacije </w:t>
      </w:r>
      <w:proofErr w:type="gramStart"/>
      <w:r>
        <w:rPr>
          <w:rFonts w:ascii="Arial" w:hAnsi="Arial" w:cs="Arial"/>
          <w:sz w:val="22"/>
          <w:szCs w:val="22"/>
        </w:rPr>
        <w:t>na</w:t>
      </w:r>
      <w:proofErr w:type="gramEnd"/>
      <w:r>
        <w:rPr>
          <w:rFonts w:ascii="Arial" w:hAnsi="Arial" w:cs="Arial"/>
          <w:sz w:val="22"/>
          <w:szCs w:val="22"/>
        </w:rPr>
        <w:t xml:space="preserve"> najpoznatijim ležištima “Maljat” </w:t>
      </w:r>
      <w:r w:rsidR="00A652CA">
        <w:rPr>
          <w:rFonts w:ascii="Arial" w:hAnsi="Arial" w:cs="Arial"/>
          <w:sz w:val="22"/>
          <w:szCs w:val="22"/>
        </w:rPr>
        <w:t>i “Visočica” dolazi vrijeme prepoznavanja novih ležišta za valorizaciju</w:t>
      </w:r>
      <w:r>
        <w:rPr>
          <w:rFonts w:ascii="Arial" w:hAnsi="Arial" w:cs="Arial"/>
          <w:sz w:val="22"/>
          <w:szCs w:val="22"/>
        </w:rPr>
        <w:t xml:space="preserve">. </w:t>
      </w:r>
      <w:proofErr w:type="gramStart"/>
      <w:r>
        <w:rPr>
          <w:rFonts w:ascii="Arial" w:hAnsi="Arial" w:cs="Arial"/>
          <w:sz w:val="22"/>
          <w:szCs w:val="22"/>
        </w:rPr>
        <w:t>Kroz naprijed navedene projekte, Ministarstvo eko</w:t>
      </w:r>
      <w:r w:rsidR="00A95C38">
        <w:rPr>
          <w:rFonts w:ascii="Arial" w:hAnsi="Arial" w:cs="Arial"/>
          <w:sz w:val="22"/>
          <w:szCs w:val="22"/>
        </w:rPr>
        <w:t>nomije obezbjeđuje nastavak i razvoj proizvodnje ove mineralne sirovine u Bjelopavlićima</w:t>
      </w:r>
      <w:r w:rsidR="00B81C0E">
        <w:rPr>
          <w:rFonts w:ascii="Arial" w:hAnsi="Arial" w:cs="Arial"/>
          <w:sz w:val="22"/>
          <w:szCs w:val="22"/>
        </w:rPr>
        <w:t>.</w:t>
      </w:r>
      <w:proofErr w:type="gramEnd"/>
      <w:r w:rsidR="00A652CA">
        <w:rPr>
          <w:rFonts w:ascii="Arial" w:hAnsi="Arial" w:cs="Arial"/>
          <w:sz w:val="22"/>
          <w:szCs w:val="22"/>
        </w:rPr>
        <w:t xml:space="preserve"> </w:t>
      </w:r>
      <w:proofErr w:type="gramStart"/>
      <w:r w:rsidR="00A652CA">
        <w:rPr>
          <w:rFonts w:ascii="Arial" w:hAnsi="Arial" w:cs="Arial"/>
          <w:sz w:val="22"/>
          <w:szCs w:val="22"/>
        </w:rPr>
        <w:t>K</w:t>
      </w:r>
      <w:r w:rsidR="00A95C38">
        <w:rPr>
          <w:rFonts w:ascii="Arial" w:hAnsi="Arial" w:cs="Arial"/>
          <w:sz w:val="22"/>
          <w:szCs w:val="22"/>
        </w:rPr>
        <w:t>ako bi se ova djelatnost sve više razvijala, jer ima potencijala, Ministarstvo ekonomije u 2018.</w:t>
      </w:r>
      <w:proofErr w:type="gramEnd"/>
      <w:r w:rsidR="00A95C38">
        <w:rPr>
          <w:rFonts w:ascii="Arial" w:hAnsi="Arial" w:cs="Arial"/>
          <w:sz w:val="22"/>
          <w:szCs w:val="22"/>
        </w:rPr>
        <w:t xml:space="preserve"> </w:t>
      </w:r>
      <w:proofErr w:type="gramStart"/>
      <w:r w:rsidR="00A95C38">
        <w:rPr>
          <w:rFonts w:ascii="Arial" w:hAnsi="Arial" w:cs="Arial"/>
          <w:sz w:val="22"/>
          <w:szCs w:val="22"/>
        </w:rPr>
        <w:t>godini</w:t>
      </w:r>
      <w:proofErr w:type="gramEnd"/>
      <w:r w:rsidR="00A95C38">
        <w:rPr>
          <w:rFonts w:ascii="Arial" w:hAnsi="Arial" w:cs="Arial"/>
          <w:sz w:val="22"/>
          <w:szCs w:val="22"/>
        </w:rPr>
        <w:t xml:space="preserve"> uvrštavanjem u Plan davanja koncesija i lokalitete “”Kriva ploča” – Slatina i “Vinići”, nastavlja kontinuitet i dalji razvoj u sljedećim godinama u proizvodnji arhitektonsko-građevinskog (ukrasnog) kamena. Javni interes je </w:t>
      </w:r>
      <w:r w:rsidR="00B81C0E">
        <w:rPr>
          <w:rFonts w:ascii="Arial" w:hAnsi="Arial" w:cs="Arial"/>
          <w:sz w:val="22"/>
          <w:szCs w:val="22"/>
        </w:rPr>
        <w:t xml:space="preserve">da se </w:t>
      </w:r>
      <w:r w:rsidR="00A95C38">
        <w:rPr>
          <w:rFonts w:ascii="Arial" w:hAnsi="Arial" w:cs="Arial"/>
          <w:sz w:val="22"/>
          <w:szCs w:val="22"/>
        </w:rPr>
        <w:t>kroz povećani broj koncesija</w:t>
      </w:r>
      <w:r w:rsidR="00AB4EE8">
        <w:rPr>
          <w:rFonts w:ascii="Arial" w:hAnsi="Arial" w:cs="Arial"/>
          <w:sz w:val="22"/>
          <w:szCs w:val="22"/>
        </w:rPr>
        <w:t xml:space="preserve"> ostvaruje</w:t>
      </w:r>
      <w:r w:rsidR="00A95C38">
        <w:rPr>
          <w:rFonts w:ascii="Arial" w:hAnsi="Arial" w:cs="Arial"/>
          <w:sz w:val="22"/>
          <w:szCs w:val="22"/>
        </w:rPr>
        <w:t xml:space="preserve"> razvoj </w:t>
      </w:r>
      <w:r w:rsidR="00AB4EE8">
        <w:rPr>
          <w:rFonts w:ascii="Arial" w:hAnsi="Arial" w:cs="Arial"/>
          <w:sz w:val="22"/>
          <w:szCs w:val="22"/>
        </w:rPr>
        <w:t>O</w:t>
      </w:r>
      <w:r w:rsidR="00A95C38">
        <w:rPr>
          <w:rFonts w:ascii="Arial" w:hAnsi="Arial" w:cs="Arial"/>
          <w:sz w:val="22"/>
          <w:szCs w:val="22"/>
        </w:rPr>
        <w:t>pštine Danilovgrad</w:t>
      </w:r>
      <w:r w:rsidR="00AB4EE8">
        <w:rPr>
          <w:rFonts w:ascii="Arial" w:hAnsi="Arial" w:cs="Arial"/>
          <w:sz w:val="22"/>
          <w:szCs w:val="22"/>
        </w:rPr>
        <w:t xml:space="preserve">, koja je poznata po ovoj mineralnoj sirovini i koja ima tradiciju i čiji građani su se već </w:t>
      </w:r>
      <w:r w:rsidR="00AB4EE8">
        <w:rPr>
          <w:rFonts w:ascii="Arial" w:hAnsi="Arial" w:cs="Arial"/>
          <w:sz w:val="22"/>
          <w:szCs w:val="22"/>
        </w:rPr>
        <w:lastRenderedPageBreak/>
        <w:t xml:space="preserve">decenijama saživjeli </w:t>
      </w:r>
      <w:proofErr w:type="gramStart"/>
      <w:r w:rsidR="00AB4EE8">
        <w:rPr>
          <w:rFonts w:ascii="Arial" w:hAnsi="Arial" w:cs="Arial"/>
          <w:sz w:val="22"/>
          <w:szCs w:val="22"/>
        </w:rPr>
        <w:t>sa</w:t>
      </w:r>
      <w:proofErr w:type="gramEnd"/>
      <w:r w:rsidR="00AB4EE8">
        <w:rPr>
          <w:rFonts w:ascii="Arial" w:hAnsi="Arial" w:cs="Arial"/>
          <w:sz w:val="22"/>
          <w:szCs w:val="22"/>
        </w:rPr>
        <w:t xml:space="preserve"> ovom djelatnošću i očekuju dalji razvoj, a time </w:t>
      </w:r>
      <w:r w:rsidR="00B81C0E">
        <w:rPr>
          <w:rFonts w:ascii="Arial" w:hAnsi="Arial" w:cs="Arial"/>
          <w:sz w:val="22"/>
          <w:szCs w:val="22"/>
        </w:rPr>
        <w:t>i</w:t>
      </w:r>
      <w:r w:rsidR="00AB4EE8">
        <w:rPr>
          <w:rFonts w:ascii="Arial" w:hAnsi="Arial" w:cs="Arial"/>
          <w:sz w:val="22"/>
          <w:szCs w:val="22"/>
        </w:rPr>
        <w:t xml:space="preserve"> zapošljavanje, posebno mladih ljudi.</w:t>
      </w:r>
    </w:p>
    <w:p w:rsidR="00A95C38" w:rsidRDefault="00A95C38" w:rsidP="006A478C">
      <w:pPr>
        <w:spacing w:line="276" w:lineRule="auto"/>
        <w:jc w:val="both"/>
        <w:rPr>
          <w:rFonts w:ascii="Arial" w:hAnsi="Arial" w:cs="Arial"/>
          <w:sz w:val="22"/>
          <w:szCs w:val="22"/>
        </w:rPr>
      </w:pPr>
    </w:p>
    <w:p w:rsidR="006A478C" w:rsidRDefault="007C3286" w:rsidP="00B81C0E">
      <w:pPr>
        <w:spacing w:line="276" w:lineRule="auto"/>
        <w:jc w:val="both"/>
        <w:rPr>
          <w:rFonts w:ascii="Arial" w:hAnsi="Arial" w:cs="Arial"/>
          <w:sz w:val="22"/>
          <w:szCs w:val="22"/>
        </w:rPr>
      </w:pPr>
      <w:r w:rsidRPr="00AB4EE8">
        <w:rPr>
          <w:rFonts w:ascii="Arial" w:hAnsi="Arial" w:cs="Arial"/>
          <w:sz w:val="22"/>
          <w:szCs w:val="22"/>
        </w:rPr>
        <w:t xml:space="preserve">Cilj </w:t>
      </w:r>
      <w:r w:rsidR="00AB4EE8">
        <w:rPr>
          <w:rFonts w:ascii="Arial" w:hAnsi="Arial" w:cs="Arial"/>
          <w:sz w:val="22"/>
          <w:szCs w:val="22"/>
        </w:rPr>
        <w:t>Ministarstva ekonomije je da davanjem koncesija se stvara bogatstvo</w:t>
      </w:r>
      <w:r w:rsidR="006A478C" w:rsidRPr="00AB4EE8">
        <w:rPr>
          <w:rFonts w:ascii="Arial" w:hAnsi="Arial" w:cs="Arial"/>
          <w:sz w:val="22"/>
          <w:szCs w:val="22"/>
        </w:rPr>
        <w:t xml:space="preserve"> za lokalne zajednice i Crnu Goru u cjelini</w:t>
      </w:r>
      <w:proofErr w:type="gramStart"/>
      <w:r w:rsidR="006A478C" w:rsidRPr="00AB4EE8">
        <w:rPr>
          <w:rFonts w:ascii="Arial" w:hAnsi="Arial" w:cs="Arial"/>
          <w:sz w:val="22"/>
          <w:szCs w:val="22"/>
        </w:rPr>
        <w:t>,</w:t>
      </w:r>
      <w:r w:rsidR="00AB4EE8">
        <w:rPr>
          <w:rFonts w:ascii="Arial" w:hAnsi="Arial" w:cs="Arial"/>
          <w:sz w:val="22"/>
          <w:szCs w:val="22"/>
        </w:rPr>
        <w:t xml:space="preserve"> </w:t>
      </w:r>
      <w:r w:rsidR="006A478C" w:rsidRPr="00AB4EE8">
        <w:rPr>
          <w:rFonts w:ascii="Arial" w:hAnsi="Arial" w:cs="Arial"/>
          <w:sz w:val="22"/>
          <w:szCs w:val="22"/>
        </w:rPr>
        <w:t xml:space="preserve"> kroz</w:t>
      </w:r>
      <w:proofErr w:type="gramEnd"/>
      <w:r w:rsidR="006A478C" w:rsidRPr="00AB4EE8">
        <w:rPr>
          <w:rFonts w:ascii="Arial" w:hAnsi="Arial" w:cs="Arial"/>
          <w:sz w:val="22"/>
          <w:szCs w:val="22"/>
        </w:rPr>
        <w:t xml:space="preserve"> razvoj i održivu eksploataciju ekonomski isplativ</w:t>
      </w:r>
      <w:r w:rsidR="00AB4EE8">
        <w:rPr>
          <w:rFonts w:ascii="Arial" w:hAnsi="Arial" w:cs="Arial"/>
          <w:sz w:val="22"/>
          <w:szCs w:val="22"/>
        </w:rPr>
        <w:t>ih ležišta mineralnih sirovina.</w:t>
      </w:r>
    </w:p>
    <w:p w:rsidR="006A478C" w:rsidRPr="00AB4EE8" w:rsidRDefault="006A478C" w:rsidP="006A478C">
      <w:pPr>
        <w:jc w:val="both"/>
        <w:rPr>
          <w:rFonts w:ascii="Arial" w:hAnsi="Arial" w:cs="Arial"/>
          <w:sz w:val="22"/>
          <w:szCs w:val="22"/>
        </w:rPr>
      </w:pPr>
      <w:proofErr w:type="gramStart"/>
      <w:r w:rsidRPr="00AB4EE8">
        <w:rPr>
          <w:rFonts w:ascii="Arial" w:hAnsi="Arial" w:cs="Arial"/>
          <w:sz w:val="22"/>
          <w:szCs w:val="22"/>
        </w:rPr>
        <w:t>Društveni interes se ogleda u korišćenju mineralnih sirovina u partnerstvu svih učesnika u procesu geoloških istraživanja, eksploatacije i prerade.</w:t>
      </w:r>
      <w:proofErr w:type="gramEnd"/>
      <w:r w:rsidRPr="00AB4EE8">
        <w:rPr>
          <w:rFonts w:ascii="Arial" w:hAnsi="Arial" w:cs="Arial"/>
          <w:sz w:val="22"/>
          <w:szCs w:val="22"/>
        </w:rPr>
        <w:t xml:space="preserve"> </w:t>
      </w:r>
    </w:p>
    <w:p w:rsidR="004A2308" w:rsidRDefault="004A2308" w:rsidP="003D08CC">
      <w:pPr>
        <w:spacing w:line="276" w:lineRule="auto"/>
        <w:jc w:val="both"/>
        <w:rPr>
          <w:rFonts w:ascii="Arial" w:hAnsi="Arial" w:cs="Arial"/>
          <w:sz w:val="22"/>
          <w:szCs w:val="22"/>
        </w:rPr>
      </w:pPr>
    </w:p>
    <w:p w:rsidR="00AB4EE8" w:rsidRPr="00AB4EE8" w:rsidRDefault="00AB4EE8" w:rsidP="003D08CC">
      <w:pPr>
        <w:spacing w:line="276" w:lineRule="auto"/>
        <w:jc w:val="both"/>
        <w:rPr>
          <w:rFonts w:ascii="Arial" w:hAnsi="Arial" w:cs="Arial"/>
          <w:b/>
          <w:sz w:val="22"/>
          <w:szCs w:val="22"/>
        </w:rPr>
      </w:pPr>
      <w:proofErr w:type="gramStart"/>
      <w:r w:rsidRPr="00AB4EE8">
        <w:rPr>
          <w:rFonts w:ascii="Arial" w:hAnsi="Arial" w:cs="Arial"/>
          <w:b/>
          <w:sz w:val="22"/>
          <w:szCs w:val="22"/>
        </w:rPr>
        <w:t>PREDLOG ZA DOPUNU PLANA ZA 2018.</w:t>
      </w:r>
      <w:proofErr w:type="gramEnd"/>
      <w:r w:rsidRPr="00AB4EE8">
        <w:rPr>
          <w:rFonts w:ascii="Arial" w:hAnsi="Arial" w:cs="Arial"/>
          <w:b/>
          <w:sz w:val="22"/>
          <w:szCs w:val="22"/>
        </w:rPr>
        <w:t xml:space="preserve"> GODINU</w:t>
      </w:r>
    </w:p>
    <w:p w:rsidR="002533CC" w:rsidRPr="003D08CC" w:rsidRDefault="002533CC" w:rsidP="003D08CC">
      <w:pPr>
        <w:spacing w:line="276" w:lineRule="auto"/>
        <w:jc w:val="both"/>
        <w:rPr>
          <w:rFonts w:ascii="Arial" w:hAnsi="Arial" w:cs="Arial"/>
          <w:sz w:val="22"/>
          <w:szCs w:val="22"/>
        </w:rPr>
      </w:pPr>
    </w:p>
    <w:p w:rsidR="002533CC" w:rsidRPr="003D08CC" w:rsidRDefault="002533CC" w:rsidP="003D08CC">
      <w:pPr>
        <w:spacing w:line="276" w:lineRule="auto"/>
        <w:jc w:val="both"/>
        <w:rPr>
          <w:rFonts w:ascii="Arial" w:hAnsi="Arial" w:cs="Arial"/>
          <w:b/>
          <w:sz w:val="22"/>
          <w:szCs w:val="22"/>
        </w:rPr>
      </w:pPr>
      <w:r w:rsidRPr="003D08CC">
        <w:rPr>
          <w:rFonts w:ascii="Arial" w:hAnsi="Arial" w:cs="Arial"/>
          <w:b/>
          <w:sz w:val="22"/>
          <w:szCs w:val="22"/>
        </w:rPr>
        <w:t>1. Ležište tehničko-građevinskog kamena „Krš</w:t>
      </w:r>
      <w:proofErr w:type="gramStart"/>
      <w:r w:rsidRPr="003D08CC">
        <w:rPr>
          <w:rFonts w:ascii="Arial" w:hAnsi="Arial" w:cs="Arial"/>
          <w:b/>
          <w:sz w:val="22"/>
          <w:szCs w:val="22"/>
        </w:rPr>
        <w:t>“ –</w:t>
      </w:r>
      <w:proofErr w:type="gramEnd"/>
      <w:r w:rsidRPr="003D08CC">
        <w:rPr>
          <w:rFonts w:ascii="Arial" w:hAnsi="Arial" w:cs="Arial"/>
          <w:b/>
          <w:sz w:val="22"/>
          <w:szCs w:val="22"/>
        </w:rPr>
        <w:t xml:space="preserve"> Kaluđerski laz, opština Rožaje</w:t>
      </w:r>
    </w:p>
    <w:p w:rsidR="002533CC" w:rsidRPr="003D08CC" w:rsidRDefault="002533CC" w:rsidP="003D08CC">
      <w:pPr>
        <w:spacing w:line="276" w:lineRule="auto"/>
        <w:jc w:val="both"/>
        <w:rPr>
          <w:rFonts w:ascii="Arial" w:hAnsi="Arial" w:cs="Arial"/>
          <w:sz w:val="22"/>
          <w:szCs w:val="22"/>
        </w:rPr>
      </w:pPr>
    </w:p>
    <w:p w:rsidR="002533CC"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 xml:space="preserve">Ležište tehničko-građevinskog kamena “Krš” - Kaluđerski laz u geografskom smislu pripada sjevernom regionu, a isto se nalazi u ataru sela Kaluđerski laz (Husovići), oko 6 km jugoistočno od Rožaja. </w:t>
      </w:r>
    </w:p>
    <w:p w:rsidR="002533CC" w:rsidRPr="003D08CC" w:rsidRDefault="002533CC" w:rsidP="003D08CC">
      <w:pPr>
        <w:spacing w:line="276" w:lineRule="auto"/>
        <w:jc w:val="both"/>
        <w:rPr>
          <w:rFonts w:ascii="Arial" w:hAnsi="Arial" w:cs="Arial"/>
          <w:sz w:val="22"/>
          <w:szCs w:val="22"/>
        </w:rPr>
      </w:pPr>
    </w:p>
    <w:p w:rsidR="002533CC"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Prema teritorijalno-administrativnoj podjeli pripada teritoriji SO Rožaje i nalazi se na listu ”Rožaje”, 1:100 000, sekcija “Rožaje”, 1:25 000.</w:t>
      </w:r>
    </w:p>
    <w:p w:rsidR="002533CC"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 xml:space="preserve">Ležište zahvata prostor između nivoa 1.295 i 1.450 m.n.m. </w:t>
      </w:r>
    </w:p>
    <w:p w:rsidR="002533CC" w:rsidRPr="003D08CC" w:rsidRDefault="002533CC" w:rsidP="003D08CC">
      <w:pPr>
        <w:spacing w:line="276" w:lineRule="auto"/>
        <w:jc w:val="both"/>
        <w:rPr>
          <w:rFonts w:ascii="Arial" w:hAnsi="Arial" w:cs="Arial"/>
          <w:sz w:val="22"/>
          <w:szCs w:val="22"/>
        </w:rPr>
      </w:pPr>
    </w:p>
    <w:p w:rsidR="00B31936"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Eksploataciono polje je</w:t>
      </w:r>
      <w:r w:rsidR="006B5D91" w:rsidRPr="003D08CC">
        <w:rPr>
          <w:rFonts w:ascii="Arial" w:hAnsi="Arial" w:cs="Arial"/>
          <w:sz w:val="22"/>
          <w:szCs w:val="22"/>
        </w:rPr>
        <w:t xml:space="preserve"> ograničeno tačkama A, B, C, D,</w:t>
      </w:r>
      <w:r w:rsidRPr="003D08CC">
        <w:rPr>
          <w:rFonts w:ascii="Arial" w:hAnsi="Arial" w:cs="Arial"/>
          <w:sz w:val="22"/>
          <w:szCs w:val="22"/>
        </w:rPr>
        <w:t xml:space="preserve"> E</w:t>
      </w:r>
      <w:r w:rsidR="006B5D91" w:rsidRPr="003D08CC">
        <w:rPr>
          <w:rFonts w:ascii="Arial" w:hAnsi="Arial" w:cs="Arial"/>
          <w:sz w:val="22"/>
          <w:szCs w:val="22"/>
        </w:rPr>
        <w:t>, F i G</w:t>
      </w:r>
      <w:r w:rsidRPr="003D08CC">
        <w:rPr>
          <w:rFonts w:ascii="Arial" w:hAnsi="Arial" w:cs="Arial"/>
          <w:sz w:val="22"/>
          <w:szCs w:val="22"/>
        </w:rPr>
        <w:t xml:space="preserve"> i pravim linijama između ovih </w:t>
      </w:r>
      <w:r w:rsidR="006B5D91" w:rsidRPr="003D08CC">
        <w:rPr>
          <w:rFonts w:ascii="Arial" w:hAnsi="Arial" w:cs="Arial"/>
          <w:sz w:val="22"/>
          <w:szCs w:val="22"/>
        </w:rPr>
        <w:t>tačaka, a zahvata površinu od 11,16</w:t>
      </w:r>
      <w:r w:rsidRPr="003D08CC">
        <w:rPr>
          <w:rFonts w:ascii="Arial" w:hAnsi="Arial" w:cs="Arial"/>
          <w:sz w:val="22"/>
          <w:szCs w:val="22"/>
        </w:rPr>
        <w:t xml:space="preserve"> ha. Kordinate konturnih tačaka</w:t>
      </w:r>
      <w:r w:rsidR="006B5D91" w:rsidRPr="003D08CC">
        <w:rPr>
          <w:rFonts w:ascii="Arial" w:hAnsi="Arial" w:cs="Arial"/>
          <w:sz w:val="22"/>
          <w:szCs w:val="22"/>
        </w:rPr>
        <w:t xml:space="preserve"> su sljedeće:</w:t>
      </w:r>
    </w:p>
    <w:p w:rsidR="006B5D91" w:rsidRPr="003D08CC" w:rsidRDefault="006B5D91" w:rsidP="003D08CC">
      <w:pPr>
        <w:spacing w:line="276" w:lineRule="auto"/>
        <w:jc w:val="both"/>
        <w:rPr>
          <w:rFonts w:ascii="Arial" w:hAnsi="Arial" w:cs="Arial"/>
          <w:sz w:val="22"/>
          <w:szCs w:val="22"/>
        </w:rPr>
      </w:pPr>
    </w:p>
    <w:tbl>
      <w:tblPr>
        <w:tblStyle w:val="TableGrid"/>
        <w:tblW w:w="0" w:type="auto"/>
        <w:tblInd w:w="1548" w:type="dxa"/>
        <w:tblLook w:val="04A0"/>
      </w:tblPr>
      <w:tblGrid>
        <w:gridCol w:w="981"/>
        <w:gridCol w:w="3069"/>
        <w:gridCol w:w="3330"/>
      </w:tblGrid>
      <w:tr w:rsidR="006B5D91" w:rsidRPr="003D08CC" w:rsidTr="00A31567">
        <w:trPr>
          <w:trHeight w:val="242"/>
        </w:trPr>
        <w:tc>
          <w:tcPr>
            <w:tcW w:w="981" w:type="dxa"/>
            <w:vMerge w:val="restart"/>
            <w:tcBorders>
              <w:top w:val="single" w:sz="12" w:space="0" w:color="auto"/>
              <w:left w:val="single" w:sz="12" w:space="0" w:color="auto"/>
              <w:right w:val="single" w:sz="12" w:space="0" w:color="auto"/>
            </w:tcBorders>
          </w:tcPr>
          <w:p w:rsidR="006B5D91" w:rsidRPr="003D08CC" w:rsidRDefault="006B5D91" w:rsidP="003D08CC">
            <w:pPr>
              <w:spacing w:line="276" w:lineRule="auto"/>
              <w:jc w:val="center"/>
              <w:rPr>
                <w:rFonts w:ascii="Arial" w:hAnsi="Arial" w:cs="Arial"/>
                <w:b/>
              </w:rPr>
            </w:pPr>
            <w:r w:rsidRPr="003D08CC">
              <w:rPr>
                <w:rFonts w:ascii="Arial" w:hAnsi="Arial" w:cs="Arial"/>
                <w:b/>
              </w:rPr>
              <w:t>Tačke</w:t>
            </w:r>
          </w:p>
          <w:p w:rsidR="006B5D91" w:rsidRPr="003D08CC" w:rsidRDefault="006B5D91" w:rsidP="003D08CC">
            <w:pPr>
              <w:spacing w:line="276" w:lineRule="auto"/>
              <w:jc w:val="center"/>
              <w:rPr>
                <w:rFonts w:ascii="Arial" w:hAnsi="Arial" w:cs="Arial"/>
                <w:b/>
              </w:rPr>
            </w:pPr>
          </w:p>
        </w:tc>
        <w:tc>
          <w:tcPr>
            <w:tcW w:w="6399" w:type="dxa"/>
            <w:gridSpan w:val="2"/>
            <w:tcBorders>
              <w:top w:val="single" w:sz="12" w:space="0" w:color="auto"/>
              <w:left w:val="single" w:sz="12" w:space="0" w:color="auto"/>
              <w:bottom w:val="single" w:sz="2" w:space="0" w:color="auto"/>
              <w:right w:val="single" w:sz="12" w:space="0" w:color="auto"/>
            </w:tcBorders>
          </w:tcPr>
          <w:p w:rsidR="006B5D91" w:rsidRPr="003D08CC" w:rsidRDefault="006B5D91" w:rsidP="003D08CC">
            <w:pPr>
              <w:spacing w:line="276" w:lineRule="auto"/>
              <w:jc w:val="center"/>
              <w:rPr>
                <w:rFonts w:ascii="Arial" w:hAnsi="Arial" w:cs="Arial"/>
                <w:b/>
              </w:rPr>
            </w:pPr>
            <w:r w:rsidRPr="003D08CC">
              <w:rPr>
                <w:rFonts w:ascii="Arial" w:hAnsi="Arial" w:cs="Arial"/>
                <w:b/>
              </w:rPr>
              <w:t>K o o r di n a t e</w:t>
            </w:r>
          </w:p>
        </w:tc>
      </w:tr>
      <w:tr w:rsidR="006B5D91" w:rsidRPr="003D08CC" w:rsidTr="00A31567">
        <w:trPr>
          <w:trHeight w:val="344"/>
        </w:trPr>
        <w:tc>
          <w:tcPr>
            <w:tcW w:w="981" w:type="dxa"/>
            <w:vMerge/>
            <w:tcBorders>
              <w:left w:val="single" w:sz="12" w:space="0" w:color="auto"/>
              <w:bottom w:val="single" w:sz="12" w:space="0" w:color="auto"/>
              <w:right w:val="single" w:sz="12" w:space="0" w:color="auto"/>
            </w:tcBorders>
          </w:tcPr>
          <w:p w:rsidR="006B5D91" w:rsidRPr="003D08CC" w:rsidRDefault="006B5D91" w:rsidP="003D08CC">
            <w:pPr>
              <w:spacing w:line="276" w:lineRule="auto"/>
              <w:jc w:val="center"/>
              <w:rPr>
                <w:rFonts w:ascii="Arial" w:hAnsi="Arial" w:cs="Arial"/>
                <w:b/>
              </w:rPr>
            </w:pPr>
          </w:p>
        </w:tc>
        <w:tc>
          <w:tcPr>
            <w:tcW w:w="3069" w:type="dxa"/>
            <w:tcBorders>
              <w:top w:val="single" w:sz="2" w:space="0" w:color="auto"/>
              <w:left w:val="single" w:sz="12" w:space="0" w:color="auto"/>
              <w:bottom w:val="single" w:sz="12" w:space="0" w:color="auto"/>
              <w:right w:val="single" w:sz="12" w:space="0" w:color="auto"/>
            </w:tcBorders>
          </w:tcPr>
          <w:p w:rsidR="006B5D91" w:rsidRPr="003D08CC" w:rsidRDefault="006B5D91" w:rsidP="003D08CC">
            <w:pPr>
              <w:spacing w:line="276" w:lineRule="auto"/>
              <w:jc w:val="center"/>
              <w:rPr>
                <w:rFonts w:ascii="Arial" w:hAnsi="Arial" w:cs="Arial"/>
                <w:b/>
              </w:rPr>
            </w:pPr>
            <w:r w:rsidRPr="003D08CC">
              <w:rPr>
                <w:rFonts w:ascii="Arial" w:hAnsi="Arial" w:cs="Arial"/>
                <w:b/>
              </w:rPr>
              <w:t>X</w:t>
            </w:r>
          </w:p>
        </w:tc>
        <w:tc>
          <w:tcPr>
            <w:tcW w:w="3330" w:type="dxa"/>
            <w:tcBorders>
              <w:top w:val="single" w:sz="2" w:space="0" w:color="auto"/>
              <w:left w:val="single" w:sz="12" w:space="0" w:color="auto"/>
              <w:bottom w:val="single" w:sz="12" w:space="0" w:color="auto"/>
              <w:right w:val="single" w:sz="12" w:space="0" w:color="auto"/>
            </w:tcBorders>
          </w:tcPr>
          <w:p w:rsidR="006B5D91" w:rsidRPr="003D08CC" w:rsidRDefault="006B5D91" w:rsidP="003D08CC">
            <w:pPr>
              <w:spacing w:line="276" w:lineRule="auto"/>
              <w:jc w:val="center"/>
              <w:rPr>
                <w:rFonts w:ascii="Arial" w:hAnsi="Arial" w:cs="Arial"/>
                <w:b/>
              </w:rPr>
            </w:pPr>
            <w:r w:rsidRPr="003D08CC">
              <w:rPr>
                <w:rFonts w:ascii="Arial" w:hAnsi="Arial" w:cs="Arial"/>
                <w:b/>
              </w:rPr>
              <w:t>Y</w:t>
            </w:r>
          </w:p>
        </w:tc>
      </w:tr>
      <w:tr w:rsidR="006B5D91" w:rsidRPr="003D08CC" w:rsidTr="006B5D91">
        <w:tc>
          <w:tcPr>
            <w:tcW w:w="981" w:type="dxa"/>
            <w:tcBorders>
              <w:top w:val="single" w:sz="12" w:space="0" w:color="auto"/>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A</w:t>
            </w:r>
          </w:p>
        </w:tc>
        <w:tc>
          <w:tcPr>
            <w:tcW w:w="3069" w:type="dxa"/>
            <w:tcBorders>
              <w:top w:val="single" w:sz="12" w:space="0" w:color="auto"/>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4 739 420,00</w:t>
            </w:r>
          </w:p>
        </w:tc>
        <w:tc>
          <w:tcPr>
            <w:tcW w:w="3330" w:type="dxa"/>
            <w:tcBorders>
              <w:top w:val="single" w:sz="12" w:space="0" w:color="auto"/>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7 434 004,40</w:t>
            </w:r>
          </w:p>
        </w:tc>
      </w:tr>
      <w:tr w:rsidR="006B5D91" w:rsidRPr="003D08CC" w:rsidTr="006B5D91">
        <w:tc>
          <w:tcPr>
            <w:tcW w:w="981"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B</w:t>
            </w:r>
          </w:p>
        </w:tc>
        <w:tc>
          <w:tcPr>
            <w:tcW w:w="3069"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4 739 420,00</w:t>
            </w:r>
          </w:p>
        </w:tc>
        <w:tc>
          <w:tcPr>
            <w:tcW w:w="3330"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7 434 370,00</w:t>
            </w:r>
          </w:p>
        </w:tc>
      </w:tr>
      <w:tr w:rsidR="006B5D91" w:rsidRPr="003D08CC" w:rsidTr="006B5D91">
        <w:tc>
          <w:tcPr>
            <w:tcW w:w="981"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C</w:t>
            </w:r>
          </w:p>
        </w:tc>
        <w:tc>
          <w:tcPr>
            <w:tcW w:w="3069"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4 739 200,00</w:t>
            </w:r>
          </w:p>
        </w:tc>
        <w:tc>
          <w:tcPr>
            <w:tcW w:w="3330"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7 434 550,00</w:t>
            </w:r>
          </w:p>
        </w:tc>
      </w:tr>
      <w:tr w:rsidR="006B5D91" w:rsidRPr="003D08CC" w:rsidTr="006B5D91">
        <w:tc>
          <w:tcPr>
            <w:tcW w:w="981"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D</w:t>
            </w:r>
          </w:p>
        </w:tc>
        <w:tc>
          <w:tcPr>
            <w:tcW w:w="3069"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4 739 014,32</w:t>
            </w:r>
          </w:p>
        </w:tc>
        <w:tc>
          <w:tcPr>
            <w:tcW w:w="3330"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7 434 280,77</w:t>
            </w:r>
          </w:p>
        </w:tc>
      </w:tr>
      <w:tr w:rsidR="006B5D91" w:rsidRPr="003D08CC" w:rsidTr="006B5D91">
        <w:tc>
          <w:tcPr>
            <w:tcW w:w="981"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E</w:t>
            </w:r>
          </w:p>
        </w:tc>
        <w:tc>
          <w:tcPr>
            <w:tcW w:w="3069"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4 739 181,76</w:t>
            </w:r>
          </w:p>
        </w:tc>
        <w:tc>
          <w:tcPr>
            <w:tcW w:w="3330"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7 434 197,81</w:t>
            </w:r>
          </w:p>
        </w:tc>
      </w:tr>
      <w:tr w:rsidR="006B5D91" w:rsidRPr="003D08CC" w:rsidTr="006B5D91">
        <w:tc>
          <w:tcPr>
            <w:tcW w:w="981"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F</w:t>
            </w:r>
          </w:p>
        </w:tc>
        <w:tc>
          <w:tcPr>
            <w:tcW w:w="3069"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4 739 284,15</w:t>
            </w:r>
          </w:p>
        </w:tc>
        <w:tc>
          <w:tcPr>
            <w:tcW w:w="3330" w:type="dxa"/>
            <w:tcBorders>
              <w:left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7 434 133,33</w:t>
            </w:r>
          </w:p>
        </w:tc>
      </w:tr>
      <w:tr w:rsidR="006B5D91" w:rsidRPr="003D08CC" w:rsidTr="006B5D91">
        <w:tc>
          <w:tcPr>
            <w:tcW w:w="981" w:type="dxa"/>
            <w:tcBorders>
              <w:left w:val="single" w:sz="12" w:space="0" w:color="auto"/>
              <w:bottom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G</w:t>
            </w:r>
          </w:p>
        </w:tc>
        <w:tc>
          <w:tcPr>
            <w:tcW w:w="3069" w:type="dxa"/>
            <w:tcBorders>
              <w:left w:val="single" w:sz="12" w:space="0" w:color="auto"/>
              <w:bottom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4 739 351,92</w:t>
            </w:r>
          </w:p>
        </w:tc>
        <w:tc>
          <w:tcPr>
            <w:tcW w:w="3330" w:type="dxa"/>
            <w:tcBorders>
              <w:left w:val="single" w:sz="12" w:space="0" w:color="auto"/>
              <w:bottom w:val="single" w:sz="12" w:space="0" w:color="auto"/>
              <w:right w:val="single" w:sz="12" w:space="0" w:color="auto"/>
            </w:tcBorders>
          </w:tcPr>
          <w:p w:rsidR="006B5D91" w:rsidRPr="003D08CC" w:rsidRDefault="006B5D91" w:rsidP="003D08CC">
            <w:pPr>
              <w:spacing w:line="276" w:lineRule="auto"/>
              <w:jc w:val="center"/>
              <w:rPr>
                <w:rFonts w:ascii="Arial" w:hAnsi="Arial" w:cs="Arial"/>
              </w:rPr>
            </w:pPr>
            <w:r w:rsidRPr="003D08CC">
              <w:rPr>
                <w:rFonts w:ascii="Arial" w:hAnsi="Arial" w:cs="Arial"/>
              </w:rPr>
              <w:t>7 434 073,32</w:t>
            </w:r>
          </w:p>
        </w:tc>
      </w:tr>
    </w:tbl>
    <w:p w:rsidR="00B14385" w:rsidRPr="003D08CC" w:rsidRDefault="00B14385" w:rsidP="003D08CC">
      <w:pPr>
        <w:spacing w:line="276" w:lineRule="auto"/>
        <w:jc w:val="both"/>
        <w:rPr>
          <w:rFonts w:ascii="Arial" w:hAnsi="Arial" w:cs="Arial"/>
          <w:sz w:val="22"/>
          <w:szCs w:val="22"/>
        </w:rPr>
      </w:pPr>
    </w:p>
    <w:p w:rsidR="00004442" w:rsidRPr="003D08CC" w:rsidRDefault="00004442" w:rsidP="003D08CC">
      <w:pPr>
        <w:spacing w:line="276" w:lineRule="auto"/>
        <w:jc w:val="both"/>
        <w:rPr>
          <w:rFonts w:ascii="Arial" w:hAnsi="Arial" w:cs="Arial"/>
          <w:sz w:val="22"/>
          <w:szCs w:val="22"/>
        </w:rPr>
      </w:pPr>
      <w:r w:rsidRPr="003D08CC">
        <w:rPr>
          <w:rFonts w:ascii="Arial" w:hAnsi="Arial" w:cs="Arial"/>
          <w:sz w:val="22"/>
          <w:szCs w:val="22"/>
        </w:rPr>
        <w:t>U aktu Uprave</w:t>
      </w:r>
      <w:r w:rsidR="002533CC" w:rsidRPr="003D08CC">
        <w:rPr>
          <w:rFonts w:ascii="Arial" w:hAnsi="Arial" w:cs="Arial"/>
          <w:sz w:val="22"/>
          <w:szCs w:val="22"/>
        </w:rPr>
        <w:t xml:space="preserve"> za nekretnine – Područna jedinica Rožaje</w:t>
      </w:r>
      <w:r w:rsidRPr="003D08CC">
        <w:rPr>
          <w:rFonts w:ascii="Arial" w:hAnsi="Arial" w:cs="Arial"/>
          <w:sz w:val="22"/>
          <w:szCs w:val="22"/>
        </w:rPr>
        <w:t>, br. 01-999-471/18, od 27.03.2018. godine, zaveden u arhivi Ministarstva ekonomije pod br. 970-148/2017-8, od 02.04.2018. godine, navedeno je „da je za KO Daciće na snazi popisni katastar, tako da se identifikacija parcele može izvršiti samo na osnovu broja bloka, zvanog mjesta i imena vlasnika.“  Zatim, navedeno je da „parcela br. 14/1 zvano mjesto Krš upisana je u PL. br. 62</w:t>
      </w:r>
      <w:r w:rsidR="0060739B" w:rsidRPr="003D08CC">
        <w:rPr>
          <w:rFonts w:ascii="Arial" w:hAnsi="Arial" w:cs="Arial"/>
          <w:sz w:val="22"/>
          <w:szCs w:val="22"/>
        </w:rPr>
        <w:t>,</w:t>
      </w:r>
      <w:r w:rsidRPr="003D08CC">
        <w:rPr>
          <w:rFonts w:ascii="Arial" w:hAnsi="Arial" w:cs="Arial"/>
          <w:sz w:val="22"/>
          <w:szCs w:val="22"/>
        </w:rPr>
        <w:t xml:space="preserve"> KO Daciće.“</w:t>
      </w:r>
    </w:p>
    <w:p w:rsidR="002533CC" w:rsidRPr="003D08CC" w:rsidRDefault="00004442" w:rsidP="003D08CC">
      <w:pPr>
        <w:spacing w:line="276" w:lineRule="auto"/>
        <w:jc w:val="both"/>
        <w:rPr>
          <w:rFonts w:ascii="Arial" w:hAnsi="Arial" w:cs="Arial"/>
          <w:sz w:val="22"/>
          <w:szCs w:val="22"/>
        </w:rPr>
      </w:pPr>
      <w:r w:rsidRPr="003D08CC">
        <w:rPr>
          <w:rFonts w:ascii="Arial" w:hAnsi="Arial" w:cs="Arial"/>
          <w:sz w:val="22"/>
          <w:szCs w:val="22"/>
        </w:rPr>
        <w:t xml:space="preserve">U Posjedovnom listu 62 – izvod, br. 113-956-128/2018, od 26.03.2018. godine, za blok 14/1, koji je dostavljen uz citirani akt Uprave za nekretnine – Područna jedinica Rožaje, </w:t>
      </w:r>
      <w:r w:rsidR="00A31567" w:rsidRPr="003D08CC">
        <w:rPr>
          <w:rFonts w:ascii="Arial" w:hAnsi="Arial" w:cs="Arial"/>
          <w:sz w:val="22"/>
          <w:szCs w:val="22"/>
        </w:rPr>
        <w:t>Crna Gora je sopstvenik-posjednik.</w:t>
      </w:r>
      <w:r w:rsidRPr="003D08CC">
        <w:rPr>
          <w:rFonts w:ascii="Arial" w:hAnsi="Arial" w:cs="Arial"/>
          <w:sz w:val="22"/>
          <w:szCs w:val="22"/>
        </w:rPr>
        <w:t xml:space="preserve"> </w:t>
      </w:r>
    </w:p>
    <w:p w:rsidR="00A31567" w:rsidRPr="003D08CC" w:rsidRDefault="00A31567" w:rsidP="003D08CC">
      <w:pPr>
        <w:pStyle w:val="Heading2"/>
        <w:numPr>
          <w:ilvl w:val="0"/>
          <w:numId w:val="0"/>
        </w:numPr>
        <w:spacing w:line="276" w:lineRule="auto"/>
        <w:jc w:val="both"/>
        <w:rPr>
          <w:rFonts w:ascii="Arial" w:hAnsi="Arial" w:cs="Arial"/>
          <w:b w:val="0"/>
          <w:u w:val="none"/>
        </w:rPr>
      </w:pPr>
    </w:p>
    <w:p w:rsidR="001C3BFD" w:rsidRPr="003D08CC" w:rsidRDefault="00A31567" w:rsidP="003D08CC">
      <w:pPr>
        <w:pStyle w:val="Heading2"/>
        <w:numPr>
          <w:ilvl w:val="0"/>
          <w:numId w:val="0"/>
        </w:numPr>
        <w:spacing w:line="276" w:lineRule="auto"/>
        <w:jc w:val="both"/>
        <w:rPr>
          <w:rFonts w:ascii="Arial" w:hAnsi="Arial" w:cs="Arial"/>
          <w:b w:val="0"/>
          <w:u w:val="none"/>
        </w:rPr>
      </w:pPr>
      <w:r w:rsidRPr="003D08CC">
        <w:rPr>
          <w:rFonts w:ascii="Arial" w:hAnsi="Arial" w:cs="Arial"/>
          <w:b w:val="0"/>
          <w:u w:val="none"/>
        </w:rPr>
        <w:t>Sekretarijat za planiranje, uređenje prosora i zaštitu životne sredine Opštine Rožaje izdao je Urbanističko-tehničke uslove za ležište „Krš“ – Kaluđe</w:t>
      </w:r>
      <w:r w:rsidR="001C3BFD" w:rsidRPr="003D08CC">
        <w:rPr>
          <w:rFonts w:ascii="Arial" w:hAnsi="Arial" w:cs="Arial"/>
          <w:b w:val="0"/>
          <w:u w:val="none"/>
        </w:rPr>
        <w:t>rski laz, akt br. 0402-5/1/18, od 16.01.2018. godine. Uvidom u dostavljeni akt</w:t>
      </w:r>
      <w:r w:rsidRPr="003D08CC">
        <w:rPr>
          <w:rFonts w:ascii="Arial" w:hAnsi="Arial" w:cs="Arial"/>
          <w:b w:val="0"/>
          <w:u w:val="none"/>
        </w:rPr>
        <w:t xml:space="preserve">, Ministarstvo ekonomije je uputilo dopis, akt br. 970-148/2017-8, od 16.03.2018. godine, </w:t>
      </w:r>
      <w:r w:rsidR="00663BF0">
        <w:rPr>
          <w:rFonts w:ascii="Arial" w:hAnsi="Arial" w:cs="Arial"/>
          <w:b w:val="0"/>
          <w:u w:val="none"/>
        </w:rPr>
        <w:t>podnosilac</w:t>
      </w:r>
      <w:r w:rsidRPr="003D08CC">
        <w:rPr>
          <w:rFonts w:ascii="Arial" w:hAnsi="Arial" w:cs="Arial"/>
          <w:b w:val="0"/>
          <w:u w:val="none"/>
        </w:rPr>
        <w:t>u inicijative</w:t>
      </w:r>
      <w:r w:rsidR="003A0D31" w:rsidRPr="003D08CC">
        <w:rPr>
          <w:rFonts w:ascii="Arial" w:hAnsi="Arial" w:cs="Arial"/>
          <w:b w:val="0"/>
          <w:u w:val="none"/>
        </w:rPr>
        <w:t xml:space="preserve"> za davanje koncesije</w:t>
      </w:r>
      <w:r w:rsidRPr="003D08CC">
        <w:rPr>
          <w:rFonts w:ascii="Arial" w:hAnsi="Arial" w:cs="Arial"/>
          <w:b w:val="0"/>
          <w:u w:val="none"/>
        </w:rPr>
        <w:t xml:space="preserve"> DOO „Tofi“ – Rožaje, kojim je obavješten da izdati Urbanističko-tehnički uslovi</w:t>
      </w:r>
      <w:r w:rsidR="001C3BFD" w:rsidRPr="003D08CC">
        <w:rPr>
          <w:rFonts w:ascii="Arial" w:hAnsi="Arial" w:cs="Arial"/>
          <w:b w:val="0"/>
          <w:u w:val="none"/>
        </w:rPr>
        <w:t xml:space="preserve"> nijesu u skladu sa Odlukom o određivanju privremene </w:t>
      </w:r>
      <w:r w:rsidR="001C3BFD" w:rsidRPr="003D08CC">
        <w:rPr>
          <w:rFonts w:ascii="Arial" w:hAnsi="Arial" w:cs="Arial"/>
          <w:b w:val="0"/>
          <w:u w:val="none"/>
        </w:rPr>
        <w:lastRenderedPageBreak/>
        <w:t>lokacije za eksploataciju teh</w:t>
      </w:r>
      <w:r w:rsidR="003A0D31" w:rsidRPr="003D08CC">
        <w:rPr>
          <w:rFonts w:ascii="Arial" w:hAnsi="Arial" w:cs="Arial"/>
          <w:b w:val="0"/>
          <w:u w:val="none"/>
        </w:rPr>
        <w:t>ničko-građevinskog kamena („Sl.</w:t>
      </w:r>
      <w:r w:rsidR="001C3BFD" w:rsidRPr="003D08CC">
        <w:rPr>
          <w:rFonts w:ascii="Arial" w:hAnsi="Arial" w:cs="Arial"/>
          <w:b w:val="0"/>
          <w:u w:val="none"/>
        </w:rPr>
        <w:t>list CG“ – opš</w:t>
      </w:r>
      <w:r w:rsidR="003A0D31" w:rsidRPr="003D08CC">
        <w:rPr>
          <w:rFonts w:ascii="Arial" w:hAnsi="Arial" w:cs="Arial"/>
          <w:b w:val="0"/>
          <w:u w:val="none"/>
        </w:rPr>
        <w:t>tinski propisi, br. 52/17</w:t>
      </w:r>
      <w:r w:rsidR="001C3BFD" w:rsidRPr="003D08CC">
        <w:rPr>
          <w:rFonts w:ascii="Arial" w:hAnsi="Arial" w:cs="Arial"/>
          <w:b w:val="0"/>
          <w:u w:val="none"/>
        </w:rPr>
        <w:t>,</w:t>
      </w:r>
      <w:r w:rsidR="003A0D31" w:rsidRPr="003D08CC">
        <w:rPr>
          <w:rFonts w:ascii="Arial" w:hAnsi="Arial" w:cs="Arial"/>
          <w:b w:val="0"/>
          <w:u w:val="none"/>
        </w:rPr>
        <w:t xml:space="preserve"> 05/18 i 06/18),</w:t>
      </w:r>
      <w:r w:rsidR="001C3BFD" w:rsidRPr="003D08CC">
        <w:rPr>
          <w:rFonts w:ascii="Arial" w:hAnsi="Arial" w:cs="Arial"/>
          <w:b w:val="0"/>
          <w:u w:val="none"/>
        </w:rPr>
        <w:t xml:space="preserve"> te je i</w:t>
      </w:r>
      <w:r w:rsidR="003A0D31" w:rsidRPr="003D08CC">
        <w:rPr>
          <w:rFonts w:ascii="Arial" w:hAnsi="Arial" w:cs="Arial"/>
          <w:b w:val="0"/>
          <w:u w:val="none"/>
        </w:rPr>
        <w:t>ste neophodno uskladiti sa njom.</w:t>
      </w:r>
    </w:p>
    <w:p w:rsidR="00AA698C" w:rsidRPr="003D08CC" w:rsidRDefault="00AA698C" w:rsidP="003D08CC">
      <w:pPr>
        <w:spacing w:line="276" w:lineRule="auto"/>
        <w:jc w:val="both"/>
      </w:pPr>
    </w:p>
    <w:p w:rsidR="002533CC" w:rsidRPr="003D08CC" w:rsidRDefault="00663BF0" w:rsidP="003D08CC">
      <w:pPr>
        <w:pStyle w:val="Heading2"/>
        <w:numPr>
          <w:ilvl w:val="0"/>
          <w:numId w:val="0"/>
        </w:numPr>
        <w:spacing w:line="276" w:lineRule="auto"/>
        <w:jc w:val="both"/>
        <w:rPr>
          <w:rFonts w:ascii="Arial" w:hAnsi="Arial" w:cs="Arial"/>
          <w:b w:val="0"/>
          <w:u w:val="none"/>
        </w:rPr>
      </w:pPr>
      <w:r>
        <w:rPr>
          <w:rFonts w:ascii="Arial" w:hAnsi="Arial" w:cs="Arial"/>
          <w:b w:val="0"/>
          <w:u w:val="none"/>
        </w:rPr>
        <w:t>Podnosilac</w:t>
      </w:r>
      <w:r w:rsidR="001C3BFD" w:rsidRPr="003D08CC">
        <w:rPr>
          <w:rFonts w:ascii="Arial" w:hAnsi="Arial" w:cs="Arial"/>
          <w:b w:val="0"/>
          <w:u w:val="none"/>
        </w:rPr>
        <w:t xml:space="preserve"> inicijative DOO „Tofi“ – Rožaje dostavio je </w:t>
      </w:r>
      <w:r w:rsidR="00422679" w:rsidRPr="003D08CC">
        <w:rPr>
          <w:rFonts w:ascii="Arial" w:hAnsi="Arial" w:cs="Arial"/>
          <w:b w:val="0"/>
          <w:u w:val="none"/>
        </w:rPr>
        <w:t xml:space="preserve">dopis, br. 7, od 22.03.2018. godine, zaveden u arhivi Ministarstva ekonomije pod br. 970-148/2017-7, od 26.03.2018. godine, sa </w:t>
      </w:r>
      <w:r w:rsidR="003A0D31" w:rsidRPr="003D08CC">
        <w:rPr>
          <w:rFonts w:ascii="Arial" w:hAnsi="Arial" w:cs="Arial"/>
          <w:b w:val="0"/>
          <w:u w:val="none"/>
        </w:rPr>
        <w:t>Dopunskim u</w:t>
      </w:r>
      <w:r w:rsidR="001C3BFD" w:rsidRPr="003D08CC">
        <w:rPr>
          <w:rFonts w:ascii="Arial" w:hAnsi="Arial" w:cs="Arial"/>
          <w:b w:val="0"/>
          <w:u w:val="none"/>
        </w:rPr>
        <w:t>rbanističko-tehničk</w:t>
      </w:r>
      <w:r w:rsidR="00422679" w:rsidRPr="003D08CC">
        <w:rPr>
          <w:rFonts w:ascii="Arial" w:hAnsi="Arial" w:cs="Arial"/>
          <w:b w:val="0"/>
          <w:u w:val="none"/>
        </w:rPr>
        <w:t>im</w:t>
      </w:r>
      <w:r w:rsidR="001C3BFD" w:rsidRPr="003D08CC">
        <w:rPr>
          <w:rFonts w:ascii="Arial" w:hAnsi="Arial" w:cs="Arial"/>
          <w:b w:val="0"/>
          <w:u w:val="none"/>
        </w:rPr>
        <w:t xml:space="preserve"> uslov</w:t>
      </w:r>
      <w:r w:rsidR="00422679" w:rsidRPr="003D08CC">
        <w:rPr>
          <w:rFonts w:ascii="Arial" w:hAnsi="Arial" w:cs="Arial"/>
          <w:b w:val="0"/>
          <w:u w:val="none"/>
        </w:rPr>
        <w:t>ima</w:t>
      </w:r>
      <w:r w:rsidR="003A0D31" w:rsidRPr="003D08CC">
        <w:rPr>
          <w:rFonts w:ascii="Arial" w:hAnsi="Arial" w:cs="Arial"/>
          <w:b w:val="0"/>
          <w:u w:val="none"/>
        </w:rPr>
        <w:t>, br. 0402-105/1/18, od 22.03.2018. godine,</w:t>
      </w:r>
      <w:r w:rsidR="00422679" w:rsidRPr="003D08CC">
        <w:rPr>
          <w:rFonts w:ascii="Arial" w:hAnsi="Arial" w:cs="Arial"/>
          <w:b w:val="0"/>
          <w:u w:val="none"/>
        </w:rPr>
        <w:t xml:space="preserve"> koji su od strane Sekretarijata za planiranje, uređenje prosora i zaštitu životne sredine Opštine Rožaje usklađeni sa Odlukom o određivanju privremene lokacije za eksploataciju tehničko-građevinskog kamena.</w:t>
      </w:r>
      <w:r w:rsidR="003A0D31" w:rsidRPr="003D08CC">
        <w:rPr>
          <w:rFonts w:ascii="Arial" w:hAnsi="Arial" w:cs="Arial"/>
          <w:b w:val="0"/>
          <w:u w:val="none"/>
        </w:rPr>
        <w:t xml:space="preserve"> </w:t>
      </w:r>
    </w:p>
    <w:p w:rsidR="00F84B00" w:rsidRPr="003D08CC" w:rsidRDefault="00F84B00" w:rsidP="003D08CC">
      <w:pPr>
        <w:spacing w:line="276" w:lineRule="auto"/>
        <w:jc w:val="both"/>
        <w:rPr>
          <w:rFonts w:ascii="Arial" w:hAnsi="Arial" w:cs="Arial"/>
          <w:sz w:val="22"/>
          <w:szCs w:val="22"/>
        </w:rPr>
      </w:pPr>
    </w:p>
    <w:p w:rsidR="003A0D31" w:rsidRPr="003D08CC" w:rsidRDefault="003A0D31" w:rsidP="003D08CC">
      <w:pPr>
        <w:spacing w:line="276" w:lineRule="auto"/>
        <w:jc w:val="both"/>
        <w:rPr>
          <w:rFonts w:ascii="Arial" w:hAnsi="Arial" w:cs="Arial"/>
          <w:sz w:val="22"/>
          <w:szCs w:val="22"/>
        </w:rPr>
      </w:pPr>
      <w:r w:rsidRPr="003D08CC">
        <w:rPr>
          <w:rFonts w:ascii="Arial" w:hAnsi="Arial" w:cs="Arial"/>
          <w:sz w:val="22"/>
          <w:szCs w:val="22"/>
        </w:rPr>
        <w:t>U skladu sa članom 2 Odluke o određivanju privremene lokacije za eksploataciju tehničko-građevinskog kamena, lokacija se može koristiti kao lokalitet za privremenu eksploataciju tehničko-građevinskog kamena na period definisan ugovorom o koncesiji, odnosno na period od 30 godina.</w:t>
      </w:r>
    </w:p>
    <w:p w:rsidR="002533CC" w:rsidRPr="003D08CC" w:rsidRDefault="002533CC" w:rsidP="003D08CC">
      <w:pPr>
        <w:spacing w:line="276" w:lineRule="auto"/>
        <w:jc w:val="both"/>
        <w:rPr>
          <w:rFonts w:ascii="Arial" w:hAnsi="Arial" w:cs="Arial"/>
          <w:b/>
          <w:sz w:val="22"/>
          <w:szCs w:val="22"/>
        </w:rPr>
      </w:pPr>
    </w:p>
    <w:p w:rsidR="002533CC"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 xml:space="preserve">Teren, u konturama ležišta, je veoma strm, uglavnom su to ostjenjaci od masivnih do debelobankovitih prekristalisalih krečnjaka sa slabo izraženom slojevitosti, ispucali, karstifikovani i raspadnuti. </w:t>
      </w:r>
    </w:p>
    <w:p w:rsidR="002533CC" w:rsidRPr="003D08CC" w:rsidRDefault="002533CC" w:rsidP="003D08CC">
      <w:pPr>
        <w:spacing w:line="276" w:lineRule="auto"/>
        <w:jc w:val="both"/>
        <w:rPr>
          <w:rFonts w:ascii="Arial" w:hAnsi="Arial" w:cs="Arial"/>
          <w:sz w:val="22"/>
          <w:szCs w:val="22"/>
        </w:rPr>
      </w:pPr>
    </w:p>
    <w:p w:rsidR="002533CC" w:rsidRPr="003D08CC" w:rsidRDefault="00422679" w:rsidP="003D08CC">
      <w:pPr>
        <w:pStyle w:val="BodyText"/>
        <w:spacing w:line="276" w:lineRule="auto"/>
        <w:rPr>
          <w:b w:val="0"/>
        </w:rPr>
      </w:pPr>
      <w:r w:rsidRPr="003D08CC">
        <w:rPr>
          <w:b w:val="0"/>
        </w:rPr>
        <w:t xml:space="preserve">Eksploatacioni prostor “Krš” - Kaluđerski laz </w:t>
      </w:r>
      <w:r w:rsidR="002533CC" w:rsidRPr="003D08CC">
        <w:rPr>
          <w:b w:val="0"/>
        </w:rPr>
        <w:t>izgrađen je od stijena srednjeg trijasa i, sasvim podređeno, od sedimenata kvartara. U najvećem dijelu prostora zastupljeni su karbonatni sedimenti ladinskog kata (T</w:t>
      </w:r>
      <w:r w:rsidR="002533CC" w:rsidRPr="003D08CC">
        <w:rPr>
          <w:b w:val="0"/>
          <w:vertAlign w:val="subscript"/>
        </w:rPr>
        <w:t>2</w:t>
      </w:r>
      <w:r w:rsidR="002533CC" w:rsidRPr="003D08CC">
        <w:rPr>
          <w:b w:val="0"/>
          <w:vertAlign w:val="superscript"/>
        </w:rPr>
        <w:t>2</w:t>
      </w:r>
      <w:r w:rsidR="002533CC" w:rsidRPr="003D08CC">
        <w:rPr>
          <w:b w:val="0"/>
        </w:rPr>
        <w:t>), a osim njih, utvrđeno je i prisustvo srednjetrijaskih vulkanita, vulkanoklastita i vulkanogeno-sedimentnih karbonatno-silicijskih stijena.</w:t>
      </w:r>
    </w:p>
    <w:p w:rsidR="002533CC" w:rsidRPr="003D08CC" w:rsidRDefault="002533CC" w:rsidP="003D08CC">
      <w:pPr>
        <w:pStyle w:val="BodyText"/>
        <w:spacing w:line="276" w:lineRule="auto"/>
        <w:rPr>
          <w:b w:val="0"/>
        </w:rPr>
      </w:pPr>
      <w:r w:rsidRPr="003D08CC">
        <w:rPr>
          <w:b w:val="0"/>
        </w:rPr>
        <w:t>Karbonatni sedimenti predstavljeni su krečnjacima, dolomitičnim krečnjacima i brečastim krečnjacima.</w:t>
      </w:r>
    </w:p>
    <w:p w:rsidR="00422679" w:rsidRPr="003D08CC" w:rsidRDefault="00422679" w:rsidP="003D08CC">
      <w:pPr>
        <w:pStyle w:val="BodyText"/>
        <w:spacing w:line="276" w:lineRule="auto"/>
        <w:rPr>
          <w:b w:val="0"/>
        </w:rPr>
      </w:pPr>
    </w:p>
    <w:p w:rsidR="00422679" w:rsidRPr="003D08CC" w:rsidRDefault="00422679" w:rsidP="003D08CC">
      <w:pPr>
        <w:pStyle w:val="BodyText"/>
        <w:spacing w:line="276" w:lineRule="auto"/>
        <w:rPr>
          <w:b w:val="0"/>
        </w:rPr>
      </w:pPr>
      <w:r w:rsidRPr="003D08CC">
        <w:rPr>
          <w:b w:val="0"/>
        </w:rPr>
        <w:t>Na ležištu „Krš“ – Kaluđerski laz“ u prethodnom periodu vršena su deta</w:t>
      </w:r>
      <w:r w:rsidR="007532A6" w:rsidRPr="003D08CC">
        <w:rPr>
          <w:b w:val="0"/>
        </w:rPr>
        <w:t>ljna geološka istraživanja. Zadnja istraživanja vršena su tokom 2014. godine za potrebe izrade  „Elaborata o klasifikaciji, kategorizaciji i proračunu rezervi tehničko-građevinskog kamena ležišta „Krš“, Kaluđerski laz, kod Rožaja, stanje 31.12.2013. godine“, koji je ovjeren od naležnog Ministarstva ekonomije.</w:t>
      </w:r>
    </w:p>
    <w:p w:rsidR="002533CC" w:rsidRPr="003D08CC" w:rsidRDefault="002533CC" w:rsidP="003D08CC">
      <w:pPr>
        <w:spacing w:line="276" w:lineRule="auto"/>
        <w:jc w:val="both"/>
        <w:rPr>
          <w:rFonts w:ascii="Arial" w:hAnsi="Arial" w:cs="Arial"/>
          <w:sz w:val="22"/>
          <w:szCs w:val="22"/>
        </w:rPr>
      </w:pPr>
    </w:p>
    <w:p w:rsidR="003D08CC"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 xml:space="preserve">U „Elaboratu o klasifikaciji, kategorizaciji i proračunu rezervi tehničko-građevinskog kamena ležišta „Krš“, Kaluđerski laz, kod Rožaja, stanje 31.12.2013. </w:t>
      </w:r>
      <w:proofErr w:type="gramStart"/>
      <w:r w:rsidRPr="003D08CC">
        <w:rPr>
          <w:rFonts w:ascii="Arial" w:hAnsi="Arial" w:cs="Arial"/>
          <w:sz w:val="22"/>
          <w:szCs w:val="22"/>
        </w:rPr>
        <w:t>godine</w:t>
      </w:r>
      <w:proofErr w:type="gramEnd"/>
      <w:r w:rsidRPr="003D08CC">
        <w:rPr>
          <w:rFonts w:ascii="Arial" w:hAnsi="Arial" w:cs="Arial"/>
          <w:sz w:val="22"/>
          <w:szCs w:val="22"/>
        </w:rPr>
        <w:t>“ utvrđene su ukupne geološke, vanbilansne, bilansne i eksploatacione rezerve tehničko-građevinskog kamena, kako slijedi:</w:t>
      </w:r>
    </w:p>
    <w:p w:rsidR="002533CC" w:rsidRPr="003D08CC" w:rsidRDefault="002533CC" w:rsidP="003D08CC">
      <w:pPr>
        <w:spacing w:line="276" w:lineRule="auto"/>
        <w:jc w:val="both"/>
        <w:rPr>
          <w:rFonts w:ascii="Arial" w:hAnsi="Arial" w:cs="Arial"/>
          <w:b/>
          <w:sz w:val="22"/>
          <w:szCs w:val="22"/>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467"/>
        <w:gridCol w:w="1503"/>
        <w:gridCol w:w="1631"/>
        <w:gridCol w:w="1750"/>
        <w:gridCol w:w="1760"/>
      </w:tblGrid>
      <w:tr w:rsidR="002533CC" w:rsidRPr="003D08CC" w:rsidTr="003D08CC">
        <w:trPr>
          <w:trHeight w:val="483"/>
          <w:jc w:val="center"/>
        </w:trPr>
        <w:tc>
          <w:tcPr>
            <w:tcW w:w="1350" w:type="dxa"/>
            <w:tcBorders>
              <w:top w:val="single" w:sz="12" w:space="0" w:color="auto"/>
              <w:left w:val="single" w:sz="12" w:space="0" w:color="auto"/>
              <w:bottom w:val="single" w:sz="12" w:space="0" w:color="auto"/>
              <w:right w:val="single" w:sz="2" w:space="0" w:color="auto"/>
            </w:tcBorders>
            <w:shd w:val="clear" w:color="auto" w:fill="FFFFFF" w:themeFill="background1"/>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Kategorija rezervi</w:t>
            </w:r>
          </w:p>
        </w:tc>
        <w:tc>
          <w:tcPr>
            <w:tcW w:w="1467" w:type="dxa"/>
            <w:tcBorders>
              <w:top w:val="single" w:sz="12" w:space="0" w:color="auto"/>
              <w:left w:val="single" w:sz="2" w:space="0" w:color="auto"/>
              <w:bottom w:val="single" w:sz="12" w:space="0" w:color="auto"/>
              <w:right w:val="single" w:sz="2" w:space="0" w:color="auto"/>
            </w:tcBorders>
            <w:shd w:val="clear" w:color="auto" w:fill="FFFFFF" w:themeFill="background1"/>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Geološke rezerve (m</w:t>
            </w:r>
            <w:r w:rsidRPr="003D08CC">
              <w:rPr>
                <w:rFonts w:ascii="Arial" w:hAnsi="Arial" w:cs="Arial"/>
                <w:b/>
                <w:sz w:val="22"/>
                <w:szCs w:val="22"/>
                <w:vertAlign w:val="superscript"/>
              </w:rPr>
              <w:t>3</w:t>
            </w:r>
            <w:r w:rsidRPr="003D08CC">
              <w:rPr>
                <w:rFonts w:ascii="Arial" w:hAnsi="Arial" w:cs="Arial"/>
                <w:b/>
                <w:sz w:val="22"/>
                <w:szCs w:val="22"/>
              </w:rPr>
              <w:t>)</w:t>
            </w:r>
          </w:p>
        </w:tc>
        <w:tc>
          <w:tcPr>
            <w:tcW w:w="1503" w:type="dxa"/>
            <w:tcBorders>
              <w:top w:val="single" w:sz="12" w:space="0" w:color="auto"/>
              <w:left w:val="single" w:sz="2" w:space="0" w:color="auto"/>
              <w:bottom w:val="single" w:sz="12" w:space="0" w:color="auto"/>
              <w:right w:val="single" w:sz="2" w:space="0" w:color="auto"/>
            </w:tcBorders>
            <w:shd w:val="clear" w:color="auto" w:fill="FFFFFF" w:themeFill="background1"/>
          </w:tcPr>
          <w:p w:rsidR="002533CC" w:rsidRPr="003D08CC" w:rsidRDefault="00080CFD" w:rsidP="003D08CC">
            <w:pPr>
              <w:spacing w:line="276" w:lineRule="auto"/>
              <w:jc w:val="both"/>
              <w:rPr>
                <w:rFonts w:ascii="Arial" w:hAnsi="Arial" w:cs="Arial"/>
                <w:b/>
              </w:rPr>
            </w:pPr>
            <w:r w:rsidRPr="003D08CC">
              <w:rPr>
                <w:rFonts w:ascii="Arial" w:hAnsi="Arial" w:cs="Arial"/>
                <w:b/>
                <w:sz w:val="22"/>
                <w:szCs w:val="22"/>
              </w:rPr>
              <w:t>Vanbilans.</w:t>
            </w:r>
            <w:r w:rsidR="002533CC" w:rsidRPr="003D08CC">
              <w:rPr>
                <w:rFonts w:ascii="Arial" w:hAnsi="Arial" w:cs="Arial"/>
                <w:b/>
                <w:sz w:val="22"/>
                <w:szCs w:val="22"/>
              </w:rPr>
              <w:t xml:space="preserve"> rezerve (m</w:t>
            </w:r>
            <w:r w:rsidR="002533CC" w:rsidRPr="003D08CC">
              <w:rPr>
                <w:rFonts w:ascii="Arial" w:hAnsi="Arial" w:cs="Arial"/>
                <w:b/>
                <w:sz w:val="22"/>
                <w:szCs w:val="22"/>
                <w:vertAlign w:val="superscript"/>
              </w:rPr>
              <w:t>3</w:t>
            </w:r>
            <w:r w:rsidR="002533CC" w:rsidRPr="003D08CC">
              <w:rPr>
                <w:rFonts w:ascii="Arial" w:hAnsi="Arial" w:cs="Arial"/>
                <w:b/>
                <w:sz w:val="22"/>
                <w:szCs w:val="22"/>
              </w:rPr>
              <w:t>)</w:t>
            </w:r>
          </w:p>
        </w:tc>
        <w:tc>
          <w:tcPr>
            <w:tcW w:w="1631" w:type="dxa"/>
            <w:tcBorders>
              <w:top w:val="single" w:sz="12" w:space="0" w:color="auto"/>
              <w:left w:val="single" w:sz="2" w:space="0" w:color="auto"/>
              <w:bottom w:val="single" w:sz="12" w:space="0" w:color="auto"/>
              <w:right w:val="single" w:sz="2" w:space="0" w:color="auto"/>
            </w:tcBorders>
            <w:shd w:val="clear" w:color="auto" w:fill="FFFFFF" w:themeFill="background1"/>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Bilansne rezerve (m</w:t>
            </w:r>
            <w:r w:rsidRPr="003D08CC">
              <w:rPr>
                <w:rFonts w:ascii="Arial" w:hAnsi="Arial" w:cs="Arial"/>
                <w:b/>
                <w:sz w:val="22"/>
                <w:szCs w:val="22"/>
                <w:vertAlign w:val="superscript"/>
              </w:rPr>
              <w:t>3</w:t>
            </w:r>
            <w:r w:rsidRPr="003D08CC">
              <w:rPr>
                <w:rFonts w:ascii="Arial" w:hAnsi="Arial" w:cs="Arial"/>
                <w:b/>
                <w:sz w:val="22"/>
                <w:szCs w:val="22"/>
              </w:rPr>
              <w:t>)</w:t>
            </w:r>
          </w:p>
        </w:tc>
        <w:tc>
          <w:tcPr>
            <w:tcW w:w="1750" w:type="dxa"/>
            <w:tcBorders>
              <w:top w:val="single" w:sz="12" w:space="0" w:color="auto"/>
              <w:left w:val="single" w:sz="2" w:space="0" w:color="auto"/>
              <w:bottom w:val="single" w:sz="12" w:space="0" w:color="auto"/>
              <w:right w:val="single" w:sz="2" w:space="0" w:color="auto"/>
            </w:tcBorders>
            <w:shd w:val="clear" w:color="auto" w:fill="FFFFFF" w:themeFill="background1"/>
          </w:tcPr>
          <w:p w:rsidR="002533CC" w:rsidRPr="003D08CC" w:rsidRDefault="00080CFD" w:rsidP="003D08CC">
            <w:pPr>
              <w:spacing w:line="276" w:lineRule="auto"/>
              <w:jc w:val="both"/>
              <w:rPr>
                <w:rFonts w:ascii="Arial" w:hAnsi="Arial" w:cs="Arial"/>
                <w:b/>
              </w:rPr>
            </w:pPr>
            <w:r w:rsidRPr="003D08CC">
              <w:rPr>
                <w:rFonts w:ascii="Arial" w:hAnsi="Arial" w:cs="Arial"/>
                <w:b/>
                <w:sz w:val="22"/>
                <w:szCs w:val="22"/>
              </w:rPr>
              <w:t>Eksploatac.</w:t>
            </w:r>
            <w:r w:rsidR="002533CC" w:rsidRPr="003D08CC">
              <w:rPr>
                <w:rFonts w:ascii="Arial" w:hAnsi="Arial" w:cs="Arial"/>
                <w:b/>
                <w:sz w:val="22"/>
                <w:szCs w:val="22"/>
              </w:rPr>
              <w:t xml:space="preserve"> gubici (%)</w:t>
            </w:r>
          </w:p>
        </w:tc>
        <w:tc>
          <w:tcPr>
            <w:tcW w:w="1760" w:type="dxa"/>
            <w:tcBorders>
              <w:top w:val="single" w:sz="12" w:space="0" w:color="auto"/>
              <w:left w:val="single" w:sz="2" w:space="0" w:color="auto"/>
              <w:bottom w:val="single" w:sz="12" w:space="0" w:color="auto"/>
              <w:right w:val="single" w:sz="12" w:space="0" w:color="auto"/>
            </w:tcBorders>
            <w:shd w:val="clear" w:color="auto" w:fill="FFFFFF" w:themeFill="background1"/>
          </w:tcPr>
          <w:p w:rsidR="002533CC" w:rsidRPr="003D08CC" w:rsidRDefault="00080CFD" w:rsidP="003D08CC">
            <w:pPr>
              <w:spacing w:line="276" w:lineRule="auto"/>
              <w:jc w:val="both"/>
              <w:rPr>
                <w:rFonts w:ascii="Arial" w:hAnsi="Arial" w:cs="Arial"/>
                <w:b/>
              </w:rPr>
            </w:pPr>
            <w:r w:rsidRPr="003D08CC">
              <w:rPr>
                <w:rFonts w:ascii="Arial" w:hAnsi="Arial" w:cs="Arial"/>
                <w:b/>
                <w:sz w:val="22"/>
                <w:szCs w:val="22"/>
              </w:rPr>
              <w:t>Eksploatac.</w:t>
            </w:r>
            <w:r w:rsidR="002533CC" w:rsidRPr="003D08CC">
              <w:rPr>
                <w:rFonts w:ascii="Arial" w:hAnsi="Arial" w:cs="Arial"/>
                <w:b/>
                <w:sz w:val="22"/>
                <w:szCs w:val="22"/>
              </w:rPr>
              <w:t xml:space="preserve"> rezerve (m</w:t>
            </w:r>
            <w:r w:rsidR="002533CC" w:rsidRPr="003D08CC">
              <w:rPr>
                <w:rFonts w:ascii="Arial" w:hAnsi="Arial" w:cs="Arial"/>
                <w:b/>
                <w:sz w:val="22"/>
                <w:szCs w:val="22"/>
                <w:vertAlign w:val="superscript"/>
              </w:rPr>
              <w:t>3</w:t>
            </w:r>
            <w:r w:rsidR="002533CC" w:rsidRPr="003D08CC">
              <w:rPr>
                <w:rFonts w:ascii="Arial" w:hAnsi="Arial" w:cs="Arial"/>
                <w:b/>
                <w:sz w:val="22"/>
                <w:szCs w:val="22"/>
              </w:rPr>
              <w:t>)</w:t>
            </w:r>
          </w:p>
        </w:tc>
      </w:tr>
      <w:tr w:rsidR="002533CC" w:rsidRPr="003D08CC" w:rsidTr="003D08CC">
        <w:trPr>
          <w:trHeight w:val="78"/>
          <w:jc w:val="center"/>
        </w:trPr>
        <w:tc>
          <w:tcPr>
            <w:tcW w:w="1350" w:type="dxa"/>
            <w:tcBorders>
              <w:top w:val="single" w:sz="12" w:space="0" w:color="auto"/>
              <w:left w:val="single" w:sz="12" w:space="0" w:color="auto"/>
              <w:bottom w:val="single" w:sz="4"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B</w:t>
            </w:r>
          </w:p>
        </w:tc>
        <w:tc>
          <w:tcPr>
            <w:tcW w:w="1467" w:type="dxa"/>
            <w:tcBorders>
              <w:top w:val="single" w:sz="12" w:space="0" w:color="auto"/>
              <w:left w:val="single" w:sz="2" w:space="0" w:color="auto"/>
              <w:bottom w:val="single" w:sz="4"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1.363.324</w:t>
            </w:r>
          </w:p>
        </w:tc>
        <w:tc>
          <w:tcPr>
            <w:tcW w:w="1503" w:type="dxa"/>
            <w:tcBorders>
              <w:top w:val="single" w:sz="12" w:space="0" w:color="auto"/>
              <w:left w:val="single" w:sz="2" w:space="0" w:color="auto"/>
              <w:bottom w:val="single" w:sz="4"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1.074</w:t>
            </w:r>
          </w:p>
        </w:tc>
        <w:tc>
          <w:tcPr>
            <w:tcW w:w="1631" w:type="dxa"/>
            <w:tcBorders>
              <w:top w:val="single" w:sz="12" w:space="0" w:color="auto"/>
              <w:left w:val="single" w:sz="2" w:space="0" w:color="auto"/>
              <w:bottom w:val="single" w:sz="4"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1.362.250</w:t>
            </w:r>
          </w:p>
        </w:tc>
        <w:tc>
          <w:tcPr>
            <w:tcW w:w="1750" w:type="dxa"/>
            <w:tcBorders>
              <w:top w:val="single" w:sz="12" w:space="0" w:color="auto"/>
              <w:left w:val="single" w:sz="2" w:space="0" w:color="auto"/>
              <w:bottom w:val="single" w:sz="4"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10</w:t>
            </w:r>
          </w:p>
        </w:tc>
        <w:tc>
          <w:tcPr>
            <w:tcW w:w="1760" w:type="dxa"/>
            <w:tcBorders>
              <w:top w:val="single" w:sz="12" w:space="0" w:color="auto"/>
              <w:left w:val="single" w:sz="2" w:space="0" w:color="auto"/>
              <w:bottom w:val="single" w:sz="4" w:space="0" w:color="auto"/>
              <w:right w:val="single" w:sz="1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1.226.025</w:t>
            </w:r>
          </w:p>
        </w:tc>
      </w:tr>
      <w:tr w:rsidR="002533CC" w:rsidRPr="003D08CC" w:rsidTr="003D08CC">
        <w:trPr>
          <w:jc w:val="center"/>
        </w:trPr>
        <w:tc>
          <w:tcPr>
            <w:tcW w:w="1350" w:type="dxa"/>
            <w:tcBorders>
              <w:top w:val="single" w:sz="4" w:space="0" w:color="auto"/>
              <w:left w:val="single" w:sz="1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C1</w:t>
            </w:r>
          </w:p>
        </w:tc>
        <w:tc>
          <w:tcPr>
            <w:tcW w:w="1467" w:type="dxa"/>
            <w:tcBorders>
              <w:top w:val="single" w:sz="4"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2.603.591</w:t>
            </w:r>
          </w:p>
        </w:tc>
        <w:tc>
          <w:tcPr>
            <w:tcW w:w="1503" w:type="dxa"/>
            <w:tcBorders>
              <w:top w:val="single" w:sz="4"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84.710</w:t>
            </w:r>
          </w:p>
        </w:tc>
        <w:tc>
          <w:tcPr>
            <w:tcW w:w="1631" w:type="dxa"/>
            <w:tcBorders>
              <w:top w:val="single" w:sz="4"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2.518.881</w:t>
            </w:r>
          </w:p>
        </w:tc>
        <w:tc>
          <w:tcPr>
            <w:tcW w:w="1750" w:type="dxa"/>
            <w:tcBorders>
              <w:top w:val="single" w:sz="4"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10</w:t>
            </w:r>
          </w:p>
        </w:tc>
        <w:tc>
          <w:tcPr>
            <w:tcW w:w="1760" w:type="dxa"/>
            <w:tcBorders>
              <w:top w:val="single" w:sz="4" w:space="0" w:color="auto"/>
              <w:left w:val="single" w:sz="2" w:space="0" w:color="auto"/>
              <w:bottom w:val="single" w:sz="12" w:space="0" w:color="auto"/>
              <w:right w:val="single" w:sz="1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2.266.993</w:t>
            </w:r>
          </w:p>
        </w:tc>
      </w:tr>
      <w:tr w:rsidR="002533CC" w:rsidRPr="003D08CC" w:rsidTr="003D08CC">
        <w:trPr>
          <w:jc w:val="center"/>
        </w:trPr>
        <w:tc>
          <w:tcPr>
            <w:tcW w:w="1350" w:type="dxa"/>
            <w:tcBorders>
              <w:top w:val="single" w:sz="12" w:space="0" w:color="auto"/>
              <w:left w:val="single" w:sz="1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B+C1</w:t>
            </w:r>
          </w:p>
        </w:tc>
        <w:tc>
          <w:tcPr>
            <w:tcW w:w="1467" w:type="dxa"/>
            <w:tcBorders>
              <w:top w:val="single" w:sz="12"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3.966.915</w:t>
            </w:r>
          </w:p>
        </w:tc>
        <w:tc>
          <w:tcPr>
            <w:tcW w:w="1503" w:type="dxa"/>
            <w:tcBorders>
              <w:top w:val="single" w:sz="12"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85.784</w:t>
            </w:r>
          </w:p>
        </w:tc>
        <w:tc>
          <w:tcPr>
            <w:tcW w:w="1631" w:type="dxa"/>
            <w:tcBorders>
              <w:top w:val="single" w:sz="12"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3.881.131</w:t>
            </w:r>
          </w:p>
        </w:tc>
        <w:tc>
          <w:tcPr>
            <w:tcW w:w="1750" w:type="dxa"/>
            <w:tcBorders>
              <w:top w:val="single" w:sz="12" w:space="0" w:color="auto"/>
              <w:left w:val="single" w:sz="2" w:space="0" w:color="auto"/>
              <w:bottom w:val="single" w:sz="12" w:space="0" w:color="auto"/>
              <w:right w:val="single" w:sz="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10</w:t>
            </w:r>
          </w:p>
        </w:tc>
        <w:tc>
          <w:tcPr>
            <w:tcW w:w="1760" w:type="dxa"/>
            <w:tcBorders>
              <w:top w:val="single" w:sz="12" w:space="0" w:color="auto"/>
              <w:left w:val="single" w:sz="2" w:space="0" w:color="auto"/>
              <w:bottom w:val="single" w:sz="12" w:space="0" w:color="auto"/>
              <w:right w:val="single" w:sz="12" w:space="0" w:color="auto"/>
            </w:tcBorders>
          </w:tcPr>
          <w:p w:rsidR="002533CC" w:rsidRPr="003D08CC" w:rsidRDefault="002533CC" w:rsidP="003D08CC">
            <w:pPr>
              <w:spacing w:line="276" w:lineRule="auto"/>
              <w:jc w:val="both"/>
              <w:rPr>
                <w:rFonts w:ascii="Arial" w:hAnsi="Arial" w:cs="Arial"/>
                <w:b/>
              </w:rPr>
            </w:pPr>
            <w:r w:rsidRPr="003D08CC">
              <w:rPr>
                <w:rFonts w:ascii="Arial" w:hAnsi="Arial" w:cs="Arial"/>
                <w:b/>
                <w:sz w:val="22"/>
                <w:szCs w:val="22"/>
              </w:rPr>
              <w:t>3.493.018</w:t>
            </w:r>
          </w:p>
        </w:tc>
      </w:tr>
    </w:tbl>
    <w:p w:rsidR="003D08CC" w:rsidRDefault="003D08CC" w:rsidP="003D08CC">
      <w:pPr>
        <w:spacing w:line="276" w:lineRule="auto"/>
        <w:jc w:val="both"/>
        <w:rPr>
          <w:rFonts w:ascii="Arial" w:hAnsi="Arial" w:cs="Arial"/>
          <w:sz w:val="22"/>
          <w:szCs w:val="22"/>
        </w:rPr>
      </w:pPr>
    </w:p>
    <w:p w:rsidR="002533CC" w:rsidRPr="003D08CC" w:rsidRDefault="002533CC" w:rsidP="003D08CC">
      <w:pPr>
        <w:spacing w:line="276" w:lineRule="auto"/>
        <w:jc w:val="both"/>
        <w:rPr>
          <w:rFonts w:ascii="Arial" w:hAnsi="Arial" w:cs="Arial"/>
          <w:sz w:val="22"/>
          <w:szCs w:val="22"/>
        </w:rPr>
      </w:pPr>
      <w:r w:rsidRPr="003D08CC">
        <w:rPr>
          <w:rFonts w:ascii="Arial" w:hAnsi="Arial" w:cs="Arial"/>
          <w:sz w:val="22"/>
          <w:szCs w:val="22"/>
        </w:rPr>
        <w:t>Na osnovu dobijenih rezultata laboratorijskih ispitivanja, a u saglasnosti sa tehničkim uslovima iz važećih jugoslovenskih standarda, tehničko-građevinski kamen iz ležišta „Krš“, Kaluđerski laz, kod Rožaja, zadovoljava propisane uslove kvaliteta i može se upotrijebiti za:</w:t>
      </w:r>
    </w:p>
    <w:p w:rsidR="002533CC" w:rsidRPr="003D08CC" w:rsidRDefault="002533CC" w:rsidP="003D08CC">
      <w:pPr>
        <w:spacing w:line="276" w:lineRule="auto"/>
        <w:jc w:val="both"/>
        <w:rPr>
          <w:rFonts w:ascii="Arial" w:hAnsi="Arial" w:cs="Arial"/>
          <w:sz w:val="22"/>
          <w:szCs w:val="22"/>
        </w:rPr>
      </w:pPr>
    </w:p>
    <w:p w:rsidR="002533CC" w:rsidRPr="003D08CC" w:rsidRDefault="002533CC" w:rsidP="003D08CC">
      <w:pPr>
        <w:pStyle w:val="ListParagraph"/>
        <w:numPr>
          <w:ilvl w:val="0"/>
          <w:numId w:val="2"/>
        </w:numPr>
        <w:spacing w:after="0"/>
        <w:ind w:left="0" w:firstLine="0"/>
        <w:contextualSpacing w:val="0"/>
        <w:jc w:val="both"/>
        <w:rPr>
          <w:rFonts w:ascii="Arial" w:hAnsi="Arial" w:cs="Arial"/>
        </w:rPr>
      </w:pPr>
      <w:r w:rsidRPr="003D08CC">
        <w:rPr>
          <w:rFonts w:ascii="Arial" w:hAnsi="Arial" w:cs="Arial"/>
        </w:rPr>
        <w:t>proizvodnju agregata za izradu betona (po JUS-u B.B2.009),</w:t>
      </w:r>
    </w:p>
    <w:p w:rsidR="002533CC" w:rsidRPr="003D08CC" w:rsidRDefault="002533CC" w:rsidP="003D08CC">
      <w:pPr>
        <w:pStyle w:val="ListParagraph"/>
        <w:numPr>
          <w:ilvl w:val="0"/>
          <w:numId w:val="2"/>
        </w:numPr>
        <w:spacing w:after="0"/>
        <w:ind w:left="0" w:firstLine="0"/>
        <w:contextualSpacing w:val="0"/>
        <w:jc w:val="both"/>
        <w:rPr>
          <w:rFonts w:ascii="Arial" w:hAnsi="Arial" w:cs="Arial"/>
        </w:rPr>
      </w:pPr>
      <w:r w:rsidRPr="003D08CC">
        <w:rPr>
          <w:rFonts w:ascii="Arial" w:hAnsi="Arial" w:cs="Arial"/>
        </w:rPr>
        <w:t>klasične i savremene podloge za puteve (po JUS-u U.E9.020),</w:t>
      </w:r>
    </w:p>
    <w:p w:rsidR="002533CC" w:rsidRPr="003D08CC" w:rsidRDefault="002533CC" w:rsidP="003D08CC">
      <w:pPr>
        <w:pStyle w:val="ListParagraph"/>
        <w:numPr>
          <w:ilvl w:val="0"/>
          <w:numId w:val="2"/>
        </w:numPr>
        <w:spacing w:after="0"/>
        <w:ind w:left="0" w:firstLine="0"/>
        <w:contextualSpacing w:val="0"/>
        <w:jc w:val="both"/>
        <w:rPr>
          <w:rFonts w:ascii="Arial" w:hAnsi="Arial" w:cs="Arial"/>
        </w:rPr>
      </w:pPr>
      <w:r w:rsidRPr="003D08CC">
        <w:rPr>
          <w:rFonts w:ascii="Arial" w:hAnsi="Arial" w:cs="Arial"/>
        </w:rPr>
        <w:t xml:space="preserve">proizvodnju agregata za gornje noseće slojeve od bituminiziranog materijala po vrućem postupku (po JUS-u U.E9.021), </w:t>
      </w:r>
    </w:p>
    <w:p w:rsidR="002533CC" w:rsidRPr="003D08CC" w:rsidRDefault="002533CC" w:rsidP="003D08CC">
      <w:pPr>
        <w:pStyle w:val="ListParagraph"/>
        <w:numPr>
          <w:ilvl w:val="0"/>
          <w:numId w:val="2"/>
        </w:numPr>
        <w:spacing w:after="0"/>
        <w:ind w:left="0" w:firstLine="0"/>
        <w:contextualSpacing w:val="0"/>
        <w:jc w:val="both"/>
        <w:rPr>
          <w:rFonts w:ascii="Arial" w:hAnsi="Arial" w:cs="Arial"/>
        </w:rPr>
      </w:pPr>
      <w:r w:rsidRPr="003D08CC">
        <w:rPr>
          <w:rFonts w:ascii="Arial" w:hAnsi="Arial" w:cs="Arial"/>
        </w:rPr>
        <w:lastRenderedPageBreak/>
        <w:t>proizvodnju tucanika kategorije II za zastor željezničkih pruga (po Uputstvu za prijem i isporuku tucanika za zastor pruga na JŽ), i</w:t>
      </w:r>
    </w:p>
    <w:p w:rsidR="002533CC" w:rsidRPr="003D08CC" w:rsidRDefault="002533CC" w:rsidP="003D08CC">
      <w:pPr>
        <w:pStyle w:val="ListParagraph"/>
        <w:numPr>
          <w:ilvl w:val="0"/>
          <w:numId w:val="2"/>
        </w:numPr>
        <w:spacing w:after="0"/>
        <w:ind w:left="0" w:firstLine="0"/>
        <w:contextualSpacing w:val="0"/>
        <w:jc w:val="both"/>
        <w:rPr>
          <w:rFonts w:ascii="Arial" w:hAnsi="Arial" w:cs="Arial"/>
        </w:rPr>
      </w:pPr>
      <w:r w:rsidRPr="003D08CC">
        <w:rPr>
          <w:rFonts w:ascii="Arial" w:hAnsi="Arial" w:cs="Arial"/>
        </w:rPr>
        <w:t>proizvodnju lomljenog kamena za gruba zidanja u niskogradnji i hidrogradnji.</w:t>
      </w:r>
    </w:p>
    <w:p w:rsidR="007532A6" w:rsidRPr="003D08CC" w:rsidRDefault="007532A6" w:rsidP="003D08CC">
      <w:pPr>
        <w:pStyle w:val="ListParagraph"/>
        <w:spacing w:after="0"/>
        <w:ind w:left="0"/>
        <w:contextualSpacing w:val="0"/>
        <w:jc w:val="both"/>
        <w:rPr>
          <w:rFonts w:ascii="Arial" w:hAnsi="Arial" w:cs="Arial"/>
        </w:rPr>
      </w:pPr>
    </w:p>
    <w:p w:rsidR="002533CC" w:rsidRPr="003D08CC" w:rsidRDefault="007532A6" w:rsidP="003D08CC">
      <w:pPr>
        <w:spacing w:line="276" w:lineRule="auto"/>
        <w:jc w:val="both"/>
        <w:rPr>
          <w:rFonts w:ascii="Arial" w:hAnsi="Arial" w:cs="Arial"/>
          <w:b/>
          <w:sz w:val="22"/>
          <w:szCs w:val="22"/>
        </w:rPr>
      </w:pPr>
      <w:r w:rsidRPr="003D08CC">
        <w:rPr>
          <w:rFonts w:ascii="Arial" w:hAnsi="Arial" w:cs="Arial"/>
          <w:b/>
          <w:sz w:val="22"/>
          <w:szCs w:val="22"/>
        </w:rPr>
        <w:t>2. Pojava tehničko-građevinskog kamena „Pogled“</w:t>
      </w:r>
      <w:r w:rsidR="00464C30" w:rsidRPr="003D08CC">
        <w:rPr>
          <w:rFonts w:ascii="Arial" w:hAnsi="Arial" w:cs="Arial"/>
          <w:b/>
          <w:sz w:val="22"/>
          <w:szCs w:val="22"/>
        </w:rPr>
        <w:t>, opština Rožaje</w:t>
      </w:r>
    </w:p>
    <w:p w:rsidR="00464C30" w:rsidRPr="003D08CC" w:rsidRDefault="00464C30" w:rsidP="003D08CC">
      <w:pPr>
        <w:spacing w:line="276" w:lineRule="auto"/>
        <w:jc w:val="both"/>
        <w:rPr>
          <w:rFonts w:ascii="Arial" w:hAnsi="Arial" w:cs="Arial"/>
          <w:b/>
          <w:sz w:val="22"/>
          <w:szCs w:val="22"/>
        </w:rPr>
      </w:pP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Lokalitet tehničko-građevinskog kamena “Pogled” nalazi se na području Opštine Rožaje, na udaljenosti od oko 5 km, vazdušne linije, od Rožaja, u pravcu sjeveroistoka. Sa Rožajem je povezan magistralnim putem Rožaje - Kosovska Mitrovica, dužine oko 7 km, koji dalje vodi prema graničnom prelazu Dračenovac. </w:t>
      </w:r>
    </w:p>
    <w:p w:rsidR="0009119F" w:rsidRPr="003D08CC" w:rsidRDefault="0009119F" w:rsidP="003D08CC">
      <w:pPr>
        <w:spacing w:line="276" w:lineRule="auto"/>
        <w:jc w:val="both"/>
        <w:rPr>
          <w:rFonts w:ascii="Arial" w:hAnsi="Arial" w:cs="Arial"/>
          <w:sz w:val="22"/>
          <w:szCs w:val="22"/>
        </w:rPr>
      </w:pP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Lokalitet tehničko-građevinskog kamena “Pogled” pripada topografskoj sekciji “Rožaje“, 1:100 000, odnosno sekciji “Rožaje“, 1:25 000.</w:t>
      </w:r>
    </w:p>
    <w:p w:rsidR="0009119F" w:rsidRPr="003D08CC" w:rsidRDefault="0009119F" w:rsidP="003D08CC">
      <w:pPr>
        <w:spacing w:line="276" w:lineRule="auto"/>
        <w:jc w:val="both"/>
        <w:rPr>
          <w:rFonts w:ascii="Arial" w:hAnsi="Arial" w:cs="Arial"/>
          <w:sz w:val="22"/>
          <w:szCs w:val="22"/>
        </w:rPr>
      </w:pP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Na topografskoj osnovi, razmjere 1:25 000, predmetni lokalitet je ograničen konturnim tačkama A, B, C i D i zahvata površinu od oko 6 ha, sa nadmorskom visinom od 1.130 do 1.240 m.n.m.</w:t>
      </w:r>
    </w:p>
    <w:p w:rsidR="0009119F" w:rsidRPr="003D08CC" w:rsidRDefault="0009119F" w:rsidP="003D08CC">
      <w:pPr>
        <w:spacing w:line="276" w:lineRule="auto"/>
        <w:jc w:val="both"/>
        <w:rPr>
          <w:rFonts w:ascii="Arial" w:hAnsi="Arial" w:cs="Arial"/>
          <w:sz w:val="22"/>
          <w:szCs w:val="22"/>
        </w:rPr>
      </w:pPr>
    </w:p>
    <w:p w:rsidR="00B31936"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Istražno-eksploatacioni prostor “Pogled” zahvata površinu </w:t>
      </w:r>
      <w:proofErr w:type="gramStart"/>
      <w:r w:rsidRPr="003D08CC">
        <w:rPr>
          <w:rFonts w:ascii="Arial" w:hAnsi="Arial" w:cs="Arial"/>
          <w:sz w:val="22"/>
          <w:szCs w:val="22"/>
        </w:rPr>
        <w:t>od</w:t>
      </w:r>
      <w:proofErr w:type="gramEnd"/>
      <w:r w:rsidRPr="003D08CC">
        <w:rPr>
          <w:rFonts w:ascii="Arial" w:hAnsi="Arial" w:cs="Arial"/>
          <w:sz w:val="22"/>
          <w:szCs w:val="22"/>
        </w:rPr>
        <w:t xml:space="preserve"> 60.000 m</w:t>
      </w:r>
      <w:r w:rsidRPr="003D08CC">
        <w:rPr>
          <w:rFonts w:ascii="Arial" w:hAnsi="Arial" w:cs="Arial"/>
          <w:sz w:val="22"/>
          <w:szCs w:val="22"/>
          <w:vertAlign w:val="superscript"/>
        </w:rPr>
        <w:t>2</w:t>
      </w:r>
      <w:r w:rsidRPr="003D08CC">
        <w:rPr>
          <w:rFonts w:ascii="Arial" w:hAnsi="Arial" w:cs="Arial"/>
          <w:sz w:val="22"/>
          <w:szCs w:val="22"/>
        </w:rPr>
        <w:t xml:space="preserve"> (6 ha), u koordinatama konturnih tačaka, kako je dato u narednoj tabeli:</w:t>
      </w:r>
    </w:p>
    <w:p w:rsidR="0009119F" w:rsidRPr="003D08CC" w:rsidRDefault="0009119F" w:rsidP="003D08CC">
      <w:pPr>
        <w:spacing w:line="276" w:lineRule="auto"/>
        <w:jc w:val="center"/>
        <w:rPr>
          <w:rFonts w:ascii="Arial" w:hAnsi="Arial" w:cs="Arial"/>
          <w:sz w:val="22"/>
          <w:szCs w:val="22"/>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3192"/>
        <w:gridCol w:w="3084"/>
      </w:tblGrid>
      <w:tr w:rsidR="003D08CC" w:rsidRPr="003D08CC" w:rsidTr="003D08CC">
        <w:trPr>
          <w:trHeight w:val="344"/>
        </w:trPr>
        <w:tc>
          <w:tcPr>
            <w:tcW w:w="3084" w:type="dxa"/>
            <w:vMerge w:val="restart"/>
            <w:tcBorders>
              <w:top w:val="single" w:sz="12" w:space="0" w:color="auto"/>
              <w:left w:val="single" w:sz="12" w:space="0" w:color="auto"/>
              <w:right w:val="single" w:sz="12" w:space="0" w:color="auto"/>
            </w:tcBorders>
          </w:tcPr>
          <w:p w:rsidR="003D08CC" w:rsidRPr="003D08CC" w:rsidRDefault="003D08CC" w:rsidP="003D08CC">
            <w:pPr>
              <w:spacing w:line="276" w:lineRule="auto"/>
              <w:jc w:val="center"/>
              <w:rPr>
                <w:rFonts w:ascii="Arial" w:hAnsi="Arial" w:cs="Arial"/>
                <w:b/>
              </w:rPr>
            </w:pPr>
            <w:r w:rsidRPr="003D08CC">
              <w:rPr>
                <w:rFonts w:ascii="Arial" w:hAnsi="Arial" w:cs="Arial"/>
                <w:b/>
                <w:sz w:val="22"/>
                <w:szCs w:val="22"/>
              </w:rPr>
              <w:t>Konturna tačka</w:t>
            </w:r>
          </w:p>
        </w:tc>
        <w:tc>
          <w:tcPr>
            <w:tcW w:w="6276" w:type="dxa"/>
            <w:gridSpan w:val="2"/>
            <w:tcBorders>
              <w:top w:val="single" w:sz="12" w:space="0" w:color="auto"/>
              <w:left w:val="single" w:sz="12" w:space="0" w:color="auto"/>
              <w:bottom w:val="single" w:sz="2" w:space="0" w:color="auto"/>
              <w:right w:val="single" w:sz="12" w:space="0" w:color="auto"/>
            </w:tcBorders>
          </w:tcPr>
          <w:p w:rsidR="003D08CC" w:rsidRPr="003D08CC" w:rsidRDefault="003D08CC" w:rsidP="003D08CC">
            <w:pPr>
              <w:spacing w:line="276" w:lineRule="auto"/>
              <w:jc w:val="center"/>
              <w:rPr>
                <w:rFonts w:ascii="Arial" w:hAnsi="Arial" w:cs="Arial"/>
                <w:b/>
              </w:rPr>
            </w:pPr>
            <w:r w:rsidRPr="003D08CC">
              <w:rPr>
                <w:rFonts w:ascii="Arial" w:hAnsi="Arial" w:cs="Arial"/>
                <w:b/>
                <w:sz w:val="22"/>
                <w:szCs w:val="22"/>
              </w:rPr>
              <w:t>K o o r d i n a t e</w:t>
            </w:r>
          </w:p>
        </w:tc>
      </w:tr>
      <w:tr w:rsidR="003D08CC" w:rsidRPr="003D08CC" w:rsidTr="003D08CC">
        <w:trPr>
          <w:trHeight w:val="268"/>
        </w:trPr>
        <w:tc>
          <w:tcPr>
            <w:tcW w:w="3084" w:type="dxa"/>
            <w:vMerge/>
            <w:tcBorders>
              <w:left w:val="single" w:sz="12" w:space="0" w:color="auto"/>
              <w:bottom w:val="single" w:sz="12" w:space="0" w:color="auto"/>
              <w:right w:val="single" w:sz="12" w:space="0" w:color="auto"/>
            </w:tcBorders>
          </w:tcPr>
          <w:p w:rsidR="003D08CC" w:rsidRPr="003D08CC" w:rsidRDefault="003D08CC" w:rsidP="003D08CC">
            <w:pPr>
              <w:spacing w:line="276" w:lineRule="auto"/>
              <w:jc w:val="center"/>
              <w:rPr>
                <w:rFonts w:ascii="Arial" w:hAnsi="Arial" w:cs="Arial"/>
                <w:b/>
              </w:rPr>
            </w:pPr>
          </w:p>
        </w:tc>
        <w:tc>
          <w:tcPr>
            <w:tcW w:w="3192" w:type="dxa"/>
            <w:tcBorders>
              <w:top w:val="single" w:sz="2" w:space="0" w:color="auto"/>
              <w:left w:val="single" w:sz="12" w:space="0" w:color="auto"/>
              <w:bottom w:val="single" w:sz="12" w:space="0" w:color="auto"/>
              <w:right w:val="single" w:sz="12" w:space="0" w:color="auto"/>
            </w:tcBorders>
          </w:tcPr>
          <w:p w:rsidR="003D08CC" w:rsidRDefault="003D08CC" w:rsidP="003D08CC">
            <w:pPr>
              <w:jc w:val="center"/>
              <w:rPr>
                <w:rFonts w:ascii="Arial" w:hAnsi="Arial" w:cs="Arial"/>
                <w:b/>
              </w:rPr>
            </w:pPr>
            <w:r>
              <w:rPr>
                <w:rFonts w:ascii="Arial" w:hAnsi="Arial" w:cs="Arial"/>
                <w:b/>
                <w:sz w:val="22"/>
                <w:szCs w:val="22"/>
              </w:rPr>
              <w:t>X</w:t>
            </w:r>
          </w:p>
        </w:tc>
        <w:tc>
          <w:tcPr>
            <w:tcW w:w="3084" w:type="dxa"/>
            <w:tcBorders>
              <w:top w:val="single" w:sz="2" w:space="0" w:color="auto"/>
              <w:left w:val="single" w:sz="12" w:space="0" w:color="auto"/>
              <w:bottom w:val="single" w:sz="12" w:space="0" w:color="auto"/>
              <w:right w:val="single" w:sz="12" w:space="0" w:color="auto"/>
            </w:tcBorders>
          </w:tcPr>
          <w:p w:rsidR="003D08CC" w:rsidRPr="003D08CC" w:rsidRDefault="003D08CC" w:rsidP="003D08CC">
            <w:pPr>
              <w:spacing w:line="276" w:lineRule="auto"/>
              <w:jc w:val="center"/>
              <w:rPr>
                <w:rFonts w:ascii="Arial" w:hAnsi="Arial" w:cs="Arial"/>
                <w:b/>
              </w:rPr>
            </w:pPr>
            <w:r>
              <w:rPr>
                <w:rFonts w:ascii="Arial" w:hAnsi="Arial" w:cs="Arial"/>
                <w:b/>
              </w:rPr>
              <w:t>Y</w:t>
            </w:r>
          </w:p>
        </w:tc>
      </w:tr>
      <w:tr w:rsidR="0009119F" w:rsidRPr="003D08CC" w:rsidTr="003D08CC">
        <w:tc>
          <w:tcPr>
            <w:tcW w:w="3084" w:type="dxa"/>
            <w:tcBorders>
              <w:top w:val="single" w:sz="12" w:space="0" w:color="auto"/>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A</w:t>
            </w:r>
          </w:p>
        </w:tc>
        <w:tc>
          <w:tcPr>
            <w:tcW w:w="3192" w:type="dxa"/>
            <w:tcBorders>
              <w:top w:val="single" w:sz="12" w:space="0" w:color="auto"/>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4 746 901,745</w:t>
            </w:r>
          </w:p>
        </w:tc>
        <w:tc>
          <w:tcPr>
            <w:tcW w:w="3084" w:type="dxa"/>
            <w:tcBorders>
              <w:top w:val="single" w:sz="12" w:space="0" w:color="auto"/>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7 437 601,906</w:t>
            </w:r>
          </w:p>
        </w:tc>
      </w:tr>
      <w:tr w:rsidR="0009119F" w:rsidRPr="003D08CC" w:rsidTr="003D08CC">
        <w:tc>
          <w:tcPr>
            <w:tcW w:w="3084" w:type="dxa"/>
            <w:tcBorders>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B</w:t>
            </w:r>
          </w:p>
        </w:tc>
        <w:tc>
          <w:tcPr>
            <w:tcW w:w="3192" w:type="dxa"/>
            <w:tcBorders>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4 747 013,715</w:t>
            </w:r>
          </w:p>
        </w:tc>
        <w:tc>
          <w:tcPr>
            <w:tcW w:w="3084" w:type="dxa"/>
            <w:tcBorders>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7 437 589,247</w:t>
            </w:r>
          </w:p>
        </w:tc>
      </w:tr>
      <w:tr w:rsidR="0009119F" w:rsidRPr="003D08CC" w:rsidTr="003D08CC">
        <w:tc>
          <w:tcPr>
            <w:tcW w:w="3084" w:type="dxa"/>
            <w:tcBorders>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C</w:t>
            </w:r>
          </w:p>
        </w:tc>
        <w:tc>
          <w:tcPr>
            <w:tcW w:w="3192" w:type="dxa"/>
            <w:tcBorders>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4 746 778,848</w:t>
            </w:r>
          </w:p>
        </w:tc>
        <w:tc>
          <w:tcPr>
            <w:tcW w:w="3084" w:type="dxa"/>
            <w:tcBorders>
              <w:left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7 438 016,954</w:t>
            </w:r>
          </w:p>
        </w:tc>
      </w:tr>
      <w:tr w:rsidR="0009119F" w:rsidRPr="003D08CC" w:rsidTr="003D08CC">
        <w:tc>
          <w:tcPr>
            <w:tcW w:w="3084" w:type="dxa"/>
            <w:tcBorders>
              <w:left w:val="single" w:sz="12" w:space="0" w:color="auto"/>
              <w:bottom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D</w:t>
            </w:r>
          </w:p>
        </w:tc>
        <w:tc>
          <w:tcPr>
            <w:tcW w:w="3192" w:type="dxa"/>
            <w:tcBorders>
              <w:left w:val="single" w:sz="12" w:space="0" w:color="auto"/>
              <w:bottom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4 746 712,962</w:t>
            </w:r>
          </w:p>
        </w:tc>
        <w:tc>
          <w:tcPr>
            <w:tcW w:w="3084" w:type="dxa"/>
            <w:tcBorders>
              <w:left w:val="single" w:sz="12" w:space="0" w:color="auto"/>
              <w:bottom w:val="single" w:sz="12" w:space="0" w:color="auto"/>
              <w:right w:val="single" w:sz="12" w:space="0" w:color="auto"/>
            </w:tcBorders>
          </w:tcPr>
          <w:p w:rsidR="0009119F" w:rsidRPr="003D08CC" w:rsidRDefault="0009119F" w:rsidP="003D08CC">
            <w:pPr>
              <w:spacing w:line="276" w:lineRule="auto"/>
              <w:jc w:val="center"/>
              <w:rPr>
                <w:rFonts w:ascii="Arial" w:hAnsi="Arial" w:cs="Arial"/>
              </w:rPr>
            </w:pPr>
            <w:r w:rsidRPr="003D08CC">
              <w:rPr>
                <w:rFonts w:ascii="Arial" w:hAnsi="Arial" w:cs="Arial"/>
                <w:sz w:val="22"/>
                <w:szCs w:val="22"/>
              </w:rPr>
              <w:t>7 437 911,891</w:t>
            </w:r>
          </w:p>
        </w:tc>
      </w:tr>
    </w:tbl>
    <w:p w:rsidR="0009119F" w:rsidRPr="003D08CC" w:rsidRDefault="0009119F" w:rsidP="003D08CC">
      <w:pPr>
        <w:spacing w:line="276" w:lineRule="auto"/>
        <w:jc w:val="both"/>
        <w:rPr>
          <w:rFonts w:ascii="Arial" w:hAnsi="Arial" w:cs="Arial"/>
          <w:b/>
          <w:sz w:val="22"/>
          <w:szCs w:val="22"/>
        </w:rPr>
      </w:pP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Zemljište </w:t>
      </w:r>
      <w:proofErr w:type="gramStart"/>
      <w:r w:rsidRPr="003D08CC">
        <w:rPr>
          <w:rFonts w:ascii="Arial" w:hAnsi="Arial" w:cs="Arial"/>
          <w:sz w:val="22"/>
          <w:szCs w:val="22"/>
        </w:rPr>
        <w:t>na</w:t>
      </w:r>
      <w:proofErr w:type="gramEnd"/>
      <w:r w:rsidRPr="003D08CC">
        <w:rPr>
          <w:rFonts w:ascii="Arial" w:hAnsi="Arial" w:cs="Arial"/>
          <w:sz w:val="22"/>
          <w:szCs w:val="22"/>
        </w:rPr>
        <w:t xml:space="preserve"> kojem se nalazi budući istražno-eksploatacioni prostor “P</w:t>
      </w:r>
      <w:r w:rsidR="00F84B00" w:rsidRPr="003D08CC">
        <w:rPr>
          <w:rFonts w:ascii="Arial" w:hAnsi="Arial" w:cs="Arial"/>
          <w:sz w:val="22"/>
          <w:szCs w:val="22"/>
        </w:rPr>
        <w:t>ogled” je u državnom vlasništvu-sopstvenik-posjednik Crna Gora.</w:t>
      </w:r>
      <w:r w:rsidRPr="003D08CC">
        <w:rPr>
          <w:rFonts w:ascii="Arial" w:hAnsi="Arial" w:cs="Arial"/>
          <w:sz w:val="22"/>
          <w:szCs w:val="22"/>
        </w:rPr>
        <w:t xml:space="preserve"> Nalazi se na dijelovima ka</w:t>
      </w:r>
      <w:r w:rsidR="00187E33" w:rsidRPr="003D08CC">
        <w:rPr>
          <w:rFonts w:ascii="Arial" w:hAnsi="Arial" w:cs="Arial"/>
          <w:sz w:val="22"/>
          <w:szCs w:val="22"/>
        </w:rPr>
        <w:t>tastarskih parcela br. 3/</w:t>
      </w:r>
      <w:r w:rsidR="00F84B00" w:rsidRPr="003D08CC">
        <w:rPr>
          <w:rFonts w:ascii="Arial" w:hAnsi="Arial" w:cs="Arial"/>
          <w:sz w:val="22"/>
          <w:szCs w:val="22"/>
        </w:rPr>
        <w:t>1</w:t>
      </w:r>
      <w:r w:rsidR="00187E33" w:rsidRPr="003D08CC">
        <w:rPr>
          <w:rFonts w:ascii="Arial" w:hAnsi="Arial" w:cs="Arial"/>
          <w:sz w:val="22"/>
          <w:szCs w:val="22"/>
        </w:rPr>
        <w:t>4/</w:t>
      </w:r>
      <w:r w:rsidR="00F84B00" w:rsidRPr="003D08CC">
        <w:rPr>
          <w:rFonts w:ascii="Arial" w:hAnsi="Arial" w:cs="Arial"/>
          <w:sz w:val="22"/>
          <w:szCs w:val="22"/>
        </w:rPr>
        <w:t>1</w:t>
      </w:r>
      <w:r w:rsidR="00F6583B" w:rsidRPr="003D08CC">
        <w:rPr>
          <w:rFonts w:ascii="Arial" w:hAnsi="Arial" w:cs="Arial"/>
          <w:sz w:val="22"/>
          <w:szCs w:val="22"/>
        </w:rPr>
        <w:t xml:space="preserve">, KO Balotiće, Posjedovni list br.143 (podaci iz Geodetskog </w:t>
      </w:r>
      <w:r w:rsidR="00F84B00" w:rsidRPr="003D08CC">
        <w:rPr>
          <w:rFonts w:ascii="Arial" w:hAnsi="Arial" w:cs="Arial"/>
          <w:sz w:val="22"/>
          <w:szCs w:val="22"/>
        </w:rPr>
        <w:t>elaborata</w:t>
      </w:r>
      <w:r w:rsidR="00F6583B" w:rsidRPr="003D08CC">
        <w:rPr>
          <w:rFonts w:ascii="Arial" w:hAnsi="Arial" w:cs="Arial"/>
          <w:sz w:val="22"/>
          <w:szCs w:val="22"/>
        </w:rPr>
        <w:t>, koji je uradilo ovlašćeno DOO “Geo friends” – Podgorica, br. 8-028, od 11.03.2016. godine).</w:t>
      </w:r>
    </w:p>
    <w:p w:rsidR="0009119F" w:rsidRPr="003D08CC" w:rsidRDefault="0009119F" w:rsidP="003D08CC">
      <w:pPr>
        <w:spacing w:line="276" w:lineRule="auto"/>
        <w:jc w:val="both"/>
        <w:rPr>
          <w:rFonts w:ascii="Arial" w:hAnsi="Arial" w:cs="Arial"/>
          <w:sz w:val="22"/>
          <w:szCs w:val="22"/>
        </w:rPr>
      </w:pPr>
    </w:p>
    <w:p w:rsidR="00AA698C" w:rsidRPr="003D08CC" w:rsidRDefault="00F6583B" w:rsidP="003D08CC">
      <w:pPr>
        <w:spacing w:line="276" w:lineRule="auto"/>
        <w:jc w:val="both"/>
        <w:rPr>
          <w:rFonts w:ascii="Arial" w:hAnsi="Arial" w:cs="Arial"/>
          <w:sz w:val="22"/>
          <w:szCs w:val="22"/>
        </w:rPr>
      </w:pPr>
      <w:r w:rsidRPr="003D08CC">
        <w:rPr>
          <w:rFonts w:ascii="Arial" w:hAnsi="Arial" w:cs="Arial"/>
          <w:sz w:val="22"/>
          <w:szCs w:val="22"/>
        </w:rPr>
        <w:t>Sekretarijat za planiranje, uređenje</w:t>
      </w:r>
      <w:r w:rsidR="002E276A" w:rsidRPr="003D08CC">
        <w:rPr>
          <w:rFonts w:ascii="Arial" w:hAnsi="Arial" w:cs="Arial"/>
          <w:sz w:val="22"/>
          <w:szCs w:val="22"/>
        </w:rPr>
        <w:t xml:space="preserve"> prostora i zaštitu životne sredine Opštine Rožaje izdalo je Urbanističko-tehničke uslove, br. 0402-26/1/18, od 14.02.2018. godine, u skladu sa sa opštim urbanističkim parametrima definisanim Lokalnom studijom lokacije „Pogled“ koju je donijela Skupština opštine Rožaje, na sjednici održanoj dana 23.01.2018. godine („Sl.list CG“ – opštinski propisi, br. 6/18). </w:t>
      </w:r>
    </w:p>
    <w:p w:rsidR="00AA698C" w:rsidRPr="003D08CC" w:rsidRDefault="00AA698C" w:rsidP="003D08CC">
      <w:pPr>
        <w:spacing w:line="276" w:lineRule="auto"/>
        <w:jc w:val="both"/>
        <w:rPr>
          <w:rFonts w:ascii="Arial" w:hAnsi="Arial" w:cs="Arial"/>
          <w:sz w:val="22"/>
          <w:szCs w:val="22"/>
        </w:rPr>
      </w:pPr>
    </w:p>
    <w:p w:rsidR="0009119F" w:rsidRPr="003D08CC" w:rsidRDefault="002E276A" w:rsidP="003D08CC">
      <w:pPr>
        <w:spacing w:line="276" w:lineRule="auto"/>
        <w:jc w:val="both"/>
        <w:rPr>
          <w:rFonts w:ascii="Arial" w:hAnsi="Arial" w:cs="Arial"/>
          <w:sz w:val="22"/>
          <w:szCs w:val="22"/>
        </w:rPr>
      </w:pPr>
      <w:r w:rsidRPr="003D08CC">
        <w:rPr>
          <w:rFonts w:ascii="Arial" w:hAnsi="Arial" w:cs="Arial"/>
          <w:sz w:val="22"/>
          <w:szCs w:val="22"/>
        </w:rPr>
        <w:t xml:space="preserve">Shodno članu 4 </w:t>
      </w:r>
      <w:r w:rsidR="00AA698C" w:rsidRPr="003D08CC">
        <w:rPr>
          <w:rFonts w:ascii="Arial" w:hAnsi="Arial" w:cs="Arial"/>
          <w:sz w:val="22"/>
          <w:szCs w:val="22"/>
        </w:rPr>
        <w:t>Odluke o donošenju Lokalne studije lokacije „Pogled“, plan se donosi za period od 5 (pet) godina.</w:t>
      </w:r>
    </w:p>
    <w:p w:rsidR="0009119F" w:rsidRPr="003D08CC" w:rsidRDefault="0009119F" w:rsidP="003D08CC">
      <w:pPr>
        <w:spacing w:line="276" w:lineRule="auto"/>
        <w:jc w:val="both"/>
        <w:rPr>
          <w:rFonts w:ascii="Arial" w:hAnsi="Arial" w:cs="Arial"/>
          <w:sz w:val="22"/>
          <w:szCs w:val="22"/>
        </w:rPr>
      </w:pP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Reljef predmetnog lokaliteta i okolnog terena je brdski i brdsko-planinski, sa</w:t>
      </w:r>
      <w:r w:rsidR="002E276A" w:rsidRPr="003D08CC">
        <w:rPr>
          <w:rFonts w:ascii="Arial" w:hAnsi="Arial" w:cs="Arial"/>
          <w:sz w:val="22"/>
          <w:szCs w:val="22"/>
        </w:rPr>
        <w:t>,</w:t>
      </w:r>
      <w:r w:rsidRPr="003D08CC">
        <w:rPr>
          <w:rFonts w:ascii="Arial" w:hAnsi="Arial" w:cs="Arial"/>
          <w:sz w:val="22"/>
          <w:szCs w:val="22"/>
        </w:rPr>
        <w:t xml:space="preserve"> relativno</w:t>
      </w:r>
      <w:r w:rsidR="002E276A" w:rsidRPr="003D08CC">
        <w:rPr>
          <w:rFonts w:ascii="Arial" w:hAnsi="Arial" w:cs="Arial"/>
          <w:sz w:val="22"/>
          <w:szCs w:val="22"/>
        </w:rPr>
        <w:t>,</w:t>
      </w:r>
      <w:r w:rsidRPr="003D08CC">
        <w:rPr>
          <w:rFonts w:ascii="Arial" w:hAnsi="Arial" w:cs="Arial"/>
          <w:sz w:val="22"/>
          <w:szCs w:val="22"/>
        </w:rPr>
        <w:t xml:space="preserve"> strmim padinama duž kojih se, mjestimično, zapažaju i strmi, stijenski odsjeci sa većim ostjenjacima i siparima. </w:t>
      </w: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Značajni morfološki oblici koji se pojavljuju u ovom kraju su polja, uvale, dolovi, mnogobrojne plitke i duboke vrtače, jame, škrape i pećine. </w:t>
      </w: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 </w:t>
      </w: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lastRenderedPageBreak/>
        <w:t>Uže pod</w:t>
      </w:r>
      <w:r w:rsidR="00F84B00" w:rsidRPr="003D08CC">
        <w:rPr>
          <w:rFonts w:ascii="Arial" w:hAnsi="Arial" w:cs="Arial"/>
          <w:sz w:val="22"/>
          <w:szCs w:val="22"/>
        </w:rPr>
        <w:t>ručje lokaliteta “Pogled“ i sam</w:t>
      </w:r>
      <w:r w:rsidRPr="003D08CC">
        <w:rPr>
          <w:rFonts w:ascii="Arial" w:hAnsi="Arial" w:cs="Arial"/>
          <w:sz w:val="22"/>
          <w:szCs w:val="22"/>
        </w:rPr>
        <w:t xml:space="preserve"> lokalitet izgrađuju karbonatne sedimentne stijene srednjeg trijasa - ladinika (T</w:t>
      </w:r>
      <w:r w:rsidRPr="003D08CC">
        <w:rPr>
          <w:rFonts w:ascii="Arial" w:hAnsi="Arial" w:cs="Arial"/>
          <w:sz w:val="22"/>
          <w:szCs w:val="22"/>
          <w:vertAlign w:val="subscript"/>
        </w:rPr>
        <w:t>2</w:t>
      </w:r>
      <w:r w:rsidRPr="003D08CC">
        <w:rPr>
          <w:rFonts w:ascii="Arial" w:hAnsi="Arial" w:cs="Arial"/>
          <w:sz w:val="22"/>
          <w:szCs w:val="22"/>
          <w:vertAlign w:val="superscript"/>
        </w:rPr>
        <w:t>2</w:t>
      </w:r>
      <w:r w:rsidRPr="003D08CC">
        <w:rPr>
          <w:rFonts w:ascii="Arial" w:hAnsi="Arial" w:cs="Arial"/>
          <w:sz w:val="22"/>
          <w:szCs w:val="22"/>
        </w:rPr>
        <w:t>). U geološkoj građi učestvuju karbonatni sedimenati, srednjeg trijasa (ladinski kat), p</w:t>
      </w:r>
      <w:r w:rsidR="00F84B00" w:rsidRPr="003D08CC">
        <w:rPr>
          <w:rFonts w:ascii="Arial" w:hAnsi="Arial" w:cs="Arial"/>
          <w:sz w:val="22"/>
          <w:szCs w:val="22"/>
        </w:rPr>
        <w:t>redstavljeni tamnosivim do sivim</w:t>
      </w:r>
      <w:r w:rsidRPr="003D08CC">
        <w:rPr>
          <w:rFonts w:ascii="Arial" w:hAnsi="Arial" w:cs="Arial"/>
          <w:sz w:val="22"/>
          <w:szCs w:val="22"/>
        </w:rPr>
        <w:t xml:space="preserve"> stratifikovanim prekristalisalim krečnjacima, koji su ispresjecani kalcitskim žicama. Generalno ovi krečnjaci padaju prema jugoistoku pod uglom od 15 do 30</w:t>
      </w:r>
      <w:r w:rsidRPr="003D08CC">
        <w:rPr>
          <w:rFonts w:ascii="Arial" w:hAnsi="Arial" w:cs="Arial"/>
          <w:sz w:val="22"/>
          <w:szCs w:val="22"/>
          <w:vertAlign w:val="superscript"/>
        </w:rPr>
        <w:t>0</w:t>
      </w:r>
      <w:r w:rsidRPr="003D08CC">
        <w:rPr>
          <w:rFonts w:ascii="Arial" w:hAnsi="Arial" w:cs="Arial"/>
          <w:sz w:val="22"/>
          <w:szCs w:val="22"/>
        </w:rPr>
        <w:t xml:space="preserve">. </w:t>
      </w:r>
    </w:p>
    <w:p w:rsidR="0009119F" w:rsidRPr="003D08CC" w:rsidRDefault="0009119F" w:rsidP="003D08CC">
      <w:pPr>
        <w:spacing w:line="276" w:lineRule="auto"/>
        <w:jc w:val="both"/>
        <w:rPr>
          <w:rFonts w:ascii="Arial" w:hAnsi="Arial" w:cs="Arial"/>
          <w:sz w:val="22"/>
          <w:szCs w:val="22"/>
        </w:rPr>
      </w:pP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Na predmetnom lokalitetu nijesu vršena detaljna geološka istraživanja tehničko-građevinskog kamena, tako da nema podataka o rezervama i kvalitetu istog. </w:t>
      </w: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Na bazi izvršene procjene na lokalitetu “Pogled”, uzimajući u obzir površinu prostora i morfološke karakteristike, potencijalne geološke rezerve tehničko-građevinskog kamena procijenjene su na 6.000.000 m</w:t>
      </w:r>
      <w:r w:rsidRPr="003D08CC">
        <w:rPr>
          <w:rFonts w:ascii="Arial" w:hAnsi="Arial" w:cs="Arial"/>
          <w:sz w:val="22"/>
          <w:szCs w:val="22"/>
          <w:vertAlign w:val="superscript"/>
        </w:rPr>
        <w:t>3</w:t>
      </w:r>
      <w:r w:rsidRPr="003D08CC">
        <w:rPr>
          <w:rFonts w:ascii="Arial" w:hAnsi="Arial" w:cs="Arial"/>
          <w:sz w:val="22"/>
          <w:szCs w:val="22"/>
        </w:rPr>
        <w:t xml:space="preserve"> č.s.m. </w:t>
      </w:r>
    </w:p>
    <w:p w:rsidR="00AA698C" w:rsidRPr="003D08CC" w:rsidRDefault="00AA698C" w:rsidP="003D08CC">
      <w:pPr>
        <w:spacing w:line="276" w:lineRule="auto"/>
        <w:jc w:val="both"/>
        <w:rPr>
          <w:rFonts w:ascii="Arial" w:hAnsi="Arial" w:cs="Arial"/>
          <w:sz w:val="22"/>
          <w:szCs w:val="22"/>
        </w:rPr>
      </w:pPr>
    </w:p>
    <w:p w:rsidR="0009119F" w:rsidRPr="003D08CC"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Nema podataka o kvalitativnim svojstvima mineralne sirovine. Da bi se dostigao optimalni stepen poznavanja ležišta u smislu rezervi i kvaliteta, ležišnih uslova i u vezi sa tim mogućnosti primjene i plasmana na tržištu, potrebno je izvršiti detaljna geološka istraživanja na način i u obimu koji će se definisati Projektom detaljnih geoloških istraživanja. </w:t>
      </w:r>
    </w:p>
    <w:p w:rsidR="00464C30" w:rsidRDefault="0009119F" w:rsidP="003D08CC">
      <w:pPr>
        <w:spacing w:line="276" w:lineRule="auto"/>
        <w:jc w:val="both"/>
        <w:rPr>
          <w:rFonts w:ascii="Arial" w:hAnsi="Arial" w:cs="Arial"/>
          <w:sz w:val="22"/>
          <w:szCs w:val="22"/>
        </w:rPr>
      </w:pPr>
      <w:r w:rsidRPr="003D08CC">
        <w:rPr>
          <w:rFonts w:ascii="Arial" w:hAnsi="Arial" w:cs="Arial"/>
          <w:sz w:val="22"/>
          <w:szCs w:val="22"/>
        </w:rPr>
        <w:t xml:space="preserve">Izradom Elaborata o klasifikaciji, kategorizaciji i proračunu rezervi tehničko-građevinskog kamena </w:t>
      </w:r>
      <w:proofErr w:type="gramStart"/>
      <w:r w:rsidRPr="003D08CC">
        <w:rPr>
          <w:rFonts w:ascii="Arial" w:hAnsi="Arial" w:cs="Arial"/>
          <w:sz w:val="22"/>
          <w:szCs w:val="22"/>
        </w:rPr>
        <w:t>na</w:t>
      </w:r>
      <w:proofErr w:type="gramEnd"/>
      <w:r w:rsidRPr="003D08CC">
        <w:rPr>
          <w:rFonts w:ascii="Arial" w:hAnsi="Arial" w:cs="Arial"/>
          <w:sz w:val="22"/>
          <w:szCs w:val="22"/>
        </w:rPr>
        <w:t xml:space="preserve"> ležištu „Pogled“, nakon sprovedenih detaljnih geoloških istraživanja, dobiće se podaci o rezervama i kvalitetu predmetne mineralne sirovine</w:t>
      </w:r>
      <w:r w:rsidR="00AA698C" w:rsidRPr="003D08CC">
        <w:rPr>
          <w:rFonts w:ascii="Arial" w:hAnsi="Arial" w:cs="Arial"/>
          <w:sz w:val="22"/>
          <w:szCs w:val="22"/>
        </w:rPr>
        <w:t>.</w:t>
      </w:r>
    </w:p>
    <w:p w:rsidR="00AA698C" w:rsidRPr="003D08CC" w:rsidRDefault="00AA698C" w:rsidP="003D08CC">
      <w:pPr>
        <w:spacing w:line="276" w:lineRule="auto"/>
        <w:jc w:val="both"/>
        <w:rPr>
          <w:rFonts w:ascii="Arial" w:hAnsi="Arial" w:cs="Arial"/>
          <w:b/>
          <w:sz w:val="22"/>
          <w:szCs w:val="22"/>
        </w:rPr>
      </w:pPr>
    </w:p>
    <w:p w:rsidR="00AA698C" w:rsidRPr="003D08CC" w:rsidRDefault="00AA698C" w:rsidP="003D08CC">
      <w:pPr>
        <w:spacing w:line="276" w:lineRule="auto"/>
        <w:jc w:val="both"/>
        <w:rPr>
          <w:rFonts w:ascii="Arial" w:hAnsi="Arial" w:cs="Arial"/>
          <w:b/>
          <w:sz w:val="22"/>
          <w:szCs w:val="22"/>
        </w:rPr>
      </w:pPr>
      <w:r w:rsidRPr="003D08CC">
        <w:rPr>
          <w:rFonts w:ascii="Arial" w:hAnsi="Arial" w:cs="Arial"/>
          <w:b/>
          <w:sz w:val="22"/>
          <w:szCs w:val="22"/>
        </w:rPr>
        <w:t>3. Pojava tehničko-građevinskog kamena</w:t>
      </w:r>
      <w:r w:rsidR="00F84B00" w:rsidRPr="003D08CC">
        <w:rPr>
          <w:rFonts w:ascii="Arial" w:hAnsi="Arial" w:cs="Arial"/>
          <w:b/>
          <w:sz w:val="22"/>
          <w:szCs w:val="22"/>
        </w:rPr>
        <w:t xml:space="preserve"> “Bioča”, opština Bijelo Polje</w:t>
      </w:r>
    </w:p>
    <w:p w:rsidR="00F84B00" w:rsidRPr="003D08CC" w:rsidRDefault="00F84B00" w:rsidP="003D08CC">
      <w:pPr>
        <w:spacing w:line="276" w:lineRule="auto"/>
        <w:jc w:val="both"/>
        <w:rPr>
          <w:rFonts w:ascii="Arial" w:hAnsi="Arial" w:cs="Arial"/>
          <w:sz w:val="22"/>
          <w:szCs w:val="22"/>
        </w:rPr>
      </w:pPr>
    </w:p>
    <w:p w:rsidR="003C57BD" w:rsidRPr="003D08CC" w:rsidRDefault="003C57BD" w:rsidP="003D08CC">
      <w:pPr>
        <w:spacing w:line="276" w:lineRule="auto"/>
        <w:jc w:val="both"/>
        <w:rPr>
          <w:rFonts w:ascii="Arial" w:hAnsi="Arial" w:cs="Arial"/>
          <w:sz w:val="22"/>
          <w:szCs w:val="22"/>
        </w:rPr>
      </w:pPr>
      <w:r w:rsidRPr="003D08CC">
        <w:rPr>
          <w:rFonts w:ascii="Arial" w:hAnsi="Arial" w:cs="Arial"/>
          <w:sz w:val="22"/>
          <w:szCs w:val="22"/>
        </w:rPr>
        <w:t>Lokalitet pojave tehničko-građevinskog kamena „Bioča“ u geografskom smislu pripada sjevernom regionu i nalazi se u klisuri isoimene rijeke Lješnice, na oko 1,5 km uzvodno od sela Bioča. Oko 20 km sjeverozapadno od Bijelog Polja. Prema administrativnoj podjeli pripada opštini Bijelo Polje.</w:t>
      </w:r>
    </w:p>
    <w:p w:rsidR="003C57BD" w:rsidRPr="003D08CC" w:rsidRDefault="003C57BD" w:rsidP="003D08CC">
      <w:pPr>
        <w:spacing w:line="276" w:lineRule="auto"/>
        <w:jc w:val="both"/>
        <w:rPr>
          <w:rFonts w:ascii="Arial" w:hAnsi="Arial" w:cs="Arial"/>
          <w:sz w:val="22"/>
          <w:szCs w:val="22"/>
        </w:rPr>
      </w:pPr>
    </w:p>
    <w:p w:rsidR="003C57BD" w:rsidRPr="003D08CC" w:rsidRDefault="003C57BD" w:rsidP="003D08CC">
      <w:pPr>
        <w:spacing w:line="276" w:lineRule="auto"/>
        <w:jc w:val="both"/>
        <w:rPr>
          <w:rFonts w:ascii="Arial" w:hAnsi="Arial" w:cs="Arial"/>
          <w:sz w:val="22"/>
          <w:szCs w:val="22"/>
        </w:rPr>
      </w:pPr>
      <w:r w:rsidRPr="003D08CC">
        <w:rPr>
          <w:rFonts w:ascii="Arial" w:hAnsi="Arial" w:cs="Arial"/>
          <w:sz w:val="22"/>
          <w:szCs w:val="22"/>
        </w:rPr>
        <w:t xml:space="preserve">Lokalitet „Bioča“ pripada geografskom listu </w:t>
      </w:r>
      <w:r w:rsidR="001D00DC" w:rsidRPr="003D08CC">
        <w:rPr>
          <w:rFonts w:ascii="Arial" w:hAnsi="Arial" w:cs="Arial"/>
          <w:sz w:val="22"/>
          <w:szCs w:val="22"/>
        </w:rPr>
        <w:t>„Ivangrad, 1:100 000, odnosno sekcijama „Mušnica“ i „Brzava“, 1:25 000.</w:t>
      </w:r>
    </w:p>
    <w:p w:rsidR="001D00DC" w:rsidRPr="003D08CC" w:rsidRDefault="001D00DC" w:rsidP="003D08CC">
      <w:pPr>
        <w:spacing w:line="276" w:lineRule="auto"/>
        <w:jc w:val="both"/>
        <w:rPr>
          <w:rFonts w:ascii="Arial" w:hAnsi="Arial" w:cs="Arial"/>
          <w:sz w:val="22"/>
          <w:szCs w:val="22"/>
        </w:rPr>
      </w:pPr>
    </w:p>
    <w:p w:rsidR="001D00DC" w:rsidRPr="003D08CC" w:rsidRDefault="001D00DC" w:rsidP="003D08CC">
      <w:pPr>
        <w:spacing w:line="276" w:lineRule="auto"/>
        <w:jc w:val="both"/>
        <w:rPr>
          <w:rFonts w:ascii="Arial" w:hAnsi="Arial" w:cs="Arial"/>
          <w:sz w:val="22"/>
          <w:szCs w:val="22"/>
        </w:rPr>
      </w:pPr>
      <w:r w:rsidRPr="003D08CC">
        <w:rPr>
          <w:rFonts w:ascii="Arial" w:hAnsi="Arial" w:cs="Arial"/>
          <w:sz w:val="22"/>
          <w:szCs w:val="22"/>
        </w:rPr>
        <w:t>Područje lokaliteta „Bioča“ predstavlja, u suštini, jugozapadne padine brda Male rudine. Jugozapadna granica lokaliteta je lokalni asfaltni put Bioča-Petnjica i korito rijeke Lješnice.</w:t>
      </w:r>
    </w:p>
    <w:p w:rsidR="001D00DC" w:rsidRPr="003D08CC" w:rsidRDefault="001D00DC" w:rsidP="003D08CC">
      <w:pPr>
        <w:spacing w:line="276" w:lineRule="auto"/>
        <w:jc w:val="both"/>
        <w:rPr>
          <w:rFonts w:ascii="Arial" w:hAnsi="Arial" w:cs="Arial"/>
          <w:sz w:val="22"/>
          <w:szCs w:val="22"/>
        </w:rPr>
      </w:pPr>
    </w:p>
    <w:p w:rsidR="00F84B00" w:rsidRPr="003D08CC" w:rsidRDefault="00F944E7" w:rsidP="003D08CC">
      <w:pPr>
        <w:spacing w:line="276" w:lineRule="auto"/>
        <w:jc w:val="both"/>
        <w:rPr>
          <w:rFonts w:ascii="Arial" w:hAnsi="Arial" w:cs="Arial"/>
          <w:sz w:val="22"/>
          <w:szCs w:val="22"/>
        </w:rPr>
      </w:pPr>
      <w:r w:rsidRPr="003D08CC">
        <w:rPr>
          <w:rFonts w:ascii="Arial" w:hAnsi="Arial" w:cs="Arial"/>
          <w:sz w:val="22"/>
          <w:szCs w:val="22"/>
        </w:rPr>
        <w:t>Inicijativu, zavedana u arhivi Ministarstva ekonomije pod b</w:t>
      </w:r>
      <w:r w:rsidR="00207B7A" w:rsidRPr="003D08CC">
        <w:rPr>
          <w:rFonts w:ascii="Arial" w:hAnsi="Arial" w:cs="Arial"/>
          <w:sz w:val="22"/>
          <w:szCs w:val="22"/>
        </w:rPr>
        <w:t>r. 970-179/2017-1, od 21.04.2017</w:t>
      </w:r>
      <w:r w:rsidRPr="003D08CC">
        <w:rPr>
          <w:rFonts w:ascii="Arial" w:hAnsi="Arial" w:cs="Arial"/>
          <w:sz w:val="22"/>
          <w:szCs w:val="22"/>
        </w:rPr>
        <w:t xml:space="preserve">. godine,  za dobijanje koncesije za detaljna geološka istraživanja i eksploataciju mineralne sirovine tehničko-građevinskog kamena na lokalitetu “Bioča” podnijelo je privredno društvo “Matador&amp;Co” – Bijelo Polje. </w:t>
      </w:r>
    </w:p>
    <w:p w:rsidR="00F944E7" w:rsidRPr="003D08CC" w:rsidRDefault="00F944E7" w:rsidP="003D08CC">
      <w:pPr>
        <w:spacing w:line="276" w:lineRule="auto"/>
        <w:jc w:val="both"/>
        <w:rPr>
          <w:rFonts w:ascii="Arial" w:hAnsi="Arial" w:cs="Arial"/>
          <w:sz w:val="22"/>
          <w:szCs w:val="22"/>
        </w:rPr>
      </w:pPr>
      <w:r w:rsidRPr="003D08CC">
        <w:rPr>
          <w:rFonts w:ascii="Arial" w:hAnsi="Arial" w:cs="Arial"/>
          <w:sz w:val="22"/>
          <w:szCs w:val="22"/>
        </w:rPr>
        <w:t>Uvidom u dostavljenu inicijativu sa pratećo</w:t>
      </w:r>
      <w:r w:rsidR="00562668" w:rsidRPr="003D08CC">
        <w:rPr>
          <w:rFonts w:ascii="Arial" w:hAnsi="Arial" w:cs="Arial"/>
          <w:sz w:val="22"/>
          <w:szCs w:val="22"/>
        </w:rPr>
        <w:t>m dokumentacijom, u Ministarstvu</w:t>
      </w:r>
      <w:r w:rsidR="00C15114" w:rsidRPr="003D08CC">
        <w:rPr>
          <w:rFonts w:ascii="Arial" w:hAnsi="Arial" w:cs="Arial"/>
          <w:sz w:val="22"/>
          <w:szCs w:val="22"/>
        </w:rPr>
        <w:t xml:space="preserve"> ekonomije</w:t>
      </w:r>
      <w:r w:rsidR="00562668" w:rsidRPr="003D08CC">
        <w:rPr>
          <w:rFonts w:ascii="Arial" w:hAnsi="Arial" w:cs="Arial"/>
          <w:sz w:val="22"/>
          <w:szCs w:val="22"/>
        </w:rPr>
        <w:t xml:space="preserve"> je konstatovano da nijesu dostavljeni svi potrebni dokazi. </w:t>
      </w:r>
      <w:proofErr w:type="gramStart"/>
      <w:r w:rsidR="00562668" w:rsidRPr="003D08CC">
        <w:rPr>
          <w:rFonts w:ascii="Arial" w:hAnsi="Arial" w:cs="Arial"/>
          <w:sz w:val="22"/>
          <w:szCs w:val="22"/>
        </w:rPr>
        <w:t>U tom smislu, Ministarstvo</w:t>
      </w:r>
      <w:r w:rsidR="00C15114" w:rsidRPr="003D08CC">
        <w:rPr>
          <w:rFonts w:ascii="Arial" w:hAnsi="Arial" w:cs="Arial"/>
          <w:sz w:val="22"/>
          <w:szCs w:val="22"/>
        </w:rPr>
        <w:t xml:space="preserve"> ekonomije</w:t>
      </w:r>
      <w:r w:rsidR="00562668" w:rsidRPr="003D08CC">
        <w:rPr>
          <w:rFonts w:ascii="Arial" w:hAnsi="Arial" w:cs="Arial"/>
          <w:sz w:val="22"/>
          <w:szCs w:val="22"/>
        </w:rPr>
        <w:t xml:space="preserve"> je uputilo dopis svim </w:t>
      </w:r>
      <w:r w:rsidR="00663BF0">
        <w:rPr>
          <w:rFonts w:ascii="Arial" w:hAnsi="Arial" w:cs="Arial"/>
          <w:sz w:val="22"/>
          <w:szCs w:val="22"/>
        </w:rPr>
        <w:t>podnosilac</w:t>
      </w:r>
      <w:r w:rsidR="00562668" w:rsidRPr="003D08CC">
        <w:rPr>
          <w:rFonts w:ascii="Arial" w:hAnsi="Arial" w:cs="Arial"/>
          <w:sz w:val="22"/>
          <w:szCs w:val="22"/>
        </w:rPr>
        <w:t>ima inicijativ</w:t>
      </w:r>
      <w:r w:rsidR="00AB3F07" w:rsidRPr="003D08CC">
        <w:rPr>
          <w:rFonts w:ascii="Arial" w:hAnsi="Arial" w:cs="Arial"/>
          <w:sz w:val="22"/>
          <w:szCs w:val="22"/>
        </w:rPr>
        <w:t>e</w:t>
      </w:r>
      <w:r w:rsidR="00562668" w:rsidRPr="003D08CC">
        <w:rPr>
          <w:rFonts w:ascii="Arial" w:hAnsi="Arial" w:cs="Arial"/>
          <w:sz w:val="22"/>
          <w:szCs w:val="22"/>
        </w:rPr>
        <w:t>, među kojima i DOO “Matador&amp;Co – Bijelo Polje, br. 970-265/2017-1, od 19.06.2017.</w:t>
      </w:r>
      <w:proofErr w:type="gramEnd"/>
      <w:r w:rsidR="00562668" w:rsidRPr="003D08CC">
        <w:rPr>
          <w:rFonts w:ascii="Arial" w:hAnsi="Arial" w:cs="Arial"/>
          <w:sz w:val="22"/>
          <w:szCs w:val="22"/>
        </w:rPr>
        <w:t xml:space="preserve"> godine, u kojem su navedeni neophodni dokazi koje treba dostaviti, između ostalih i namjena prostora u PUP-u Opštine</w:t>
      </w:r>
      <w:r w:rsidR="00AB3F07" w:rsidRPr="003D08CC">
        <w:rPr>
          <w:rFonts w:ascii="Arial" w:hAnsi="Arial" w:cs="Arial"/>
          <w:sz w:val="22"/>
          <w:szCs w:val="22"/>
        </w:rPr>
        <w:t xml:space="preserve"> Bijelo Polje i</w:t>
      </w:r>
      <w:r w:rsidR="00562668" w:rsidRPr="003D08CC">
        <w:rPr>
          <w:rFonts w:ascii="Arial" w:hAnsi="Arial" w:cs="Arial"/>
          <w:sz w:val="22"/>
          <w:szCs w:val="22"/>
        </w:rPr>
        <w:t xml:space="preserve"> imovinsko-pravni odnosi</w:t>
      </w:r>
      <w:r w:rsidR="00AB3F07" w:rsidRPr="003D08CC">
        <w:rPr>
          <w:rFonts w:ascii="Arial" w:hAnsi="Arial" w:cs="Arial"/>
          <w:sz w:val="22"/>
          <w:szCs w:val="22"/>
        </w:rPr>
        <w:t>.</w:t>
      </w:r>
    </w:p>
    <w:p w:rsidR="00207B7A" w:rsidRPr="003D08CC" w:rsidRDefault="00207B7A" w:rsidP="003D08CC">
      <w:pPr>
        <w:spacing w:line="276" w:lineRule="auto"/>
        <w:jc w:val="both"/>
        <w:rPr>
          <w:rFonts w:ascii="Arial" w:hAnsi="Arial" w:cs="Arial"/>
          <w:sz w:val="22"/>
          <w:szCs w:val="22"/>
        </w:rPr>
      </w:pPr>
    </w:p>
    <w:p w:rsidR="00207B7A" w:rsidRPr="003D08CC" w:rsidRDefault="00207B7A" w:rsidP="003D08CC">
      <w:pPr>
        <w:spacing w:line="276" w:lineRule="auto"/>
        <w:jc w:val="both"/>
        <w:rPr>
          <w:rFonts w:ascii="Arial" w:hAnsi="Arial" w:cs="Arial"/>
          <w:sz w:val="22"/>
          <w:szCs w:val="22"/>
        </w:rPr>
      </w:pPr>
      <w:r w:rsidRPr="003D08CC">
        <w:rPr>
          <w:rFonts w:ascii="Arial" w:hAnsi="Arial" w:cs="Arial"/>
          <w:sz w:val="22"/>
          <w:szCs w:val="22"/>
        </w:rPr>
        <w:t xml:space="preserve">Na osnovu izvoda iz PUP-a Opštine Bijelo Polje, koji je </w:t>
      </w:r>
      <w:r w:rsidR="00663BF0">
        <w:rPr>
          <w:rFonts w:ascii="Arial" w:hAnsi="Arial" w:cs="Arial"/>
          <w:sz w:val="22"/>
          <w:szCs w:val="22"/>
        </w:rPr>
        <w:t>podnosilac</w:t>
      </w:r>
      <w:r w:rsidRPr="003D08CC">
        <w:rPr>
          <w:rFonts w:ascii="Arial" w:hAnsi="Arial" w:cs="Arial"/>
          <w:sz w:val="22"/>
          <w:szCs w:val="22"/>
        </w:rPr>
        <w:t xml:space="preserve">u inicijative izdao Sekretarijat za uređenje prostora Opštine Bijelo Polje, br. 06/1-10015/1, </w:t>
      </w:r>
      <w:proofErr w:type="gramStart"/>
      <w:r w:rsidRPr="003D08CC">
        <w:rPr>
          <w:rFonts w:ascii="Arial" w:hAnsi="Arial" w:cs="Arial"/>
          <w:sz w:val="22"/>
          <w:szCs w:val="22"/>
        </w:rPr>
        <w:t>od</w:t>
      </w:r>
      <w:proofErr w:type="gramEnd"/>
      <w:r w:rsidRPr="003D08CC">
        <w:rPr>
          <w:rFonts w:ascii="Arial" w:hAnsi="Arial" w:cs="Arial"/>
          <w:sz w:val="22"/>
          <w:szCs w:val="22"/>
        </w:rPr>
        <w:t xml:space="preserve"> 06.11.2017. godine, za dio katastarske parcele br. 2799/1 KO Lozna, konstatovano je da nije dostavljen izvod iz tekstualnog dijela o mineralnim sirovinama</w:t>
      </w:r>
      <w:r w:rsidR="001348F6" w:rsidRPr="003D08CC">
        <w:rPr>
          <w:rFonts w:ascii="Arial" w:hAnsi="Arial" w:cs="Arial"/>
          <w:sz w:val="22"/>
          <w:szCs w:val="22"/>
        </w:rPr>
        <w:t xml:space="preserve">. </w:t>
      </w:r>
      <w:r w:rsidR="00663BF0">
        <w:rPr>
          <w:rFonts w:ascii="Arial" w:hAnsi="Arial" w:cs="Arial"/>
          <w:sz w:val="22"/>
          <w:szCs w:val="22"/>
        </w:rPr>
        <w:t>Podnosilac</w:t>
      </w:r>
      <w:r w:rsidR="001348F6" w:rsidRPr="003D08CC">
        <w:rPr>
          <w:rFonts w:ascii="Arial" w:hAnsi="Arial" w:cs="Arial"/>
          <w:sz w:val="22"/>
          <w:szCs w:val="22"/>
        </w:rPr>
        <w:t xml:space="preserve"> inicijative ponovo dostavlja mejlom izvod iz PUP-a koji je izdao Sekretarijat za uređenje prostora Opštine Bijelo Polje, br. 032-351-2952-06/2-22/1, </w:t>
      </w:r>
      <w:proofErr w:type="gramStart"/>
      <w:r w:rsidR="001348F6" w:rsidRPr="003D08CC">
        <w:rPr>
          <w:rFonts w:ascii="Arial" w:hAnsi="Arial" w:cs="Arial"/>
          <w:sz w:val="22"/>
          <w:szCs w:val="22"/>
        </w:rPr>
        <w:t>od</w:t>
      </w:r>
      <w:proofErr w:type="gramEnd"/>
      <w:r w:rsidR="001348F6" w:rsidRPr="003D08CC">
        <w:rPr>
          <w:rFonts w:ascii="Arial" w:hAnsi="Arial" w:cs="Arial"/>
          <w:sz w:val="22"/>
          <w:szCs w:val="22"/>
        </w:rPr>
        <w:t xml:space="preserve"> 28.03.2018. godine, arhiviran u Ministarstvu ekonomije pod br. 970-265/2017-3, od 17.04.2018. godine. U prilogu je dostavljen grafički i tekstualni dio ovog plana. U tekstualnom dijelu, Poglavlje 4.11. Koncesiona područja, između ostalog </w:t>
      </w:r>
      <w:r w:rsidR="001348F6" w:rsidRPr="003D08CC">
        <w:rPr>
          <w:rFonts w:ascii="Arial" w:hAnsi="Arial" w:cs="Arial"/>
          <w:sz w:val="22"/>
          <w:szCs w:val="22"/>
        </w:rPr>
        <w:lastRenderedPageBreak/>
        <w:t>navedeno je da „na području Opštine Bijelo Polje postoji više mogućih dobara i usluga koji mogu biti ustupljeni kroz davanje koncesije. Planom su definisana aktuelna koncesiona područja i prepoznata potencijalna područja, od</w:t>
      </w:r>
      <w:r w:rsidR="0060739B" w:rsidRPr="003D08CC">
        <w:rPr>
          <w:rFonts w:ascii="Arial" w:hAnsi="Arial" w:cs="Arial"/>
          <w:sz w:val="22"/>
          <w:szCs w:val="22"/>
        </w:rPr>
        <w:t>nosno ostavljena mogućnost da se</w:t>
      </w:r>
      <w:r w:rsidR="001348F6" w:rsidRPr="003D08CC">
        <w:rPr>
          <w:rFonts w:ascii="Arial" w:hAnsi="Arial" w:cs="Arial"/>
          <w:sz w:val="22"/>
          <w:szCs w:val="22"/>
        </w:rPr>
        <w:t xml:space="preserve"> i druga</w:t>
      </w:r>
      <w:r w:rsidR="0060739B" w:rsidRPr="003D08CC">
        <w:rPr>
          <w:rFonts w:ascii="Arial" w:hAnsi="Arial" w:cs="Arial"/>
          <w:sz w:val="22"/>
          <w:szCs w:val="22"/>
        </w:rPr>
        <w:t xml:space="preserve"> područja u obuhvatu plana, a za koji se donese koncesioni akt, realizuju u skladu sa njim“. Na grafičkom dijelu, gdje je prostor Bioča, definisano je koncesiono područje.</w:t>
      </w:r>
    </w:p>
    <w:p w:rsidR="0060739B" w:rsidRPr="003D08CC" w:rsidRDefault="0060739B" w:rsidP="003D08CC">
      <w:pPr>
        <w:spacing w:line="276" w:lineRule="auto"/>
        <w:jc w:val="both"/>
        <w:rPr>
          <w:rFonts w:ascii="Arial" w:hAnsi="Arial" w:cs="Arial"/>
          <w:sz w:val="22"/>
          <w:szCs w:val="22"/>
        </w:rPr>
      </w:pPr>
    </w:p>
    <w:p w:rsidR="0060739B" w:rsidRPr="003D08CC" w:rsidRDefault="0060739B" w:rsidP="003D08CC">
      <w:pPr>
        <w:spacing w:line="276" w:lineRule="auto"/>
        <w:jc w:val="both"/>
        <w:rPr>
          <w:rFonts w:ascii="Arial" w:hAnsi="Arial" w:cs="Arial"/>
          <w:sz w:val="22"/>
          <w:szCs w:val="22"/>
        </w:rPr>
      </w:pPr>
      <w:r w:rsidRPr="003D08CC">
        <w:rPr>
          <w:rFonts w:ascii="Arial" w:hAnsi="Arial" w:cs="Arial"/>
          <w:sz w:val="22"/>
          <w:szCs w:val="22"/>
        </w:rPr>
        <w:t>Lokalitet „Bioča“ se nalazi na dijelu katastarske parcele br. 2799/1, KO Lozna, koja je u državnom vlasništvu-sopstvenik-posjednik Crna Gora.</w:t>
      </w:r>
    </w:p>
    <w:p w:rsidR="0060739B" w:rsidRPr="003D08CC" w:rsidRDefault="0060739B" w:rsidP="003D08CC">
      <w:pPr>
        <w:spacing w:line="276" w:lineRule="auto"/>
        <w:jc w:val="both"/>
        <w:rPr>
          <w:rFonts w:ascii="Arial" w:hAnsi="Arial" w:cs="Arial"/>
          <w:sz w:val="22"/>
          <w:szCs w:val="22"/>
        </w:rPr>
      </w:pPr>
    </w:p>
    <w:p w:rsidR="0060739B" w:rsidRPr="003D08CC" w:rsidRDefault="001D00DC" w:rsidP="003D08CC">
      <w:pPr>
        <w:spacing w:line="276" w:lineRule="auto"/>
        <w:jc w:val="both"/>
        <w:rPr>
          <w:rFonts w:ascii="Arial" w:hAnsi="Arial" w:cs="Arial"/>
          <w:sz w:val="22"/>
          <w:szCs w:val="22"/>
        </w:rPr>
      </w:pPr>
      <w:r w:rsidRPr="003D08CC">
        <w:rPr>
          <w:rFonts w:ascii="Arial" w:hAnsi="Arial" w:cs="Arial"/>
          <w:sz w:val="22"/>
          <w:szCs w:val="22"/>
        </w:rPr>
        <w:t xml:space="preserve">O geološkim karakteristikama šireg područja i samog lokaliteta, može se govoriti na osnovu analogije – u blizini je ležište tehničko-građevinskog kamena „Lješnica-Bioča“ za koje ja data koncesija. Na ovom ležištu su izvršena detaljna geološka istraživanja i na osnovu njih utvrđene su rezerve i kvalitet mineralne sirovine. </w:t>
      </w:r>
    </w:p>
    <w:p w:rsidR="001D00DC" w:rsidRPr="003D08CC" w:rsidRDefault="001D00DC" w:rsidP="003D08CC">
      <w:pPr>
        <w:spacing w:line="276" w:lineRule="auto"/>
        <w:jc w:val="both"/>
        <w:rPr>
          <w:rFonts w:ascii="Arial" w:hAnsi="Arial" w:cs="Arial"/>
          <w:sz w:val="22"/>
          <w:szCs w:val="22"/>
        </w:rPr>
      </w:pPr>
      <w:r w:rsidRPr="003D08CC">
        <w:rPr>
          <w:rFonts w:ascii="Arial" w:hAnsi="Arial" w:cs="Arial"/>
          <w:sz w:val="22"/>
          <w:szCs w:val="22"/>
        </w:rPr>
        <w:t xml:space="preserve">Na </w:t>
      </w:r>
      <w:r w:rsidR="00A338B5" w:rsidRPr="003D08CC">
        <w:rPr>
          <w:rFonts w:ascii="Arial" w:hAnsi="Arial" w:cs="Arial"/>
          <w:sz w:val="22"/>
          <w:szCs w:val="22"/>
        </w:rPr>
        <w:t>širem području Lješnice-Bioča u geološkoj građi učestvuje sedimentno-metamorfni kompleks stijena paleozoika, različite sedimentne i vulkanogene stijene mezozoika i kvartarne tvorevine, dok su od paleozojskih zastupljene stijene donjeg i srednjeg perma.</w:t>
      </w:r>
    </w:p>
    <w:p w:rsidR="00A338B5" w:rsidRPr="003D08CC" w:rsidRDefault="00A36E43" w:rsidP="003D08CC">
      <w:pPr>
        <w:spacing w:line="276" w:lineRule="auto"/>
        <w:jc w:val="both"/>
        <w:rPr>
          <w:rFonts w:ascii="Arial" w:hAnsi="Arial" w:cs="Arial"/>
          <w:sz w:val="22"/>
          <w:szCs w:val="22"/>
        </w:rPr>
      </w:pPr>
      <w:r w:rsidRPr="003D08CC">
        <w:rPr>
          <w:rFonts w:ascii="Arial" w:hAnsi="Arial" w:cs="Arial"/>
          <w:sz w:val="22"/>
          <w:szCs w:val="22"/>
        </w:rPr>
        <w:t>Na užem području lokaliteta „Bioča“ zastupljene su karbonatne naslage srednjeg trijasa (anizika) predstavljene krečnjacima i veoma rijetko dolomitičnim krečnjacima i sedimentima kvartara.</w:t>
      </w:r>
    </w:p>
    <w:p w:rsidR="0060739B" w:rsidRPr="003D08CC" w:rsidRDefault="0060739B" w:rsidP="003D08CC">
      <w:pPr>
        <w:spacing w:line="276" w:lineRule="auto"/>
        <w:jc w:val="both"/>
        <w:rPr>
          <w:rFonts w:ascii="Arial" w:hAnsi="Arial" w:cs="Arial"/>
          <w:sz w:val="22"/>
          <w:szCs w:val="22"/>
        </w:rPr>
      </w:pPr>
    </w:p>
    <w:p w:rsidR="003C57BD" w:rsidRPr="003D08CC" w:rsidRDefault="003C57BD" w:rsidP="003D08CC">
      <w:pPr>
        <w:spacing w:line="276" w:lineRule="auto"/>
        <w:jc w:val="both"/>
        <w:rPr>
          <w:rFonts w:ascii="Arial" w:hAnsi="Arial" w:cs="Arial"/>
          <w:sz w:val="22"/>
          <w:szCs w:val="22"/>
        </w:rPr>
      </w:pPr>
      <w:r w:rsidRPr="003D08CC">
        <w:rPr>
          <w:rFonts w:ascii="Arial" w:hAnsi="Arial" w:cs="Arial"/>
          <w:sz w:val="22"/>
          <w:szCs w:val="22"/>
        </w:rPr>
        <w:t xml:space="preserve">Na predmetnom lokalitetu nijesu vršena detaljna geološka istraživanja tehničko-građevinskog kamena, tako da nema podataka o rezervama i kvalitetu istog. </w:t>
      </w:r>
    </w:p>
    <w:p w:rsidR="003C57BD" w:rsidRPr="003D08CC" w:rsidRDefault="003C57BD" w:rsidP="003D08CC">
      <w:pPr>
        <w:spacing w:line="276" w:lineRule="auto"/>
        <w:jc w:val="both"/>
        <w:rPr>
          <w:rFonts w:ascii="Arial" w:hAnsi="Arial" w:cs="Arial"/>
          <w:sz w:val="22"/>
          <w:szCs w:val="22"/>
        </w:rPr>
      </w:pPr>
      <w:r w:rsidRPr="003D08CC">
        <w:rPr>
          <w:rFonts w:ascii="Arial" w:hAnsi="Arial" w:cs="Arial"/>
          <w:sz w:val="22"/>
          <w:szCs w:val="22"/>
        </w:rPr>
        <w:t xml:space="preserve">Da bi se dostigao optimalni stepen poznavanja </w:t>
      </w:r>
      <w:r w:rsidR="00A36E43" w:rsidRPr="003D08CC">
        <w:rPr>
          <w:rFonts w:ascii="Arial" w:hAnsi="Arial" w:cs="Arial"/>
          <w:sz w:val="22"/>
          <w:szCs w:val="22"/>
        </w:rPr>
        <w:t xml:space="preserve">budućeg </w:t>
      </w:r>
      <w:r w:rsidRPr="003D08CC">
        <w:rPr>
          <w:rFonts w:ascii="Arial" w:hAnsi="Arial" w:cs="Arial"/>
          <w:sz w:val="22"/>
          <w:szCs w:val="22"/>
        </w:rPr>
        <w:t>ležišta</w:t>
      </w:r>
      <w:r w:rsidR="00A36E43" w:rsidRPr="003D08CC">
        <w:rPr>
          <w:rFonts w:ascii="Arial" w:hAnsi="Arial" w:cs="Arial"/>
          <w:sz w:val="22"/>
          <w:szCs w:val="22"/>
        </w:rPr>
        <w:t>,</w:t>
      </w:r>
      <w:r w:rsidRPr="003D08CC">
        <w:rPr>
          <w:rFonts w:ascii="Arial" w:hAnsi="Arial" w:cs="Arial"/>
          <w:sz w:val="22"/>
          <w:szCs w:val="22"/>
        </w:rPr>
        <w:t xml:space="preserve"> u smislu rezervi i kvaliteta, ležišnih uslova i u vezi sa tim mogućnosti primjene i plasmana na tržištu, potrebno je izvršiti detaljna geološka istraživanja na način i u obimu koji će se definisati Projektom detaljnih geoloških istraživanja. </w:t>
      </w:r>
    </w:p>
    <w:p w:rsidR="00AB3F07" w:rsidRDefault="003C57BD" w:rsidP="003D08CC">
      <w:pPr>
        <w:spacing w:line="276" w:lineRule="auto"/>
        <w:jc w:val="both"/>
        <w:rPr>
          <w:rFonts w:ascii="Arial" w:hAnsi="Arial" w:cs="Arial"/>
          <w:sz w:val="22"/>
          <w:szCs w:val="22"/>
        </w:rPr>
      </w:pPr>
      <w:proofErr w:type="gramStart"/>
      <w:r w:rsidRPr="003D08CC">
        <w:rPr>
          <w:rFonts w:ascii="Arial" w:hAnsi="Arial" w:cs="Arial"/>
          <w:sz w:val="22"/>
          <w:szCs w:val="22"/>
        </w:rPr>
        <w:t>Izradom Elaborata o klasifikaciji, kategorizaciji i proračunu rezervi tehničko-građevi</w:t>
      </w:r>
      <w:r w:rsidR="00A36E43" w:rsidRPr="003D08CC">
        <w:rPr>
          <w:rFonts w:ascii="Arial" w:hAnsi="Arial" w:cs="Arial"/>
          <w:sz w:val="22"/>
          <w:szCs w:val="22"/>
        </w:rPr>
        <w:t>nskog kamena</w:t>
      </w:r>
      <w:r w:rsidRPr="003D08CC">
        <w:rPr>
          <w:rFonts w:ascii="Arial" w:hAnsi="Arial" w:cs="Arial"/>
          <w:sz w:val="22"/>
          <w:szCs w:val="22"/>
        </w:rPr>
        <w:t>, nakon sprovedenih detaljnih geoloških istraživanja, dobiće se podaci o rezervama i kvalitetu predmetne mineralne sirovine.</w:t>
      </w:r>
      <w:proofErr w:type="gramEnd"/>
    </w:p>
    <w:p w:rsidR="00B31936" w:rsidRPr="003D08CC" w:rsidRDefault="00B31936" w:rsidP="003D08CC">
      <w:pPr>
        <w:spacing w:line="276" w:lineRule="auto"/>
        <w:jc w:val="both"/>
        <w:rPr>
          <w:rFonts w:ascii="Arial" w:hAnsi="Arial" w:cs="Arial"/>
          <w:sz w:val="22"/>
          <w:szCs w:val="22"/>
        </w:rPr>
      </w:pPr>
    </w:p>
    <w:p w:rsidR="00AB3F07" w:rsidRPr="003D08CC" w:rsidRDefault="00AE2FD7" w:rsidP="003D08CC">
      <w:pPr>
        <w:spacing w:line="276" w:lineRule="auto"/>
        <w:jc w:val="both"/>
        <w:rPr>
          <w:rFonts w:ascii="Arial" w:hAnsi="Arial" w:cs="Arial"/>
          <w:b/>
          <w:sz w:val="22"/>
          <w:szCs w:val="22"/>
        </w:rPr>
      </w:pPr>
      <w:r w:rsidRPr="003D08CC">
        <w:rPr>
          <w:rFonts w:ascii="Arial" w:hAnsi="Arial" w:cs="Arial"/>
          <w:b/>
          <w:sz w:val="22"/>
          <w:szCs w:val="22"/>
        </w:rPr>
        <w:t>4. Pojava tehničko-građevinskog kamena “Zoganje”, opština Ulcinj</w:t>
      </w:r>
    </w:p>
    <w:p w:rsidR="00634BED" w:rsidRPr="003D08CC" w:rsidRDefault="00634BED" w:rsidP="003D08CC">
      <w:pPr>
        <w:spacing w:line="276" w:lineRule="auto"/>
        <w:jc w:val="both"/>
        <w:rPr>
          <w:rFonts w:ascii="Arial" w:hAnsi="Arial" w:cs="Arial"/>
          <w:b/>
          <w:sz w:val="22"/>
          <w:szCs w:val="22"/>
        </w:rPr>
      </w:pPr>
    </w:p>
    <w:p w:rsidR="00D26A64" w:rsidRPr="003D08CC" w:rsidRDefault="00634BED" w:rsidP="003D08CC">
      <w:pPr>
        <w:spacing w:line="276" w:lineRule="auto"/>
        <w:jc w:val="both"/>
        <w:rPr>
          <w:rFonts w:ascii="Arial" w:hAnsi="Arial" w:cs="Arial"/>
          <w:sz w:val="22"/>
          <w:szCs w:val="22"/>
        </w:rPr>
      </w:pPr>
      <w:r w:rsidRPr="003D08CC">
        <w:rPr>
          <w:rFonts w:ascii="Arial" w:hAnsi="Arial" w:cs="Arial"/>
          <w:sz w:val="22"/>
          <w:szCs w:val="22"/>
        </w:rPr>
        <w:t>Lokalitet mineralne sirovine tehničko-građevinskog kamena “Zoganje”</w:t>
      </w:r>
      <w:r w:rsidR="00893B43" w:rsidRPr="003D08CC">
        <w:rPr>
          <w:rFonts w:ascii="Arial" w:hAnsi="Arial" w:cs="Arial"/>
          <w:sz w:val="22"/>
          <w:szCs w:val="22"/>
        </w:rPr>
        <w:t xml:space="preserve"> nalazi se u Opštini Ulcinj. Od grada Ulcinja, sjeverno,  udaljeno je 10 km, na lijevoj </w:t>
      </w:r>
      <w:r w:rsidR="00D26A64" w:rsidRPr="003D08CC">
        <w:rPr>
          <w:rFonts w:ascii="Arial" w:hAnsi="Arial" w:cs="Arial"/>
          <w:sz w:val="22"/>
          <w:szCs w:val="22"/>
        </w:rPr>
        <w:t>obali povremenog toka Brdela, odnosno na zapadnoj padini Briske gore, neposredno ispod Crvene stijene.</w:t>
      </w:r>
    </w:p>
    <w:p w:rsidR="00D26A64" w:rsidRPr="003D08CC" w:rsidRDefault="00D26A64" w:rsidP="003D08CC">
      <w:pPr>
        <w:spacing w:line="276" w:lineRule="auto"/>
        <w:jc w:val="both"/>
        <w:rPr>
          <w:rFonts w:ascii="Arial" w:hAnsi="Arial" w:cs="Arial"/>
          <w:sz w:val="22"/>
          <w:szCs w:val="22"/>
        </w:rPr>
      </w:pPr>
    </w:p>
    <w:p w:rsidR="00D26A64" w:rsidRPr="003D08CC" w:rsidRDefault="00D26A64" w:rsidP="003D08CC">
      <w:pPr>
        <w:spacing w:line="276" w:lineRule="auto"/>
        <w:jc w:val="both"/>
        <w:rPr>
          <w:rFonts w:ascii="Arial" w:hAnsi="Arial" w:cs="Arial"/>
          <w:sz w:val="22"/>
          <w:szCs w:val="22"/>
        </w:rPr>
      </w:pPr>
      <w:r w:rsidRPr="003D08CC">
        <w:rPr>
          <w:rFonts w:ascii="Arial" w:hAnsi="Arial" w:cs="Arial"/>
          <w:sz w:val="22"/>
          <w:szCs w:val="22"/>
        </w:rPr>
        <w:t>Lokalitet “Zoganje” pripada geografskom listu Ulcinj, 1:100 000, sekcija Šasko jezero, 1:25 000.</w:t>
      </w:r>
    </w:p>
    <w:p w:rsidR="00D26A64" w:rsidRPr="003D08CC" w:rsidRDefault="00D26A64" w:rsidP="003D08CC">
      <w:pPr>
        <w:spacing w:line="276" w:lineRule="auto"/>
        <w:jc w:val="both"/>
        <w:rPr>
          <w:rFonts w:ascii="Arial" w:hAnsi="Arial" w:cs="Arial"/>
          <w:sz w:val="22"/>
          <w:szCs w:val="22"/>
        </w:rPr>
      </w:pPr>
    </w:p>
    <w:p w:rsidR="00634BED" w:rsidRPr="003D08CC" w:rsidRDefault="00D26A64" w:rsidP="003D08CC">
      <w:pPr>
        <w:spacing w:line="276" w:lineRule="auto"/>
        <w:jc w:val="both"/>
        <w:rPr>
          <w:rFonts w:ascii="Arial" w:hAnsi="Arial" w:cs="Arial"/>
          <w:sz w:val="22"/>
          <w:szCs w:val="22"/>
        </w:rPr>
      </w:pPr>
      <w:r w:rsidRPr="003D08CC">
        <w:rPr>
          <w:rFonts w:ascii="Arial" w:hAnsi="Arial" w:cs="Arial"/>
          <w:sz w:val="22"/>
          <w:szCs w:val="22"/>
        </w:rPr>
        <w:t>Na lokalitetu tehničko-građevinskog kamena “Zoganje” nijesu vršena detaljna geološka istraživanja i shodno tome nema podataka o rezervama i kvalitetu mineralne sirovine.</w:t>
      </w:r>
      <w:r w:rsidR="00893B43" w:rsidRPr="003D08CC">
        <w:rPr>
          <w:rFonts w:ascii="Arial" w:hAnsi="Arial" w:cs="Arial"/>
          <w:sz w:val="22"/>
          <w:szCs w:val="22"/>
        </w:rPr>
        <w:t xml:space="preserve"> </w:t>
      </w:r>
    </w:p>
    <w:p w:rsidR="00D26A64" w:rsidRPr="003D08CC" w:rsidRDefault="00D26A64" w:rsidP="003D08CC">
      <w:pPr>
        <w:spacing w:line="276" w:lineRule="auto"/>
        <w:jc w:val="both"/>
        <w:rPr>
          <w:rFonts w:ascii="Arial" w:hAnsi="Arial" w:cs="Arial"/>
          <w:sz w:val="22"/>
          <w:szCs w:val="22"/>
        </w:rPr>
      </w:pPr>
    </w:p>
    <w:p w:rsidR="00D26A64" w:rsidRPr="003D08CC" w:rsidRDefault="00D26A64" w:rsidP="003D08CC">
      <w:pPr>
        <w:spacing w:line="276" w:lineRule="auto"/>
        <w:jc w:val="both"/>
        <w:rPr>
          <w:rFonts w:ascii="Arial" w:hAnsi="Arial" w:cs="Arial"/>
          <w:sz w:val="22"/>
          <w:szCs w:val="22"/>
        </w:rPr>
      </w:pPr>
      <w:r w:rsidRPr="003D08CC">
        <w:rPr>
          <w:rFonts w:ascii="Arial" w:hAnsi="Arial" w:cs="Arial"/>
          <w:sz w:val="22"/>
          <w:szCs w:val="22"/>
        </w:rPr>
        <w:t>Na osnovu podataka iz Osnovne geološke karte, 1:100 000, u geološkoj građi šireg područja lokaliteta “Zoganje” učestvuju karbonatne sedimentne stijene gornje krede (senon K</w:t>
      </w:r>
      <w:r w:rsidRPr="003D08CC">
        <w:rPr>
          <w:rFonts w:ascii="Arial" w:hAnsi="Arial" w:cs="Arial"/>
          <w:sz w:val="22"/>
          <w:szCs w:val="22"/>
          <w:vertAlign w:val="subscript"/>
        </w:rPr>
        <w:t>2</w:t>
      </w:r>
      <w:r w:rsidRPr="003D08CC">
        <w:rPr>
          <w:rFonts w:ascii="Arial" w:hAnsi="Arial" w:cs="Arial"/>
          <w:sz w:val="22"/>
          <w:szCs w:val="22"/>
          <w:vertAlign w:val="superscript"/>
        </w:rPr>
        <w:t>3</w:t>
      </w:r>
      <w:r w:rsidRPr="003D08CC">
        <w:rPr>
          <w:rFonts w:ascii="Arial" w:hAnsi="Arial" w:cs="Arial"/>
          <w:sz w:val="22"/>
          <w:szCs w:val="22"/>
        </w:rPr>
        <w:t>) bankoviti i slojeviti kristalasti, detritični, dolomitični krečnjaci i dolomiti.</w:t>
      </w:r>
    </w:p>
    <w:p w:rsidR="00D26A64" w:rsidRPr="003D08CC" w:rsidRDefault="00D26A64" w:rsidP="003D08CC">
      <w:pPr>
        <w:spacing w:line="276" w:lineRule="auto"/>
        <w:jc w:val="both"/>
        <w:rPr>
          <w:rFonts w:ascii="Arial" w:hAnsi="Arial" w:cs="Arial"/>
          <w:sz w:val="22"/>
          <w:szCs w:val="22"/>
        </w:rPr>
      </w:pPr>
    </w:p>
    <w:p w:rsidR="00D26A64" w:rsidRPr="003D08CC" w:rsidRDefault="00D26A64" w:rsidP="003D08CC">
      <w:pPr>
        <w:spacing w:line="276" w:lineRule="auto"/>
        <w:jc w:val="both"/>
        <w:rPr>
          <w:rFonts w:ascii="Arial" w:hAnsi="Arial" w:cs="Arial"/>
          <w:sz w:val="22"/>
          <w:szCs w:val="22"/>
        </w:rPr>
      </w:pPr>
      <w:r w:rsidRPr="003D08CC">
        <w:rPr>
          <w:rFonts w:ascii="Arial" w:hAnsi="Arial" w:cs="Arial"/>
          <w:sz w:val="22"/>
          <w:szCs w:val="22"/>
        </w:rPr>
        <w:t>Analogijom sa utvrđenim ležištem tehničko-građevinskog kamena “Ristova ponta”</w:t>
      </w:r>
      <w:r w:rsidR="00732F3F" w:rsidRPr="003D08CC">
        <w:rPr>
          <w:rFonts w:ascii="Arial" w:hAnsi="Arial" w:cs="Arial"/>
          <w:sz w:val="22"/>
          <w:szCs w:val="22"/>
        </w:rPr>
        <w:t xml:space="preserve">, koje se nalazi u neposrednoj blizini lokaliteta “Zoganje”, </w:t>
      </w:r>
      <w:r w:rsidR="001607D5">
        <w:rPr>
          <w:rFonts w:ascii="Arial" w:hAnsi="Arial" w:cs="Arial"/>
          <w:sz w:val="22"/>
          <w:szCs w:val="22"/>
        </w:rPr>
        <w:t xml:space="preserve">prema podacima iz Osnovne geološke karte, 1:100 000, </w:t>
      </w:r>
      <w:r w:rsidR="00732F3F" w:rsidRPr="003D08CC">
        <w:rPr>
          <w:rFonts w:ascii="Arial" w:hAnsi="Arial" w:cs="Arial"/>
          <w:sz w:val="22"/>
          <w:szCs w:val="22"/>
        </w:rPr>
        <w:t xml:space="preserve">može se konstatovati da je teren povoljan sa aspekta geoloških faktora </w:t>
      </w:r>
      <w:r w:rsidR="00C511F8" w:rsidRPr="003D08CC">
        <w:rPr>
          <w:rFonts w:ascii="Arial" w:hAnsi="Arial" w:cs="Arial"/>
          <w:sz w:val="22"/>
          <w:szCs w:val="22"/>
        </w:rPr>
        <w:t xml:space="preserve">i </w:t>
      </w:r>
      <w:r w:rsidR="00732F3F" w:rsidRPr="003D08CC">
        <w:rPr>
          <w:rFonts w:ascii="Arial" w:hAnsi="Arial" w:cs="Arial"/>
          <w:sz w:val="22"/>
          <w:szCs w:val="22"/>
        </w:rPr>
        <w:t xml:space="preserve">da </w:t>
      </w:r>
      <w:r w:rsidR="00C511F8" w:rsidRPr="003D08CC">
        <w:rPr>
          <w:rFonts w:ascii="Arial" w:hAnsi="Arial" w:cs="Arial"/>
          <w:sz w:val="22"/>
          <w:szCs w:val="22"/>
        </w:rPr>
        <w:t>se</w:t>
      </w:r>
      <w:r w:rsidR="00732F3F" w:rsidRPr="003D08CC">
        <w:rPr>
          <w:rFonts w:ascii="Arial" w:hAnsi="Arial" w:cs="Arial"/>
          <w:sz w:val="22"/>
          <w:szCs w:val="22"/>
        </w:rPr>
        <w:t xml:space="preserve">, zbog svojih prirodnih karakteristika, </w:t>
      </w:r>
      <w:r w:rsidR="00C511F8" w:rsidRPr="003D08CC">
        <w:rPr>
          <w:rFonts w:ascii="Arial" w:hAnsi="Arial" w:cs="Arial"/>
          <w:sz w:val="22"/>
          <w:szCs w:val="22"/>
        </w:rPr>
        <w:t>može smatrati kao teren povoljan za detaljna geološka istraživanja i eksploataciju.</w:t>
      </w:r>
    </w:p>
    <w:p w:rsidR="00562668" w:rsidRPr="003D08CC" w:rsidRDefault="00AE2FD7" w:rsidP="003D08CC">
      <w:pPr>
        <w:spacing w:line="276" w:lineRule="auto"/>
        <w:jc w:val="both"/>
        <w:rPr>
          <w:rFonts w:ascii="Arial" w:hAnsi="Arial" w:cs="Arial"/>
          <w:sz w:val="22"/>
          <w:szCs w:val="22"/>
        </w:rPr>
      </w:pPr>
      <w:r w:rsidRPr="003D08CC">
        <w:rPr>
          <w:rFonts w:ascii="Arial" w:hAnsi="Arial" w:cs="Arial"/>
          <w:sz w:val="22"/>
          <w:szCs w:val="22"/>
        </w:rPr>
        <w:lastRenderedPageBreak/>
        <w:t>Privredno društvo “Elas”</w:t>
      </w:r>
      <w:r w:rsidR="00C511F8" w:rsidRPr="003D08CC">
        <w:rPr>
          <w:rFonts w:ascii="Arial" w:hAnsi="Arial" w:cs="Arial"/>
          <w:sz w:val="22"/>
          <w:szCs w:val="22"/>
        </w:rPr>
        <w:t xml:space="preserve"> d.o.o.</w:t>
      </w:r>
      <w:r w:rsidRPr="003D08CC">
        <w:rPr>
          <w:rFonts w:ascii="Arial" w:hAnsi="Arial" w:cs="Arial"/>
          <w:sz w:val="22"/>
          <w:szCs w:val="22"/>
        </w:rPr>
        <w:t xml:space="preserve"> – B</w:t>
      </w:r>
      <w:r w:rsidR="00C511F8" w:rsidRPr="003D08CC">
        <w:rPr>
          <w:rFonts w:ascii="Arial" w:hAnsi="Arial" w:cs="Arial"/>
          <w:sz w:val="22"/>
          <w:szCs w:val="22"/>
        </w:rPr>
        <w:t>ijelo Polje podnijelo je inicijativu, arhivirana u Ministarstvu ekonomije pod br. 970-1/2018-1, od 04.01.2018. godine,</w:t>
      </w:r>
      <w:r w:rsidRPr="003D08CC">
        <w:rPr>
          <w:rFonts w:ascii="Arial" w:hAnsi="Arial" w:cs="Arial"/>
          <w:sz w:val="22"/>
          <w:szCs w:val="22"/>
        </w:rPr>
        <w:t xml:space="preserve"> za dodjelu koncesije za detaljna geološka </w:t>
      </w:r>
      <w:r w:rsidR="00634BED" w:rsidRPr="003D08CC">
        <w:rPr>
          <w:rFonts w:ascii="Arial" w:hAnsi="Arial" w:cs="Arial"/>
          <w:sz w:val="22"/>
          <w:szCs w:val="22"/>
        </w:rPr>
        <w:t>istraživanja i eksploataciju tehničko-građevinskog kamena na lok</w:t>
      </w:r>
      <w:r w:rsidR="001C390E" w:rsidRPr="003D08CC">
        <w:rPr>
          <w:rFonts w:ascii="Arial" w:hAnsi="Arial" w:cs="Arial"/>
          <w:sz w:val="22"/>
          <w:szCs w:val="22"/>
        </w:rPr>
        <w:t>aciji “Zoganje”, opština Ulcinj, na katastarskoj parceli br. 39, KO Zoganje.</w:t>
      </w:r>
    </w:p>
    <w:p w:rsidR="004A2308" w:rsidRPr="003D08CC" w:rsidRDefault="004A2308" w:rsidP="003D08CC">
      <w:pPr>
        <w:spacing w:line="276" w:lineRule="auto"/>
        <w:jc w:val="both"/>
        <w:rPr>
          <w:rFonts w:ascii="Arial" w:hAnsi="Arial" w:cs="Arial"/>
          <w:sz w:val="22"/>
          <w:szCs w:val="22"/>
        </w:rPr>
      </w:pPr>
    </w:p>
    <w:p w:rsidR="00C511F8" w:rsidRPr="003D08CC" w:rsidRDefault="00340824" w:rsidP="003D08CC">
      <w:pPr>
        <w:spacing w:line="276" w:lineRule="auto"/>
        <w:jc w:val="both"/>
        <w:rPr>
          <w:rFonts w:ascii="Arial" w:hAnsi="Arial" w:cs="Arial"/>
          <w:sz w:val="22"/>
          <w:szCs w:val="22"/>
        </w:rPr>
      </w:pPr>
      <w:r w:rsidRPr="003D08CC">
        <w:rPr>
          <w:rFonts w:ascii="Arial" w:hAnsi="Arial" w:cs="Arial"/>
          <w:sz w:val="22"/>
          <w:szCs w:val="22"/>
        </w:rPr>
        <w:t>I</w:t>
      </w:r>
      <w:r w:rsidR="00C511F8" w:rsidRPr="003D08CC">
        <w:rPr>
          <w:rFonts w:ascii="Arial" w:hAnsi="Arial" w:cs="Arial"/>
          <w:sz w:val="22"/>
          <w:szCs w:val="22"/>
        </w:rPr>
        <w:t xml:space="preserve">zmeđu ostalih </w:t>
      </w:r>
      <w:r w:rsidR="001C390E" w:rsidRPr="003D08CC">
        <w:rPr>
          <w:rFonts w:ascii="Arial" w:hAnsi="Arial" w:cs="Arial"/>
          <w:sz w:val="22"/>
          <w:szCs w:val="22"/>
        </w:rPr>
        <w:t>dokumenata</w:t>
      </w:r>
      <w:r w:rsidRPr="003D08CC">
        <w:rPr>
          <w:rFonts w:ascii="Arial" w:hAnsi="Arial" w:cs="Arial"/>
          <w:sz w:val="22"/>
          <w:szCs w:val="22"/>
        </w:rPr>
        <w:t xml:space="preserve"> - dokaza</w:t>
      </w:r>
      <w:r w:rsidR="001C390E" w:rsidRPr="003D08CC">
        <w:rPr>
          <w:rFonts w:ascii="Arial" w:hAnsi="Arial" w:cs="Arial"/>
          <w:sz w:val="22"/>
          <w:szCs w:val="22"/>
        </w:rPr>
        <w:t xml:space="preserve">, na traženje Ministarstva ekonomije, </w:t>
      </w:r>
      <w:r w:rsidR="00C511F8" w:rsidRPr="003D08CC">
        <w:rPr>
          <w:rFonts w:ascii="Arial" w:hAnsi="Arial" w:cs="Arial"/>
          <w:sz w:val="22"/>
          <w:szCs w:val="22"/>
        </w:rPr>
        <w:t>dostavlje</w:t>
      </w:r>
      <w:r w:rsidR="001C390E" w:rsidRPr="003D08CC">
        <w:rPr>
          <w:rFonts w:ascii="Arial" w:hAnsi="Arial" w:cs="Arial"/>
          <w:sz w:val="22"/>
          <w:szCs w:val="22"/>
        </w:rPr>
        <w:t>n je akt Uvjerenje, br. 05-20/1-2018, od 16.02.2018. godine, Sekretarijata za prostorno planiranje i održivi razvoj opštine Ulcinj, da se katastarska parcela br. 39/1, odnosno dio katastarske parcele, prikazana koordinatnim tačkama u „Skici premjera, 1:25 000, urađenu od geodetske organizacije „Geo Friends“ d.o.o. – Podgorica, u površini od 20.000 m</w:t>
      </w:r>
      <w:r w:rsidR="001C390E" w:rsidRPr="003D08CC">
        <w:rPr>
          <w:rFonts w:ascii="Arial" w:hAnsi="Arial" w:cs="Arial"/>
          <w:sz w:val="22"/>
          <w:szCs w:val="22"/>
          <w:vertAlign w:val="superscript"/>
        </w:rPr>
        <w:t>2</w:t>
      </w:r>
      <w:r w:rsidR="001C390E" w:rsidRPr="003D08CC">
        <w:rPr>
          <w:rFonts w:ascii="Arial" w:hAnsi="Arial" w:cs="Arial"/>
          <w:sz w:val="22"/>
          <w:szCs w:val="22"/>
        </w:rPr>
        <w:t xml:space="preserve">, sa Lista nepokretnosti br. 101, KO Zoganje, 1/1 svojina Crne Gore, 1/1 raspolaganje Vlade Crne Gore, nalazi u zahvatu Prostorno-urbanističkog plana Opštine Ulcinj do 2020. Godine („Sl.list CG“, br. 16/2017, od 10.03.2017. godine). </w:t>
      </w:r>
    </w:p>
    <w:p w:rsidR="001C390E" w:rsidRPr="003D08CC" w:rsidRDefault="001C390E" w:rsidP="003D08CC">
      <w:pPr>
        <w:spacing w:line="276" w:lineRule="auto"/>
        <w:jc w:val="both"/>
        <w:rPr>
          <w:rFonts w:ascii="Arial" w:hAnsi="Arial" w:cs="Arial"/>
          <w:sz w:val="22"/>
          <w:szCs w:val="22"/>
        </w:rPr>
      </w:pPr>
      <w:r w:rsidRPr="003D08CC">
        <w:rPr>
          <w:rFonts w:ascii="Arial" w:hAnsi="Arial" w:cs="Arial"/>
          <w:sz w:val="22"/>
          <w:szCs w:val="22"/>
        </w:rPr>
        <w:t>Namjena površine za dio katastarske parcele</w:t>
      </w:r>
      <w:r w:rsidR="00340824" w:rsidRPr="003D08CC">
        <w:rPr>
          <w:rFonts w:ascii="Arial" w:hAnsi="Arial" w:cs="Arial"/>
          <w:sz w:val="22"/>
          <w:szCs w:val="22"/>
        </w:rPr>
        <w:t xml:space="preserve"> u površini od 20.000 m</w:t>
      </w:r>
      <w:r w:rsidR="00340824" w:rsidRPr="003D08CC">
        <w:rPr>
          <w:rFonts w:ascii="Arial" w:hAnsi="Arial" w:cs="Arial"/>
          <w:sz w:val="22"/>
          <w:szCs w:val="22"/>
          <w:vertAlign w:val="superscript"/>
        </w:rPr>
        <w:t>2</w:t>
      </w:r>
      <w:r w:rsidR="00340824" w:rsidRPr="003D08CC">
        <w:rPr>
          <w:rFonts w:ascii="Arial" w:hAnsi="Arial" w:cs="Arial"/>
          <w:sz w:val="22"/>
          <w:szCs w:val="22"/>
        </w:rPr>
        <w:t>, po navedenom Planu, je: EX – Eksploatacione površine.</w:t>
      </w:r>
    </w:p>
    <w:p w:rsidR="00C511F8" w:rsidRPr="003D08CC" w:rsidRDefault="00C511F8" w:rsidP="003D08CC">
      <w:pPr>
        <w:spacing w:line="276" w:lineRule="auto"/>
        <w:jc w:val="both"/>
        <w:rPr>
          <w:rFonts w:ascii="Arial" w:hAnsi="Arial" w:cs="Arial"/>
          <w:sz w:val="22"/>
          <w:szCs w:val="22"/>
        </w:rPr>
      </w:pPr>
    </w:p>
    <w:p w:rsidR="00C511F8" w:rsidRPr="003D08CC" w:rsidRDefault="00340824" w:rsidP="003D08CC">
      <w:pPr>
        <w:spacing w:line="276" w:lineRule="auto"/>
        <w:jc w:val="both"/>
        <w:rPr>
          <w:rFonts w:ascii="Arial" w:hAnsi="Arial" w:cs="Arial"/>
          <w:sz w:val="22"/>
          <w:szCs w:val="22"/>
        </w:rPr>
      </w:pPr>
      <w:r w:rsidRPr="003D08CC">
        <w:rPr>
          <w:rFonts w:ascii="Arial" w:hAnsi="Arial" w:cs="Arial"/>
          <w:sz w:val="22"/>
          <w:szCs w:val="22"/>
        </w:rPr>
        <w:t>Uz inicijativu, između ostalih dostavljen je i List nepokretnosi-izvod br. 101, KO Zoganje, izdat od Uprave za nekretnine, Područna jedinica Ulcinj, br.108-956-8509/2017, od 28.12.2017. godine, u kojem je katastrska parcela br. 39/1 u svojini Crne Gore, raspolaganje Vlada Crna Gora. Na ovoj katastarskoj parceli ne postoje tereti i ograničenja.</w:t>
      </w:r>
    </w:p>
    <w:p w:rsidR="00C511F8" w:rsidRPr="003D08CC" w:rsidRDefault="00C511F8"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i/>
          <w:sz w:val="22"/>
          <w:szCs w:val="22"/>
        </w:rPr>
      </w:pPr>
      <w:r w:rsidRPr="003D08CC">
        <w:rPr>
          <w:rFonts w:ascii="Arial" w:hAnsi="Arial" w:cs="Arial"/>
          <w:b/>
          <w:sz w:val="22"/>
          <w:szCs w:val="22"/>
        </w:rPr>
        <w:t>5. Pojava arhitektonsko-građevinskog (ukrasnog) kamena ”Kriva ploča” – Slatina, opština Danilovgrad</w:t>
      </w:r>
    </w:p>
    <w:p w:rsidR="003D08CC" w:rsidRPr="003D08CC" w:rsidRDefault="003D08CC" w:rsidP="003D08CC">
      <w:pPr>
        <w:spacing w:line="276" w:lineRule="auto"/>
        <w:jc w:val="both"/>
        <w:rPr>
          <w:rFonts w:ascii="Arial" w:hAnsi="Arial" w:cs="Arial"/>
          <w:b/>
          <w:i/>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 xml:space="preserve">Prostor pojave arhitektonsko-građevinskog (ukrasnog) kamena “Kriva ploča” - Slatina, nalazi se sjeverno </w:t>
      </w: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 xml:space="preserve">od Danilovgrada, sa kojim je povezan lokalnim asfaltnim putem dužine 6 km i širine od oko 4 m. Predmetni </w:t>
      </w:r>
      <w:r>
        <w:rPr>
          <w:rFonts w:ascii="Arial" w:hAnsi="Arial" w:cs="Arial"/>
          <w:sz w:val="22"/>
          <w:szCs w:val="22"/>
        </w:rPr>
        <w:t>prostor teritorijalno pripada Opštini Danilovgrad.</w:t>
      </w:r>
    </w:p>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Prema kartografskoj podjeli, pojava arhitektonsko-građevinskog (ukrasnog) kamena ''Kriva ploča'' pripada topografskom listu Danilovgrad 1:100 000, sekciji Spuž, 1:25 000.</w:t>
      </w:r>
    </w:p>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Koordinate graničnih tačaka (A-K) prostor</w:t>
      </w:r>
      <w:r w:rsidR="001F75C7">
        <w:rPr>
          <w:rFonts w:ascii="Arial" w:hAnsi="Arial" w:cs="Arial"/>
          <w:sz w:val="22"/>
          <w:szCs w:val="22"/>
        </w:rPr>
        <w:t>a i površina dati su u tabeli:</w:t>
      </w:r>
    </w:p>
    <w:p w:rsidR="003D08CC" w:rsidRPr="003D08CC" w:rsidRDefault="003D08CC" w:rsidP="003D08CC">
      <w:pPr>
        <w:spacing w:line="276" w:lineRule="auto"/>
        <w:jc w:val="both"/>
        <w:rPr>
          <w:rFonts w:ascii="Arial" w:hAnsi="Arial" w:cs="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552"/>
        <w:gridCol w:w="2126"/>
        <w:gridCol w:w="1843"/>
      </w:tblGrid>
      <w:tr w:rsidR="003D08CC" w:rsidRPr="003D08CC" w:rsidTr="001F75C7">
        <w:trPr>
          <w:trHeight w:val="368"/>
          <w:jc w:val="center"/>
        </w:trPr>
        <w:tc>
          <w:tcPr>
            <w:tcW w:w="1384" w:type="dxa"/>
            <w:vMerge w:val="restart"/>
            <w:tcBorders>
              <w:top w:val="single" w:sz="12" w:space="0" w:color="auto"/>
              <w:left w:val="single" w:sz="12" w:space="0" w:color="auto"/>
              <w:right w:val="single" w:sz="12" w:space="0" w:color="auto"/>
            </w:tcBorders>
          </w:tcPr>
          <w:p w:rsidR="001F75C7" w:rsidRDefault="003D08CC" w:rsidP="001F75C7">
            <w:pPr>
              <w:spacing w:line="276" w:lineRule="auto"/>
              <w:jc w:val="center"/>
              <w:rPr>
                <w:rFonts w:ascii="Arial" w:hAnsi="Arial" w:cs="Arial"/>
                <w:b/>
              </w:rPr>
            </w:pPr>
            <w:r w:rsidRPr="003D08CC">
              <w:rPr>
                <w:rFonts w:ascii="Arial" w:hAnsi="Arial" w:cs="Arial"/>
                <w:b/>
                <w:sz w:val="22"/>
                <w:szCs w:val="22"/>
              </w:rPr>
              <w:t>Konturne</w:t>
            </w:r>
          </w:p>
          <w:p w:rsidR="003D08CC" w:rsidRPr="003D08CC" w:rsidRDefault="003D08CC" w:rsidP="001F75C7">
            <w:pPr>
              <w:spacing w:line="276" w:lineRule="auto"/>
              <w:jc w:val="center"/>
              <w:rPr>
                <w:rFonts w:ascii="Arial" w:hAnsi="Arial" w:cs="Arial"/>
                <w:b/>
              </w:rPr>
            </w:pPr>
            <w:r w:rsidRPr="003D08CC">
              <w:rPr>
                <w:rFonts w:ascii="Arial" w:hAnsi="Arial" w:cs="Arial"/>
                <w:b/>
                <w:sz w:val="22"/>
                <w:szCs w:val="22"/>
              </w:rPr>
              <w:t>tačke</w:t>
            </w:r>
          </w:p>
        </w:tc>
        <w:tc>
          <w:tcPr>
            <w:tcW w:w="4678" w:type="dxa"/>
            <w:gridSpan w:val="2"/>
            <w:tcBorders>
              <w:top w:val="single" w:sz="12" w:space="0" w:color="auto"/>
              <w:left w:val="single" w:sz="12" w:space="0" w:color="auto"/>
              <w:bottom w:val="single" w:sz="4" w:space="0" w:color="auto"/>
              <w:right w:val="single" w:sz="12" w:space="0" w:color="auto"/>
            </w:tcBorders>
          </w:tcPr>
          <w:p w:rsidR="003D08CC" w:rsidRPr="003D08CC" w:rsidRDefault="003D08CC" w:rsidP="001F75C7">
            <w:pPr>
              <w:spacing w:line="276" w:lineRule="auto"/>
              <w:jc w:val="center"/>
              <w:rPr>
                <w:rFonts w:ascii="Arial" w:hAnsi="Arial" w:cs="Arial"/>
                <w:b/>
              </w:rPr>
            </w:pPr>
            <w:r w:rsidRPr="003D08CC">
              <w:rPr>
                <w:rFonts w:ascii="Arial" w:hAnsi="Arial" w:cs="Arial"/>
                <w:b/>
                <w:sz w:val="22"/>
                <w:szCs w:val="22"/>
              </w:rPr>
              <w:t>Koordinate</w:t>
            </w:r>
          </w:p>
        </w:tc>
        <w:tc>
          <w:tcPr>
            <w:tcW w:w="1843" w:type="dxa"/>
            <w:vMerge w:val="restart"/>
            <w:tcBorders>
              <w:top w:val="single" w:sz="12" w:space="0" w:color="auto"/>
              <w:left w:val="single" w:sz="12" w:space="0" w:color="auto"/>
              <w:right w:val="single" w:sz="12" w:space="0" w:color="auto"/>
            </w:tcBorders>
          </w:tcPr>
          <w:p w:rsidR="003D08CC" w:rsidRPr="003D08CC" w:rsidRDefault="003D08CC" w:rsidP="001F75C7">
            <w:pPr>
              <w:spacing w:line="276" w:lineRule="auto"/>
              <w:jc w:val="center"/>
              <w:rPr>
                <w:rFonts w:ascii="Arial" w:hAnsi="Arial" w:cs="Arial"/>
                <w:b/>
              </w:rPr>
            </w:pPr>
            <w:r w:rsidRPr="003D08CC">
              <w:rPr>
                <w:rFonts w:ascii="Arial" w:hAnsi="Arial" w:cs="Arial"/>
                <w:b/>
                <w:sz w:val="22"/>
                <w:szCs w:val="22"/>
              </w:rPr>
              <w:t>Površina</w:t>
            </w:r>
          </w:p>
          <w:p w:rsidR="003D08CC" w:rsidRPr="003D08CC" w:rsidRDefault="003D08CC" w:rsidP="001F75C7">
            <w:pPr>
              <w:spacing w:line="276" w:lineRule="auto"/>
              <w:jc w:val="center"/>
              <w:rPr>
                <w:rFonts w:ascii="Arial" w:hAnsi="Arial" w:cs="Arial"/>
                <w:b/>
              </w:rPr>
            </w:pPr>
            <w:r w:rsidRPr="003D08CC">
              <w:rPr>
                <w:rFonts w:ascii="Arial" w:hAnsi="Arial" w:cs="Arial"/>
                <w:b/>
                <w:sz w:val="22"/>
                <w:szCs w:val="22"/>
              </w:rPr>
              <w:t>ha</w:t>
            </w:r>
          </w:p>
        </w:tc>
      </w:tr>
      <w:tr w:rsidR="003D08CC" w:rsidRPr="003D08CC" w:rsidTr="001F75C7">
        <w:trPr>
          <w:trHeight w:val="173"/>
          <w:jc w:val="center"/>
        </w:trPr>
        <w:tc>
          <w:tcPr>
            <w:tcW w:w="1384" w:type="dxa"/>
            <w:vMerge/>
            <w:tcBorders>
              <w:left w:val="single" w:sz="12" w:space="0" w:color="auto"/>
              <w:bottom w:val="single" w:sz="12" w:space="0" w:color="auto"/>
              <w:right w:val="single" w:sz="12" w:space="0" w:color="auto"/>
            </w:tcBorders>
          </w:tcPr>
          <w:p w:rsidR="003D08CC" w:rsidRPr="003D08CC" w:rsidRDefault="003D08CC" w:rsidP="003D08CC">
            <w:pPr>
              <w:spacing w:line="276" w:lineRule="auto"/>
              <w:jc w:val="both"/>
              <w:rPr>
                <w:rFonts w:ascii="Arial" w:hAnsi="Arial" w:cs="Arial"/>
              </w:rPr>
            </w:pPr>
          </w:p>
        </w:tc>
        <w:tc>
          <w:tcPr>
            <w:tcW w:w="2552" w:type="dxa"/>
            <w:tcBorders>
              <w:top w:val="single" w:sz="4" w:space="0" w:color="auto"/>
              <w:left w:val="single" w:sz="12" w:space="0" w:color="auto"/>
              <w:bottom w:val="single" w:sz="12" w:space="0" w:color="auto"/>
              <w:right w:val="single" w:sz="12" w:space="0" w:color="auto"/>
            </w:tcBorders>
          </w:tcPr>
          <w:p w:rsidR="003D08CC" w:rsidRPr="003D08CC" w:rsidRDefault="003D08CC" w:rsidP="001F75C7">
            <w:pPr>
              <w:spacing w:line="276" w:lineRule="auto"/>
              <w:jc w:val="center"/>
              <w:rPr>
                <w:rFonts w:ascii="Arial" w:hAnsi="Arial" w:cs="Arial"/>
                <w:b/>
              </w:rPr>
            </w:pPr>
            <w:r w:rsidRPr="003D08CC">
              <w:rPr>
                <w:rFonts w:ascii="Arial" w:hAnsi="Arial" w:cs="Arial"/>
                <w:b/>
                <w:sz w:val="22"/>
                <w:szCs w:val="22"/>
              </w:rPr>
              <w:t>X</w:t>
            </w:r>
          </w:p>
        </w:tc>
        <w:tc>
          <w:tcPr>
            <w:tcW w:w="2126" w:type="dxa"/>
            <w:tcBorders>
              <w:top w:val="single" w:sz="4" w:space="0" w:color="auto"/>
              <w:left w:val="single" w:sz="12" w:space="0" w:color="auto"/>
              <w:bottom w:val="single" w:sz="12" w:space="0" w:color="auto"/>
              <w:right w:val="single" w:sz="12" w:space="0" w:color="auto"/>
            </w:tcBorders>
          </w:tcPr>
          <w:p w:rsidR="003D08CC" w:rsidRPr="003D08CC" w:rsidRDefault="003D08CC" w:rsidP="001F75C7">
            <w:pPr>
              <w:spacing w:line="276" w:lineRule="auto"/>
              <w:jc w:val="center"/>
              <w:rPr>
                <w:rFonts w:ascii="Arial" w:hAnsi="Arial" w:cs="Arial"/>
                <w:b/>
              </w:rPr>
            </w:pPr>
            <w:r w:rsidRPr="003D08CC">
              <w:rPr>
                <w:rFonts w:ascii="Arial" w:hAnsi="Arial" w:cs="Arial"/>
                <w:b/>
                <w:sz w:val="22"/>
                <w:szCs w:val="22"/>
              </w:rPr>
              <w:t>Y</w:t>
            </w:r>
          </w:p>
        </w:tc>
        <w:tc>
          <w:tcPr>
            <w:tcW w:w="1843" w:type="dxa"/>
            <w:vMerge/>
            <w:tcBorders>
              <w:left w:val="single" w:sz="12" w:space="0" w:color="auto"/>
              <w:bottom w:val="single" w:sz="12" w:space="0" w:color="auto"/>
              <w:right w:val="single" w:sz="12" w:space="0" w:color="auto"/>
            </w:tcBorders>
          </w:tcPr>
          <w:p w:rsidR="003D08CC" w:rsidRPr="003D08CC" w:rsidRDefault="003D08CC" w:rsidP="003D08CC">
            <w:pPr>
              <w:spacing w:line="276" w:lineRule="auto"/>
              <w:jc w:val="both"/>
              <w:rPr>
                <w:rFonts w:ascii="Arial" w:hAnsi="Arial" w:cs="Arial"/>
              </w:rPr>
            </w:pPr>
          </w:p>
        </w:tc>
      </w:tr>
      <w:tr w:rsidR="008F3554" w:rsidRPr="003D08CC" w:rsidTr="001F75C7">
        <w:trPr>
          <w:jc w:val="center"/>
        </w:trPr>
        <w:tc>
          <w:tcPr>
            <w:tcW w:w="1384" w:type="dxa"/>
            <w:tcBorders>
              <w:top w:val="single" w:sz="12" w:space="0" w:color="auto"/>
              <w:left w:val="single" w:sz="12" w:space="0" w:color="auto"/>
              <w:right w:val="single" w:sz="12" w:space="0" w:color="auto"/>
            </w:tcBorders>
          </w:tcPr>
          <w:p w:rsidR="008F3554" w:rsidRPr="003D08CC" w:rsidRDefault="008F3554" w:rsidP="001F75C7">
            <w:pPr>
              <w:spacing w:line="276" w:lineRule="auto"/>
              <w:jc w:val="center"/>
              <w:rPr>
                <w:rFonts w:ascii="Arial" w:hAnsi="Arial" w:cs="Arial"/>
                <w:b/>
              </w:rPr>
            </w:pPr>
            <w:r w:rsidRPr="003D08CC">
              <w:rPr>
                <w:rFonts w:ascii="Arial" w:hAnsi="Arial" w:cs="Arial"/>
                <w:b/>
                <w:sz w:val="22"/>
                <w:szCs w:val="22"/>
              </w:rPr>
              <w:t>A</w:t>
            </w:r>
          </w:p>
        </w:tc>
        <w:tc>
          <w:tcPr>
            <w:tcW w:w="2552" w:type="dxa"/>
            <w:tcBorders>
              <w:top w:val="single" w:sz="12" w:space="0" w:color="auto"/>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r w:rsidRPr="003D08CC">
              <w:rPr>
                <w:rFonts w:ascii="Arial" w:hAnsi="Arial" w:cs="Arial"/>
                <w:sz w:val="22"/>
                <w:szCs w:val="22"/>
              </w:rPr>
              <w:t>4 715 8</w:t>
            </w:r>
            <w:r>
              <w:rPr>
                <w:rFonts w:ascii="Arial" w:hAnsi="Arial" w:cs="Arial"/>
                <w:sz w:val="22"/>
                <w:szCs w:val="22"/>
              </w:rPr>
              <w:t>65</w:t>
            </w:r>
          </w:p>
        </w:tc>
        <w:tc>
          <w:tcPr>
            <w:tcW w:w="2126" w:type="dxa"/>
            <w:tcBorders>
              <w:top w:val="single" w:sz="12" w:space="0" w:color="auto"/>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r w:rsidRPr="003D08CC">
              <w:rPr>
                <w:rFonts w:ascii="Arial" w:hAnsi="Arial" w:cs="Arial"/>
                <w:sz w:val="22"/>
                <w:szCs w:val="22"/>
              </w:rPr>
              <w:t>6 593 100</w:t>
            </w:r>
          </w:p>
        </w:tc>
        <w:tc>
          <w:tcPr>
            <w:tcW w:w="1843" w:type="dxa"/>
            <w:vMerge w:val="restart"/>
            <w:tcBorders>
              <w:top w:val="single" w:sz="12" w:space="0" w:color="auto"/>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p w:rsidR="008F3554" w:rsidRPr="003D08CC" w:rsidRDefault="008F3554" w:rsidP="001F75C7">
            <w:pPr>
              <w:spacing w:line="276" w:lineRule="auto"/>
              <w:jc w:val="center"/>
              <w:rPr>
                <w:rFonts w:ascii="Arial" w:hAnsi="Arial" w:cs="Arial"/>
              </w:rPr>
            </w:pPr>
          </w:p>
          <w:p w:rsidR="008F3554" w:rsidRPr="003D08CC" w:rsidRDefault="008F3554" w:rsidP="001F75C7">
            <w:pPr>
              <w:spacing w:line="276" w:lineRule="auto"/>
              <w:jc w:val="center"/>
              <w:rPr>
                <w:rFonts w:ascii="Arial" w:hAnsi="Arial" w:cs="Arial"/>
              </w:rPr>
            </w:pPr>
            <w:r>
              <w:rPr>
                <w:rFonts w:ascii="Arial" w:hAnsi="Arial" w:cs="Arial"/>
                <w:sz w:val="22"/>
                <w:szCs w:val="22"/>
              </w:rPr>
              <w:t>12,7</w:t>
            </w:r>
            <w:r w:rsidRPr="003D08CC">
              <w:rPr>
                <w:rFonts w:ascii="Arial" w:hAnsi="Arial" w:cs="Arial"/>
                <w:sz w:val="22"/>
                <w:szCs w:val="22"/>
              </w:rPr>
              <w:t>7</w:t>
            </w:r>
          </w:p>
          <w:p w:rsidR="008F3554" w:rsidRPr="003D08CC" w:rsidRDefault="008F3554" w:rsidP="001F75C7">
            <w:pPr>
              <w:spacing w:line="276" w:lineRule="auto"/>
              <w:jc w:val="center"/>
              <w:rPr>
                <w:rFonts w:ascii="Arial" w:hAnsi="Arial" w:cs="Arial"/>
              </w:rPr>
            </w:pPr>
          </w:p>
        </w:tc>
      </w:tr>
      <w:tr w:rsidR="008F3554" w:rsidRPr="003D08CC" w:rsidTr="001F75C7">
        <w:trPr>
          <w:jc w:val="center"/>
        </w:trPr>
        <w:tc>
          <w:tcPr>
            <w:tcW w:w="1384" w:type="dxa"/>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b/>
              </w:rPr>
            </w:pPr>
            <w:r w:rsidRPr="003D08CC">
              <w:rPr>
                <w:rFonts w:ascii="Arial" w:hAnsi="Arial" w:cs="Arial"/>
                <w:b/>
                <w:sz w:val="22"/>
                <w:szCs w:val="22"/>
              </w:rPr>
              <w:t>B</w:t>
            </w:r>
          </w:p>
        </w:tc>
        <w:tc>
          <w:tcPr>
            <w:tcW w:w="2552" w:type="dxa"/>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r w:rsidRPr="003D08CC">
              <w:rPr>
                <w:rFonts w:ascii="Arial" w:hAnsi="Arial" w:cs="Arial"/>
                <w:sz w:val="22"/>
                <w:szCs w:val="22"/>
              </w:rPr>
              <w:t xml:space="preserve">4 715 </w:t>
            </w:r>
            <w:r>
              <w:rPr>
                <w:rFonts w:ascii="Arial" w:hAnsi="Arial" w:cs="Arial"/>
                <w:sz w:val="22"/>
                <w:szCs w:val="22"/>
              </w:rPr>
              <w:t>880</w:t>
            </w:r>
          </w:p>
        </w:tc>
        <w:tc>
          <w:tcPr>
            <w:tcW w:w="2126" w:type="dxa"/>
            <w:tcBorders>
              <w:left w:val="single" w:sz="12" w:space="0" w:color="auto"/>
              <w:right w:val="single" w:sz="12" w:space="0" w:color="auto"/>
            </w:tcBorders>
          </w:tcPr>
          <w:p w:rsidR="008F3554" w:rsidRPr="003D08CC" w:rsidRDefault="00F53032" w:rsidP="001F75C7">
            <w:pPr>
              <w:spacing w:line="276" w:lineRule="auto"/>
              <w:jc w:val="center"/>
              <w:rPr>
                <w:rFonts w:ascii="Arial" w:hAnsi="Arial" w:cs="Arial"/>
              </w:rPr>
            </w:pPr>
            <w:r>
              <w:rPr>
                <w:rFonts w:ascii="Arial" w:hAnsi="Arial" w:cs="Arial"/>
                <w:sz w:val="22"/>
                <w:szCs w:val="22"/>
              </w:rPr>
              <w:t>6 593 63</w:t>
            </w:r>
            <w:r w:rsidR="008F3554" w:rsidRPr="003D08CC">
              <w:rPr>
                <w:rFonts w:ascii="Arial" w:hAnsi="Arial" w:cs="Arial"/>
                <w:sz w:val="22"/>
                <w:szCs w:val="22"/>
              </w:rPr>
              <w:t>0</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1F75C7">
        <w:trPr>
          <w:jc w:val="center"/>
        </w:trPr>
        <w:tc>
          <w:tcPr>
            <w:tcW w:w="1384" w:type="dxa"/>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b/>
              </w:rPr>
            </w:pPr>
            <w:r w:rsidRPr="003D08CC">
              <w:rPr>
                <w:rFonts w:ascii="Arial" w:hAnsi="Arial" w:cs="Arial"/>
                <w:b/>
                <w:sz w:val="22"/>
                <w:szCs w:val="22"/>
              </w:rPr>
              <w:t>C</w:t>
            </w:r>
          </w:p>
        </w:tc>
        <w:tc>
          <w:tcPr>
            <w:tcW w:w="2552" w:type="dxa"/>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r w:rsidRPr="003D08CC">
              <w:rPr>
                <w:rFonts w:ascii="Arial" w:hAnsi="Arial" w:cs="Arial"/>
                <w:sz w:val="22"/>
                <w:szCs w:val="22"/>
              </w:rPr>
              <w:t xml:space="preserve">4 716 </w:t>
            </w:r>
            <w:r>
              <w:rPr>
                <w:rFonts w:ascii="Arial" w:hAnsi="Arial" w:cs="Arial"/>
                <w:sz w:val="22"/>
                <w:szCs w:val="22"/>
              </w:rPr>
              <w:t>070</w:t>
            </w:r>
          </w:p>
        </w:tc>
        <w:tc>
          <w:tcPr>
            <w:tcW w:w="2126" w:type="dxa"/>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r w:rsidRPr="003D08CC">
              <w:rPr>
                <w:rFonts w:ascii="Arial" w:hAnsi="Arial" w:cs="Arial"/>
                <w:sz w:val="22"/>
                <w:szCs w:val="22"/>
              </w:rPr>
              <w:t xml:space="preserve">6 593 </w:t>
            </w:r>
            <w:r w:rsidR="00F53032">
              <w:rPr>
                <w:rFonts w:ascii="Arial" w:hAnsi="Arial" w:cs="Arial"/>
                <w:sz w:val="22"/>
                <w:szCs w:val="22"/>
              </w:rPr>
              <w:t>530</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153"/>
          <w:jc w:val="center"/>
        </w:trPr>
        <w:tc>
          <w:tcPr>
            <w:tcW w:w="1384" w:type="dxa"/>
            <w:tcBorders>
              <w:left w:val="single" w:sz="12" w:space="0" w:color="auto"/>
              <w:bottom w:val="single" w:sz="4" w:space="0" w:color="auto"/>
              <w:right w:val="single" w:sz="12" w:space="0" w:color="auto"/>
            </w:tcBorders>
          </w:tcPr>
          <w:p w:rsidR="008F3554" w:rsidRPr="003D08CC" w:rsidRDefault="008F3554" w:rsidP="001F75C7">
            <w:pPr>
              <w:spacing w:line="276" w:lineRule="auto"/>
              <w:jc w:val="center"/>
              <w:rPr>
                <w:rFonts w:ascii="Arial" w:hAnsi="Arial" w:cs="Arial"/>
                <w:b/>
              </w:rPr>
            </w:pPr>
            <w:r w:rsidRPr="003D08CC">
              <w:rPr>
                <w:rFonts w:ascii="Arial" w:hAnsi="Arial" w:cs="Arial"/>
                <w:b/>
                <w:sz w:val="22"/>
                <w:szCs w:val="22"/>
              </w:rPr>
              <w:t>D</w:t>
            </w:r>
          </w:p>
        </w:tc>
        <w:tc>
          <w:tcPr>
            <w:tcW w:w="2552" w:type="dxa"/>
            <w:tcBorders>
              <w:left w:val="single" w:sz="12" w:space="0" w:color="auto"/>
              <w:bottom w:val="single" w:sz="4" w:space="0" w:color="auto"/>
              <w:right w:val="single" w:sz="12" w:space="0" w:color="auto"/>
            </w:tcBorders>
          </w:tcPr>
          <w:p w:rsidR="008F3554" w:rsidRPr="003D08CC" w:rsidRDefault="008F3554" w:rsidP="001F75C7">
            <w:pPr>
              <w:spacing w:line="276" w:lineRule="auto"/>
              <w:jc w:val="center"/>
              <w:rPr>
                <w:rFonts w:ascii="Arial" w:hAnsi="Arial" w:cs="Arial"/>
              </w:rPr>
            </w:pPr>
            <w:r>
              <w:rPr>
                <w:rFonts w:ascii="Arial" w:hAnsi="Arial" w:cs="Arial"/>
                <w:sz w:val="22"/>
                <w:szCs w:val="22"/>
              </w:rPr>
              <w:t>4 715 980</w:t>
            </w:r>
          </w:p>
        </w:tc>
        <w:tc>
          <w:tcPr>
            <w:tcW w:w="2126" w:type="dxa"/>
            <w:tcBorders>
              <w:left w:val="single" w:sz="12" w:space="0" w:color="auto"/>
              <w:bottom w:val="single" w:sz="4" w:space="0" w:color="auto"/>
              <w:right w:val="single" w:sz="12" w:space="0" w:color="auto"/>
            </w:tcBorders>
          </w:tcPr>
          <w:p w:rsidR="008F3554" w:rsidRPr="003D08CC" w:rsidRDefault="008F3554" w:rsidP="001F75C7">
            <w:pPr>
              <w:jc w:val="center"/>
              <w:rPr>
                <w:rFonts w:ascii="Arial" w:hAnsi="Arial" w:cs="Arial"/>
              </w:rPr>
            </w:pPr>
            <w:r w:rsidRPr="003D08CC">
              <w:rPr>
                <w:rFonts w:ascii="Arial" w:hAnsi="Arial" w:cs="Arial"/>
                <w:sz w:val="22"/>
                <w:szCs w:val="22"/>
              </w:rPr>
              <w:t xml:space="preserve">6 593 </w:t>
            </w:r>
            <w:r w:rsidR="00F53032">
              <w:rPr>
                <w:rFonts w:ascii="Arial" w:hAnsi="Arial" w:cs="Arial"/>
                <w:sz w:val="22"/>
                <w:szCs w:val="22"/>
              </w:rPr>
              <w:t>435</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229"/>
          <w:jc w:val="center"/>
        </w:trPr>
        <w:tc>
          <w:tcPr>
            <w:tcW w:w="1384" w:type="dxa"/>
            <w:tcBorders>
              <w:top w:val="single" w:sz="4" w:space="0" w:color="auto"/>
              <w:left w:val="single" w:sz="12" w:space="0" w:color="auto"/>
              <w:bottom w:val="single" w:sz="4" w:space="0" w:color="auto"/>
              <w:right w:val="single" w:sz="12" w:space="0" w:color="auto"/>
            </w:tcBorders>
          </w:tcPr>
          <w:p w:rsidR="008F3554" w:rsidRPr="003D08CC" w:rsidRDefault="008F3554" w:rsidP="001F75C7">
            <w:pPr>
              <w:jc w:val="center"/>
              <w:rPr>
                <w:rFonts w:ascii="Arial" w:hAnsi="Arial" w:cs="Arial"/>
                <w:b/>
              </w:rPr>
            </w:pPr>
            <w:r>
              <w:rPr>
                <w:rFonts w:ascii="Arial" w:hAnsi="Arial" w:cs="Arial"/>
                <w:b/>
                <w:sz w:val="22"/>
                <w:szCs w:val="22"/>
              </w:rPr>
              <w:t>E</w:t>
            </w:r>
          </w:p>
        </w:tc>
        <w:tc>
          <w:tcPr>
            <w:tcW w:w="2552" w:type="dxa"/>
            <w:tcBorders>
              <w:top w:val="single" w:sz="4" w:space="0" w:color="auto"/>
              <w:left w:val="single" w:sz="12" w:space="0" w:color="auto"/>
              <w:bottom w:val="single" w:sz="4" w:space="0" w:color="auto"/>
              <w:right w:val="single" w:sz="12" w:space="0" w:color="auto"/>
            </w:tcBorders>
          </w:tcPr>
          <w:p w:rsidR="008F3554" w:rsidRPr="003D08CC" w:rsidRDefault="008F3554" w:rsidP="001F75C7">
            <w:pPr>
              <w:jc w:val="center"/>
              <w:rPr>
                <w:rFonts w:ascii="Arial" w:hAnsi="Arial" w:cs="Arial"/>
              </w:rPr>
            </w:pPr>
            <w:r>
              <w:rPr>
                <w:rFonts w:ascii="Arial" w:hAnsi="Arial" w:cs="Arial"/>
                <w:sz w:val="22"/>
                <w:szCs w:val="22"/>
              </w:rPr>
              <w:t>4 716 115</w:t>
            </w:r>
          </w:p>
        </w:tc>
        <w:tc>
          <w:tcPr>
            <w:tcW w:w="2126" w:type="dxa"/>
            <w:tcBorders>
              <w:top w:val="single" w:sz="4" w:space="0" w:color="auto"/>
              <w:left w:val="single" w:sz="12" w:space="0" w:color="auto"/>
              <w:bottom w:val="single" w:sz="4" w:space="0" w:color="auto"/>
              <w:right w:val="single" w:sz="12" w:space="0" w:color="auto"/>
            </w:tcBorders>
          </w:tcPr>
          <w:p w:rsidR="008F3554" w:rsidRPr="003D08CC" w:rsidRDefault="008F3554" w:rsidP="001F75C7">
            <w:pPr>
              <w:jc w:val="center"/>
              <w:rPr>
                <w:rFonts w:ascii="Arial" w:hAnsi="Arial" w:cs="Arial"/>
              </w:rPr>
            </w:pPr>
            <w:r w:rsidRPr="003D08CC">
              <w:rPr>
                <w:rFonts w:ascii="Arial" w:hAnsi="Arial" w:cs="Arial"/>
                <w:sz w:val="22"/>
                <w:szCs w:val="22"/>
              </w:rPr>
              <w:t xml:space="preserve">6 593 </w:t>
            </w:r>
            <w:r w:rsidR="00F53032">
              <w:rPr>
                <w:rFonts w:ascii="Arial" w:hAnsi="Arial" w:cs="Arial"/>
                <w:sz w:val="22"/>
                <w:szCs w:val="22"/>
              </w:rPr>
              <w:t>360</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229"/>
          <w:jc w:val="center"/>
        </w:trPr>
        <w:tc>
          <w:tcPr>
            <w:tcW w:w="1384" w:type="dxa"/>
            <w:tcBorders>
              <w:top w:val="single" w:sz="4"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b/>
              </w:rPr>
            </w:pPr>
            <w:r>
              <w:rPr>
                <w:rFonts w:ascii="Arial" w:hAnsi="Arial" w:cs="Arial"/>
                <w:b/>
                <w:sz w:val="22"/>
                <w:szCs w:val="22"/>
              </w:rPr>
              <w:t>F</w:t>
            </w:r>
          </w:p>
        </w:tc>
        <w:tc>
          <w:tcPr>
            <w:tcW w:w="2552" w:type="dxa"/>
            <w:tcBorders>
              <w:top w:val="single" w:sz="4"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Pr>
                <w:rFonts w:ascii="Arial" w:hAnsi="Arial" w:cs="Arial"/>
                <w:sz w:val="22"/>
                <w:szCs w:val="22"/>
              </w:rPr>
              <w:t>4 716 135</w:t>
            </w:r>
          </w:p>
        </w:tc>
        <w:tc>
          <w:tcPr>
            <w:tcW w:w="2126" w:type="dxa"/>
            <w:tcBorders>
              <w:top w:val="single" w:sz="4" w:space="0" w:color="auto"/>
              <w:left w:val="single" w:sz="12" w:space="0" w:color="auto"/>
              <w:bottom w:val="single" w:sz="2" w:space="0" w:color="auto"/>
              <w:right w:val="single" w:sz="12" w:space="0" w:color="auto"/>
            </w:tcBorders>
          </w:tcPr>
          <w:p w:rsidR="008F3554" w:rsidRPr="003D08CC" w:rsidRDefault="00F53032" w:rsidP="001F75C7">
            <w:pPr>
              <w:jc w:val="center"/>
              <w:rPr>
                <w:rFonts w:ascii="Arial" w:hAnsi="Arial" w:cs="Arial"/>
              </w:rPr>
            </w:pPr>
            <w:r>
              <w:rPr>
                <w:rFonts w:ascii="Arial" w:hAnsi="Arial" w:cs="Arial"/>
                <w:sz w:val="22"/>
                <w:szCs w:val="22"/>
              </w:rPr>
              <w:t>6 593 4</w:t>
            </w:r>
            <w:r w:rsidR="008F3554" w:rsidRPr="003D08CC">
              <w:rPr>
                <w:rFonts w:ascii="Arial" w:hAnsi="Arial" w:cs="Arial"/>
                <w:sz w:val="22"/>
                <w:szCs w:val="22"/>
              </w:rPr>
              <w:t>00</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242"/>
          <w:jc w:val="center"/>
        </w:trPr>
        <w:tc>
          <w:tcPr>
            <w:tcW w:w="1384" w:type="dxa"/>
            <w:tcBorders>
              <w:top w:val="single" w:sz="2" w:space="0" w:color="auto"/>
              <w:left w:val="single" w:sz="12" w:space="0" w:color="auto"/>
              <w:bottom w:val="single" w:sz="2" w:space="0" w:color="auto"/>
              <w:right w:val="single" w:sz="12" w:space="0" w:color="auto"/>
            </w:tcBorders>
          </w:tcPr>
          <w:p w:rsidR="008F3554" w:rsidRDefault="008F3554" w:rsidP="001F75C7">
            <w:pPr>
              <w:jc w:val="center"/>
              <w:rPr>
                <w:rFonts w:ascii="Arial" w:hAnsi="Arial" w:cs="Arial"/>
                <w:b/>
              </w:rPr>
            </w:pPr>
            <w:r>
              <w:rPr>
                <w:rFonts w:ascii="Arial" w:hAnsi="Arial" w:cs="Arial"/>
                <w:b/>
                <w:sz w:val="22"/>
                <w:szCs w:val="22"/>
              </w:rPr>
              <w:t>G</w:t>
            </w:r>
          </w:p>
        </w:tc>
        <w:tc>
          <w:tcPr>
            <w:tcW w:w="2552" w:type="dxa"/>
            <w:tcBorders>
              <w:top w:val="single" w:sz="2"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Pr>
                <w:rFonts w:ascii="Arial" w:hAnsi="Arial" w:cs="Arial"/>
                <w:sz w:val="22"/>
                <w:szCs w:val="22"/>
              </w:rPr>
              <w:t>4 716 120</w:t>
            </w:r>
          </w:p>
        </w:tc>
        <w:tc>
          <w:tcPr>
            <w:tcW w:w="2126" w:type="dxa"/>
            <w:tcBorders>
              <w:top w:val="single" w:sz="2"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sidRPr="003D08CC">
              <w:rPr>
                <w:rFonts w:ascii="Arial" w:hAnsi="Arial" w:cs="Arial"/>
                <w:sz w:val="22"/>
                <w:szCs w:val="22"/>
              </w:rPr>
              <w:t xml:space="preserve">6 593 </w:t>
            </w:r>
            <w:r w:rsidR="00F53032">
              <w:rPr>
                <w:rFonts w:ascii="Arial" w:hAnsi="Arial" w:cs="Arial"/>
                <w:sz w:val="22"/>
                <w:szCs w:val="22"/>
              </w:rPr>
              <w:t>515</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242"/>
          <w:jc w:val="center"/>
        </w:trPr>
        <w:tc>
          <w:tcPr>
            <w:tcW w:w="1384" w:type="dxa"/>
            <w:tcBorders>
              <w:top w:val="single" w:sz="2" w:space="0" w:color="auto"/>
              <w:left w:val="single" w:sz="12" w:space="0" w:color="auto"/>
              <w:bottom w:val="single" w:sz="2" w:space="0" w:color="auto"/>
              <w:right w:val="single" w:sz="12" w:space="0" w:color="auto"/>
            </w:tcBorders>
          </w:tcPr>
          <w:p w:rsidR="008F3554" w:rsidRDefault="008F3554" w:rsidP="001F75C7">
            <w:pPr>
              <w:jc w:val="center"/>
              <w:rPr>
                <w:rFonts w:ascii="Arial" w:hAnsi="Arial" w:cs="Arial"/>
                <w:b/>
              </w:rPr>
            </w:pPr>
            <w:r>
              <w:rPr>
                <w:rFonts w:ascii="Arial" w:hAnsi="Arial" w:cs="Arial"/>
                <w:b/>
                <w:sz w:val="22"/>
                <w:szCs w:val="22"/>
              </w:rPr>
              <w:t>H</w:t>
            </w:r>
          </w:p>
        </w:tc>
        <w:tc>
          <w:tcPr>
            <w:tcW w:w="2552" w:type="dxa"/>
            <w:tcBorders>
              <w:top w:val="single" w:sz="2"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Pr>
                <w:rFonts w:ascii="Arial" w:hAnsi="Arial" w:cs="Arial"/>
                <w:sz w:val="22"/>
                <w:szCs w:val="22"/>
              </w:rPr>
              <w:t>4 716 340</w:t>
            </w:r>
          </w:p>
        </w:tc>
        <w:tc>
          <w:tcPr>
            <w:tcW w:w="2126" w:type="dxa"/>
            <w:tcBorders>
              <w:top w:val="single" w:sz="2"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sidRPr="003D08CC">
              <w:rPr>
                <w:rFonts w:ascii="Arial" w:hAnsi="Arial" w:cs="Arial"/>
                <w:sz w:val="22"/>
                <w:szCs w:val="22"/>
              </w:rPr>
              <w:t xml:space="preserve">6 593 </w:t>
            </w:r>
            <w:r w:rsidR="00F53032">
              <w:rPr>
                <w:rFonts w:ascii="Arial" w:hAnsi="Arial" w:cs="Arial"/>
                <w:sz w:val="22"/>
                <w:szCs w:val="22"/>
              </w:rPr>
              <w:t>465</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229"/>
          <w:jc w:val="center"/>
        </w:trPr>
        <w:tc>
          <w:tcPr>
            <w:tcW w:w="1384" w:type="dxa"/>
            <w:tcBorders>
              <w:top w:val="single" w:sz="2" w:space="0" w:color="auto"/>
              <w:left w:val="single" w:sz="12" w:space="0" w:color="auto"/>
              <w:bottom w:val="single" w:sz="2" w:space="0" w:color="auto"/>
              <w:right w:val="single" w:sz="12" w:space="0" w:color="auto"/>
            </w:tcBorders>
          </w:tcPr>
          <w:p w:rsidR="008F3554" w:rsidRDefault="008F3554" w:rsidP="001F75C7">
            <w:pPr>
              <w:jc w:val="center"/>
              <w:rPr>
                <w:rFonts w:ascii="Arial" w:hAnsi="Arial" w:cs="Arial"/>
                <w:b/>
              </w:rPr>
            </w:pPr>
            <w:r>
              <w:rPr>
                <w:rFonts w:ascii="Arial" w:hAnsi="Arial" w:cs="Arial"/>
                <w:b/>
                <w:sz w:val="22"/>
                <w:szCs w:val="22"/>
              </w:rPr>
              <w:t>I</w:t>
            </w:r>
          </w:p>
        </w:tc>
        <w:tc>
          <w:tcPr>
            <w:tcW w:w="2552" w:type="dxa"/>
            <w:tcBorders>
              <w:top w:val="single" w:sz="2"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Pr>
                <w:rFonts w:ascii="Arial" w:hAnsi="Arial" w:cs="Arial"/>
                <w:sz w:val="22"/>
                <w:szCs w:val="22"/>
              </w:rPr>
              <w:t>4 71</w:t>
            </w:r>
            <w:r w:rsidR="00F53032">
              <w:rPr>
                <w:rFonts w:ascii="Arial" w:hAnsi="Arial" w:cs="Arial"/>
                <w:sz w:val="22"/>
                <w:szCs w:val="22"/>
              </w:rPr>
              <w:t>6 225</w:t>
            </w:r>
          </w:p>
        </w:tc>
        <w:tc>
          <w:tcPr>
            <w:tcW w:w="2126" w:type="dxa"/>
            <w:tcBorders>
              <w:top w:val="single" w:sz="2"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sidRPr="003D08CC">
              <w:rPr>
                <w:rFonts w:ascii="Arial" w:hAnsi="Arial" w:cs="Arial"/>
                <w:sz w:val="22"/>
                <w:szCs w:val="22"/>
              </w:rPr>
              <w:t xml:space="preserve">6 593 </w:t>
            </w:r>
            <w:r w:rsidR="00F53032">
              <w:rPr>
                <w:rFonts w:ascii="Arial" w:hAnsi="Arial" w:cs="Arial"/>
                <w:sz w:val="22"/>
                <w:szCs w:val="22"/>
              </w:rPr>
              <w:t>425</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242"/>
          <w:jc w:val="center"/>
        </w:trPr>
        <w:tc>
          <w:tcPr>
            <w:tcW w:w="1384" w:type="dxa"/>
            <w:tcBorders>
              <w:top w:val="single" w:sz="2" w:space="0" w:color="auto"/>
              <w:left w:val="single" w:sz="12" w:space="0" w:color="auto"/>
              <w:bottom w:val="single" w:sz="2" w:space="0" w:color="auto"/>
              <w:right w:val="single" w:sz="12" w:space="0" w:color="auto"/>
            </w:tcBorders>
          </w:tcPr>
          <w:p w:rsidR="008F3554" w:rsidRDefault="008F3554" w:rsidP="001F75C7">
            <w:pPr>
              <w:jc w:val="center"/>
              <w:rPr>
                <w:rFonts w:ascii="Arial" w:hAnsi="Arial" w:cs="Arial"/>
                <w:b/>
              </w:rPr>
            </w:pPr>
            <w:r>
              <w:rPr>
                <w:rFonts w:ascii="Arial" w:hAnsi="Arial" w:cs="Arial"/>
                <w:b/>
                <w:sz w:val="22"/>
                <w:szCs w:val="22"/>
              </w:rPr>
              <w:t>J</w:t>
            </w:r>
          </w:p>
        </w:tc>
        <w:tc>
          <w:tcPr>
            <w:tcW w:w="2552" w:type="dxa"/>
            <w:tcBorders>
              <w:top w:val="single" w:sz="2" w:space="0" w:color="auto"/>
              <w:left w:val="single" w:sz="12" w:space="0" w:color="auto"/>
              <w:bottom w:val="single" w:sz="2" w:space="0" w:color="auto"/>
              <w:right w:val="single" w:sz="12" w:space="0" w:color="auto"/>
            </w:tcBorders>
          </w:tcPr>
          <w:p w:rsidR="008F3554" w:rsidRPr="003D08CC" w:rsidRDefault="008F3554" w:rsidP="001F75C7">
            <w:pPr>
              <w:jc w:val="center"/>
              <w:rPr>
                <w:rFonts w:ascii="Arial" w:hAnsi="Arial" w:cs="Arial"/>
              </w:rPr>
            </w:pPr>
            <w:r>
              <w:rPr>
                <w:rFonts w:ascii="Arial" w:hAnsi="Arial" w:cs="Arial"/>
                <w:sz w:val="22"/>
                <w:szCs w:val="22"/>
              </w:rPr>
              <w:t>4 71</w:t>
            </w:r>
            <w:r w:rsidR="00F53032">
              <w:rPr>
                <w:rFonts w:ascii="Arial" w:hAnsi="Arial" w:cs="Arial"/>
                <w:sz w:val="22"/>
                <w:szCs w:val="22"/>
              </w:rPr>
              <w:t>6</w:t>
            </w:r>
            <w:r>
              <w:rPr>
                <w:rFonts w:ascii="Arial" w:hAnsi="Arial" w:cs="Arial"/>
                <w:sz w:val="22"/>
                <w:szCs w:val="22"/>
              </w:rPr>
              <w:t xml:space="preserve"> </w:t>
            </w:r>
            <w:r w:rsidR="00F53032">
              <w:rPr>
                <w:rFonts w:ascii="Arial" w:hAnsi="Arial" w:cs="Arial"/>
                <w:sz w:val="22"/>
                <w:szCs w:val="22"/>
              </w:rPr>
              <w:t>155</w:t>
            </w:r>
          </w:p>
        </w:tc>
        <w:tc>
          <w:tcPr>
            <w:tcW w:w="2126" w:type="dxa"/>
            <w:tcBorders>
              <w:top w:val="single" w:sz="2" w:space="0" w:color="auto"/>
              <w:left w:val="single" w:sz="12" w:space="0" w:color="auto"/>
              <w:bottom w:val="single" w:sz="2" w:space="0" w:color="auto"/>
              <w:right w:val="single" w:sz="12" w:space="0" w:color="auto"/>
            </w:tcBorders>
          </w:tcPr>
          <w:p w:rsidR="008F3554" w:rsidRPr="003D08CC" w:rsidRDefault="00F53032" w:rsidP="001F75C7">
            <w:pPr>
              <w:jc w:val="center"/>
              <w:rPr>
                <w:rFonts w:ascii="Arial" w:hAnsi="Arial" w:cs="Arial"/>
              </w:rPr>
            </w:pPr>
            <w:r>
              <w:rPr>
                <w:rFonts w:ascii="Arial" w:hAnsi="Arial" w:cs="Arial"/>
                <w:sz w:val="22"/>
                <w:szCs w:val="22"/>
              </w:rPr>
              <w:t>6 593 3</w:t>
            </w:r>
            <w:r w:rsidR="008F3554" w:rsidRPr="003D08CC">
              <w:rPr>
                <w:rFonts w:ascii="Arial" w:hAnsi="Arial" w:cs="Arial"/>
                <w:sz w:val="22"/>
                <w:szCs w:val="22"/>
              </w:rPr>
              <w:t>00</w:t>
            </w:r>
          </w:p>
        </w:tc>
        <w:tc>
          <w:tcPr>
            <w:tcW w:w="1843" w:type="dxa"/>
            <w:vMerge/>
            <w:tcBorders>
              <w:left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r w:rsidR="008F3554" w:rsidRPr="003D08CC" w:rsidTr="008F3554">
        <w:trPr>
          <w:trHeight w:val="255"/>
          <w:jc w:val="center"/>
        </w:trPr>
        <w:tc>
          <w:tcPr>
            <w:tcW w:w="1384" w:type="dxa"/>
            <w:tcBorders>
              <w:top w:val="single" w:sz="2" w:space="0" w:color="auto"/>
              <w:left w:val="single" w:sz="12" w:space="0" w:color="auto"/>
              <w:bottom w:val="single" w:sz="12" w:space="0" w:color="auto"/>
              <w:right w:val="single" w:sz="12" w:space="0" w:color="auto"/>
            </w:tcBorders>
          </w:tcPr>
          <w:p w:rsidR="008F3554" w:rsidRDefault="008F3554" w:rsidP="001F75C7">
            <w:pPr>
              <w:jc w:val="center"/>
              <w:rPr>
                <w:rFonts w:ascii="Arial" w:hAnsi="Arial" w:cs="Arial"/>
                <w:b/>
              </w:rPr>
            </w:pPr>
            <w:r>
              <w:rPr>
                <w:rFonts w:ascii="Arial" w:hAnsi="Arial" w:cs="Arial"/>
                <w:b/>
                <w:sz w:val="22"/>
                <w:szCs w:val="22"/>
              </w:rPr>
              <w:t>K</w:t>
            </w:r>
          </w:p>
        </w:tc>
        <w:tc>
          <w:tcPr>
            <w:tcW w:w="2552" w:type="dxa"/>
            <w:tcBorders>
              <w:top w:val="single" w:sz="2" w:space="0" w:color="auto"/>
              <w:left w:val="single" w:sz="12" w:space="0" w:color="auto"/>
              <w:bottom w:val="single" w:sz="12" w:space="0" w:color="auto"/>
              <w:right w:val="single" w:sz="12" w:space="0" w:color="auto"/>
            </w:tcBorders>
          </w:tcPr>
          <w:p w:rsidR="008F3554" w:rsidRPr="003D08CC" w:rsidRDefault="008F3554" w:rsidP="001F75C7">
            <w:pPr>
              <w:jc w:val="center"/>
              <w:rPr>
                <w:rFonts w:ascii="Arial" w:hAnsi="Arial" w:cs="Arial"/>
              </w:rPr>
            </w:pPr>
            <w:r>
              <w:rPr>
                <w:rFonts w:ascii="Arial" w:hAnsi="Arial" w:cs="Arial"/>
                <w:sz w:val="22"/>
                <w:szCs w:val="22"/>
              </w:rPr>
              <w:t>4 71</w:t>
            </w:r>
            <w:r w:rsidR="00F53032">
              <w:rPr>
                <w:rFonts w:ascii="Arial" w:hAnsi="Arial" w:cs="Arial"/>
                <w:sz w:val="22"/>
                <w:szCs w:val="22"/>
              </w:rPr>
              <w:t>6</w:t>
            </w:r>
            <w:r>
              <w:rPr>
                <w:rFonts w:ascii="Arial" w:hAnsi="Arial" w:cs="Arial"/>
                <w:sz w:val="22"/>
                <w:szCs w:val="22"/>
              </w:rPr>
              <w:t xml:space="preserve"> </w:t>
            </w:r>
            <w:r w:rsidR="00F53032">
              <w:rPr>
                <w:rFonts w:ascii="Arial" w:hAnsi="Arial" w:cs="Arial"/>
                <w:sz w:val="22"/>
                <w:szCs w:val="22"/>
              </w:rPr>
              <w:t>135</w:t>
            </w:r>
          </w:p>
        </w:tc>
        <w:tc>
          <w:tcPr>
            <w:tcW w:w="2126" w:type="dxa"/>
            <w:tcBorders>
              <w:top w:val="single" w:sz="2" w:space="0" w:color="auto"/>
              <w:left w:val="single" w:sz="12" w:space="0" w:color="auto"/>
              <w:bottom w:val="single" w:sz="12" w:space="0" w:color="auto"/>
              <w:right w:val="single" w:sz="12" w:space="0" w:color="auto"/>
            </w:tcBorders>
          </w:tcPr>
          <w:p w:rsidR="008F3554" w:rsidRPr="003D08CC" w:rsidRDefault="008F3554" w:rsidP="001F75C7">
            <w:pPr>
              <w:jc w:val="center"/>
              <w:rPr>
                <w:rFonts w:ascii="Arial" w:hAnsi="Arial" w:cs="Arial"/>
              </w:rPr>
            </w:pPr>
            <w:r w:rsidRPr="003D08CC">
              <w:rPr>
                <w:rFonts w:ascii="Arial" w:hAnsi="Arial" w:cs="Arial"/>
                <w:sz w:val="22"/>
                <w:szCs w:val="22"/>
              </w:rPr>
              <w:t>6 593 100</w:t>
            </w:r>
          </w:p>
        </w:tc>
        <w:tc>
          <w:tcPr>
            <w:tcW w:w="1843" w:type="dxa"/>
            <w:vMerge/>
            <w:tcBorders>
              <w:left w:val="single" w:sz="12" w:space="0" w:color="auto"/>
              <w:bottom w:val="single" w:sz="12" w:space="0" w:color="auto"/>
              <w:right w:val="single" w:sz="12" w:space="0" w:color="auto"/>
            </w:tcBorders>
          </w:tcPr>
          <w:p w:rsidR="008F3554" w:rsidRPr="003D08CC" w:rsidRDefault="008F3554" w:rsidP="001F75C7">
            <w:pPr>
              <w:spacing w:line="276" w:lineRule="auto"/>
              <w:jc w:val="center"/>
              <w:rPr>
                <w:rFonts w:ascii="Arial" w:hAnsi="Arial" w:cs="Arial"/>
              </w:rPr>
            </w:pPr>
          </w:p>
        </w:tc>
      </w:tr>
    </w:tbl>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lastRenderedPageBreak/>
        <w:t xml:space="preserve">Na terenu obuhvaćenom istražno-eksploatacionim prostorom vršena su osnovna geološka istraživanja, kroz izradu Osnovne geološke karte, OGK </w:t>
      </w:r>
      <w:r w:rsidR="001F75C7">
        <w:rPr>
          <w:rFonts w:ascii="Arial" w:hAnsi="Arial" w:cs="Arial"/>
          <w:sz w:val="22"/>
          <w:szCs w:val="22"/>
        </w:rPr>
        <w:t>SFRJ, 1:100 000, list Titograd, i detaljna geološka istraži</w:t>
      </w:r>
      <w:r w:rsidR="00F53032">
        <w:rPr>
          <w:rFonts w:ascii="Arial" w:hAnsi="Arial" w:cs="Arial"/>
          <w:sz w:val="22"/>
          <w:szCs w:val="22"/>
        </w:rPr>
        <w:t xml:space="preserve">vanja 1972, 1973, 1978 i 1987. </w:t>
      </w:r>
      <w:proofErr w:type="gramStart"/>
      <w:r w:rsidR="00F53032">
        <w:rPr>
          <w:rFonts w:ascii="Arial" w:hAnsi="Arial" w:cs="Arial"/>
          <w:sz w:val="22"/>
          <w:szCs w:val="22"/>
        </w:rPr>
        <w:t>g</w:t>
      </w:r>
      <w:r w:rsidR="001F75C7">
        <w:rPr>
          <w:rFonts w:ascii="Arial" w:hAnsi="Arial" w:cs="Arial"/>
          <w:sz w:val="22"/>
          <w:szCs w:val="22"/>
        </w:rPr>
        <w:t>odine</w:t>
      </w:r>
      <w:proofErr w:type="gramEnd"/>
      <w:r w:rsidR="001F75C7">
        <w:rPr>
          <w:rFonts w:ascii="Arial" w:hAnsi="Arial" w:cs="Arial"/>
          <w:sz w:val="22"/>
          <w:szCs w:val="22"/>
        </w:rPr>
        <w:t>.</w:t>
      </w:r>
    </w:p>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color w:val="000000"/>
          <w:sz w:val="22"/>
          <w:szCs w:val="22"/>
        </w:rPr>
      </w:pPr>
      <w:r w:rsidRPr="003D08CC">
        <w:rPr>
          <w:rFonts w:ascii="Arial" w:hAnsi="Arial" w:cs="Arial"/>
          <w:color w:val="000000"/>
          <w:sz w:val="22"/>
          <w:szCs w:val="22"/>
        </w:rPr>
        <w:t>Na području Krive ploče nema aktivnih ležišta arhitektonsko-građevinskog (ukrasnog) kamena. Na predmetnom ležištu eksploatacija je vršena krajem osamdesetih godina</w:t>
      </w:r>
      <w:r w:rsidR="001F75C7">
        <w:rPr>
          <w:rFonts w:ascii="Arial" w:hAnsi="Arial" w:cs="Arial"/>
          <w:color w:val="000000"/>
          <w:sz w:val="22"/>
          <w:szCs w:val="22"/>
        </w:rPr>
        <w:t xml:space="preserve"> prošlog vijeka</w:t>
      </w:r>
      <w:r w:rsidRPr="003D08CC">
        <w:rPr>
          <w:rFonts w:ascii="Arial" w:hAnsi="Arial" w:cs="Arial"/>
          <w:color w:val="000000"/>
          <w:sz w:val="22"/>
          <w:szCs w:val="22"/>
        </w:rPr>
        <w:t xml:space="preserve">, o čemu nema pouzdanih podataka. </w:t>
      </w:r>
    </w:p>
    <w:p w:rsidR="003D08CC" w:rsidRPr="003D08CC" w:rsidRDefault="003D08CC" w:rsidP="003D08CC">
      <w:pPr>
        <w:spacing w:line="276" w:lineRule="auto"/>
        <w:jc w:val="both"/>
        <w:rPr>
          <w:rFonts w:ascii="Arial" w:hAnsi="Arial" w:cs="Arial"/>
          <w:color w:val="000000"/>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 xml:space="preserve">Na osnovu podataka dobijenih iz navedenih istraživanja, može se zaključiti da predmetno ležište izgrađuju masivni krečnjaci mastrihta (senon), bjeličaste do krem boje. Krečnjaci su slabo kristalasti, ređe dolomitizirani. Karakterističan je sistem paralelnih pukotina, rastojanja 2 m do 30 m, pravca pružanja SSI – JJZ, pretežno karstifikacijom proširenih kada su nepravilnog oblika. </w:t>
      </w:r>
    </w:p>
    <w:p w:rsidR="003D08CC" w:rsidRPr="003D08CC" w:rsidRDefault="003D08CC" w:rsidP="003D08CC">
      <w:pPr>
        <w:spacing w:line="276" w:lineRule="auto"/>
        <w:jc w:val="both"/>
        <w:rPr>
          <w:rFonts w:ascii="Arial" w:hAnsi="Arial" w:cs="Arial"/>
          <w:sz w:val="22"/>
          <w:szCs w:val="22"/>
        </w:rPr>
      </w:pPr>
    </w:p>
    <w:p w:rsidR="003D08CC" w:rsidRPr="001F75C7" w:rsidRDefault="003D08CC" w:rsidP="003D08CC">
      <w:pPr>
        <w:spacing w:line="276" w:lineRule="auto"/>
        <w:jc w:val="both"/>
        <w:rPr>
          <w:rFonts w:ascii="Arial" w:hAnsi="Arial" w:cs="Arial"/>
          <w:sz w:val="22"/>
          <w:szCs w:val="22"/>
        </w:rPr>
      </w:pPr>
      <w:r w:rsidRPr="003D08CC">
        <w:rPr>
          <w:rFonts w:ascii="Arial" w:hAnsi="Arial" w:cs="Arial"/>
          <w:sz w:val="22"/>
          <w:szCs w:val="22"/>
        </w:rPr>
        <w:t>Na osnovu podataka o izvršenim geološkim istraživanjima ležišta arhitektonsko-građevinskog kamena “Kriva ploča”, vršenim u toku 1972. i 1973. godine,</w:t>
      </w:r>
      <w:r w:rsidRPr="001F75C7">
        <w:rPr>
          <w:rFonts w:ascii="Arial" w:hAnsi="Arial" w:cs="Arial"/>
          <w:sz w:val="22"/>
          <w:szCs w:val="22"/>
        </w:rPr>
        <w:t xml:space="preserve"> potencijalne rezerve AGK u</w:t>
      </w:r>
      <w:r w:rsidR="00B81E3C">
        <w:rPr>
          <w:rFonts w:ascii="Arial" w:hAnsi="Arial" w:cs="Arial"/>
          <w:sz w:val="22"/>
          <w:szCs w:val="22"/>
        </w:rPr>
        <w:t xml:space="preserve"> ležištu su procijenjene na 525.</w:t>
      </w:r>
      <w:r w:rsidRPr="001F75C7">
        <w:rPr>
          <w:rFonts w:ascii="Arial" w:hAnsi="Arial" w:cs="Arial"/>
          <w:sz w:val="22"/>
          <w:szCs w:val="22"/>
        </w:rPr>
        <w:t>000 m</w:t>
      </w:r>
      <w:r w:rsidRPr="001F75C7">
        <w:rPr>
          <w:rFonts w:ascii="Arial" w:hAnsi="Arial" w:cs="Arial"/>
          <w:sz w:val="22"/>
          <w:szCs w:val="22"/>
          <w:vertAlign w:val="superscript"/>
        </w:rPr>
        <w:t>3</w:t>
      </w:r>
      <w:r w:rsidR="00B81E3C">
        <w:rPr>
          <w:rFonts w:ascii="Arial" w:hAnsi="Arial" w:cs="Arial"/>
          <w:sz w:val="22"/>
          <w:szCs w:val="22"/>
        </w:rPr>
        <w:t xml:space="preserve"> č.s.m.</w:t>
      </w:r>
    </w:p>
    <w:p w:rsidR="003D08CC" w:rsidRPr="003D08CC" w:rsidRDefault="003D08CC" w:rsidP="003D08CC">
      <w:pPr>
        <w:spacing w:line="276" w:lineRule="auto"/>
        <w:jc w:val="both"/>
        <w:rPr>
          <w:rFonts w:ascii="Arial" w:hAnsi="Arial" w:cs="Arial"/>
          <w:b/>
          <w:sz w:val="22"/>
          <w:szCs w:val="22"/>
        </w:rPr>
      </w:pPr>
    </w:p>
    <w:p w:rsidR="003D08CC" w:rsidRPr="003D08CC" w:rsidRDefault="003D08CC" w:rsidP="003D08CC">
      <w:pPr>
        <w:spacing w:line="276" w:lineRule="auto"/>
        <w:jc w:val="both"/>
        <w:rPr>
          <w:rFonts w:ascii="Arial" w:hAnsi="Arial" w:cs="Arial"/>
          <w:color w:val="000000"/>
          <w:sz w:val="22"/>
          <w:szCs w:val="22"/>
        </w:rPr>
      </w:pPr>
      <w:r w:rsidRPr="003D08CC">
        <w:rPr>
          <w:rFonts w:ascii="Arial" w:hAnsi="Arial" w:cs="Arial"/>
          <w:iCs/>
          <w:sz w:val="22"/>
          <w:szCs w:val="22"/>
        </w:rPr>
        <w:t xml:space="preserve">O </w:t>
      </w:r>
      <w:r w:rsidRPr="003D08CC">
        <w:rPr>
          <w:rFonts w:ascii="Arial" w:hAnsi="Arial" w:cs="Arial"/>
          <w:color w:val="000000"/>
          <w:sz w:val="22"/>
          <w:szCs w:val="22"/>
        </w:rPr>
        <w:t>kvalitetu kamena iz ležišta „Kriva ploča“ može se govoriti na osnovu Uvjerenja o ispitivanju kamena, od 25.03.1974. godine, koji je uradio Institut za ispitivanje materijala SR Srbije. Po njihovom mišljenju predmetna mineralna sirovina posjeduje dobru čvrstoću na pritisak u sva tri stanja. Otpornost prema habanju je umjerena, normalna za ovaj tip krečnjaka. Poroznost je mala, upijanje vode umjereno. Pri opitimalnoj postojanosti prema mrazu, nije došlo ni do kakvih vidljivih oštećenja. Po obradljivosti, u laboratorijskim uslovima, spadaju u kamene materijale koji se obrađuju lako, dobro i ekonomično. Glačaju se lako i dobro.</w:t>
      </w:r>
    </w:p>
    <w:p w:rsidR="003D08CC" w:rsidRPr="003D08CC" w:rsidRDefault="003D08CC" w:rsidP="003D08CC">
      <w:pPr>
        <w:spacing w:line="276" w:lineRule="auto"/>
        <w:jc w:val="both"/>
        <w:rPr>
          <w:rFonts w:ascii="Arial" w:hAnsi="Arial" w:cs="Arial"/>
          <w:color w:val="000000"/>
          <w:sz w:val="22"/>
          <w:szCs w:val="22"/>
        </w:rPr>
      </w:pPr>
    </w:p>
    <w:p w:rsidR="003D08CC" w:rsidRPr="003D08CC" w:rsidRDefault="003D08CC" w:rsidP="003D08CC">
      <w:pPr>
        <w:spacing w:line="276" w:lineRule="auto"/>
        <w:jc w:val="both"/>
        <w:rPr>
          <w:rFonts w:ascii="Arial" w:hAnsi="Arial" w:cs="Arial"/>
          <w:color w:val="000000"/>
          <w:sz w:val="22"/>
          <w:szCs w:val="22"/>
        </w:rPr>
      </w:pPr>
      <w:r w:rsidRPr="003D08CC">
        <w:rPr>
          <w:rFonts w:ascii="Arial" w:hAnsi="Arial" w:cs="Arial"/>
          <w:color w:val="000000"/>
          <w:sz w:val="22"/>
          <w:szCs w:val="22"/>
        </w:rPr>
        <w:t>S obzirom na utvrđena svojstva i iskustva sa primjenom sličnih materijala koji se eksploatišu na više mjesta na podr</w:t>
      </w:r>
      <w:r w:rsidR="001F75C7">
        <w:rPr>
          <w:rFonts w:ascii="Arial" w:hAnsi="Arial" w:cs="Arial"/>
          <w:color w:val="000000"/>
          <w:sz w:val="22"/>
          <w:szCs w:val="22"/>
        </w:rPr>
        <w:t>učju Crne Gore, obrađivači Izvještaja</w:t>
      </w:r>
      <w:r w:rsidRPr="003D08CC">
        <w:rPr>
          <w:rFonts w:ascii="Arial" w:hAnsi="Arial" w:cs="Arial"/>
          <w:color w:val="000000"/>
          <w:sz w:val="22"/>
          <w:szCs w:val="22"/>
        </w:rPr>
        <w:t xml:space="preserve"> </w:t>
      </w:r>
      <w:r w:rsidR="001F75C7">
        <w:rPr>
          <w:rFonts w:ascii="Arial" w:hAnsi="Arial" w:cs="Arial"/>
          <w:color w:val="000000"/>
          <w:sz w:val="22"/>
          <w:szCs w:val="22"/>
        </w:rPr>
        <w:t xml:space="preserve">o ovom ležištu iz JU Zavod za geološka istraživanja – Podgorica dali su </w:t>
      </w:r>
      <w:r w:rsidRPr="003D08CC">
        <w:rPr>
          <w:rFonts w:ascii="Arial" w:hAnsi="Arial" w:cs="Arial"/>
          <w:color w:val="000000"/>
          <w:sz w:val="22"/>
          <w:szCs w:val="22"/>
        </w:rPr>
        <w:t>sljedeće mišljenje za primjenu krečnjaka iz ovoga ležišta:</w:t>
      </w:r>
    </w:p>
    <w:p w:rsidR="003D08CC" w:rsidRPr="003D08CC" w:rsidRDefault="003D08CC" w:rsidP="003D08CC">
      <w:pPr>
        <w:spacing w:line="276" w:lineRule="auto"/>
        <w:jc w:val="both"/>
        <w:rPr>
          <w:rFonts w:ascii="Arial" w:hAnsi="Arial" w:cs="Arial"/>
          <w:color w:val="000000"/>
          <w:sz w:val="22"/>
          <w:szCs w:val="22"/>
        </w:rPr>
      </w:pPr>
    </w:p>
    <w:p w:rsidR="003D08CC" w:rsidRPr="003D08CC" w:rsidRDefault="003D08CC" w:rsidP="003D08CC">
      <w:pPr>
        <w:pStyle w:val="ListParagraph"/>
        <w:numPr>
          <w:ilvl w:val="0"/>
          <w:numId w:val="4"/>
        </w:numPr>
        <w:spacing w:after="0"/>
        <w:ind w:left="0" w:firstLine="0"/>
        <w:contextualSpacing w:val="0"/>
        <w:jc w:val="both"/>
        <w:rPr>
          <w:rFonts w:ascii="Arial" w:hAnsi="Arial" w:cs="Arial"/>
          <w:color w:val="000000"/>
        </w:rPr>
      </w:pPr>
      <w:r w:rsidRPr="003D08CC">
        <w:rPr>
          <w:rFonts w:ascii="Arial" w:hAnsi="Arial" w:cs="Arial"/>
          <w:color w:val="000000"/>
        </w:rPr>
        <w:t>za spoljašnja vertikalna oblaganja kamen se može upotrijebiti, ali će tokom vremena dobiti jednu bjeličastu, praškastu prevlaku i izgubiti sjaj, što će biti od uticaja na opšti izgled. Ova pojava je normalna za sve slične stijene;</w:t>
      </w:r>
    </w:p>
    <w:p w:rsidR="003D08CC" w:rsidRPr="003D08CC" w:rsidRDefault="003D08CC" w:rsidP="003D08CC">
      <w:pPr>
        <w:pStyle w:val="ListParagraph"/>
        <w:numPr>
          <w:ilvl w:val="0"/>
          <w:numId w:val="4"/>
        </w:numPr>
        <w:spacing w:after="0"/>
        <w:ind w:left="0" w:firstLine="0"/>
        <w:contextualSpacing w:val="0"/>
        <w:jc w:val="both"/>
        <w:rPr>
          <w:rFonts w:ascii="Arial" w:hAnsi="Arial" w:cs="Arial"/>
          <w:color w:val="000000"/>
        </w:rPr>
      </w:pPr>
      <w:r w:rsidRPr="003D08CC">
        <w:rPr>
          <w:rFonts w:ascii="Arial" w:hAnsi="Arial" w:cs="Arial"/>
          <w:color w:val="000000"/>
        </w:rPr>
        <w:t>za unutrašnja vertikalna oblaganja, kamen se može upotrijebiti bez ikakvih ograničenja;</w:t>
      </w:r>
    </w:p>
    <w:p w:rsidR="003D08CC" w:rsidRPr="003D08CC" w:rsidRDefault="003D08CC" w:rsidP="003D08CC">
      <w:pPr>
        <w:pStyle w:val="ListParagraph"/>
        <w:numPr>
          <w:ilvl w:val="0"/>
          <w:numId w:val="4"/>
        </w:numPr>
        <w:spacing w:after="0"/>
        <w:ind w:left="0" w:firstLine="0"/>
        <w:contextualSpacing w:val="0"/>
        <w:jc w:val="both"/>
        <w:rPr>
          <w:rFonts w:ascii="Arial" w:hAnsi="Arial" w:cs="Arial"/>
          <w:color w:val="000000"/>
        </w:rPr>
      </w:pPr>
      <w:r w:rsidRPr="003D08CC">
        <w:rPr>
          <w:rFonts w:ascii="Arial" w:hAnsi="Arial" w:cs="Arial"/>
          <w:color w:val="000000"/>
        </w:rPr>
        <w:t>za unutrašnja horizontalna oblaganja može se upotrijebiti samo na površinama koje neće biti izložene izrazito velikom pješačkom prometu, jer kamen ne posjeduje visoku otpornost prema habanju. Posebno se ne preporučuje upotreba na veoma prometnim stepenišnim površinama;</w:t>
      </w:r>
    </w:p>
    <w:p w:rsidR="003D08CC" w:rsidRPr="003D08CC" w:rsidRDefault="003D08CC" w:rsidP="003D08CC">
      <w:pPr>
        <w:pStyle w:val="ListParagraph"/>
        <w:numPr>
          <w:ilvl w:val="0"/>
          <w:numId w:val="4"/>
        </w:numPr>
        <w:spacing w:after="0"/>
        <w:ind w:left="0" w:firstLine="0"/>
        <w:contextualSpacing w:val="0"/>
        <w:jc w:val="both"/>
        <w:rPr>
          <w:rFonts w:ascii="Arial" w:hAnsi="Arial" w:cs="Arial"/>
          <w:color w:val="000000"/>
        </w:rPr>
      </w:pPr>
      <w:r w:rsidRPr="003D08CC">
        <w:rPr>
          <w:rFonts w:ascii="Arial" w:hAnsi="Arial" w:cs="Arial"/>
          <w:color w:val="000000"/>
        </w:rPr>
        <w:t>za spoljašnja horizontalna oblaganja kamen se ne preporučuje.</w:t>
      </w:r>
    </w:p>
    <w:p w:rsidR="003D08CC" w:rsidRPr="003D08CC" w:rsidRDefault="003D08CC" w:rsidP="003D08CC">
      <w:pPr>
        <w:pStyle w:val="ListParagraph"/>
        <w:spacing w:after="0"/>
        <w:ind w:left="0"/>
        <w:contextualSpacing w:val="0"/>
        <w:jc w:val="both"/>
        <w:rPr>
          <w:rFonts w:ascii="Arial" w:hAnsi="Arial" w:cs="Arial"/>
          <w:color w:val="000000"/>
        </w:rPr>
      </w:pPr>
    </w:p>
    <w:p w:rsidR="003D08CC" w:rsidRPr="001F75C7" w:rsidRDefault="003D08CC" w:rsidP="003D08CC">
      <w:pPr>
        <w:spacing w:line="276" w:lineRule="auto"/>
        <w:jc w:val="both"/>
        <w:rPr>
          <w:rFonts w:ascii="Arial" w:hAnsi="Arial" w:cs="Arial"/>
          <w:sz w:val="22"/>
          <w:szCs w:val="22"/>
        </w:rPr>
      </w:pPr>
      <w:r w:rsidRPr="003D08CC">
        <w:rPr>
          <w:rFonts w:ascii="Arial" w:hAnsi="Arial" w:cs="Arial"/>
          <w:sz w:val="22"/>
          <w:szCs w:val="22"/>
        </w:rPr>
        <w:t>Istražno-eksploatacioni prostor pojave arhitektonsko-građevinskog (ukrasnog) kamena “Kriva ploča”, nalazi se na</w:t>
      </w:r>
      <w:r w:rsidR="001F75C7">
        <w:rPr>
          <w:rFonts w:ascii="Arial" w:hAnsi="Arial" w:cs="Arial"/>
          <w:sz w:val="22"/>
          <w:szCs w:val="22"/>
        </w:rPr>
        <w:t>,</w:t>
      </w:r>
      <w:r w:rsidRPr="003D08CC">
        <w:rPr>
          <w:rFonts w:ascii="Arial" w:hAnsi="Arial" w:cs="Arial"/>
          <w:sz w:val="22"/>
          <w:szCs w:val="22"/>
        </w:rPr>
        <w:t xml:space="preserve"> relativno</w:t>
      </w:r>
      <w:r w:rsidR="001F75C7">
        <w:rPr>
          <w:rFonts w:ascii="Arial" w:hAnsi="Arial" w:cs="Arial"/>
          <w:sz w:val="22"/>
          <w:szCs w:val="22"/>
        </w:rPr>
        <w:t>,</w:t>
      </w:r>
      <w:r w:rsidRPr="003D08CC">
        <w:rPr>
          <w:rFonts w:ascii="Arial" w:hAnsi="Arial" w:cs="Arial"/>
          <w:sz w:val="22"/>
          <w:szCs w:val="22"/>
        </w:rPr>
        <w:t xml:space="preserve"> povoljnom terenu sa aspekta geoloških faktora i zbog svojih prirodnih karakteristika može se smatrati kao teren pogodan </w:t>
      </w:r>
      <w:r w:rsidR="001F75C7">
        <w:rPr>
          <w:rFonts w:ascii="Arial" w:hAnsi="Arial" w:cs="Arial"/>
          <w:sz w:val="22"/>
          <w:szCs w:val="22"/>
        </w:rPr>
        <w:t>za prikupljanje geoloških i inže</w:t>
      </w:r>
      <w:r w:rsidRPr="003D08CC">
        <w:rPr>
          <w:rFonts w:ascii="Arial" w:hAnsi="Arial" w:cs="Arial"/>
          <w:sz w:val="22"/>
          <w:szCs w:val="22"/>
        </w:rPr>
        <w:t>njersko-geoloških podataka.</w:t>
      </w:r>
    </w:p>
    <w:p w:rsidR="003D08CC" w:rsidRPr="003D08CC" w:rsidRDefault="003D08CC" w:rsidP="003D08CC">
      <w:pPr>
        <w:spacing w:line="276" w:lineRule="auto"/>
        <w:jc w:val="both"/>
        <w:rPr>
          <w:rFonts w:ascii="Arial" w:hAnsi="Arial" w:cs="Arial"/>
          <w:i/>
          <w:sz w:val="22"/>
          <w:szCs w:val="22"/>
        </w:rPr>
      </w:pPr>
    </w:p>
    <w:p w:rsidR="00F53032" w:rsidRDefault="003D08CC" w:rsidP="003D08CC">
      <w:pPr>
        <w:spacing w:line="276" w:lineRule="auto"/>
        <w:jc w:val="both"/>
        <w:rPr>
          <w:rFonts w:ascii="Arial" w:hAnsi="Arial" w:cs="Arial"/>
          <w:color w:val="000000"/>
          <w:sz w:val="22"/>
          <w:szCs w:val="22"/>
        </w:rPr>
      </w:pPr>
      <w:proofErr w:type="gramStart"/>
      <w:r w:rsidRPr="003D08CC">
        <w:rPr>
          <w:rFonts w:ascii="Arial" w:hAnsi="Arial" w:cs="Arial"/>
          <w:color w:val="000000"/>
          <w:sz w:val="22"/>
          <w:szCs w:val="22"/>
        </w:rPr>
        <w:t xml:space="preserve">Područje pojave arhitektonsko-građevinskog (ukrasnog) kamena “Kriva ploča” administrativno pripada </w:t>
      </w:r>
      <w:r w:rsidR="001F75C7">
        <w:rPr>
          <w:rFonts w:ascii="Arial" w:hAnsi="Arial" w:cs="Arial"/>
          <w:color w:val="000000"/>
          <w:sz w:val="22"/>
          <w:szCs w:val="22"/>
        </w:rPr>
        <w:t>O</w:t>
      </w:r>
      <w:r w:rsidRPr="003D08CC">
        <w:rPr>
          <w:rFonts w:ascii="Arial" w:hAnsi="Arial" w:cs="Arial"/>
          <w:color w:val="000000"/>
          <w:sz w:val="22"/>
          <w:szCs w:val="22"/>
        </w:rPr>
        <w:t>pštini</w:t>
      </w:r>
      <w:r w:rsidR="00F53032">
        <w:rPr>
          <w:rFonts w:ascii="Arial" w:hAnsi="Arial" w:cs="Arial"/>
          <w:color w:val="000000"/>
          <w:sz w:val="22"/>
          <w:szCs w:val="22"/>
        </w:rPr>
        <w:t xml:space="preserve"> Danilovgrad.</w:t>
      </w:r>
      <w:proofErr w:type="gramEnd"/>
      <w:r w:rsidR="00F53032">
        <w:rPr>
          <w:rFonts w:ascii="Arial" w:hAnsi="Arial" w:cs="Arial"/>
          <w:color w:val="000000"/>
          <w:sz w:val="22"/>
          <w:szCs w:val="22"/>
        </w:rPr>
        <w:t xml:space="preserve"> </w:t>
      </w:r>
    </w:p>
    <w:p w:rsidR="00F53032" w:rsidRDefault="00F53032" w:rsidP="00B31936">
      <w:pPr>
        <w:spacing w:line="276" w:lineRule="auto"/>
        <w:jc w:val="both"/>
        <w:rPr>
          <w:rFonts w:ascii="Arial" w:hAnsi="Arial" w:cs="Arial"/>
          <w:color w:val="000000"/>
          <w:sz w:val="22"/>
          <w:szCs w:val="22"/>
        </w:rPr>
      </w:pPr>
      <w:r>
        <w:rPr>
          <w:rFonts w:ascii="Arial" w:hAnsi="Arial" w:cs="Arial"/>
          <w:color w:val="000000"/>
          <w:sz w:val="22"/>
          <w:szCs w:val="22"/>
        </w:rPr>
        <w:t xml:space="preserve">Na osnovu Lista nepokretnosti 291-prepis izdat </w:t>
      </w:r>
      <w:proofErr w:type="gramStart"/>
      <w:r>
        <w:rPr>
          <w:rFonts w:ascii="Arial" w:hAnsi="Arial" w:cs="Arial"/>
          <w:color w:val="000000"/>
          <w:sz w:val="22"/>
          <w:szCs w:val="22"/>
        </w:rPr>
        <w:t>od</w:t>
      </w:r>
      <w:proofErr w:type="gramEnd"/>
      <w:r>
        <w:rPr>
          <w:rFonts w:ascii="Arial" w:hAnsi="Arial" w:cs="Arial"/>
          <w:color w:val="000000"/>
          <w:sz w:val="22"/>
          <w:szCs w:val="22"/>
        </w:rPr>
        <w:t xml:space="preserve"> Uprave za nekretnine, Područna jedinica Danilograd, br. 120-956-9448/2017, od 14.12.2017. </w:t>
      </w:r>
      <w:proofErr w:type="gramStart"/>
      <w:r>
        <w:rPr>
          <w:rFonts w:ascii="Arial" w:hAnsi="Arial" w:cs="Arial"/>
          <w:color w:val="000000"/>
          <w:sz w:val="22"/>
          <w:szCs w:val="22"/>
        </w:rPr>
        <w:t>godine</w:t>
      </w:r>
      <w:proofErr w:type="gramEnd"/>
      <w:r>
        <w:rPr>
          <w:rFonts w:ascii="Arial" w:hAnsi="Arial" w:cs="Arial"/>
          <w:color w:val="000000"/>
          <w:sz w:val="22"/>
          <w:szCs w:val="22"/>
        </w:rPr>
        <w:t>, zemljište na kojem se nalazi na predmetnom istražno-</w:t>
      </w:r>
      <w:r>
        <w:rPr>
          <w:rFonts w:ascii="Arial" w:hAnsi="Arial" w:cs="Arial"/>
          <w:color w:val="000000"/>
          <w:sz w:val="22"/>
          <w:szCs w:val="22"/>
        </w:rPr>
        <w:lastRenderedPageBreak/>
        <w:t>eksploatacion</w:t>
      </w:r>
      <w:r w:rsidR="00BF0FB1">
        <w:rPr>
          <w:rFonts w:ascii="Arial" w:hAnsi="Arial" w:cs="Arial"/>
          <w:color w:val="000000"/>
          <w:sz w:val="22"/>
          <w:szCs w:val="22"/>
        </w:rPr>
        <w:t>om prostoru pripada katastarskim parcelama</w:t>
      </w:r>
      <w:r>
        <w:rPr>
          <w:rFonts w:ascii="Arial" w:hAnsi="Arial" w:cs="Arial"/>
          <w:color w:val="000000"/>
          <w:sz w:val="22"/>
          <w:szCs w:val="22"/>
        </w:rPr>
        <w:t xml:space="preserve"> br. 1642</w:t>
      </w:r>
      <w:r w:rsidR="00B31936">
        <w:rPr>
          <w:rFonts w:ascii="Arial" w:hAnsi="Arial" w:cs="Arial"/>
          <w:color w:val="000000"/>
          <w:sz w:val="22"/>
          <w:szCs w:val="22"/>
        </w:rPr>
        <w:t>,</w:t>
      </w:r>
      <w:r w:rsidR="00BF0FB1">
        <w:rPr>
          <w:rFonts w:ascii="Arial" w:hAnsi="Arial" w:cs="Arial"/>
          <w:color w:val="000000"/>
          <w:sz w:val="22"/>
          <w:szCs w:val="22"/>
        </w:rPr>
        <w:t>1643</w:t>
      </w:r>
      <w:r w:rsidR="00B31936">
        <w:rPr>
          <w:rFonts w:ascii="Arial" w:hAnsi="Arial" w:cs="Arial"/>
          <w:color w:val="000000"/>
          <w:sz w:val="22"/>
          <w:szCs w:val="22"/>
        </w:rPr>
        <w:t xml:space="preserve"> i jednim dijelom 1644</w:t>
      </w:r>
      <w:r w:rsidR="00BF0FB1">
        <w:rPr>
          <w:rFonts w:ascii="Arial" w:hAnsi="Arial" w:cs="Arial"/>
          <w:color w:val="000000"/>
          <w:sz w:val="22"/>
          <w:szCs w:val="22"/>
        </w:rPr>
        <w:t xml:space="preserve">, KO Slatina I. </w:t>
      </w:r>
    </w:p>
    <w:p w:rsidR="004A6C40" w:rsidRPr="00F53032" w:rsidRDefault="004A6C40" w:rsidP="003D08CC">
      <w:pPr>
        <w:spacing w:line="276" w:lineRule="auto"/>
        <w:jc w:val="both"/>
        <w:rPr>
          <w:rFonts w:ascii="Arial" w:hAnsi="Arial" w:cs="Arial"/>
          <w:color w:val="000000"/>
          <w:sz w:val="22"/>
          <w:szCs w:val="22"/>
        </w:rPr>
      </w:pPr>
    </w:p>
    <w:p w:rsidR="003D08CC" w:rsidRPr="003D08CC" w:rsidRDefault="003D08CC" w:rsidP="003D08CC">
      <w:pPr>
        <w:spacing w:line="276" w:lineRule="auto"/>
        <w:jc w:val="both"/>
        <w:rPr>
          <w:rFonts w:ascii="Arial" w:hAnsi="Arial" w:cs="Arial"/>
          <w:sz w:val="22"/>
          <w:szCs w:val="22"/>
        </w:rPr>
      </w:pPr>
      <w:proofErr w:type="gramStart"/>
      <w:r w:rsidRPr="003D08CC">
        <w:rPr>
          <w:rFonts w:ascii="Arial" w:hAnsi="Arial" w:cs="Arial"/>
          <w:sz w:val="22"/>
          <w:szCs w:val="22"/>
        </w:rPr>
        <w:t>U Prostorno-urbanističkom planu opštine Danilovgrad (“Sl.list CG”-opštinski propisi, br. 12/14), u tekstualnom i grafičkom dijelu, prepoznato je ležište arhitektonsko-građevinskog (ukrasnog) kamena “Kriva ploča” kao koncesioni prostor.</w:t>
      </w:r>
      <w:proofErr w:type="gramEnd"/>
      <w:r w:rsidR="00B31936">
        <w:rPr>
          <w:rFonts w:ascii="Arial" w:hAnsi="Arial" w:cs="Arial"/>
          <w:sz w:val="22"/>
          <w:szCs w:val="22"/>
        </w:rPr>
        <w:t xml:space="preserve"> </w:t>
      </w:r>
    </w:p>
    <w:p w:rsidR="003D08CC" w:rsidRPr="003D08CC" w:rsidRDefault="003D08CC" w:rsidP="003D08CC">
      <w:pPr>
        <w:spacing w:line="276" w:lineRule="auto"/>
        <w:jc w:val="both"/>
        <w:rPr>
          <w:rFonts w:ascii="Arial" w:hAnsi="Arial" w:cs="Arial"/>
          <w:b/>
          <w:sz w:val="22"/>
          <w:szCs w:val="22"/>
        </w:rPr>
      </w:pPr>
    </w:p>
    <w:p w:rsidR="003D08CC" w:rsidRPr="001F75C7" w:rsidRDefault="003D08CC" w:rsidP="003D08CC">
      <w:pPr>
        <w:spacing w:line="276" w:lineRule="auto"/>
        <w:jc w:val="both"/>
        <w:rPr>
          <w:rFonts w:ascii="Arial" w:hAnsi="Arial" w:cs="Arial"/>
          <w:b/>
          <w:sz w:val="22"/>
          <w:szCs w:val="22"/>
        </w:rPr>
      </w:pPr>
      <w:r w:rsidRPr="003D08CC">
        <w:rPr>
          <w:rFonts w:ascii="Arial" w:hAnsi="Arial" w:cs="Arial"/>
          <w:b/>
          <w:sz w:val="22"/>
          <w:szCs w:val="22"/>
        </w:rPr>
        <w:t>6. Pojava arhitektonsko-građevinskog (ukrasnog) kamena ”Vinići”, opština Danilovgrad</w:t>
      </w:r>
    </w:p>
    <w:p w:rsidR="003D08CC" w:rsidRPr="003D08CC" w:rsidRDefault="003D08CC" w:rsidP="003D08CC">
      <w:pPr>
        <w:spacing w:line="276" w:lineRule="auto"/>
        <w:jc w:val="both"/>
        <w:rPr>
          <w:rFonts w:ascii="Arial" w:hAnsi="Arial" w:cs="Arial"/>
          <w:i/>
          <w:sz w:val="22"/>
          <w:szCs w:val="22"/>
        </w:rPr>
      </w:pPr>
    </w:p>
    <w:p w:rsidR="003D08CC" w:rsidRPr="003D08CC" w:rsidRDefault="003D08CC" w:rsidP="003D08CC">
      <w:pPr>
        <w:spacing w:line="276" w:lineRule="auto"/>
        <w:jc w:val="both"/>
        <w:rPr>
          <w:rFonts w:ascii="Arial" w:hAnsi="Arial" w:cs="Arial"/>
          <w:color w:val="000000"/>
          <w:sz w:val="22"/>
          <w:szCs w:val="22"/>
        </w:rPr>
      </w:pPr>
      <w:r w:rsidRPr="003D08CC">
        <w:rPr>
          <w:rFonts w:ascii="Arial" w:hAnsi="Arial" w:cs="Arial"/>
          <w:sz w:val="22"/>
          <w:szCs w:val="22"/>
        </w:rPr>
        <w:t xml:space="preserve">Prostor pojave arhitektonsko-građevinskog </w:t>
      </w:r>
      <w:r w:rsidR="001F75C7">
        <w:rPr>
          <w:rFonts w:ascii="Arial" w:hAnsi="Arial" w:cs="Arial"/>
          <w:sz w:val="22"/>
          <w:szCs w:val="22"/>
        </w:rPr>
        <w:t xml:space="preserve">(ukrasnog) </w:t>
      </w:r>
      <w:r w:rsidRPr="003D08CC">
        <w:rPr>
          <w:rFonts w:ascii="Arial" w:hAnsi="Arial" w:cs="Arial"/>
          <w:sz w:val="22"/>
          <w:szCs w:val="22"/>
        </w:rPr>
        <w:t xml:space="preserve">kamena “Vinići”, kod Danilovgrada, nalazi </w:t>
      </w:r>
      <w:r w:rsidR="001F75C7">
        <w:rPr>
          <w:rFonts w:ascii="Arial" w:hAnsi="Arial" w:cs="Arial"/>
          <w:sz w:val="22"/>
          <w:szCs w:val="22"/>
        </w:rPr>
        <w:t xml:space="preserve">se </w:t>
      </w:r>
      <w:r w:rsidRPr="003D08CC">
        <w:rPr>
          <w:rFonts w:ascii="Arial" w:hAnsi="Arial" w:cs="Arial"/>
          <w:sz w:val="22"/>
          <w:szCs w:val="22"/>
        </w:rPr>
        <w:t>na karstnom prostoru sela Vinići, na jugoistočnim padinama uzvišenja Hum (k. 440 m), oko 8 km sjeverno od Danilovgrada, sa kojim je povezan lokalnim asfaltnim putem širine od oko 4 m. Predmetni</w:t>
      </w:r>
      <w:r w:rsidR="001F75C7">
        <w:rPr>
          <w:rFonts w:ascii="Arial" w:hAnsi="Arial" w:cs="Arial"/>
          <w:sz w:val="22"/>
          <w:szCs w:val="22"/>
        </w:rPr>
        <w:t xml:space="preserve"> prostor teritorijalno pripada O</w:t>
      </w:r>
      <w:r w:rsidRPr="003D08CC">
        <w:rPr>
          <w:rFonts w:ascii="Arial" w:hAnsi="Arial" w:cs="Arial"/>
          <w:sz w:val="22"/>
          <w:szCs w:val="22"/>
        </w:rPr>
        <w:t>pštini Danilovgrad</w:t>
      </w:r>
      <w:r w:rsidR="001F75C7">
        <w:rPr>
          <w:rFonts w:ascii="Arial" w:hAnsi="Arial" w:cs="Arial"/>
          <w:sz w:val="22"/>
          <w:szCs w:val="22"/>
        </w:rPr>
        <w:t>.</w:t>
      </w:r>
    </w:p>
    <w:p w:rsidR="003D08CC" w:rsidRPr="003D08CC" w:rsidRDefault="003D08CC" w:rsidP="003D08CC">
      <w:pPr>
        <w:spacing w:line="276" w:lineRule="auto"/>
        <w:jc w:val="both"/>
        <w:rPr>
          <w:rFonts w:ascii="Arial" w:hAnsi="Arial" w:cs="Arial"/>
          <w:color w:val="000000"/>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Prema kartografskoj podjeli, pojava arhitektonsko-građevinskog (ukrasnog) kamena “Vinići” pripada topografskom listu Danilovgrad 1:100 000, sekciji Danilovgrad, 1:25 000.</w:t>
      </w:r>
    </w:p>
    <w:p w:rsidR="003D08CC" w:rsidRPr="003D08CC" w:rsidRDefault="003D08CC" w:rsidP="003D08CC">
      <w:pPr>
        <w:spacing w:line="276" w:lineRule="auto"/>
        <w:jc w:val="both"/>
        <w:rPr>
          <w:rFonts w:ascii="Arial" w:hAnsi="Arial" w:cs="Arial"/>
          <w:sz w:val="22"/>
          <w:szCs w:val="22"/>
        </w:rPr>
      </w:pPr>
    </w:p>
    <w:p w:rsidR="008B5717"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Granica ležišta definisana je stranama koje prolaze kroz konturne tačake. Koordinate kont</w:t>
      </w:r>
      <w:r w:rsidR="00B81E3C">
        <w:rPr>
          <w:rFonts w:ascii="Arial" w:hAnsi="Arial" w:cs="Arial"/>
          <w:sz w:val="22"/>
          <w:szCs w:val="22"/>
        </w:rPr>
        <w:t>urnih tačaka date su u tabeli:</w:t>
      </w:r>
    </w:p>
    <w:p w:rsidR="003D08CC" w:rsidRPr="003D08CC" w:rsidRDefault="003D08CC" w:rsidP="003D08CC">
      <w:pPr>
        <w:spacing w:line="276" w:lineRule="auto"/>
        <w:jc w:val="both"/>
        <w:rPr>
          <w:rFonts w:ascii="Arial" w:hAnsi="Arial" w:cs="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4"/>
        <w:gridCol w:w="2552"/>
        <w:gridCol w:w="2126"/>
        <w:gridCol w:w="1843"/>
      </w:tblGrid>
      <w:tr w:rsidR="003D08CC" w:rsidRPr="003D08CC" w:rsidTr="00B81E3C">
        <w:trPr>
          <w:trHeight w:val="368"/>
          <w:jc w:val="center"/>
        </w:trPr>
        <w:tc>
          <w:tcPr>
            <w:tcW w:w="1634" w:type="dxa"/>
            <w:vMerge w:val="restart"/>
            <w:tcBorders>
              <w:top w:val="single" w:sz="12" w:space="0" w:color="auto"/>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Konturne tačke</w:t>
            </w:r>
          </w:p>
        </w:tc>
        <w:tc>
          <w:tcPr>
            <w:tcW w:w="4678" w:type="dxa"/>
            <w:gridSpan w:val="2"/>
            <w:tcBorders>
              <w:top w:val="single" w:sz="12" w:space="0" w:color="auto"/>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K</w:t>
            </w:r>
            <w:r w:rsidR="00B81E3C">
              <w:rPr>
                <w:rFonts w:ascii="Arial" w:hAnsi="Arial" w:cs="Arial"/>
                <w:b/>
                <w:sz w:val="22"/>
                <w:szCs w:val="22"/>
              </w:rPr>
              <w:t xml:space="preserve"> </w:t>
            </w:r>
            <w:r w:rsidRPr="003D08CC">
              <w:rPr>
                <w:rFonts w:ascii="Arial" w:hAnsi="Arial" w:cs="Arial"/>
                <w:b/>
                <w:sz w:val="22"/>
                <w:szCs w:val="22"/>
              </w:rPr>
              <w:t>o</w:t>
            </w:r>
            <w:r w:rsidR="00B81E3C">
              <w:rPr>
                <w:rFonts w:ascii="Arial" w:hAnsi="Arial" w:cs="Arial"/>
                <w:b/>
                <w:sz w:val="22"/>
                <w:szCs w:val="22"/>
              </w:rPr>
              <w:t xml:space="preserve"> </w:t>
            </w:r>
            <w:r w:rsidRPr="003D08CC">
              <w:rPr>
                <w:rFonts w:ascii="Arial" w:hAnsi="Arial" w:cs="Arial"/>
                <w:b/>
                <w:sz w:val="22"/>
                <w:szCs w:val="22"/>
              </w:rPr>
              <w:t>o</w:t>
            </w:r>
            <w:r w:rsidR="00B81E3C">
              <w:rPr>
                <w:rFonts w:ascii="Arial" w:hAnsi="Arial" w:cs="Arial"/>
                <w:b/>
                <w:sz w:val="22"/>
                <w:szCs w:val="22"/>
              </w:rPr>
              <w:t xml:space="preserve"> </w:t>
            </w:r>
            <w:r w:rsidRPr="003D08CC">
              <w:rPr>
                <w:rFonts w:ascii="Arial" w:hAnsi="Arial" w:cs="Arial"/>
                <w:b/>
                <w:sz w:val="22"/>
                <w:szCs w:val="22"/>
              </w:rPr>
              <w:t>r</w:t>
            </w:r>
            <w:r w:rsidR="00B81E3C">
              <w:rPr>
                <w:rFonts w:ascii="Arial" w:hAnsi="Arial" w:cs="Arial"/>
                <w:b/>
                <w:sz w:val="22"/>
                <w:szCs w:val="22"/>
              </w:rPr>
              <w:t xml:space="preserve"> </w:t>
            </w:r>
            <w:r w:rsidRPr="003D08CC">
              <w:rPr>
                <w:rFonts w:ascii="Arial" w:hAnsi="Arial" w:cs="Arial"/>
                <w:b/>
                <w:sz w:val="22"/>
                <w:szCs w:val="22"/>
              </w:rPr>
              <w:t>d</w:t>
            </w:r>
            <w:r w:rsidR="00B81E3C">
              <w:rPr>
                <w:rFonts w:ascii="Arial" w:hAnsi="Arial" w:cs="Arial"/>
                <w:b/>
                <w:sz w:val="22"/>
                <w:szCs w:val="22"/>
              </w:rPr>
              <w:t xml:space="preserve"> </w:t>
            </w:r>
            <w:r w:rsidRPr="003D08CC">
              <w:rPr>
                <w:rFonts w:ascii="Arial" w:hAnsi="Arial" w:cs="Arial"/>
                <w:b/>
                <w:sz w:val="22"/>
                <w:szCs w:val="22"/>
              </w:rPr>
              <w:t>i</w:t>
            </w:r>
            <w:r w:rsidR="00B81E3C">
              <w:rPr>
                <w:rFonts w:ascii="Arial" w:hAnsi="Arial" w:cs="Arial"/>
                <w:b/>
                <w:sz w:val="22"/>
                <w:szCs w:val="22"/>
              </w:rPr>
              <w:t xml:space="preserve"> </w:t>
            </w:r>
            <w:r w:rsidRPr="003D08CC">
              <w:rPr>
                <w:rFonts w:ascii="Arial" w:hAnsi="Arial" w:cs="Arial"/>
                <w:b/>
                <w:sz w:val="22"/>
                <w:szCs w:val="22"/>
              </w:rPr>
              <w:t>n</w:t>
            </w:r>
            <w:r w:rsidR="00B81E3C">
              <w:rPr>
                <w:rFonts w:ascii="Arial" w:hAnsi="Arial" w:cs="Arial"/>
                <w:b/>
                <w:sz w:val="22"/>
                <w:szCs w:val="22"/>
              </w:rPr>
              <w:t xml:space="preserve"> </w:t>
            </w:r>
            <w:r w:rsidRPr="003D08CC">
              <w:rPr>
                <w:rFonts w:ascii="Arial" w:hAnsi="Arial" w:cs="Arial"/>
                <w:b/>
                <w:sz w:val="22"/>
                <w:szCs w:val="22"/>
              </w:rPr>
              <w:t>a</w:t>
            </w:r>
            <w:r w:rsidR="00B81E3C">
              <w:rPr>
                <w:rFonts w:ascii="Arial" w:hAnsi="Arial" w:cs="Arial"/>
                <w:b/>
                <w:sz w:val="22"/>
                <w:szCs w:val="22"/>
              </w:rPr>
              <w:t xml:space="preserve"> </w:t>
            </w:r>
            <w:r w:rsidRPr="003D08CC">
              <w:rPr>
                <w:rFonts w:ascii="Arial" w:hAnsi="Arial" w:cs="Arial"/>
                <w:b/>
                <w:sz w:val="22"/>
                <w:szCs w:val="22"/>
              </w:rPr>
              <w:t>t</w:t>
            </w:r>
            <w:r w:rsidR="00B81E3C">
              <w:rPr>
                <w:rFonts w:ascii="Arial" w:hAnsi="Arial" w:cs="Arial"/>
                <w:b/>
                <w:sz w:val="22"/>
                <w:szCs w:val="22"/>
              </w:rPr>
              <w:t xml:space="preserve"> </w:t>
            </w:r>
            <w:r w:rsidRPr="003D08CC">
              <w:rPr>
                <w:rFonts w:ascii="Arial" w:hAnsi="Arial" w:cs="Arial"/>
                <w:b/>
                <w:sz w:val="22"/>
                <w:szCs w:val="22"/>
              </w:rPr>
              <w:t>e</w:t>
            </w:r>
          </w:p>
        </w:tc>
        <w:tc>
          <w:tcPr>
            <w:tcW w:w="1843" w:type="dxa"/>
            <w:vMerge w:val="restart"/>
            <w:tcBorders>
              <w:top w:val="single" w:sz="12" w:space="0" w:color="auto"/>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Površina</w:t>
            </w:r>
          </w:p>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ha</w:t>
            </w:r>
          </w:p>
        </w:tc>
      </w:tr>
      <w:tr w:rsidR="003D08CC" w:rsidRPr="003D08CC" w:rsidTr="00B81E3C">
        <w:trPr>
          <w:trHeight w:val="173"/>
          <w:jc w:val="center"/>
        </w:trPr>
        <w:tc>
          <w:tcPr>
            <w:tcW w:w="1634" w:type="dxa"/>
            <w:vMerge/>
            <w:tcBorders>
              <w:left w:val="single" w:sz="12" w:space="0" w:color="auto"/>
              <w:bottom w:val="single" w:sz="12" w:space="0" w:color="auto"/>
              <w:right w:val="single" w:sz="12" w:space="0" w:color="auto"/>
            </w:tcBorders>
          </w:tcPr>
          <w:p w:rsidR="003D08CC" w:rsidRPr="003D08CC" w:rsidRDefault="003D08CC" w:rsidP="003D08CC">
            <w:pPr>
              <w:spacing w:line="276" w:lineRule="auto"/>
              <w:jc w:val="both"/>
              <w:rPr>
                <w:rFonts w:ascii="Arial" w:hAnsi="Arial" w:cs="Arial"/>
              </w:rPr>
            </w:pPr>
          </w:p>
        </w:tc>
        <w:tc>
          <w:tcPr>
            <w:tcW w:w="2552" w:type="dxa"/>
            <w:tcBorders>
              <w:left w:val="single" w:sz="12" w:space="0" w:color="auto"/>
              <w:bottom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X</w:t>
            </w:r>
          </w:p>
        </w:tc>
        <w:tc>
          <w:tcPr>
            <w:tcW w:w="2126" w:type="dxa"/>
            <w:tcBorders>
              <w:left w:val="single" w:sz="12" w:space="0" w:color="auto"/>
              <w:bottom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Y</w:t>
            </w:r>
          </w:p>
        </w:tc>
        <w:tc>
          <w:tcPr>
            <w:tcW w:w="1843" w:type="dxa"/>
            <w:vMerge/>
            <w:tcBorders>
              <w:left w:val="single" w:sz="12" w:space="0" w:color="auto"/>
              <w:bottom w:val="single" w:sz="12" w:space="0" w:color="auto"/>
              <w:right w:val="single" w:sz="12" w:space="0" w:color="auto"/>
            </w:tcBorders>
          </w:tcPr>
          <w:p w:rsidR="003D08CC" w:rsidRPr="003D08CC" w:rsidRDefault="003D08CC" w:rsidP="003D08CC">
            <w:pPr>
              <w:spacing w:line="276" w:lineRule="auto"/>
              <w:jc w:val="both"/>
              <w:rPr>
                <w:rFonts w:ascii="Arial" w:hAnsi="Arial" w:cs="Arial"/>
              </w:rPr>
            </w:pPr>
          </w:p>
        </w:tc>
      </w:tr>
      <w:tr w:rsidR="003D08CC" w:rsidRPr="003D08CC" w:rsidTr="00B81E3C">
        <w:trPr>
          <w:jc w:val="center"/>
        </w:trPr>
        <w:tc>
          <w:tcPr>
            <w:tcW w:w="1634" w:type="dxa"/>
            <w:tcBorders>
              <w:top w:val="single" w:sz="12" w:space="0" w:color="auto"/>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A</w:t>
            </w:r>
          </w:p>
        </w:tc>
        <w:tc>
          <w:tcPr>
            <w:tcW w:w="2552" w:type="dxa"/>
            <w:tcBorders>
              <w:top w:val="single" w:sz="12" w:space="0" w:color="auto"/>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4 719 100</w:t>
            </w:r>
          </w:p>
        </w:tc>
        <w:tc>
          <w:tcPr>
            <w:tcW w:w="2126" w:type="dxa"/>
            <w:tcBorders>
              <w:top w:val="single" w:sz="12" w:space="0" w:color="auto"/>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6 589 840</w:t>
            </w:r>
          </w:p>
        </w:tc>
        <w:tc>
          <w:tcPr>
            <w:tcW w:w="1843" w:type="dxa"/>
            <w:vMerge w:val="restart"/>
            <w:tcBorders>
              <w:top w:val="single" w:sz="12" w:space="0" w:color="auto"/>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p>
          <w:p w:rsidR="003D08CC" w:rsidRPr="003D08CC" w:rsidRDefault="003D08CC" w:rsidP="00B81E3C">
            <w:pPr>
              <w:spacing w:line="276" w:lineRule="auto"/>
              <w:jc w:val="center"/>
              <w:rPr>
                <w:rFonts w:ascii="Arial" w:hAnsi="Arial" w:cs="Arial"/>
              </w:rPr>
            </w:pPr>
            <w:r w:rsidRPr="003D08CC">
              <w:rPr>
                <w:rFonts w:ascii="Arial" w:hAnsi="Arial" w:cs="Arial"/>
                <w:sz w:val="22"/>
                <w:szCs w:val="22"/>
              </w:rPr>
              <w:t>7,5</w:t>
            </w:r>
          </w:p>
          <w:p w:rsidR="003D08CC" w:rsidRPr="003D08CC" w:rsidRDefault="003D08CC" w:rsidP="00B81E3C">
            <w:pPr>
              <w:spacing w:line="276" w:lineRule="auto"/>
              <w:jc w:val="center"/>
              <w:rPr>
                <w:rFonts w:ascii="Arial" w:hAnsi="Arial" w:cs="Arial"/>
              </w:rPr>
            </w:pPr>
          </w:p>
        </w:tc>
      </w:tr>
      <w:tr w:rsidR="003D08CC" w:rsidRPr="003D08CC" w:rsidTr="00B81E3C">
        <w:trPr>
          <w:jc w:val="center"/>
        </w:trPr>
        <w:tc>
          <w:tcPr>
            <w:tcW w:w="1634"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B</w:t>
            </w:r>
          </w:p>
        </w:tc>
        <w:tc>
          <w:tcPr>
            <w:tcW w:w="2552"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4 719 150</w:t>
            </w:r>
          </w:p>
        </w:tc>
        <w:tc>
          <w:tcPr>
            <w:tcW w:w="2126"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6 590 140</w:t>
            </w:r>
          </w:p>
        </w:tc>
        <w:tc>
          <w:tcPr>
            <w:tcW w:w="1843" w:type="dxa"/>
            <w:vMerge/>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p>
        </w:tc>
      </w:tr>
      <w:tr w:rsidR="003D08CC" w:rsidRPr="003D08CC" w:rsidTr="00B81E3C">
        <w:trPr>
          <w:jc w:val="center"/>
        </w:trPr>
        <w:tc>
          <w:tcPr>
            <w:tcW w:w="1634"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C</w:t>
            </w:r>
          </w:p>
        </w:tc>
        <w:tc>
          <w:tcPr>
            <w:tcW w:w="2552"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sz w:val="22"/>
                <w:szCs w:val="22"/>
              </w:rPr>
              <w:t>4 719 255</w:t>
            </w:r>
          </w:p>
        </w:tc>
        <w:tc>
          <w:tcPr>
            <w:tcW w:w="2126"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6 590 150</w:t>
            </w:r>
          </w:p>
        </w:tc>
        <w:tc>
          <w:tcPr>
            <w:tcW w:w="1843" w:type="dxa"/>
            <w:vMerge/>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p>
        </w:tc>
      </w:tr>
      <w:tr w:rsidR="003D08CC" w:rsidRPr="003D08CC" w:rsidTr="00B81E3C">
        <w:trPr>
          <w:jc w:val="center"/>
        </w:trPr>
        <w:tc>
          <w:tcPr>
            <w:tcW w:w="1634"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D</w:t>
            </w:r>
          </w:p>
        </w:tc>
        <w:tc>
          <w:tcPr>
            <w:tcW w:w="2552"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4 719 450</w:t>
            </w:r>
          </w:p>
        </w:tc>
        <w:tc>
          <w:tcPr>
            <w:tcW w:w="2126" w:type="dxa"/>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6 589 950</w:t>
            </w:r>
          </w:p>
        </w:tc>
        <w:tc>
          <w:tcPr>
            <w:tcW w:w="1843" w:type="dxa"/>
            <w:vMerge/>
            <w:tcBorders>
              <w:left w:val="single" w:sz="12" w:space="0" w:color="auto"/>
              <w:right w:val="single" w:sz="12" w:space="0" w:color="auto"/>
            </w:tcBorders>
          </w:tcPr>
          <w:p w:rsidR="003D08CC" w:rsidRPr="003D08CC" w:rsidRDefault="003D08CC" w:rsidP="00B81E3C">
            <w:pPr>
              <w:spacing w:line="276" w:lineRule="auto"/>
              <w:jc w:val="center"/>
              <w:rPr>
                <w:rFonts w:ascii="Arial" w:hAnsi="Arial" w:cs="Arial"/>
              </w:rPr>
            </w:pPr>
          </w:p>
        </w:tc>
      </w:tr>
      <w:tr w:rsidR="003D08CC" w:rsidRPr="003D08CC" w:rsidTr="00B81E3C">
        <w:trPr>
          <w:jc w:val="center"/>
        </w:trPr>
        <w:tc>
          <w:tcPr>
            <w:tcW w:w="1634" w:type="dxa"/>
            <w:tcBorders>
              <w:left w:val="single" w:sz="12" w:space="0" w:color="auto"/>
              <w:bottom w:val="single" w:sz="12" w:space="0" w:color="auto"/>
              <w:right w:val="single" w:sz="12" w:space="0" w:color="auto"/>
            </w:tcBorders>
          </w:tcPr>
          <w:p w:rsidR="003D08CC" w:rsidRPr="003D08CC" w:rsidRDefault="003D08CC" w:rsidP="00B81E3C">
            <w:pPr>
              <w:spacing w:line="276" w:lineRule="auto"/>
              <w:jc w:val="center"/>
              <w:rPr>
                <w:rFonts w:ascii="Arial" w:hAnsi="Arial" w:cs="Arial"/>
                <w:b/>
              </w:rPr>
            </w:pPr>
            <w:r w:rsidRPr="003D08CC">
              <w:rPr>
                <w:rFonts w:ascii="Arial" w:hAnsi="Arial" w:cs="Arial"/>
                <w:b/>
                <w:sz w:val="22"/>
                <w:szCs w:val="22"/>
              </w:rPr>
              <w:t>E</w:t>
            </w:r>
          </w:p>
        </w:tc>
        <w:tc>
          <w:tcPr>
            <w:tcW w:w="2552" w:type="dxa"/>
            <w:tcBorders>
              <w:left w:val="single" w:sz="12" w:space="0" w:color="auto"/>
              <w:bottom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4 719 450</w:t>
            </w:r>
          </w:p>
        </w:tc>
        <w:tc>
          <w:tcPr>
            <w:tcW w:w="2126" w:type="dxa"/>
            <w:tcBorders>
              <w:left w:val="single" w:sz="12" w:space="0" w:color="auto"/>
              <w:bottom w:val="single" w:sz="12" w:space="0" w:color="auto"/>
              <w:right w:val="single" w:sz="12" w:space="0" w:color="auto"/>
            </w:tcBorders>
          </w:tcPr>
          <w:p w:rsidR="003D08CC" w:rsidRPr="003D08CC" w:rsidRDefault="003D08CC" w:rsidP="00B81E3C">
            <w:pPr>
              <w:spacing w:line="276" w:lineRule="auto"/>
              <w:jc w:val="center"/>
              <w:rPr>
                <w:rFonts w:ascii="Arial" w:hAnsi="Arial" w:cs="Arial"/>
              </w:rPr>
            </w:pPr>
            <w:r w:rsidRPr="003D08CC">
              <w:rPr>
                <w:rFonts w:ascii="Arial" w:hAnsi="Arial" w:cs="Arial"/>
                <w:sz w:val="22"/>
                <w:szCs w:val="22"/>
              </w:rPr>
              <w:t>6 589 830</w:t>
            </w:r>
          </w:p>
        </w:tc>
        <w:tc>
          <w:tcPr>
            <w:tcW w:w="1843" w:type="dxa"/>
            <w:vMerge/>
            <w:tcBorders>
              <w:left w:val="single" w:sz="12" w:space="0" w:color="auto"/>
              <w:bottom w:val="single" w:sz="12" w:space="0" w:color="auto"/>
              <w:right w:val="single" w:sz="12" w:space="0" w:color="auto"/>
            </w:tcBorders>
          </w:tcPr>
          <w:p w:rsidR="003D08CC" w:rsidRPr="003D08CC" w:rsidRDefault="003D08CC" w:rsidP="00B81E3C">
            <w:pPr>
              <w:spacing w:line="276" w:lineRule="auto"/>
              <w:jc w:val="center"/>
              <w:rPr>
                <w:rFonts w:ascii="Arial" w:hAnsi="Arial" w:cs="Arial"/>
              </w:rPr>
            </w:pPr>
          </w:p>
        </w:tc>
      </w:tr>
    </w:tbl>
    <w:p w:rsidR="003D08CC" w:rsidRPr="003D08CC" w:rsidRDefault="003D08CC" w:rsidP="003D08CC">
      <w:pPr>
        <w:spacing w:line="276" w:lineRule="auto"/>
        <w:jc w:val="both"/>
        <w:rPr>
          <w:rFonts w:ascii="Arial" w:hAnsi="Arial" w:cs="Arial"/>
          <w:i/>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Na terenu obuhvaćenom ovim prostorom vršena su osnovna geološka istraživanja, kroz izradu Osnovne geološka karte, OGK SFRJ, 1:100 000, list Titograd, a detaljna geološka istraživanja arhitektonsko-građevinskog (ukrasnog) kamena nijesu izvođena.</w:t>
      </w:r>
    </w:p>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 xml:space="preserve">U periodu od 1962. do 1966. godine, u okviru izrade OGK, lista Titograd (M. Živaljević i dr.), za ovaj prostor je urađena geološka karta, 1:25 000. Prema tim podacima teren lokaliteta “Vinići” izgrađuju žuto-bjeličasti bankoviti i masivni gornjokredni krečnjaci gdje su prisutna dva sistema pukotina, pružanja sjeveroistok-jugozapad i sjeverozapad-jugoistok. </w:t>
      </w:r>
    </w:p>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O kvalitativnim karakteristikama može se govoriti jedino na osnovu analogije sa sličnim ležištima, koja su nastala u sličnim geološkim uslovima i koja imaju veći stepen istraženosti. Na osnovu analize postojećih podataka, može se pretpostaviti da će sirovina sa ovog lokaliteta ispuniti uslove za primjenu kao arhitektonsko-građevinski (ukrasni) kamen. Odgovor na ovo pitanje će se dobiti kroz ispitivanje kvaliteta, u skladu sa važećim standardima.</w:t>
      </w:r>
    </w:p>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sz w:val="22"/>
          <w:szCs w:val="22"/>
        </w:rPr>
      </w:pPr>
      <w:r w:rsidRPr="003D08CC">
        <w:rPr>
          <w:rFonts w:ascii="Arial" w:hAnsi="Arial" w:cs="Arial"/>
          <w:sz w:val="22"/>
          <w:szCs w:val="22"/>
        </w:rPr>
        <w:t xml:space="preserve">Istražno-eksploatacioni prostor pojave arhitektonsko-građevinskog (ukrasnog) kamena “Vinići”, nalazi se </w:t>
      </w:r>
      <w:proofErr w:type="gramStart"/>
      <w:r w:rsidRPr="003D08CC">
        <w:rPr>
          <w:rFonts w:ascii="Arial" w:hAnsi="Arial" w:cs="Arial"/>
          <w:sz w:val="22"/>
          <w:szCs w:val="22"/>
        </w:rPr>
        <w:t>na</w:t>
      </w:r>
      <w:proofErr w:type="gramEnd"/>
      <w:r w:rsidR="00B81E3C">
        <w:rPr>
          <w:rFonts w:ascii="Arial" w:hAnsi="Arial" w:cs="Arial"/>
          <w:sz w:val="22"/>
          <w:szCs w:val="22"/>
        </w:rPr>
        <w:t>,</w:t>
      </w:r>
      <w:r w:rsidRPr="003D08CC">
        <w:rPr>
          <w:rFonts w:ascii="Arial" w:hAnsi="Arial" w:cs="Arial"/>
          <w:sz w:val="22"/>
          <w:szCs w:val="22"/>
        </w:rPr>
        <w:t xml:space="preserve"> relativno</w:t>
      </w:r>
      <w:r w:rsidR="00B81E3C">
        <w:rPr>
          <w:rFonts w:ascii="Arial" w:hAnsi="Arial" w:cs="Arial"/>
          <w:sz w:val="22"/>
          <w:szCs w:val="22"/>
        </w:rPr>
        <w:t>,</w:t>
      </w:r>
      <w:r w:rsidRPr="003D08CC">
        <w:rPr>
          <w:rFonts w:ascii="Arial" w:hAnsi="Arial" w:cs="Arial"/>
          <w:sz w:val="22"/>
          <w:szCs w:val="22"/>
        </w:rPr>
        <w:t xml:space="preserve"> povoljnom terenu sa aspekta geoloških faktora i zbog svojih prirodnih karakteristika može se smatrati kao teren pogodan za prikupl</w:t>
      </w:r>
      <w:r w:rsidR="00B81E3C">
        <w:rPr>
          <w:rFonts w:ascii="Arial" w:hAnsi="Arial" w:cs="Arial"/>
          <w:sz w:val="22"/>
          <w:szCs w:val="22"/>
        </w:rPr>
        <w:t>janje geoloških i inže</w:t>
      </w:r>
      <w:r w:rsidRPr="003D08CC">
        <w:rPr>
          <w:rFonts w:ascii="Arial" w:hAnsi="Arial" w:cs="Arial"/>
          <w:sz w:val="22"/>
          <w:szCs w:val="22"/>
        </w:rPr>
        <w:t xml:space="preserve">njersko-geoloških podataka. </w:t>
      </w:r>
    </w:p>
    <w:p w:rsidR="003D08CC" w:rsidRPr="003D08CC" w:rsidRDefault="003D08CC" w:rsidP="003D08CC">
      <w:pPr>
        <w:spacing w:line="276" w:lineRule="auto"/>
        <w:jc w:val="both"/>
        <w:rPr>
          <w:rFonts w:ascii="Arial" w:hAnsi="Arial" w:cs="Arial"/>
          <w:sz w:val="22"/>
          <w:szCs w:val="22"/>
        </w:rPr>
      </w:pPr>
      <w:proofErr w:type="gramStart"/>
      <w:r w:rsidRPr="003D08CC">
        <w:rPr>
          <w:rFonts w:ascii="Arial" w:hAnsi="Arial" w:cs="Arial"/>
          <w:sz w:val="22"/>
          <w:szCs w:val="22"/>
        </w:rPr>
        <w:lastRenderedPageBreak/>
        <w:t>Na osnovu raspoloživih podataka, procijenjene rezerve stijenske</w:t>
      </w:r>
      <w:r w:rsidR="00B81E3C">
        <w:rPr>
          <w:rFonts w:ascii="Arial" w:hAnsi="Arial" w:cs="Arial"/>
          <w:sz w:val="22"/>
          <w:szCs w:val="22"/>
        </w:rPr>
        <w:t xml:space="preserve"> mase u ležištu su iznosile 750.</w:t>
      </w:r>
      <w:r w:rsidRPr="003D08CC">
        <w:rPr>
          <w:rFonts w:ascii="Arial" w:hAnsi="Arial" w:cs="Arial"/>
          <w:sz w:val="22"/>
          <w:szCs w:val="22"/>
        </w:rPr>
        <w:t>000 m</w:t>
      </w:r>
      <w:r w:rsidRPr="003D08CC">
        <w:rPr>
          <w:rFonts w:ascii="Arial" w:hAnsi="Arial" w:cs="Arial"/>
          <w:sz w:val="22"/>
          <w:szCs w:val="22"/>
          <w:vertAlign w:val="superscript"/>
        </w:rPr>
        <w:t>3</w:t>
      </w:r>
      <w:r w:rsidR="00B81E3C">
        <w:rPr>
          <w:rFonts w:ascii="Arial" w:hAnsi="Arial" w:cs="Arial"/>
          <w:sz w:val="22"/>
          <w:szCs w:val="22"/>
        </w:rPr>
        <w:t xml:space="preserve"> č.s.m.</w:t>
      </w:r>
      <w:proofErr w:type="gramEnd"/>
    </w:p>
    <w:p w:rsidR="003D08CC" w:rsidRPr="003D08CC" w:rsidRDefault="003D08CC" w:rsidP="003D08CC">
      <w:pPr>
        <w:spacing w:line="276" w:lineRule="auto"/>
        <w:jc w:val="both"/>
        <w:rPr>
          <w:rFonts w:ascii="Arial" w:hAnsi="Arial" w:cs="Arial"/>
          <w:sz w:val="22"/>
          <w:szCs w:val="22"/>
        </w:rPr>
      </w:pPr>
    </w:p>
    <w:p w:rsidR="003D08CC" w:rsidRPr="00B81E3C" w:rsidRDefault="003D08CC" w:rsidP="003D08CC">
      <w:pPr>
        <w:spacing w:line="276" w:lineRule="auto"/>
        <w:jc w:val="both"/>
        <w:rPr>
          <w:rFonts w:ascii="Arial" w:hAnsi="Arial" w:cs="Arial"/>
          <w:sz w:val="22"/>
          <w:szCs w:val="22"/>
        </w:rPr>
      </w:pPr>
      <w:proofErr w:type="gramStart"/>
      <w:r w:rsidRPr="003D08CC">
        <w:rPr>
          <w:rFonts w:ascii="Arial" w:hAnsi="Arial" w:cs="Arial"/>
          <w:sz w:val="22"/>
          <w:szCs w:val="22"/>
        </w:rPr>
        <w:t xml:space="preserve">Područje pojave arhitektonsko-građevinskog kamena “Vinići”, administrativno pripada </w:t>
      </w:r>
      <w:r w:rsidR="00B81E3C">
        <w:rPr>
          <w:rFonts w:ascii="Arial" w:hAnsi="Arial" w:cs="Arial"/>
          <w:sz w:val="22"/>
          <w:szCs w:val="22"/>
        </w:rPr>
        <w:t>Op</w:t>
      </w:r>
      <w:r w:rsidRPr="003D08CC">
        <w:rPr>
          <w:rFonts w:ascii="Arial" w:hAnsi="Arial" w:cs="Arial"/>
          <w:sz w:val="22"/>
          <w:szCs w:val="22"/>
        </w:rPr>
        <w:t>štini Danilovgrad, a prema katastarskoj podjeli pripada KO</w:t>
      </w:r>
      <w:r w:rsidR="00B81E3C">
        <w:rPr>
          <w:rFonts w:ascii="Arial" w:hAnsi="Arial" w:cs="Arial"/>
          <w:sz w:val="22"/>
          <w:szCs w:val="22"/>
        </w:rPr>
        <w:t xml:space="preserve"> Slap</w:t>
      </w:r>
      <w:r w:rsidR="00B31936">
        <w:rPr>
          <w:rFonts w:ascii="Arial" w:hAnsi="Arial" w:cs="Arial"/>
          <w:sz w:val="22"/>
          <w:szCs w:val="22"/>
        </w:rPr>
        <w:t>.</w:t>
      </w:r>
      <w:proofErr w:type="gramEnd"/>
    </w:p>
    <w:p w:rsidR="003D08CC" w:rsidRPr="003D08CC" w:rsidRDefault="003D08CC" w:rsidP="003D08CC">
      <w:pPr>
        <w:spacing w:line="276" w:lineRule="auto"/>
        <w:jc w:val="both"/>
        <w:rPr>
          <w:rFonts w:ascii="Arial" w:hAnsi="Arial" w:cs="Arial"/>
          <w:sz w:val="22"/>
          <w:szCs w:val="22"/>
        </w:rPr>
      </w:pPr>
    </w:p>
    <w:p w:rsidR="003D08CC" w:rsidRPr="003D08CC" w:rsidRDefault="003D08CC" w:rsidP="003D08CC">
      <w:pPr>
        <w:spacing w:line="276" w:lineRule="auto"/>
        <w:jc w:val="both"/>
        <w:rPr>
          <w:rFonts w:ascii="Arial" w:hAnsi="Arial" w:cs="Arial"/>
          <w:sz w:val="22"/>
          <w:szCs w:val="22"/>
        </w:rPr>
      </w:pPr>
      <w:proofErr w:type="gramStart"/>
      <w:r w:rsidRPr="003D08CC">
        <w:rPr>
          <w:rFonts w:ascii="Arial" w:hAnsi="Arial" w:cs="Arial"/>
          <w:sz w:val="22"/>
          <w:szCs w:val="22"/>
        </w:rPr>
        <w:t>U Prostorno-urbanističkom planu opštine Danilovgrad (“Sl.list CG”-opštinski propisi, br. 12/14), u tekstualnom i grafičkom dijelu, prepoznato je ležište arhitektonsko-građevinskog (ukrasnog) kamena “Vinići” kao koncesioni prostor.</w:t>
      </w:r>
      <w:proofErr w:type="gramEnd"/>
    </w:p>
    <w:p w:rsidR="003D08CC" w:rsidRPr="003D08CC" w:rsidRDefault="003D08CC" w:rsidP="003D08CC">
      <w:pPr>
        <w:spacing w:line="276" w:lineRule="auto"/>
        <w:jc w:val="both"/>
        <w:rPr>
          <w:rFonts w:ascii="Arial" w:hAnsi="Arial" w:cs="Arial"/>
          <w:sz w:val="22"/>
          <w:szCs w:val="22"/>
        </w:rPr>
      </w:pPr>
    </w:p>
    <w:sectPr w:rsidR="003D08CC" w:rsidRPr="003D08CC" w:rsidSect="00237AD4">
      <w:headerReference w:type="default" r:id="rId8"/>
      <w:pgSz w:w="12240" w:h="15840"/>
      <w:pgMar w:top="851" w:right="1021" w:bottom="851" w:left="102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F2" w:rsidRDefault="00307DF2" w:rsidP="005F4345">
      <w:r>
        <w:separator/>
      </w:r>
    </w:p>
  </w:endnote>
  <w:endnote w:type="continuationSeparator" w:id="0">
    <w:p w:rsidR="00307DF2" w:rsidRDefault="00307DF2" w:rsidP="005F43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F2" w:rsidRDefault="00307DF2" w:rsidP="005F4345">
      <w:r>
        <w:separator/>
      </w:r>
    </w:p>
  </w:footnote>
  <w:footnote w:type="continuationSeparator" w:id="0">
    <w:p w:rsidR="00307DF2" w:rsidRDefault="00307DF2" w:rsidP="005F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9047"/>
      <w:docPartObj>
        <w:docPartGallery w:val="Page Numbers (Top of Page)"/>
        <w:docPartUnique/>
      </w:docPartObj>
    </w:sdtPr>
    <w:sdtContent>
      <w:p w:rsidR="00686F6A" w:rsidRDefault="002D1244">
        <w:pPr>
          <w:pStyle w:val="Header"/>
          <w:jc w:val="center"/>
        </w:pPr>
        <w:fldSimple w:instr=" PAGE   \* MERGEFORMAT ">
          <w:r w:rsidR="00AE31BA">
            <w:rPr>
              <w:noProof/>
            </w:rPr>
            <w:t>11</w:t>
          </w:r>
        </w:fldSimple>
      </w:p>
    </w:sdtContent>
  </w:sdt>
  <w:p w:rsidR="00686F6A" w:rsidRDefault="00686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722"/>
    <w:multiLevelType w:val="hybridMultilevel"/>
    <w:tmpl w:val="752EEC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nsid w:val="081F48A2"/>
    <w:multiLevelType w:val="hybridMultilevel"/>
    <w:tmpl w:val="63F0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846C0"/>
    <w:multiLevelType w:val="multilevel"/>
    <w:tmpl w:val="702CAD6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lang w:val="sr-Cyrl-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345608A"/>
    <w:multiLevelType w:val="hybridMultilevel"/>
    <w:tmpl w:val="4476F078"/>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grammar="clean"/>
  <w:defaultTabStop w:val="720"/>
  <w:characterSpacingControl w:val="doNotCompress"/>
  <w:footnotePr>
    <w:footnote w:id="-1"/>
    <w:footnote w:id="0"/>
  </w:footnotePr>
  <w:endnotePr>
    <w:endnote w:id="-1"/>
    <w:endnote w:id="0"/>
  </w:endnotePr>
  <w:compat/>
  <w:rsids>
    <w:rsidRoot w:val="004A2308"/>
    <w:rsid w:val="00004442"/>
    <w:rsid w:val="000238B4"/>
    <w:rsid w:val="000240D2"/>
    <w:rsid w:val="00080CFD"/>
    <w:rsid w:val="00087138"/>
    <w:rsid w:val="0009119F"/>
    <w:rsid w:val="001348F6"/>
    <w:rsid w:val="001373CE"/>
    <w:rsid w:val="001607D5"/>
    <w:rsid w:val="00187E33"/>
    <w:rsid w:val="001C390E"/>
    <w:rsid w:val="001C3BFD"/>
    <w:rsid w:val="001D00DC"/>
    <w:rsid w:val="001E10D6"/>
    <w:rsid w:val="001F75C7"/>
    <w:rsid w:val="00207B7A"/>
    <w:rsid w:val="00237AD4"/>
    <w:rsid w:val="00245C83"/>
    <w:rsid w:val="002533CC"/>
    <w:rsid w:val="00253632"/>
    <w:rsid w:val="00265400"/>
    <w:rsid w:val="002872D7"/>
    <w:rsid w:val="002D1244"/>
    <w:rsid w:val="002E276A"/>
    <w:rsid w:val="00307DF2"/>
    <w:rsid w:val="0033521B"/>
    <w:rsid w:val="00340824"/>
    <w:rsid w:val="003603ED"/>
    <w:rsid w:val="00363CA5"/>
    <w:rsid w:val="003A0D31"/>
    <w:rsid w:val="003A16A8"/>
    <w:rsid w:val="003C57BD"/>
    <w:rsid w:val="003D08CC"/>
    <w:rsid w:val="0040089B"/>
    <w:rsid w:val="00422679"/>
    <w:rsid w:val="004226FF"/>
    <w:rsid w:val="00464C30"/>
    <w:rsid w:val="004827FD"/>
    <w:rsid w:val="004A2308"/>
    <w:rsid w:val="004A52C8"/>
    <w:rsid w:val="004A6C40"/>
    <w:rsid w:val="004B45AB"/>
    <w:rsid w:val="004F1C05"/>
    <w:rsid w:val="004F3D5E"/>
    <w:rsid w:val="00562668"/>
    <w:rsid w:val="00594B4C"/>
    <w:rsid w:val="005C74FE"/>
    <w:rsid w:val="005F4345"/>
    <w:rsid w:val="0060739B"/>
    <w:rsid w:val="00634BED"/>
    <w:rsid w:val="00663BF0"/>
    <w:rsid w:val="00686F6A"/>
    <w:rsid w:val="006A478C"/>
    <w:rsid w:val="006B09B6"/>
    <w:rsid w:val="006B5D91"/>
    <w:rsid w:val="0071349B"/>
    <w:rsid w:val="00732F3F"/>
    <w:rsid w:val="007434F5"/>
    <w:rsid w:val="00747037"/>
    <w:rsid w:val="007532A6"/>
    <w:rsid w:val="007C3286"/>
    <w:rsid w:val="007C7DDF"/>
    <w:rsid w:val="00812000"/>
    <w:rsid w:val="00832514"/>
    <w:rsid w:val="008502A9"/>
    <w:rsid w:val="00885DD2"/>
    <w:rsid w:val="00893B43"/>
    <w:rsid w:val="008A60B4"/>
    <w:rsid w:val="008B3783"/>
    <w:rsid w:val="008B3BD7"/>
    <w:rsid w:val="008B5717"/>
    <w:rsid w:val="008F3554"/>
    <w:rsid w:val="0091221B"/>
    <w:rsid w:val="00921292"/>
    <w:rsid w:val="009911A8"/>
    <w:rsid w:val="00A31567"/>
    <w:rsid w:val="00A338B5"/>
    <w:rsid w:val="00A36E43"/>
    <w:rsid w:val="00A652CA"/>
    <w:rsid w:val="00A95C38"/>
    <w:rsid w:val="00AA698C"/>
    <w:rsid w:val="00AB3F07"/>
    <w:rsid w:val="00AB4EE8"/>
    <w:rsid w:val="00AD4709"/>
    <w:rsid w:val="00AE2FD7"/>
    <w:rsid w:val="00AE31BA"/>
    <w:rsid w:val="00B14385"/>
    <w:rsid w:val="00B31936"/>
    <w:rsid w:val="00B438FF"/>
    <w:rsid w:val="00B61781"/>
    <w:rsid w:val="00B81C0E"/>
    <w:rsid w:val="00B81E3C"/>
    <w:rsid w:val="00B84DC7"/>
    <w:rsid w:val="00BD2BAA"/>
    <w:rsid w:val="00BF0FB1"/>
    <w:rsid w:val="00C011C4"/>
    <w:rsid w:val="00C10B21"/>
    <w:rsid w:val="00C15114"/>
    <w:rsid w:val="00C21F03"/>
    <w:rsid w:val="00C511F8"/>
    <w:rsid w:val="00C76A56"/>
    <w:rsid w:val="00D11F44"/>
    <w:rsid w:val="00D26A64"/>
    <w:rsid w:val="00D56B4E"/>
    <w:rsid w:val="00D577D9"/>
    <w:rsid w:val="00DD5E5C"/>
    <w:rsid w:val="00E47D0C"/>
    <w:rsid w:val="00E65D02"/>
    <w:rsid w:val="00EA5382"/>
    <w:rsid w:val="00EB7517"/>
    <w:rsid w:val="00F22DDE"/>
    <w:rsid w:val="00F53032"/>
    <w:rsid w:val="00F6583B"/>
    <w:rsid w:val="00F84B00"/>
    <w:rsid w:val="00F944E7"/>
    <w:rsid w:val="00FE5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33CC"/>
    <w:pPr>
      <w:keepNext/>
      <w:numPr>
        <w:numId w:val="3"/>
      </w:numPr>
      <w:suppressAutoHyphens/>
      <w:outlineLvl w:val="0"/>
    </w:pPr>
    <w:rPr>
      <w:rFonts w:asciiTheme="minorHAnsi" w:eastAsia="Arial Unicode MS" w:hAnsiTheme="minorHAnsi" w:cstheme="minorHAnsi"/>
      <w:b/>
      <w:bCs/>
      <w:kern w:val="32"/>
      <w:sz w:val="28"/>
      <w:szCs w:val="28"/>
      <w:lang w:val="sr-Latn-CS"/>
    </w:rPr>
  </w:style>
  <w:style w:type="paragraph" w:styleId="Heading2">
    <w:name w:val="heading 2"/>
    <w:basedOn w:val="Normal"/>
    <w:next w:val="Normal"/>
    <w:link w:val="Heading2Char"/>
    <w:autoRedefine/>
    <w:qFormat/>
    <w:rsid w:val="002533CC"/>
    <w:pPr>
      <w:keepNext/>
      <w:numPr>
        <w:ilvl w:val="1"/>
        <w:numId w:val="3"/>
      </w:numPr>
      <w:suppressAutoHyphens/>
      <w:outlineLvl w:val="1"/>
    </w:pPr>
    <w:rPr>
      <w:rFonts w:asciiTheme="majorHAnsi" w:eastAsia="Arial Unicode MS" w:hAnsiTheme="majorHAnsi" w:cstheme="minorHAnsi"/>
      <w:b/>
      <w:bCs/>
      <w:iCs/>
      <w:kern w:val="1"/>
      <w:sz w:val="22"/>
      <w:szCs w:val="22"/>
      <w:u w:val="single"/>
      <w:lang w:val="sr-Latn-CS"/>
    </w:rPr>
  </w:style>
  <w:style w:type="paragraph" w:styleId="Heading4">
    <w:name w:val="heading 4"/>
    <w:basedOn w:val="Normal"/>
    <w:next w:val="BodyText"/>
    <w:link w:val="Heading4Char"/>
    <w:qFormat/>
    <w:rsid w:val="002533CC"/>
    <w:pPr>
      <w:keepNext/>
      <w:numPr>
        <w:ilvl w:val="3"/>
        <w:numId w:val="3"/>
      </w:numPr>
      <w:suppressAutoHyphens/>
      <w:spacing w:line="100" w:lineRule="atLeast"/>
      <w:outlineLvl w:val="3"/>
    </w:pPr>
    <w:rPr>
      <w:rFonts w:ascii="Cambria" w:hAnsi="Cambria"/>
      <w:kern w:val="1"/>
    </w:rPr>
  </w:style>
  <w:style w:type="paragraph" w:styleId="Heading5">
    <w:name w:val="heading 5"/>
    <w:basedOn w:val="Normal"/>
    <w:next w:val="Normal"/>
    <w:link w:val="Heading5Char"/>
    <w:semiHidden/>
    <w:unhideWhenUsed/>
    <w:qFormat/>
    <w:rsid w:val="002533CC"/>
    <w:pPr>
      <w:numPr>
        <w:ilvl w:val="4"/>
        <w:numId w:val="3"/>
      </w:numPr>
      <w:suppressAutoHyphens/>
      <w:spacing w:before="240" w:after="60" w:line="276" w:lineRule="auto"/>
      <w:outlineLvl w:val="4"/>
    </w:pPr>
    <w:rPr>
      <w:rFonts w:ascii="Calibri" w:hAnsi="Calibri"/>
      <w:b/>
      <w:bCs/>
      <w:i/>
      <w:iCs/>
      <w:kern w:val="1"/>
      <w:sz w:val="26"/>
      <w:szCs w:val="26"/>
    </w:rPr>
  </w:style>
  <w:style w:type="paragraph" w:styleId="Heading6">
    <w:name w:val="heading 6"/>
    <w:basedOn w:val="Normal"/>
    <w:next w:val="Normal"/>
    <w:link w:val="Heading6Char"/>
    <w:semiHidden/>
    <w:unhideWhenUsed/>
    <w:qFormat/>
    <w:rsid w:val="002533CC"/>
    <w:pPr>
      <w:numPr>
        <w:ilvl w:val="5"/>
        <w:numId w:val="3"/>
      </w:numPr>
      <w:suppressAutoHyphens/>
      <w:spacing w:before="240" w:after="60" w:line="276" w:lineRule="auto"/>
      <w:outlineLvl w:val="5"/>
    </w:pPr>
    <w:rPr>
      <w:rFonts w:ascii="Calibri" w:hAnsi="Calibri"/>
      <w:b/>
      <w:bCs/>
      <w:kern w:val="1"/>
      <w:sz w:val="22"/>
      <w:szCs w:val="22"/>
    </w:rPr>
  </w:style>
  <w:style w:type="paragraph" w:styleId="Heading7">
    <w:name w:val="heading 7"/>
    <w:basedOn w:val="Normal"/>
    <w:next w:val="BodyText"/>
    <w:link w:val="Heading7Char"/>
    <w:qFormat/>
    <w:rsid w:val="002533CC"/>
    <w:pPr>
      <w:keepNext/>
      <w:numPr>
        <w:ilvl w:val="6"/>
        <w:numId w:val="3"/>
      </w:numPr>
      <w:suppressAutoHyphens/>
      <w:spacing w:line="100" w:lineRule="atLeast"/>
      <w:jc w:val="center"/>
      <w:outlineLvl w:val="6"/>
    </w:pPr>
    <w:rPr>
      <w:b/>
      <w:bCs/>
      <w:kern w:val="1"/>
      <w:sz w:val="28"/>
    </w:rPr>
  </w:style>
  <w:style w:type="paragraph" w:styleId="Heading8">
    <w:name w:val="heading 8"/>
    <w:basedOn w:val="Normal"/>
    <w:next w:val="BodyText"/>
    <w:link w:val="Heading8Char"/>
    <w:qFormat/>
    <w:rsid w:val="002533CC"/>
    <w:pPr>
      <w:keepNext/>
      <w:numPr>
        <w:ilvl w:val="7"/>
        <w:numId w:val="3"/>
      </w:numPr>
      <w:suppressAutoHyphens/>
      <w:spacing w:line="100" w:lineRule="atLeast"/>
      <w:jc w:val="both"/>
      <w:outlineLvl w:val="7"/>
    </w:pPr>
    <w:rPr>
      <w:b/>
      <w:bCs/>
      <w:kern w:val="1"/>
      <w:sz w:val="28"/>
    </w:rPr>
  </w:style>
  <w:style w:type="paragraph" w:styleId="Heading9">
    <w:name w:val="heading 9"/>
    <w:basedOn w:val="Normal"/>
    <w:next w:val="BodyText"/>
    <w:link w:val="Heading9Char"/>
    <w:qFormat/>
    <w:rsid w:val="002533CC"/>
    <w:pPr>
      <w:keepNext/>
      <w:numPr>
        <w:ilvl w:val="8"/>
        <w:numId w:val="3"/>
      </w:numPr>
      <w:suppressAutoHyphens/>
      <w:spacing w:line="100" w:lineRule="atLeast"/>
      <w:jc w:val="both"/>
      <w:outlineLvl w:val="8"/>
    </w:pPr>
    <w:rPr>
      <w:ker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2308"/>
    <w:pPr>
      <w:jc w:val="both"/>
    </w:pPr>
    <w:rPr>
      <w:rFonts w:ascii="Arial" w:hAnsi="Arial" w:cs="Arial"/>
      <w:b/>
      <w:sz w:val="22"/>
      <w:szCs w:val="22"/>
      <w:lang w:val="sr-Latn-CS"/>
    </w:rPr>
  </w:style>
  <w:style w:type="character" w:customStyle="1" w:styleId="BodyTextChar">
    <w:name w:val="Body Text Char"/>
    <w:basedOn w:val="DefaultParagraphFont"/>
    <w:link w:val="BodyText"/>
    <w:rsid w:val="004A2308"/>
    <w:rPr>
      <w:rFonts w:ascii="Arial" w:eastAsia="Times New Roman" w:hAnsi="Arial" w:cs="Arial"/>
      <w:b/>
      <w:lang w:val="sr-Latn-CS"/>
    </w:rPr>
  </w:style>
  <w:style w:type="paragraph" w:styleId="ListParagraph">
    <w:name w:val="List Paragraph"/>
    <w:basedOn w:val="Normal"/>
    <w:uiPriority w:val="34"/>
    <w:qFormat/>
    <w:rsid w:val="004A2308"/>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A2308"/>
    <w:pPr>
      <w:tabs>
        <w:tab w:val="center" w:pos="4680"/>
        <w:tab w:val="right" w:pos="9360"/>
      </w:tabs>
    </w:pPr>
  </w:style>
  <w:style w:type="character" w:customStyle="1" w:styleId="HeaderChar">
    <w:name w:val="Header Char"/>
    <w:basedOn w:val="DefaultParagraphFont"/>
    <w:link w:val="Header"/>
    <w:uiPriority w:val="99"/>
    <w:rsid w:val="004A23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308"/>
    <w:rPr>
      <w:rFonts w:ascii="Tahoma" w:hAnsi="Tahoma" w:cs="Tahoma"/>
      <w:sz w:val="16"/>
      <w:szCs w:val="16"/>
    </w:rPr>
  </w:style>
  <w:style w:type="character" w:customStyle="1" w:styleId="BalloonTextChar">
    <w:name w:val="Balloon Text Char"/>
    <w:basedOn w:val="DefaultParagraphFont"/>
    <w:link w:val="BalloonText"/>
    <w:uiPriority w:val="99"/>
    <w:semiHidden/>
    <w:rsid w:val="004A2308"/>
    <w:rPr>
      <w:rFonts w:ascii="Tahoma" w:eastAsia="Times New Roman" w:hAnsi="Tahoma" w:cs="Tahoma"/>
      <w:sz w:val="16"/>
      <w:szCs w:val="16"/>
    </w:rPr>
  </w:style>
  <w:style w:type="paragraph" w:styleId="BodyText3">
    <w:name w:val="Body Text 3"/>
    <w:basedOn w:val="Normal"/>
    <w:link w:val="BodyText3Char"/>
    <w:uiPriority w:val="99"/>
    <w:semiHidden/>
    <w:unhideWhenUsed/>
    <w:rsid w:val="002533CC"/>
    <w:pPr>
      <w:spacing w:after="120"/>
    </w:pPr>
    <w:rPr>
      <w:sz w:val="16"/>
      <w:szCs w:val="16"/>
    </w:rPr>
  </w:style>
  <w:style w:type="character" w:customStyle="1" w:styleId="BodyText3Char">
    <w:name w:val="Body Text 3 Char"/>
    <w:basedOn w:val="DefaultParagraphFont"/>
    <w:link w:val="BodyText3"/>
    <w:uiPriority w:val="99"/>
    <w:semiHidden/>
    <w:rsid w:val="002533CC"/>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2533CC"/>
    <w:pPr>
      <w:spacing w:after="120" w:line="480" w:lineRule="auto"/>
    </w:pPr>
  </w:style>
  <w:style w:type="character" w:customStyle="1" w:styleId="BodyText2Char">
    <w:name w:val="Body Text 2 Char"/>
    <w:basedOn w:val="DefaultParagraphFont"/>
    <w:link w:val="BodyText2"/>
    <w:uiPriority w:val="99"/>
    <w:semiHidden/>
    <w:rsid w:val="002533CC"/>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533CC"/>
    <w:rPr>
      <w:rFonts w:eastAsia="Arial Unicode MS" w:cstheme="minorHAnsi"/>
      <w:b/>
      <w:bCs/>
      <w:kern w:val="32"/>
      <w:sz w:val="28"/>
      <w:szCs w:val="28"/>
      <w:lang w:val="sr-Latn-CS"/>
    </w:rPr>
  </w:style>
  <w:style w:type="character" w:customStyle="1" w:styleId="Heading2Char">
    <w:name w:val="Heading 2 Char"/>
    <w:basedOn w:val="DefaultParagraphFont"/>
    <w:link w:val="Heading2"/>
    <w:rsid w:val="002533CC"/>
    <w:rPr>
      <w:rFonts w:asciiTheme="majorHAnsi" w:eastAsia="Arial Unicode MS" w:hAnsiTheme="majorHAnsi" w:cstheme="minorHAnsi"/>
      <w:b/>
      <w:bCs/>
      <w:iCs/>
      <w:kern w:val="1"/>
      <w:u w:val="single"/>
      <w:lang w:val="sr-Latn-CS"/>
    </w:rPr>
  </w:style>
  <w:style w:type="character" w:customStyle="1" w:styleId="Heading4Char">
    <w:name w:val="Heading 4 Char"/>
    <w:basedOn w:val="DefaultParagraphFont"/>
    <w:link w:val="Heading4"/>
    <w:rsid w:val="002533CC"/>
    <w:rPr>
      <w:rFonts w:ascii="Cambria" w:eastAsia="Times New Roman" w:hAnsi="Cambria" w:cs="Times New Roman"/>
      <w:kern w:val="1"/>
      <w:sz w:val="24"/>
      <w:szCs w:val="24"/>
    </w:rPr>
  </w:style>
  <w:style w:type="character" w:customStyle="1" w:styleId="Heading5Char">
    <w:name w:val="Heading 5 Char"/>
    <w:basedOn w:val="DefaultParagraphFont"/>
    <w:link w:val="Heading5"/>
    <w:semiHidden/>
    <w:rsid w:val="002533CC"/>
    <w:rPr>
      <w:rFonts w:ascii="Calibri" w:eastAsia="Times New Roman" w:hAnsi="Calibri" w:cs="Times New Roman"/>
      <w:b/>
      <w:bCs/>
      <w:i/>
      <w:iCs/>
      <w:kern w:val="1"/>
      <w:sz w:val="26"/>
      <w:szCs w:val="26"/>
    </w:rPr>
  </w:style>
  <w:style w:type="character" w:customStyle="1" w:styleId="Heading6Char">
    <w:name w:val="Heading 6 Char"/>
    <w:basedOn w:val="DefaultParagraphFont"/>
    <w:link w:val="Heading6"/>
    <w:semiHidden/>
    <w:rsid w:val="002533CC"/>
    <w:rPr>
      <w:rFonts w:ascii="Calibri" w:eastAsia="Times New Roman" w:hAnsi="Calibri" w:cs="Times New Roman"/>
      <w:b/>
      <w:bCs/>
      <w:kern w:val="1"/>
    </w:rPr>
  </w:style>
  <w:style w:type="character" w:customStyle="1" w:styleId="Heading7Char">
    <w:name w:val="Heading 7 Char"/>
    <w:basedOn w:val="DefaultParagraphFont"/>
    <w:link w:val="Heading7"/>
    <w:rsid w:val="002533CC"/>
    <w:rPr>
      <w:rFonts w:ascii="Times New Roman" w:eastAsia="Times New Roman" w:hAnsi="Times New Roman" w:cs="Times New Roman"/>
      <w:b/>
      <w:bCs/>
      <w:kern w:val="1"/>
      <w:sz w:val="28"/>
      <w:szCs w:val="24"/>
    </w:rPr>
  </w:style>
  <w:style w:type="character" w:customStyle="1" w:styleId="Heading8Char">
    <w:name w:val="Heading 8 Char"/>
    <w:basedOn w:val="DefaultParagraphFont"/>
    <w:link w:val="Heading8"/>
    <w:rsid w:val="002533CC"/>
    <w:rPr>
      <w:rFonts w:ascii="Times New Roman" w:eastAsia="Times New Roman" w:hAnsi="Times New Roman" w:cs="Times New Roman"/>
      <w:b/>
      <w:bCs/>
      <w:kern w:val="1"/>
      <w:sz w:val="28"/>
      <w:szCs w:val="24"/>
    </w:rPr>
  </w:style>
  <w:style w:type="character" w:customStyle="1" w:styleId="Heading9Char">
    <w:name w:val="Heading 9 Char"/>
    <w:basedOn w:val="DefaultParagraphFont"/>
    <w:link w:val="Heading9"/>
    <w:rsid w:val="002533CC"/>
    <w:rPr>
      <w:rFonts w:ascii="Times New Roman" w:eastAsia="Times New Roman" w:hAnsi="Times New Roman" w:cs="Times New Roman"/>
      <w:kern w:val="1"/>
      <w:sz w:val="28"/>
      <w:szCs w:val="24"/>
    </w:rPr>
  </w:style>
  <w:style w:type="paragraph" w:styleId="BodyTextIndent">
    <w:name w:val="Body Text Indent"/>
    <w:basedOn w:val="Normal"/>
    <w:link w:val="BodyTextIndentChar"/>
    <w:uiPriority w:val="99"/>
    <w:unhideWhenUsed/>
    <w:rsid w:val="002533CC"/>
    <w:pPr>
      <w:suppressAutoHyphens/>
      <w:spacing w:after="120" w:line="276" w:lineRule="auto"/>
      <w:ind w:left="360"/>
    </w:pPr>
    <w:rPr>
      <w:rFonts w:ascii="Calibri" w:eastAsia="Arial Unicode MS" w:hAnsi="Calibri" w:cs="Calibri"/>
      <w:kern w:val="1"/>
      <w:sz w:val="22"/>
      <w:szCs w:val="22"/>
    </w:rPr>
  </w:style>
  <w:style w:type="character" w:customStyle="1" w:styleId="BodyTextIndentChar">
    <w:name w:val="Body Text Indent Char"/>
    <w:basedOn w:val="DefaultParagraphFont"/>
    <w:link w:val="BodyTextIndent"/>
    <w:uiPriority w:val="99"/>
    <w:rsid w:val="002533CC"/>
    <w:rPr>
      <w:rFonts w:ascii="Calibri" w:eastAsia="Arial Unicode MS" w:hAnsi="Calibri" w:cs="Calibri"/>
      <w:kern w:val="1"/>
    </w:rPr>
  </w:style>
  <w:style w:type="table" w:styleId="TableGrid">
    <w:name w:val="Table Grid"/>
    <w:basedOn w:val="TableNormal"/>
    <w:uiPriority w:val="59"/>
    <w:rsid w:val="006B5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9119F"/>
    <w:pPr>
      <w:spacing w:before="100" w:beforeAutospacing="1" w:after="225"/>
    </w:pPr>
    <w:rPr>
      <w:rFonts w:ascii="Open Sans" w:hAnsi="Open Sans"/>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D324F-7CA6-4B6B-A713-16A2A160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11</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vesna.vujacic</dc:creator>
  <cp:lastModifiedBy>vesna.vujacic</cp:lastModifiedBy>
  <cp:revision>23</cp:revision>
  <dcterms:created xsi:type="dcterms:W3CDTF">2018-04-02T07:48:00Z</dcterms:created>
  <dcterms:modified xsi:type="dcterms:W3CDTF">2018-05-11T09:12:00Z</dcterms:modified>
</cp:coreProperties>
</file>