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18336367"/>
        <w:docPartObj>
          <w:docPartGallery w:val="Page Numbers (Top of Page)"/>
          <w:docPartUnique/>
        </w:docPartObj>
      </w:sdtPr>
      <w:sdtEndPr/>
      <w:sdtContent>
        <w:p w14:paraId="44C028EF" w14:textId="77777777" w:rsidR="00EE16D2" w:rsidRPr="00EE16D2" w:rsidRDefault="00EE16D2" w:rsidP="00EE16D2">
          <w:pPr>
            <w:pStyle w:val="Header"/>
            <w:jc w:val="right"/>
            <w:rPr>
              <w:rFonts w:ascii="Arial" w:hAnsi="Arial" w:cs="Arial"/>
              <w:b/>
            </w:rPr>
          </w:pPr>
          <w:r w:rsidRPr="00EE16D2">
            <w:rPr>
              <w:rFonts w:ascii="Arial" w:hAnsi="Arial" w:cs="Arial"/>
              <w:b/>
            </w:rPr>
            <w:t>NACRT</w:t>
          </w:r>
        </w:p>
        <w:p w14:paraId="1AEF28A0" w14:textId="77777777" w:rsidR="00EE16D2" w:rsidRDefault="00595554" w:rsidP="00EE16D2">
          <w:pPr>
            <w:pStyle w:val="Header"/>
            <w:jc w:val="right"/>
          </w:pPr>
        </w:p>
      </w:sdtContent>
    </w:sdt>
    <w:p w14:paraId="695D0CD1" w14:textId="31C197E0" w:rsidR="00524DDC" w:rsidRPr="00872CD4" w:rsidRDefault="00524DDC" w:rsidP="00524DDC">
      <w:pPr>
        <w:spacing w:after="0" w:line="240" w:lineRule="auto"/>
        <w:jc w:val="both"/>
        <w:rPr>
          <w:rFonts w:ascii="Arial" w:eastAsia="Times New Roman" w:hAnsi="Arial" w:cs="Arial"/>
          <w:kern w:val="0"/>
          <w:lang w:val="sr-Latn-ME" w:eastAsia="sr-Latn-ME"/>
          <w14:ligatures w14:val="none"/>
        </w:rPr>
      </w:pPr>
      <w:r>
        <w:rPr>
          <w:rFonts w:ascii="Arial" w:eastAsia="Times New Roman" w:hAnsi="Arial" w:cs="Arial"/>
          <w:kern w:val="0"/>
          <w:lang w:val="sr-Latn-ME" w:eastAsia="sr-Latn-ME"/>
          <w14:ligatures w14:val="none"/>
        </w:rPr>
        <w:t xml:space="preserve"> </w:t>
      </w:r>
    </w:p>
    <w:p w14:paraId="605B5A14" w14:textId="77777777" w:rsidR="00EE16D2" w:rsidRDefault="00EE16D2" w:rsidP="003A3655">
      <w:pPr>
        <w:pStyle w:val="NormalWeb"/>
        <w:spacing w:before="0" w:beforeAutospacing="0" w:after="0" w:afterAutospacing="0"/>
        <w:ind w:firstLine="720"/>
        <w:jc w:val="center"/>
        <w:rPr>
          <w:rFonts w:ascii="Arial" w:hAnsi="Arial" w:cs="Arial"/>
          <w:b/>
          <w:bCs/>
          <w:sz w:val="22"/>
          <w:szCs w:val="22"/>
        </w:rPr>
      </w:pPr>
      <w:r w:rsidRPr="008734AD">
        <w:rPr>
          <w:rFonts w:ascii="Arial" w:hAnsi="Arial" w:cs="Arial"/>
          <w:b/>
          <w:bCs/>
          <w:sz w:val="22"/>
          <w:szCs w:val="22"/>
        </w:rPr>
        <w:t xml:space="preserve">ZAKON </w:t>
      </w:r>
    </w:p>
    <w:p w14:paraId="05C434A6" w14:textId="2A0D6EAB" w:rsidR="00B34CD5" w:rsidRPr="008734AD" w:rsidRDefault="00EE16D2" w:rsidP="003A3655">
      <w:pPr>
        <w:pStyle w:val="NormalWeb"/>
        <w:spacing w:before="0" w:beforeAutospacing="0" w:after="0" w:afterAutospacing="0"/>
        <w:ind w:firstLine="720"/>
        <w:jc w:val="center"/>
        <w:rPr>
          <w:rFonts w:ascii="Arial" w:hAnsi="Arial" w:cs="Arial"/>
          <w:b/>
          <w:bCs/>
          <w:sz w:val="22"/>
          <w:szCs w:val="22"/>
        </w:rPr>
      </w:pPr>
      <w:r w:rsidRPr="008734AD">
        <w:rPr>
          <w:rFonts w:ascii="Arial" w:hAnsi="Arial" w:cs="Arial"/>
          <w:b/>
          <w:bCs/>
          <w:sz w:val="22"/>
          <w:szCs w:val="22"/>
        </w:rPr>
        <w:t>O IZMJENAMA I DOPUNAMA ZAKONA O IZDAVANJU POKRIVENIH OBVEZNICA I NADZORU POKRIVENIH OBVEZNICA</w:t>
      </w:r>
      <w:r>
        <w:rPr>
          <w:rFonts w:ascii="Arial" w:hAnsi="Arial" w:cs="Arial"/>
          <w:b/>
          <w:bCs/>
          <w:sz w:val="22"/>
          <w:szCs w:val="22"/>
        </w:rPr>
        <w:t>*</w:t>
      </w:r>
    </w:p>
    <w:p w14:paraId="019E2CFF" w14:textId="77777777" w:rsidR="00B34CD5" w:rsidRPr="008734AD" w:rsidRDefault="00B34CD5" w:rsidP="003A3655">
      <w:pPr>
        <w:pStyle w:val="NormalWeb"/>
        <w:spacing w:before="0" w:beforeAutospacing="0" w:after="0" w:afterAutospacing="0"/>
        <w:ind w:firstLine="720"/>
        <w:jc w:val="center"/>
        <w:rPr>
          <w:rFonts w:ascii="Arial" w:hAnsi="Arial" w:cs="Arial"/>
          <w:b/>
          <w:bCs/>
          <w:sz w:val="22"/>
          <w:szCs w:val="22"/>
        </w:rPr>
      </w:pPr>
    </w:p>
    <w:p w14:paraId="6A326121" w14:textId="77777777" w:rsidR="00B34CD5" w:rsidRPr="008734AD" w:rsidRDefault="00B34CD5" w:rsidP="003A3655">
      <w:pPr>
        <w:pStyle w:val="NormalWeb"/>
        <w:spacing w:before="0" w:beforeAutospacing="0" w:after="0" w:afterAutospacing="0"/>
        <w:ind w:firstLine="720"/>
        <w:jc w:val="center"/>
        <w:rPr>
          <w:rFonts w:ascii="Arial" w:hAnsi="Arial" w:cs="Arial"/>
          <w:b/>
          <w:bCs/>
          <w:sz w:val="22"/>
          <w:szCs w:val="22"/>
        </w:rPr>
      </w:pPr>
    </w:p>
    <w:p w14:paraId="3B9DA81A" w14:textId="2C30E0F2" w:rsidR="00B34CD5" w:rsidRPr="008734AD" w:rsidRDefault="00B34CD5" w:rsidP="003A3655">
      <w:pPr>
        <w:pStyle w:val="NormalWeb"/>
        <w:spacing w:before="0" w:beforeAutospacing="0" w:after="0" w:afterAutospacing="0"/>
        <w:ind w:firstLine="720"/>
        <w:jc w:val="center"/>
        <w:rPr>
          <w:rFonts w:ascii="Arial" w:hAnsi="Arial" w:cs="Arial"/>
          <w:b/>
          <w:bCs/>
          <w:sz w:val="22"/>
          <w:szCs w:val="22"/>
        </w:rPr>
      </w:pPr>
      <w:r w:rsidRPr="008734AD">
        <w:rPr>
          <w:rFonts w:ascii="Arial" w:hAnsi="Arial" w:cs="Arial"/>
          <w:b/>
          <w:bCs/>
          <w:sz w:val="22"/>
          <w:szCs w:val="22"/>
        </w:rPr>
        <w:t>Član 1</w:t>
      </w:r>
    </w:p>
    <w:p w14:paraId="204EEC25" w14:textId="3E9E6E5C" w:rsidR="00B34CD5" w:rsidRPr="008734AD" w:rsidRDefault="00B34CD5" w:rsidP="008734AD">
      <w:pPr>
        <w:pStyle w:val="NormalWeb"/>
        <w:spacing w:after="0"/>
        <w:ind w:firstLine="720"/>
        <w:jc w:val="both"/>
        <w:rPr>
          <w:rFonts w:ascii="Arial" w:hAnsi="Arial" w:cs="Arial"/>
          <w:sz w:val="22"/>
          <w:szCs w:val="22"/>
        </w:rPr>
      </w:pPr>
      <w:r w:rsidRPr="008734AD">
        <w:rPr>
          <w:rFonts w:ascii="Arial" w:hAnsi="Arial" w:cs="Arial"/>
          <w:sz w:val="22"/>
          <w:szCs w:val="22"/>
        </w:rPr>
        <w:t xml:space="preserve">Poslije člana 41 </w:t>
      </w:r>
      <w:bookmarkStart w:id="0" w:name="_Hlk214969217"/>
      <w:r w:rsidRPr="008734AD">
        <w:rPr>
          <w:rFonts w:ascii="Arial" w:hAnsi="Arial" w:cs="Arial"/>
          <w:sz w:val="22"/>
          <w:szCs w:val="22"/>
        </w:rPr>
        <w:t>Zakona o izdavanju pokrivenih obveznica i nadzoru pokrivenih obveznica ("Službeni list Crne Gore", br. 082/25 od 30.07.2025)</w:t>
      </w:r>
      <w:r w:rsidR="00600AD0" w:rsidRPr="008734AD">
        <w:rPr>
          <w:rFonts w:ascii="Arial" w:hAnsi="Arial" w:cs="Arial"/>
          <w:sz w:val="22"/>
          <w:szCs w:val="22"/>
        </w:rPr>
        <w:t xml:space="preserve"> </w:t>
      </w:r>
      <w:bookmarkEnd w:id="0"/>
      <w:r w:rsidR="00600AD0" w:rsidRPr="008734AD">
        <w:rPr>
          <w:rFonts w:ascii="Arial" w:hAnsi="Arial" w:cs="Arial"/>
          <w:sz w:val="22"/>
          <w:szCs w:val="22"/>
        </w:rPr>
        <w:t>(u daljem tekstu: Zakon)</w:t>
      </w:r>
      <w:r w:rsidRPr="008734AD">
        <w:rPr>
          <w:rFonts w:ascii="Arial" w:hAnsi="Arial" w:cs="Arial"/>
          <w:sz w:val="22"/>
          <w:szCs w:val="22"/>
        </w:rPr>
        <w:t xml:space="preserve"> dodaje se novi član 41a koji glasi:</w:t>
      </w:r>
    </w:p>
    <w:p w14:paraId="14D2EC64" w14:textId="737A4850" w:rsidR="003A3655" w:rsidRPr="008734AD" w:rsidRDefault="00B34CD5" w:rsidP="003A3655">
      <w:pPr>
        <w:pStyle w:val="NormalWeb"/>
        <w:spacing w:before="0" w:beforeAutospacing="0" w:after="0" w:afterAutospacing="0"/>
        <w:ind w:firstLine="720"/>
        <w:jc w:val="center"/>
        <w:rPr>
          <w:rFonts w:ascii="Arial" w:hAnsi="Arial" w:cs="Arial"/>
          <w:b/>
          <w:bCs/>
          <w:sz w:val="22"/>
          <w:szCs w:val="22"/>
        </w:rPr>
      </w:pPr>
      <w:r w:rsidRPr="008734AD">
        <w:rPr>
          <w:rFonts w:ascii="Arial" w:hAnsi="Arial" w:cs="Arial"/>
          <w:b/>
          <w:bCs/>
          <w:sz w:val="22"/>
          <w:szCs w:val="22"/>
        </w:rPr>
        <w:t>„</w:t>
      </w:r>
      <w:r w:rsidR="003A3655" w:rsidRPr="008734AD">
        <w:rPr>
          <w:rFonts w:ascii="Arial" w:hAnsi="Arial" w:cs="Arial"/>
          <w:b/>
          <w:bCs/>
          <w:sz w:val="22"/>
          <w:szCs w:val="22"/>
        </w:rPr>
        <w:t>Dostupnost informacija putem Evropske jedinstvene pristupne tačke (ESAP)</w:t>
      </w:r>
    </w:p>
    <w:p w14:paraId="7AC385F3" w14:textId="2130B072" w:rsidR="003A3655" w:rsidRPr="008734AD" w:rsidRDefault="003A3655" w:rsidP="003A3655">
      <w:pPr>
        <w:pStyle w:val="NormalWeb"/>
        <w:spacing w:before="0" w:beforeAutospacing="0" w:after="0" w:afterAutospacing="0"/>
        <w:ind w:firstLine="720"/>
        <w:jc w:val="center"/>
        <w:rPr>
          <w:rFonts w:ascii="Arial" w:hAnsi="Arial" w:cs="Arial"/>
          <w:b/>
          <w:bCs/>
          <w:sz w:val="22"/>
          <w:szCs w:val="22"/>
        </w:rPr>
      </w:pPr>
      <w:r w:rsidRPr="008734AD">
        <w:rPr>
          <w:rFonts w:ascii="Arial" w:hAnsi="Arial" w:cs="Arial"/>
          <w:b/>
          <w:bCs/>
          <w:sz w:val="22"/>
          <w:szCs w:val="22"/>
        </w:rPr>
        <w:t>Član 4</w:t>
      </w:r>
      <w:r w:rsidR="00600AD0" w:rsidRPr="008734AD">
        <w:rPr>
          <w:rFonts w:ascii="Arial" w:hAnsi="Arial" w:cs="Arial"/>
          <w:b/>
          <w:bCs/>
          <w:sz w:val="22"/>
          <w:szCs w:val="22"/>
        </w:rPr>
        <w:t>1</w:t>
      </w:r>
      <w:r w:rsidR="00B34CD5" w:rsidRPr="008734AD">
        <w:rPr>
          <w:rFonts w:ascii="Arial" w:hAnsi="Arial" w:cs="Arial"/>
          <w:b/>
          <w:bCs/>
          <w:sz w:val="22"/>
          <w:szCs w:val="22"/>
        </w:rPr>
        <w:t>a</w:t>
      </w:r>
    </w:p>
    <w:p w14:paraId="39F6C260" w14:textId="73ABE838" w:rsidR="003A3655" w:rsidRPr="008734AD" w:rsidRDefault="003A3655" w:rsidP="00FA448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Kreditne institucije koje imaju odobrenje za izdavanje pokrivenih obveznica </w:t>
      </w:r>
      <w:r w:rsidR="00B34CD5" w:rsidRPr="008734AD">
        <w:rPr>
          <w:rFonts w:ascii="Arial" w:hAnsi="Arial" w:cs="Arial"/>
          <w:sz w:val="22"/>
          <w:szCs w:val="22"/>
        </w:rPr>
        <w:t>p</w:t>
      </w:r>
      <w:r w:rsidRPr="008734AD">
        <w:rPr>
          <w:rFonts w:ascii="Arial" w:hAnsi="Arial" w:cs="Arial"/>
          <w:sz w:val="22"/>
          <w:szCs w:val="22"/>
        </w:rPr>
        <w:t>rilikom javnog objavljivanja informacija propisanih članom 15 ovog zakona dužn</w:t>
      </w:r>
      <w:r w:rsidR="00B34CD5" w:rsidRPr="008734AD">
        <w:rPr>
          <w:rFonts w:ascii="Arial" w:hAnsi="Arial" w:cs="Arial"/>
          <w:sz w:val="22"/>
          <w:szCs w:val="22"/>
        </w:rPr>
        <w:t>e</w:t>
      </w:r>
      <w:r w:rsidRPr="008734AD">
        <w:rPr>
          <w:rFonts w:ascii="Arial" w:hAnsi="Arial" w:cs="Arial"/>
          <w:sz w:val="22"/>
          <w:szCs w:val="22"/>
        </w:rPr>
        <w:t xml:space="preserve"> su da iste informacije istovremeno dostave </w:t>
      </w:r>
      <w:r w:rsidRPr="008734AD">
        <w:rPr>
          <w:rStyle w:val="Strong"/>
          <w:rFonts w:ascii="Arial" w:eastAsiaTheme="majorEastAsia" w:hAnsi="Arial" w:cs="Arial"/>
          <w:b w:val="0"/>
          <w:bCs w:val="0"/>
          <w:sz w:val="22"/>
          <w:szCs w:val="22"/>
        </w:rPr>
        <w:t xml:space="preserve">Komisiji </w:t>
      </w:r>
      <w:r w:rsidRPr="008734AD">
        <w:rPr>
          <w:rFonts w:ascii="Arial" w:hAnsi="Arial" w:cs="Arial"/>
          <w:sz w:val="22"/>
          <w:szCs w:val="22"/>
        </w:rPr>
        <w:t>kako bi bile dostupne na Evropskoj jedinstvenoj pristupnoj tački (ESAP).</w:t>
      </w:r>
    </w:p>
    <w:p w14:paraId="4A8BA388" w14:textId="77777777" w:rsidR="003A3655" w:rsidRPr="008734AD" w:rsidRDefault="003A3655" w:rsidP="00FA448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Informacije iz stava 1 ovog člana:</w:t>
      </w:r>
    </w:p>
    <w:p w14:paraId="6A0D7D42" w14:textId="28907FE6" w:rsidR="003A3655" w:rsidRPr="008734AD" w:rsidRDefault="005B261A" w:rsidP="00FA4484">
      <w:pPr>
        <w:pStyle w:val="NormalWeb"/>
        <w:numPr>
          <w:ilvl w:val="0"/>
          <w:numId w:val="1"/>
        </w:numPr>
        <w:spacing w:before="0" w:beforeAutospacing="0" w:after="0" w:afterAutospacing="0"/>
        <w:ind w:left="360"/>
        <w:jc w:val="both"/>
        <w:rPr>
          <w:rFonts w:ascii="Arial" w:hAnsi="Arial" w:cs="Arial"/>
          <w:sz w:val="22"/>
          <w:szCs w:val="22"/>
        </w:rPr>
      </w:pPr>
      <w:r w:rsidRPr="008734AD">
        <w:rPr>
          <w:rFonts w:ascii="Arial" w:hAnsi="Arial" w:cs="Arial"/>
          <w:sz w:val="22"/>
          <w:szCs w:val="22"/>
        </w:rPr>
        <w:t>dostavljaju se u formatu iz kojeg se mogu izdvojiti informacije u svakom otvorenom obliku odnosno u obliku datoteke koji je nazavistan od korišćene platof</w:t>
      </w:r>
      <w:r w:rsidR="00FA4484" w:rsidRPr="008734AD">
        <w:rPr>
          <w:rFonts w:ascii="Arial" w:hAnsi="Arial" w:cs="Arial"/>
          <w:sz w:val="22"/>
          <w:szCs w:val="22"/>
        </w:rPr>
        <w:t>o</w:t>
      </w:r>
      <w:r w:rsidRPr="008734AD">
        <w:rPr>
          <w:rFonts w:ascii="Arial" w:hAnsi="Arial" w:cs="Arial"/>
          <w:sz w:val="22"/>
          <w:szCs w:val="22"/>
        </w:rPr>
        <w:t xml:space="preserve">rme  i stavljen na raspolaganje javnosti bez ograničenja koja bi spriječila ponovnu upotrebu dokumenata  ili u mašinski čitljivom formatu koji podrazumijeva oblik datoteke strukturiran tako da ga softvrska aplikacija može lako identifikovati, prepoznati i iz njega izdvojiti posebne </w:t>
      </w:r>
      <w:r w:rsidR="004F504F" w:rsidRPr="008734AD">
        <w:rPr>
          <w:rFonts w:ascii="Arial" w:hAnsi="Arial" w:cs="Arial"/>
          <w:sz w:val="22"/>
          <w:szCs w:val="22"/>
        </w:rPr>
        <w:t>informacije</w:t>
      </w:r>
      <w:r w:rsidRPr="008734AD">
        <w:rPr>
          <w:rFonts w:ascii="Arial" w:hAnsi="Arial" w:cs="Arial"/>
          <w:sz w:val="22"/>
          <w:szCs w:val="22"/>
        </w:rPr>
        <w:t xml:space="preserve">, uključujući pojedinačne činjenične navode </w:t>
      </w:r>
      <w:r w:rsidR="004F504F" w:rsidRPr="008734AD">
        <w:rPr>
          <w:rFonts w:ascii="Arial" w:hAnsi="Arial" w:cs="Arial"/>
          <w:sz w:val="22"/>
          <w:szCs w:val="22"/>
        </w:rPr>
        <w:t>i</w:t>
      </w:r>
      <w:r w:rsidRPr="008734AD">
        <w:rPr>
          <w:rFonts w:ascii="Arial" w:hAnsi="Arial" w:cs="Arial"/>
          <w:sz w:val="22"/>
          <w:szCs w:val="22"/>
        </w:rPr>
        <w:t xml:space="preserve"> njihovu unutrašnju strukturu</w:t>
      </w:r>
      <w:r w:rsidR="003A3655" w:rsidRPr="008734AD">
        <w:rPr>
          <w:rFonts w:ascii="Arial" w:hAnsi="Arial" w:cs="Arial"/>
          <w:sz w:val="22"/>
          <w:szCs w:val="22"/>
        </w:rPr>
        <w:t>;</w:t>
      </w:r>
    </w:p>
    <w:p w14:paraId="228B398D" w14:textId="1DABD04D" w:rsidR="003A3655" w:rsidRPr="008734AD" w:rsidRDefault="003A3655" w:rsidP="00FA4484">
      <w:pPr>
        <w:pStyle w:val="NormalWeb"/>
        <w:numPr>
          <w:ilvl w:val="0"/>
          <w:numId w:val="1"/>
        </w:numPr>
        <w:spacing w:before="0" w:beforeAutospacing="0" w:after="0" w:afterAutospacing="0"/>
        <w:ind w:left="360"/>
        <w:jc w:val="both"/>
        <w:rPr>
          <w:rFonts w:ascii="Arial" w:hAnsi="Arial" w:cs="Arial"/>
          <w:sz w:val="22"/>
          <w:szCs w:val="22"/>
        </w:rPr>
      </w:pPr>
      <w:r w:rsidRPr="008734AD">
        <w:rPr>
          <w:rFonts w:ascii="Arial" w:hAnsi="Arial" w:cs="Arial"/>
          <w:sz w:val="22"/>
          <w:szCs w:val="22"/>
        </w:rPr>
        <w:t>prate sljedeći metapodaci:</w:t>
      </w:r>
    </w:p>
    <w:p w14:paraId="522B9144" w14:textId="6AA6468B" w:rsidR="003A3655" w:rsidRPr="008734AD" w:rsidRDefault="004F504F" w:rsidP="00FA4484">
      <w:pPr>
        <w:pStyle w:val="NormalWeb"/>
        <w:numPr>
          <w:ilvl w:val="1"/>
          <w:numId w:val="2"/>
        </w:numPr>
        <w:spacing w:before="0" w:beforeAutospacing="0" w:after="0" w:afterAutospacing="0"/>
        <w:ind w:left="360"/>
        <w:jc w:val="both"/>
        <w:rPr>
          <w:rFonts w:ascii="Arial" w:hAnsi="Arial" w:cs="Arial"/>
          <w:sz w:val="22"/>
          <w:szCs w:val="22"/>
        </w:rPr>
      </w:pPr>
      <w:r w:rsidRPr="008734AD">
        <w:rPr>
          <w:rFonts w:ascii="Arial" w:hAnsi="Arial" w:cs="Arial"/>
          <w:sz w:val="22"/>
          <w:szCs w:val="22"/>
        </w:rPr>
        <w:t>spisak imena svih kreditnih institucija koje imaju odobrenje za izdavanje pokrivenih obveznica na koju se informacije odnose</w:t>
      </w:r>
      <w:r w:rsidR="003A3655" w:rsidRPr="008734AD">
        <w:rPr>
          <w:rFonts w:ascii="Arial" w:hAnsi="Arial" w:cs="Arial"/>
          <w:sz w:val="22"/>
          <w:szCs w:val="22"/>
        </w:rPr>
        <w:t>;</w:t>
      </w:r>
    </w:p>
    <w:p w14:paraId="6C70BCA3" w14:textId="0F35F0A6" w:rsidR="003A3655" w:rsidRPr="008734AD" w:rsidRDefault="003A3655" w:rsidP="00FA4484">
      <w:pPr>
        <w:pStyle w:val="NormalWeb"/>
        <w:numPr>
          <w:ilvl w:val="1"/>
          <w:numId w:val="2"/>
        </w:numPr>
        <w:spacing w:before="0" w:beforeAutospacing="0" w:after="0" w:afterAutospacing="0"/>
        <w:ind w:left="360"/>
        <w:jc w:val="both"/>
        <w:rPr>
          <w:rFonts w:ascii="Arial" w:hAnsi="Arial" w:cs="Arial"/>
          <w:sz w:val="22"/>
          <w:szCs w:val="22"/>
        </w:rPr>
      </w:pPr>
      <w:r w:rsidRPr="008734AD">
        <w:rPr>
          <w:rFonts w:ascii="Arial" w:hAnsi="Arial" w:cs="Arial"/>
          <w:sz w:val="22"/>
          <w:szCs w:val="22"/>
        </w:rPr>
        <w:t>jedinstven</w:t>
      </w:r>
      <w:r w:rsidR="004F504F" w:rsidRPr="008734AD">
        <w:rPr>
          <w:rFonts w:ascii="Arial" w:hAnsi="Arial" w:cs="Arial"/>
          <w:sz w:val="22"/>
          <w:szCs w:val="22"/>
        </w:rPr>
        <w:t xml:space="preserve">a </w:t>
      </w:r>
      <w:r w:rsidRPr="008734AD">
        <w:rPr>
          <w:rFonts w:ascii="Arial" w:hAnsi="Arial" w:cs="Arial"/>
          <w:sz w:val="22"/>
          <w:szCs w:val="22"/>
        </w:rPr>
        <w:t>identifika</w:t>
      </w:r>
      <w:r w:rsidR="004F504F" w:rsidRPr="008734AD">
        <w:rPr>
          <w:rFonts w:ascii="Arial" w:hAnsi="Arial" w:cs="Arial"/>
          <w:sz w:val="22"/>
          <w:szCs w:val="22"/>
        </w:rPr>
        <w:t>ciona oznaka</w:t>
      </w:r>
      <w:r w:rsidRPr="008734AD">
        <w:rPr>
          <w:rFonts w:ascii="Arial" w:hAnsi="Arial" w:cs="Arial"/>
          <w:sz w:val="22"/>
          <w:szCs w:val="22"/>
        </w:rPr>
        <w:t xml:space="preserve"> pravnog lica (LEI) </w:t>
      </w:r>
      <w:r w:rsidR="004F504F" w:rsidRPr="008734AD">
        <w:rPr>
          <w:rFonts w:ascii="Arial" w:hAnsi="Arial" w:cs="Arial"/>
          <w:sz w:val="22"/>
          <w:szCs w:val="22"/>
        </w:rPr>
        <w:t>odnosno kreditne institucije koja ima odobrenje za izdavanje pokrivenih obveznica ili identifikaciona oznaka pravnog lica za lice koje je dostavilo informacije i za pravno lice na koje se informacije odnose;</w:t>
      </w:r>
    </w:p>
    <w:p w14:paraId="3C019860" w14:textId="6971A425" w:rsidR="003A3655" w:rsidRPr="008734AD" w:rsidRDefault="00136F13" w:rsidP="00FA4484">
      <w:pPr>
        <w:pStyle w:val="NormalWeb"/>
        <w:numPr>
          <w:ilvl w:val="1"/>
          <w:numId w:val="2"/>
        </w:numPr>
        <w:spacing w:before="0" w:beforeAutospacing="0" w:after="0" w:afterAutospacing="0"/>
        <w:ind w:left="360"/>
        <w:jc w:val="both"/>
        <w:rPr>
          <w:rFonts w:ascii="Arial" w:hAnsi="Arial" w:cs="Arial"/>
          <w:sz w:val="22"/>
          <w:szCs w:val="22"/>
        </w:rPr>
      </w:pPr>
      <w:r w:rsidRPr="008734AD">
        <w:rPr>
          <w:rFonts w:ascii="Arial" w:hAnsi="Arial" w:cs="Arial"/>
          <w:sz w:val="22"/>
          <w:szCs w:val="22"/>
        </w:rPr>
        <w:t>veličina kreditne institucije koja ima odobrenje za izdavanje pokrivenih obveznica po kategorijama odnosno kategorije veličine lica koje je dostavilo informacije prema kategoriji i pravno lice na koje se informacije odnose;</w:t>
      </w:r>
    </w:p>
    <w:p w14:paraId="68C2EDDE" w14:textId="3EDE781E" w:rsidR="00FA4484" w:rsidRPr="008734AD" w:rsidRDefault="003A3655" w:rsidP="00FA4484">
      <w:pPr>
        <w:pStyle w:val="NormalWeb"/>
        <w:numPr>
          <w:ilvl w:val="1"/>
          <w:numId w:val="2"/>
        </w:numPr>
        <w:spacing w:after="0"/>
        <w:ind w:left="360"/>
        <w:jc w:val="both"/>
        <w:rPr>
          <w:rFonts w:ascii="Arial" w:hAnsi="Arial" w:cs="Arial"/>
          <w:sz w:val="22"/>
          <w:szCs w:val="22"/>
        </w:rPr>
      </w:pPr>
      <w:r w:rsidRPr="008734AD">
        <w:rPr>
          <w:rFonts w:ascii="Arial" w:hAnsi="Arial" w:cs="Arial"/>
          <w:sz w:val="22"/>
          <w:szCs w:val="22"/>
        </w:rPr>
        <w:t>tip informacija prema klasifikaciji utvrđenoj od strane Komisije</w:t>
      </w:r>
      <w:r w:rsidR="00136F13" w:rsidRPr="008734AD">
        <w:rPr>
          <w:rFonts w:ascii="Arial" w:hAnsi="Arial" w:cs="Arial"/>
          <w:sz w:val="22"/>
          <w:szCs w:val="22"/>
        </w:rPr>
        <w:t xml:space="preserve"> prema tome da li je dostavljanje informacija </w:t>
      </w:r>
      <w:r w:rsidR="00FA4484" w:rsidRPr="008734AD">
        <w:rPr>
          <w:rFonts w:ascii="Arial" w:hAnsi="Arial" w:cs="Arial"/>
          <w:sz w:val="22"/>
          <w:szCs w:val="22"/>
        </w:rPr>
        <w:t>obavezno ili doborovoljno;</w:t>
      </w:r>
    </w:p>
    <w:p w14:paraId="2FA176D9" w14:textId="77777777" w:rsidR="003A3655" w:rsidRPr="008734AD" w:rsidRDefault="003A3655" w:rsidP="00FA4484">
      <w:pPr>
        <w:pStyle w:val="NormalWeb"/>
        <w:numPr>
          <w:ilvl w:val="1"/>
          <w:numId w:val="2"/>
        </w:numPr>
        <w:spacing w:before="0" w:beforeAutospacing="0" w:after="0" w:afterAutospacing="0"/>
        <w:ind w:left="360"/>
        <w:jc w:val="both"/>
        <w:rPr>
          <w:rFonts w:ascii="Arial" w:hAnsi="Arial" w:cs="Arial"/>
          <w:sz w:val="22"/>
          <w:szCs w:val="22"/>
        </w:rPr>
      </w:pPr>
      <w:r w:rsidRPr="008734AD">
        <w:rPr>
          <w:rFonts w:ascii="Arial" w:hAnsi="Arial" w:cs="Arial"/>
          <w:sz w:val="22"/>
          <w:szCs w:val="22"/>
        </w:rPr>
        <w:t>naznaka da li informacije sadrže lične podatke.</w:t>
      </w:r>
    </w:p>
    <w:p w14:paraId="0720BACE" w14:textId="77777777" w:rsidR="00FA4484" w:rsidRPr="008734AD" w:rsidRDefault="00FA4484"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Kreditna institucija koja ima odobrenje za izdavanje pokrivenih obveznica dužna je da  pribavi jedinstveni identifikator pravnog lica (LEI) radi ispunjenja obaveze iz stava 2 tačka 2 ovog člana.</w:t>
      </w:r>
    </w:p>
    <w:p w14:paraId="55BC5ABB" w14:textId="49095C24" w:rsidR="003A3655" w:rsidRPr="008734AD" w:rsidRDefault="003A3655"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Komisija je tijelo za prikupljanje informacija i čini ih dostupnim na ESAP.</w:t>
      </w:r>
    </w:p>
    <w:p w14:paraId="35F19E10" w14:textId="32CABEB1" w:rsidR="003A3655" w:rsidRPr="008734AD" w:rsidRDefault="003A3655"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 xml:space="preserve">Informacije koje se odnose na nadzor i odobravanje </w:t>
      </w:r>
      <w:r w:rsidR="00FA4484" w:rsidRPr="008734AD">
        <w:rPr>
          <w:rFonts w:ascii="Arial" w:hAnsi="Arial" w:cs="Arial"/>
          <w:sz w:val="22"/>
          <w:szCs w:val="22"/>
        </w:rPr>
        <w:t>kreditnim institucijama za izdavanje pokrivenih obveznica</w:t>
      </w:r>
      <w:r w:rsidRPr="008734AD">
        <w:rPr>
          <w:rFonts w:ascii="Arial" w:hAnsi="Arial" w:cs="Arial"/>
          <w:sz w:val="22"/>
          <w:szCs w:val="22"/>
        </w:rPr>
        <w:t>, kao i druge informacije propisane ovim zakonom su dostupne na ESAP, u formatu i metapodacima iz stava 2 tačka 2 ovog člana.</w:t>
      </w:r>
    </w:p>
    <w:p w14:paraId="11499565" w14:textId="77777777" w:rsidR="003A3655" w:rsidRPr="008734AD" w:rsidRDefault="003A3655"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 xml:space="preserve">Za određene informacije od značaja za nadnacionalni nadzor i saradnju sa institucijama Evropske unije, tijelo za prikupljanje podataka je </w:t>
      </w:r>
      <w:r w:rsidRPr="008734AD">
        <w:rPr>
          <w:rStyle w:val="Strong"/>
          <w:rFonts w:ascii="Arial" w:eastAsiaTheme="majorEastAsia" w:hAnsi="Arial" w:cs="Arial"/>
          <w:b w:val="0"/>
          <w:bCs w:val="0"/>
          <w:sz w:val="22"/>
          <w:szCs w:val="22"/>
        </w:rPr>
        <w:t>ESMA</w:t>
      </w:r>
      <w:r w:rsidRPr="008734AD">
        <w:rPr>
          <w:rFonts w:ascii="Arial" w:hAnsi="Arial" w:cs="Arial"/>
          <w:b/>
          <w:bCs/>
          <w:sz w:val="22"/>
          <w:szCs w:val="22"/>
        </w:rPr>
        <w:t>.</w:t>
      </w:r>
    </w:p>
    <w:p w14:paraId="4EF50567" w14:textId="5F0BAC12" w:rsidR="003A3655" w:rsidRPr="008734AD" w:rsidRDefault="003A3655"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Radi obezbjeđenja efikasnog prikupljanja i upravljanja informacijama</w:t>
      </w:r>
      <w:r w:rsidR="00FA4484" w:rsidRPr="008734AD">
        <w:rPr>
          <w:rFonts w:ascii="Arial" w:hAnsi="Arial" w:cs="Arial"/>
          <w:sz w:val="22"/>
          <w:szCs w:val="22"/>
        </w:rPr>
        <w:t xml:space="preserve"> iz stava 2 ovog člana</w:t>
      </w:r>
      <w:r w:rsidRPr="008734AD">
        <w:rPr>
          <w:rFonts w:ascii="Arial" w:hAnsi="Arial" w:cs="Arial"/>
          <w:sz w:val="22"/>
          <w:szCs w:val="22"/>
        </w:rPr>
        <w:t>, E</w:t>
      </w:r>
      <w:r w:rsidR="00FA4484" w:rsidRPr="008734AD">
        <w:rPr>
          <w:rFonts w:ascii="Arial" w:hAnsi="Arial" w:cs="Arial"/>
          <w:sz w:val="22"/>
          <w:szCs w:val="22"/>
        </w:rPr>
        <w:t>BA</w:t>
      </w:r>
      <w:r w:rsidRPr="008734AD">
        <w:rPr>
          <w:rFonts w:ascii="Arial" w:hAnsi="Arial" w:cs="Arial"/>
          <w:sz w:val="22"/>
          <w:szCs w:val="22"/>
        </w:rPr>
        <w:t xml:space="preserve"> donosi tehničke standarde kojima se bliže uređuju:</w:t>
      </w:r>
    </w:p>
    <w:p w14:paraId="28DD25B9" w14:textId="77777777" w:rsidR="003A3655" w:rsidRPr="008734AD" w:rsidRDefault="003A3655" w:rsidP="003A3655">
      <w:pPr>
        <w:pStyle w:val="NormalWeb"/>
        <w:numPr>
          <w:ilvl w:val="0"/>
          <w:numId w:val="3"/>
        </w:numPr>
        <w:spacing w:before="0" w:beforeAutospacing="0" w:after="0" w:afterAutospacing="0"/>
        <w:jc w:val="both"/>
        <w:rPr>
          <w:rFonts w:ascii="Arial" w:hAnsi="Arial" w:cs="Arial"/>
          <w:sz w:val="22"/>
          <w:szCs w:val="22"/>
        </w:rPr>
      </w:pPr>
      <w:r w:rsidRPr="008734AD">
        <w:rPr>
          <w:rFonts w:ascii="Arial" w:hAnsi="Arial" w:cs="Arial"/>
          <w:sz w:val="22"/>
          <w:szCs w:val="22"/>
        </w:rPr>
        <w:t>dodatni metapodaci koji prate informacije;</w:t>
      </w:r>
    </w:p>
    <w:p w14:paraId="46FCF3DD" w14:textId="77777777" w:rsidR="003A3655" w:rsidRPr="008734AD" w:rsidRDefault="003A3655" w:rsidP="003A3655">
      <w:pPr>
        <w:pStyle w:val="NormalWeb"/>
        <w:numPr>
          <w:ilvl w:val="0"/>
          <w:numId w:val="3"/>
        </w:numPr>
        <w:spacing w:before="0" w:beforeAutospacing="0" w:after="0" w:afterAutospacing="0"/>
        <w:jc w:val="both"/>
        <w:rPr>
          <w:rFonts w:ascii="Arial" w:hAnsi="Arial" w:cs="Arial"/>
          <w:sz w:val="22"/>
          <w:szCs w:val="22"/>
        </w:rPr>
      </w:pPr>
      <w:r w:rsidRPr="008734AD">
        <w:rPr>
          <w:rFonts w:ascii="Arial" w:hAnsi="Arial" w:cs="Arial"/>
          <w:sz w:val="22"/>
          <w:szCs w:val="22"/>
        </w:rPr>
        <w:lastRenderedPageBreak/>
        <w:t>struktura podataka u informacijama;</w:t>
      </w:r>
    </w:p>
    <w:p w14:paraId="71242DF7" w14:textId="77777777" w:rsidR="003A3655" w:rsidRPr="008734AD" w:rsidRDefault="003A3655" w:rsidP="003A3655">
      <w:pPr>
        <w:pStyle w:val="NormalWeb"/>
        <w:numPr>
          <w:ilvl w:val="0"/>
          <w:numId w:val="3"/>
        </w:numPr>
        <w:spacing w:before="0" w:beforeAutospacing="0" w:after="0" w:afterAutospacing="0"/>
        <w:jc w:val="both"/>
        <w:rPr>
          <w:rFonts w:ascii="Arial" w:hAnsi="Arial" w:cs="Arial"/>
          <w:sz w:val="22"/>
          <w:szCs w:val="22"/>
        </w:rPr>
      </w:pPr>
      <w:r w:rsidRPr="008734AD">
        <w:rPr>
          <w:rFonts w:ascii="Arial" w:hAnsi="Arial" w:cs="Arial"/>
          <w:sz w:val="22"/>
          <w:szCs w:val="22"/>
        </w:rPr>
        <w:t>način i format dostavljanja informacija u mašinski čitljivom obliku.</w:t>
      </w:r>
    </w:p>
    <w:p w14:paraId="14043DEA" w14:textId="3B3B655F" w:rsidR="003A3655" w:rsidRPr="008734AD" w:rsidRDefault="003A3655" w:rsidP="003A3655">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E</w:t>
      </w:r>
      <w:r w:rsidR="00FA4484" w:rsidRPr="008734AD">
        <w:rPr>
          <w:rFonts w:ascii="Arial" w:hAnsi="Arial" w:cs="Arial"/>
          <w:sz w:val="22"/>
          <w:szCs w:val="22"/>
        </w:rPr>
        <w:t>BA</w:t>
      </w:r>
      <w:r w:rsidRPr="008734AD">
        <w:rPr>
          <w:rFonts w:ascii="Arial" w:hAnsi="Arial" w:cs="Arial"/>
          <w:sz w:val="22"/>
          <w:szCs w:val="22"/>
        </w:rPr>
        <w:t xml:space="preserve"> po potrebi donosi smjernice radi obezbjeđenja tačnosti i potpunosti metapodataka koji se dostavljaju u skladu sa ovim članom.</w:t>
      </w:r>
      <w:r w:rsidR="00FB594D" w:rsidRPr="008734AD">
        <w:rPr>
          <w:rFonts w:ascii="Arial" w:hAnsi="Arial" w:cs="Arial"/>
          <w:sz w:val="22"/>
          <w:szCs w:val="22"/>
        </w:rPr>
        <w:t>“</w:t>
      </w:r>
    </w:p>
    <w:p w14:paraId="30852C91" w14:textId="77777777" w:rsidR="00FB594D" w:rsidRPr="008734AD" w:rsidRDefault="00FB594D" w:rsidP="003A3655">
      <w:pPr>
        <w:pStyle w:val="NormalWeb"/>
        <w:spacing w:before="0" w:beforeAutospacing="0" w:after="0" w:afterAutospacing="0"/>
        <w:ind w:firstLine="360"/>
        <w:jc w:val="both"/>
        <w:rPr>
          <w:rFonts w:ascii="Arial" w:hAnsi="Arial" w:cs="Arial"/>
          <w:sz w:val="22"/>
          <w:szCs w:val="22"/>
        </w:rPr>
      </w:pPr>
    </w:p>
    <w:p w14:paraId="52FF544D" w14:textId="34E94288" w:rsidR="00FB594D" w:rsidRPr="008734AD" w:rsidRDefault="00FB594D" w:rsidP="00600AD0">
      <w:pPr>
        <w:pStyle w:val="NormalWeb"/>
        <w:spacing w:before="0" w:beforeAutospacing="0" w:after="0" w:afterAutospacing="0"/>
        <w:ind w:firstLine="360"/>
        <w:jc w:val="center"/>
        <w:rPr>
          <w:rFonts w:ascii="Arial" w:hAnsi="Arial" w:cs="Arial"/>
          <w:b/>
          <w:bCs/>
          <w:sz w:val="22"/>
          <w:szCs w:val="22"/>
        </w:rPr>
      </w:pPr>
      <w:r w:rsidRPr="008734AD">
        <w:rPr>
          <w:rFonts w:ascii="Arial" w:hAnsi="Arial" w:cs="Arial"/>
          <w:b/>
          <w:bCs/>
          <w:sz w:val="22"/>
          <w:szCs w:val="22"/>
        </w:rPr>
        <w:t>Član 2</w:t>
      </w:r>
    </w:p>
    <w:p w14:paraId="0E25E978" w14:textId="77777777" w:rsidR="00FB594D" w:rsidRPr="008734AD" w:rsidRDefault="00FB594D" w:rsidP="00FB594D">
      <w:pPr>
        <w:pStyle w:val="NormalWeb"/>
        <w:spacing w:after="0"/>
        <w:ind w:firstLine="360"/>
        <w:jc w:val="both"/>
        <w:rPr>
          <w:rFonts w:ascii="Arial" w:hAnsi="Arial" w:cs="Arial"/>
          <w:sz w:val="22"/>
          <w:szCs w:val="22"/>
        </w:rPr>
      </w:pPr>
      <w:r w:rsidRPr="008734AD">
        <w:rPr>
          <w:rFonts w:ascii="Arial" w:hAnsi="Arial" w:cs="Arial"/>
          <w:sz w:val="22"/>
          <w:szCs w:val="22"/>
        </w:rPr>
        <w:t>Član 60 Zakona mijenja se i glasi:</w:t>
      </w:r>
    </w:p>
    <w:p w14:paraId="1B391F04" w14:textId="6B4C1E24" w:rsidR="00FB594D" w:rsidRPr="008734AD" w:rsidRDefault="00FB594D" w:rsidP="00AC37DF">
      <w:pPr>
        <w:pStyle w:val="NormalWeb"/>
        <w:spacing w:before="0" w:beforeAutospacing="0" w:after="0" w:afterAutospacing="0"/>
        <w:ind w:firstLine="360"/>
        <w:jc w:val="center"/>
        <w:rPr>
          <w:rFonts w:ascii="Arial" w:hAnsi="Arial" w:cs="Arial"/>
          <w:b/>
          <w:bCs/>
          <w:sz w:val="22"/>
          <w:szCs w:val="22"/>
        </w:rPr>
      </w:pPr>
      <w:r w:rsidRPr="008734AD">
        <w:rPr>
          <w:rFonts w:ascii="Arial" w:hAnsi="Arial" w:cs="Arial"/>
          <w:sz w:val="22"/>
          <w:szCs w:val="22"/>
        </w:rPr>
        <w:t>„</w:t>
      </w:r>
      <w:r w:rsidRPr="008734AD">
        <w:rPr>
          <w:rFonts w:ascii="Arial" w:hAnsi="Arial" w:cs="Arial"/>
          <w:b/>
          <w:bCs/>
          <w:sz w:val="22"/>
          <w:szCs w:val="22"/>
        </w:rPr>
        <w:t>Odložena primjena</w:t>
      </w:r>
    </w:p>
    <w:p w14:paraId="7967ADD2" w14:textId="77777777" w:rsidR="00FB594D" w:rsidRPr="008734AD" w:rsidRDefault="00FB594D" w:rsidP="00AC37DF">
      <w:pPr>
        <w:pStyle w:val="NormalWeb"/>
        <w:spacing w:before="0" w:beforeAutospacing="0" w:after="0" w:afterAutospacing="0"/>
        <w:ind w:firstLine="360"/>
        <w:jc w:val="center"/>
        <w:rPr>
          <w:rFonts w:ascii="Arial" w:hAnsi="Arial" w:cs="Arial"/>
          <w:b/>
          <w:bCs/>
          <w:sz w:val="22"/>
          <w:szCs w:val="22"/>
        </w:rPr>
      </w:pPr>
      <w:r w:rsidRPr="008734AD">
        <w:rPr>
          <w:rFonts w:ascii="Arial" w:hAnsi="Arial" w:cs="Arial"/>
          <w:b/>
          <w:bCs/>
          <w:sz w:val="22"/>
          <w:szCs w:val="22"/>
        </w:rPr>
        <w:t>Član 60</w:t>
      </w:r>
    </w:p>
    <w:p w14:paraId="17895200" w14:textId="0EBFC72A" w:rsidR="00FB594D" w:rsidRPr="008734AD" w:rsidRDefault="00FB594D" w:rsidP="00AC37DF">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 xml:space="preserve">Odredbe člana 14 stav 15, člana 18 stav 4, člana 39 stav 4, stav 5 tačka 2, st. 6 i 7, člana 41 stav 1 tačka 3, st. 2 i 4, </w:t>
      </w:r>
      <w:r w:rsidR="00600AD0" w:rsidRPr="008734AD">
        <w:rPr>
          <w:rFonts w:ascii="Arial" w:hAnsi="Arial" w:cs="Arial"/>
          <w:sz w:val="22"/>
          <w:szCs w:val="22"/>
        </w:rPr>
        <w:t xml:space="preserve">člana 41a, </w:t>
      </w:r>
      <w:r w:rsidRPr="008734AD">
        <w:rPr>
          <w:rFonts w:ascii="Arial" w:hAnsi="Arial" w:cs="Arial"/>
          <w:sz w:val="22"/>
          <w:szCs w:val="22"/>
        </w:rPr>
        <w:t>člana 46 stav 1 tačka 1, člana 56 stav 10 i člana 57 ovog zakona primjenjivaće se od dana pristupanja Crne Gore Evropskoj uniji.</w:t>
      </w:r>
      <w:r w:rsidR="00600AD0" w:rsidRPr="008734AD">
        <w:rPr>
          <w:rFonts w:ascii="Arial" w:hAnsi="Arial" w:cs="Arial"/>
          <w:sz w:val="22"/>
          <w:szCs w:val="22"/>
        </w:rPr>
        <w:t>“</w:t>
      </w:r>
    </w:p>
    <w:p w14:paraId="5A95A09C" w14:textId="250A4B8D" w:rsidR="003A3655" w:rsidRPr="00235653" w:rsidRDefault="003A3655" w:rsidP="00235653">
      <w:pPr>
        <w:jc w:val="center"/>
        <w:rPr>
          <w:rFonts w:ascii="Arial" w:hAnsi="Arial" w:cs="Arial"/>
          <w:b/>
          <w:bCs/>
          <w:lang w:val="sr-Latn-ME"/>
        </w:rPr>
      </w:pPr>
    </w:p>
    <w:p w14:paraId="69E8AAA3" w14:textId="71E20231" w:rsidR="00282CE6" w:rsidRPr="00235653" w:rsidRDefault="00235653" w:rsidP="00235653">
      <w:pPr>
        <w:jc w:val="center"/>
        <w:rPr>
          <w:rFonts w:ascii="Arial" w:hAnsi="Arial" w:cs="Arial"/>
          <w:b/>
          <w:bCs/>
          <w:lang w:val="sr-Latn-ME"/>
        </w:rPr>
      </w:pPr>
      <w:r w:rsidRPr="00235653">
        <w:rPr>
          <w:rFonts w:ascii="Arial" w:hAnsi="Arial" w:cs="Arial"/>
          <w:b/>
          <w:bCs/>
          <w:lang w:val="sr-Latn-ME"/>
        </w:rPr>
        <w:t>Član 3</w:t>
      </w:r>
    </w:p>
    <w:p w14:paraId="396EADB2" w14:textId="71354E50" w:rsidR="00235653" w:rsidRPr="008734AD" w:rsidRDefault="00235653" w:rsidP="00510BBA">
      <w:pPr>
        <w:ind w:firstLine="720"/>
        <w:rPr>
          <w:rFonts w:ascii="Arial" w:hAnsi="Arial" w:cs="Arial"/>
          <w:lang w:val="sr-Latn-ME"/>
        </w:rPr>
      </w:pPr>
      <w:r w:rsidRPr="00235653">
        <w:rPr>
          <w:rFonts w:ascii="Arial" w:hAnsi="Arial" w:cs="Arial"/>
          <w:lang w:val="sr-Latn-ME"/>
        </w:rPr>
        <w:t>Ovaj zakon stupa na snagu osmog dana od dana objavljivanja u "Službenom listu Crne Gore", a primjenjivaće se od 1. januara 2027. godine.</w:t>
      </w:r>
    </w:p>
    <w:p w14:paraId="44C8DEF2" w14:textId="77777777" w:rsidR="00282CE6" w:rsidRPr="008734AD" w:rsidRDefault="00282CE6" w:rsidP="00AC37DF">
      <w:pPr>
        <w:rPr>
          <w:rFonts w:ascii="Arial" w:hAnsi="Arial" w:cs="Arial"/>
          <w:lang w:val="sr-Latn-ME"/>
        </w:rPr>
      </w:pPr>
    </w:p>
    <w:p w14:paraId="360E133C" w14:textId="56480F5E" w:rsidR="00282CE6" w:rsidRPr="00C212BF" w:rsidRDefault="00C212BF" w:rsidP="00510BBA">
      <w:pPr>
        <w:ind w:firstLine="720"/>
        <w:jc w:val="both"/>
        <w:rPr>
          <w:rFonts w:ascii="Arial" w:hAnsi="Arial" w:cs="Arial"/>
          <w:lang w:val="sr-Latn-ME"/>
        </w:rPr>
      </w:pPr>
      <w:r>
        <w:rPr>
          <w:rFonts w:ascii="Arial" w:hAnsi="Arial" w:cs="Arial"/>
        </w:rPr>
        <w:t xml:space="preserve">*U </w:t>
      </w:r>
      <w:proofErr w:type="spellStart"/>
      <w:r>
        <w:rPr>
          <w:rFonts w:ascii="Arial" w:hAnsi="Arial" w:cs="Arial"/>
        </w:rPr>
        <w:t>ovaj</w:t>
      </w:r>
      <w:proofErr w:type="spellEnd"/>
      <w:r>
        <w:rPr>
          <w:rFonts w:ascii="Arial" w:hAnsi="Arial" w:cs="Arial"/>
        </w:rPr>
        <w:t xml:space="preserve"> </w:t>
      </w:r>
      <w:proofErr w:type="spellStart"/>
      <w:r>
        <w:rPr>
          <w:rFonts w:ascii="Arial" w:hAnsi="Arial" w:cs="Arial"/>
        </w:rPr>
        <w:t>zakon</w:t>
      </w:r>
      <w:proofErr w:type="spellEnd"/>
      <w:r>
        <w:rPr>
          <w:rFonts w:ascii="Arial" w:hAnsi="Arial" w:cs="Arial"/>
        </w:rPr>
        <w:t xml:space="preserve"> </w:t>
      </w:r>
      <w:proofErr w:type="spellStart"/>
      <w:r>
        <w:rPr>
          <w:rFonts w:ascii="Arial" w:hAnsi="Arial" w:cs="Arial"/>
        </w:rPr>
        <w:t>prenesena</w:t>
      </w:r>
      <w:proofErr w:type="spellEnd"/>
      <w:r>
        <w:rPr>
          <w:rFonts w:ascii="Arial" w:hAnsi="Arial" w:cs="Arial"/>
        </w:rPr>
        <w:t xml:space="preserve"> je </w:t>
      </w:r>
      <w:proofErr w:type="spellStart"/>
      <w:r w:rsidRPr="00C212BF">
        <w:rPr>
          <w:rFonts w:ascii="Arial" w:hAnsi="Arial" w:cs="Arial"/>
          <w:i/>
          <w:iCs/>
        </w:rPr>
        <w:t>Direktiva</w:t>
      </w:r>
      <w:proofErr w:type="spellEnd"/>
      <w:r w:rsidRPr="00C212BF">
        <w:rPr>
          <w:rFonts w:ascii="Arial" w:hAnsi="Arial" w:cs="Arial"/>
          <w:i/>
          <w:iCs/>
        </w:rPr>
        <w:t xml:space="preserve"> (EU) 2023/2864 </w:t>
      </w:r>
      <w:proofErr w:type="spellStart"/>
      <w:r w:rsidRPr="00C212BF">
        <w:rPr>
          <w:rFonts w:ascii="Arial" w:hAnsi="Arial" w:cs="Arial"/>
          <w:i/>
          <w:iCs/>
        </w:rPr>
        <w:t>Evropskog</w:t>
      </w:r>
      <w:proofErr w:type="spellEnd"/>
      <w:r w:rsidRPr="00C212BF">
        <w:rPr>
          <w:rFonts w:ascii="Arial" w:hAnsi="Arial" w:cs="Arial"/>
          <w:i/>
          <w:iCs/>
        </w:rPr>
        <w:t xml:space="preserve"> </w:t>
      </w:r>
      <w:proofErr w:type="spellStart"/>
      <w:r w:rsidRPr="00C212BF">
        <w:rPr>
          <w:rFonts w:ascii="Arial" w:hAnsi="Arial" w:cs="Arial"/>
          <w:i/>
          <w:iCs/>
        </w:rPr>
        <w:t>parlamenta</w:t>
      </w:r>
      <w:proofErr w:type="spellEnd"/>
      <w:r w:rsidRPr="00C212BF">
        <w:rPr>
          <w:rFonts w:ascii="Arial" w:hAnsi="Arial" w:cs="Arial"/>
          <w:i/>
          <w:iCs/>
        </w:rPr>
        <w:t xml:space="preserve"> i </w:t>
      </w:r>
      <w:proofErr w:type="spellStart"/>
      <w:r w:rsidRPr="00C212BF">
        <w:rPr>
          <w:rFonts w:ascii="Arial" w:hAnsi="Arial" w:cs="Arial"/>
          <w:i/>
          <w:iCs/>
        </w:rPr>
        <w:t>Savjeta</w:t>
      </w:r>
      <w:proofErr w:type="spellEnd"/>
      <w:r w:rsidRPr="00C212BF">
        <w:rPr>
          <w:rFonts w:ascii="Arial" w:hAnsi="Arial" w:cs="Arial"/>
          <w:i/>
          <w:iCs/>
        </w:rPr>
        <w:t xml:space="preserve"> od 13. </w:t>
      </w:r>
      <w:proofErr w:type="spellStart"/>
      <w:r w:rsidRPr="00C212BF">
        <w:rPr>
          <w:rFonts w:ascii="Arial" w:hAnsi="Arial" w:cs="Arial"/>
          <w:i/>
          <w:iCs/>
        </w:rPr>
        <w:t>decembra</w:t>
      </w:r>
      <w:proofErr w:type="spellEnd"/>
      <w:r w:rsidRPr="00C212BF">
        <w:rPr>
          <w:rFonts w:ascii="Arial" w:hAnsi="Arial" w:cs="Arial"/>
          <w:i/>
          <w:iCs/>
        </w:rPr>
        <w:t xml:space="preserve"> 2023. </w:t>
      </w:r>
      <w:proofErr w:type="spellStart"/>
      <w:r w:rsidRPr="00C212BF">
        <w:rPr>
          <w:rFonts w:ascii="Arial" w:hAnsi="Arial" w:cs="Arial"/>
          <w:i/>
          <w:iCs/>
        </w:rPr>
        <w:t>godine</w:t>
      </w:r>
      <w:proofErr w:type="spellEnd"/>
      <w:r w:rsidRPr="00C212BF">
        <w:rPr>
          <w:rFonts w:ascii="Arial" w:hAnsi="Arial" w:cs="Arial"/>
          <w:i/>
          <w:iCs/>
        </w:rPr>
        <w:t xml:space="preserve">, o </w:t>
      </w:r>
      <w:proofErr w:type="spellStart"/>
      <w:r w:rsidRPr="00C212BF">
        <w:rPr>
          <w:rFonts w:ascii="Arial" w:hAnsi="Arial" w:cs="Arial"/>
          <w:i/>
          <w:iCs/>
        </w:rPr>
        <w:t>izmjeni</w:t>
      </w:r>
      <w:proofErr w:type="spellEnd"/>
      <w:r w:rsidRPr="00C212BF">
        <w:rPr>
          <w:rFonts w:ascii="Arial" w:hAnsi="Arial" w:cs="Arial"/>
          <w:i/>
          <w:iCs/>
        </w:rPr>
        <w:t xml:space="preserve"> </w:t>
      </w:r>
      <w:proofErr w:type="spellStart"/>
      <w:r w:rsidRPr="00C212BF">
        <w:rPr>
          <w:rFonts w:ascii="Arial" w:hAnsi="Arial" w:cs="Arial"/>
          <w:i/>
          <w:iCs/>
        </w:rPr>
        <w:t>određenih</w:t>
      </w:r>
      <w:proofErr w:type="spellEnd"/>
      <w:r w:rsidRPr="00C212BF">
        <w:rPr>
          <w:rFonts w:ascii="Arial" w:hAnsi="Arial" w:cs="Arial"/>
          <w:i/>
          <w:iCs/>
        </w:rPr>
        <w:t xml:space="preserve"> </w:t>
      </w:r>
      <w:proofErr w:type="spellStart"/>
      <w:r w:rsidRPr="00C212BF">
        <w:rPr>
          <w:rFonts w:ascii="Arial" w:hAnsi="Arial" w:cs="Arial"/>
          <w:i/>
          <w:iCs/>
        </w:rPr>
        <w:t>direktiva</w:t>
      </w:r>
      <w:proofErr w:type="spellEnd"/>
      <w:r w:rsidRPr="00C212BF">
        <w:rPr>
          <w:rFonts w:ascii="Arial" w:hAnsi="Arial" w:cs="Arial"/>
          <w:i/>
          <w:iCs/>
        </w:rPr>
        <w:t xml:space="preserve"> u </w:t>
      </w:r>
      <w:proofErr w:type="spellStart"/>
      <w:r w:rsidRPr="00C212BF">
        <w:rPr>
          <w:rFonts w:ascii="Arial" w:hAnsi="Arial" w:cs="Arial"/>
          <w:i/>
          <w:iCs/>
        </w:rPr>
        <w:t>pogledu</w:t>
      </w:r>
      <w:proofErr w:type="spellEnd"/>
      <w:r w:rsidRPr="00C212BF">
        <w:rPr>
          <w:rFonts w:ascii="Arial" w:hAnsi="Arial" w:cs="Arial"/>
          <w:i/>
          <w:iCs/>
        </w:rPr>
        <w:t xml:space="preserve"> </w:t>
      </w:r>
      <w:proofErr w:type="spellStart"/>
      <w:r w:rsidRPr="00C212BF">
        <w:rPr>
          <w:rFonts w:ascii="Arial" w:hAnsi="Arial" w:cs="Arial"/>
          <w:i/>
          <w:iCs/>
        </w:rPr>
        <w:t>uspostave</w:t>
      </w:r>
      <w:proofErr w:type="spellEnd"/>
      <w:r w:rsidRPr="00C212BF">
        <w:rPr>
          <w:rFonts w:ascii="Arial" w:hAnsi="Arial" w:cs="Arial"/>
          <w:i/>
          <w:iCs/>
        </w:rPr>
        <w:t xml:space="preserve"> i </w:t>
      </w:r>
      <w:proofErr w:type="spellStart"/>
      <w:r w:rsidRPr="00C212BF">
        <w:rPr>
          <w:rFonts w:ascii="Arial" w:hAnsi="Arial" w:cs="Arial"/>
          <w:i/>
          <w:iCs/>
        </w:rPr>
        <w:t>funkcionisanja</w:t>
      </w:r>
      <w:proofErr w:type="spellEnd"/>
      <w:r w:rsidRPr="00C212BF">
        <w:rPr>
          <w:rFonts w:ascii="Arial" w:hAnsi="Arial" w:cs="Arial"/>
          <w:i/>
          <w:iCs/>
        </w:rPr>
        <w:t xml:space="preserve"> </w:t>
      </w:r>
      <w:proofErr w:type="spellStart"/>
      <w:r w:rsidRPr="00C212BF">
        <w:rPr>
          <w:rFonts w:ascii="Arial" w:hAnsi="Arial" w:cs="Arial"/>
          <w:i/>
          <w:iCs/>
        </w:rPr>
        <w:t>jedinstvene</w:t>
      </w:r>
      <w:proofErr w:type="spellEnd"/>
      <w:r w:rsidRPr="00C212BF">
        <w:rPr>
          <w:rFonts w:ascii="Arial" w:hAnsi="Arial" w:cs="Arial"/>
          <w:i/>
          <w:iCs/>
        </w:rPr>
        <w:t xml:space="preserve"> </w:t>
      </w:r>
      <w:proofErr w:type="spellStart"/>
      <w:r w:rsidRPr="00C212BF">
        <w:rPr>
          <w:rFonts w:ascii="Arial" w:hAnsi="Arial" w:cs="Arial"/>
          <w:i/>
          <w:iCs/>
        </w:rPr>
        <w:t>evropske</w:t>
      </w:r>
      <w:proofErr w:type="spellEnd"/>
      <w:r w:rsidRPr="00C212BF">
        <w:rPr>
          <w:rFonts w:ascii="Arial" w:hAnsi="Arial" w:cs="Arial"/>
          <w:i/>
          <w:iCs/>
        </w:rPr>
        <w:t xml:space="preserve"> </w:t>
      </w:r>
      <w:proofErr w:type="spellStart"/>
      <w:r w:rsidRPr="00C212BF">
        <w:rPr>
          <w:rFonts w:ascii="Arial" w:hAnsi="Arial" w:cs="Arial"/>
          <w:i/>
          <w:iCs/>
        </w:rPr>
        <w:t>pristupne</w:t>
      </w:r>
      <w:proofErr w:type="spellEnd"/>
      <w:r w:rsidRPr="00C212BF">
        <w:rPr>
          <w:rFonts w:ascii="Arial" w:hAnsi="Arial" w:cs="Arial"/>
          <w:i/>
          <w:iCs/>
        </w:rPr>
        <w:t xml:space="preserve"> </w:t>
      </w:r>
      <w:proofErr w:type="spellStart"/>
      <w:r w:rsidRPr="00C212BF">
        <w:rPr>
          <w:rFonts w:ascii="Arial" w:hAnsi="Arial" w:cs="Arial"/>
          <w:i/>
          <w:iCs/>
        </w:rPr>
        <w:t>tačke</w:t>
      </w:r>
      <w:proofErr w:type="spellEnd"/>
    </w:p>
    <w:p w14:paraId="305798CE" w14:textId="77777777" w:rsidR="00282CE6" w:rsidRPr="008734AD" w:rsidRDefault="00282CE6" w:rsidP="00AC37DF">
      <w:pPr>
        <w:rPr>
          <w:rFonts w:ascii="Arial" w:hAnsi="Arial" w:cs="Arial"/>
          <w:lang w:val="sr-Latn-ME"/>
        </w:rPr>
      </w:pPr>
    </w:p>
    <w:p w14:paraId="7CA50D8E" w14:textId="77777777" w:rsidR="00282CE6" w:rsidRPr="008734AD" w:rsidRDefault="00282CE6" w:rsidP="00AC37DF">
      <w:pPr>
        <w:rPr>
          <w:rFonts w:ascii="Arial" w:hAnsi="Arial" w:cs="Arial"/>
          <w:lang w:val="sr-Latn-ME"/>
        </w:rPr>
      </w:pPr>
    </w:p>
    <w:p w14:paraId="7705E663" w14:textId="77777777" w:rsidR="00282CE6" w:rsidRPr="008734AD" w:rsidRDefault="00282CE6" w:rsidP="00AC37DF">
      <w:pPr>
        <w:rPr>
          <w:rFonts w:ascii="Arial" w:hAnsi="Arial" w:cs="Arial"/>
          <w:lang w:val="sr-Latn-ME"/>
        </w:rPr>
      </w:pPr>
    </w:p>
    <w:p w14:paraId="7D808182" w14:textId="77777777" w:rsidR="00282CE6" w:rsidRDefault="00282CE6" w:rsidP="00AC37DF">
      <w:pPr>
        <w:rPr>
          <w:rFonts w:ascii="Arial" w:hAnsi="Arial" w:cs="Arial"/>
          <w:lang w:val="sr-Latn-ME"/>
        </w:rPr>
      </w:pPr>
    </w:p>
    <w:p w14:paraId="1891D943" w14:textId="77777777" w:rsidR="00C212BF" w:rsidRDefault="00C212BF" w:rsidP="00AC37DF">
      <w:pPr>
        <w:rPr>
          <w:rFonts w:ascii="Arial" w:hAnsi="Arial" w:cs="Arial"/>
          <w:lang w:val="sr-Latn-ME"/>
        </w:rPr>
      </w:pPr>
    </w:p>
    <w:p w14:paraId="33DE6EF3" w14:textId="77777777" w:rsidR="00C212BF" w:rsidRDefault="00C212BF" w:rsidP="00AC37DF">
      <w:pPr>
        <w:rPr>
          <w:rFonts w:ascii="Arial" w:hAnsi="Arial" w:cs="Arial"/>
          <w:lang w:val="sr-Latn-ME"/>
        </w:rPr>
      </w:pPr>
    </w:p>
    <w:p w14:paraId="4C34A1BD" w14:textId="77777777" w:rsidR="00C212BF" w:rsidRDefault="00C212BF" w:rsidP="00AC37DF">
      <w:pPr>
        <w:rPr>
          <w:rFonts w:ascii="Arial" w:hAnsi="Arial" w:cs="Arial"/>
          <w:lang w:val="sr-Latn-ME"/>
        </w:rPr>
      </w:pPr>
    </w:p>
    <w:p w14:paraId="641A2D30" w14:textId="77777777" w:rsidR="00C212BF" w:rsidRDefault="00C212BF" w:rsidP="00AC37DF">
      <w:pPr>
        <w:rPr>
          <w:rFonts w:ascii="Arial" w:hAnsi="Arial" w:cs="Arial"/>
          <w:lang w:val="sr-Latn-ME"/>
        </w:rPr>
      </w:pPr>
    </w:p>
    <w:p w14:paraId="6D821E87" w14:textId="77777777" w:rsidR="00C212BF" w:rsidRPr="008734AD" w:rsidRDefault="00C212BF" w:rsidP="00AC37DF">
      <w:pPr>
        <w:rPr>
          <w:rFonts w:ascii="Arial" w:hAnsi="Arial" w:cs="Arial"/>
          <w:lang w:val="sr-Latn-ME"/>
        </w:rPr>
      </w:pPr>
    </w:p>
    <w:p w14:paraId="6D490892" w14:textId="77777777" w:rsidR="00282CE6" w:rsidRPr="008734AD" w:rsidRDefault="00282CE6" w:rsidP="00AC37DF">
      <w:pPr>
        <w:rPr>
          <w:rFonts w:ascii="Arial" w:hAnsi="Arial" w:cs="Arial"/>
          <w:lang w:val="sr-Latn-ME"/>
        </w:rPr>
      </w:pPr>
    </w:p>
    <w:p w14:paraId="51147323" w14:textId="77777777" w:rsidR="00282CE6" w:rsidRPr="008734AD" w:rsidRDefault="00282CE6" w:rsidP="00AC37DF">
      <w:pPr>
        <w:rPr>
          <w:rFonts w:ascii="Arial" w:hAnsi="Arial" w:cs="Arial"/>
          <w:lang w:val="sr-Latn-ME"/>
        </w:rPr>
      </w:pPr>
    </w:p>
    <w:p w14:paraId="2D8DCF87" w14:textId="77777777" w:rsidR="00282CE6" w:rsidRPr="008734AD" w:rsidRDefault="00282CE6" w:rsidP="00AC37DF">
      <w:pPr>
        <w:rPr>
          <w:rFonts w:ascii="Arial" w:hAnsi="Arial" w:cs="Arial"/>
          <w:lang w:val="sr-Latn-ME"/>
        </w:rPr>
      </w:pPr>
    </w:p>
    <w:p w14:paraId="464CDB29" w14:textId="77777777" w:rsidR="00282CE6" w:rsidRPr="008734AD" w:rsidRDefault="00282CE6" w:rsidP="00AC37DF">
      <w:pPr>
        <w:rPr>
          <w:rFonts w:ascii="Arial" w:hAnsi="Arial" w:cs="Arial"/>
          <w:lang w:val="sr-Latn-ME"/>
        </w:rPr>
      </w:pPr>
    </w:p>
    <w:p w14:paraId="19934269" w14:textId="77777777" w:rsidR="00282CE6" w:rsidRPr="008734AD" w:rsidRDefault="00282CE6" w:rsidP="00AC37DF">
      <w:pPr>
        <w:rPr>
          <w:rFonts w:ascii="Arial" w:hAnsi="Arial" w:cs="Arial"/>
          <w:lang w:val="sr-Latn-ME"/>
        </w:rPr>
      </w:pPr>
    </w:p>
    <w:p w14:paraId="609EDB34" w14:textId="3E5430E3" w:rsidR="00282CE6" w:rsidRPr="008734AD" w:rsidRDefault="00EA74E4" w:rsidP="00510BBA">
      <w:pPr>
        <w:spacing w:line="240" w:lineRule="auto"/>
        <w:jc w:val="center"/>
        <w:rPr>
          <w:rFonts w:ascii="Arial" w:hAnsi="Arial" w:cs="Arial"/>
          <w:b/>
          <w:lang w:val="sr-Latn-ME"/>
        </w:rPr>
      </w:pPr>
      <w:r w:rsidRPr="008734AD">
        <w:rPr>
          <w:rFonts w:ascii="Arial" w:hAnsi="Arial" w:cs="Arial"/>
          <w:b/>
          <w:lang w:val="sr-Latn-ME"/>
        </w:rPr>
        <w:lastRenderedPageBreak/>
        <w:t xml:space="preserve">OBRAZLOŽENJE </w:t>
      </w:r>
    </w:p>
    <w:p w14:paraId="494C451D" w14:textId="77777777" w:rsidR="00282CE6" w:rsidRPr="008734AD" w:rsidRDefault="00282CE6" w:rsidP="00282CE6">
      <w:pPr>
        <w:spacing w:line="240" w:lineRule="auto"/>
        <w:jc w:val="both"/>
        <w:rPr>
          <w:rFonts w:ascii="Arial" w:hAnsi="Arial" w:cs="Arial"/>
          <w:b/>
          <w:u w:val="single"/>
          <w:lang w:val="sr-Latn-ME"/>
        </w:rPr>
      </w:pPr>
      <w:r w:rsidRPr="008734AD">
        <w:rPr>
          <w:rFonts w:ascii="Arial" w:hAnsi="Arial" w:cs="Arial"/>
          <w:b/>
          <w:lang w:val="sr-Latn-ME"/>
        </w:rPr>
        <w:t xml:space="preserve">I  </w:t>
      </w:r>
      <w:r w:rsidRPr="008734AD">
        <w:rPr>
          <w:rFonts w:ascii="Arial" w:hAnsi="Arial" w:cs="Arial"/>
          <w:b/>
          <w:u w:val="single"/>
          <w:lang w:val="sr-Latn-ME"/>
        </w:rPr>
        <w:t>USTAVNI OSNOV ZA DONOŠENJE ZAKONA</w:t>
      </w:r>
    </w:p>
    <w:p w14:paraId="0E04409B" w14:textId="77777777" w:rsidR="00282CE6" w:rsidRPr="008734AD" w:rsidRDefault="00282CE6" w:rsidP="00EA74E4">
      <w:pPr>
        <w:spacing w:line="240" w:lineRule="auto"/>
        <w:ind w:firstLine="720"/>
        <w:jc w:val="both"/>
        <w:rPr>
          <w:rFonts w:ascii="Arial" w:hAnsi="Arial" w:cs="Arial"/>
          <w:lang w:val="sr-Latn-ME"/>
        </w:rPr>
      </w:pPr>
      <w:r w:rsidRPr="008734AD">
        <w:rPr>
          <w:rFonts w:ascii="Arial" w:hAnsi="Arial" w:cs="Arial"/>
          <w:lang w:val="sr-Latn-ME"/>
        </w:rPr>
        <w:t>Ustavni osnov za donošenje ovog zakona je član 16 stav 1</w:t>
      </w:r>
      <w:r w:rsidRPr="008734AD">
        <w:rPr>
          <w:rFonts w:ascii="Arial" w:hAnsi="Arial" w:cs="Arial"/>
          <w:b/>
          <w:lang w:val="sr-Latn-ME"/>
        </w:rPr>
        <w:t xml:space="preserve"> </w:t>
      </w:r>
      <w:r w:rsidRPr="008734AD">
        <w:rPr>
          <w:rFonts w:ascii="Arial" w:hAnsi="Arial" w:cs="Arial"/>
          <w:lang w:val="sr-Latn-ME"/>
        </w:rPr>
        <w:t xml:space="preserve">tačka 5 Ustava Crne Gore, prema kome se, u skladu sa Ustavom, uređuju pitanja od interesa za Crnu Goru. </w:t>
      </w:r>
    </w:p>
    <w:p w14:paraId="542F3055" w14:textId="77777777" w:rsidR="00282CE6" w:rsidRPr="008734AD" w:rsidRDefault="00282CE6" w:rsidP="00282CE6">
      <w:pPr>
        <w:spacing w:line="240" w:lineRule="auto"/>
        <w:jc w:val="both"/>
        <w:rPr>
          <w:rFonts w:ascii="Arial" w:hAnsi="Arial" w:cs="Arial"/>
          <w:lang w:val="sr-Latn-ME"/>
        </w:rPr>
      </w:pPr>
    </w:p>
    <w:p w14:paraId="315E054C" w14:textId="5C42AEA0" w:rsidR="00282CE6" w:rsidRPr="008734AD" w:rsidRDefault="00282CE6" w:rsidP="00282CE6">
      <w:pPr>
        <w:spacing w:line="240" w:lineRule="auto"/>
        <w:jc w:val="both"/>
        <w:rPr>
          <w:rFonts w:ascii="Arial" w:hAnsi="Arial" w:cs="Arial"/>
          <w:b/>
          <w:u w:val="single"/>
          <w:lang w:val="sr-Latn-ME"/>
        </w:rPr>
      </w:pPr>
      <w:r w:rsidRPr="008734AD">
        <w:rPr>
          <w:rFonts w:ascii="Arial" w:hAnsi="Arial" w:cs="Arial"/>
          <w:b/>
          <w:lang w:val="sr-Latn-ME"/>
        </w:rPr>
        <w:t xml:space="preserve">II </w:t>
      </w:r>
      <w:r w:rsidRPr="008734AD">
        <w:rPr>
          <w:rFonts w:ascii="Arial" w:hAnsi="Arial" w:cs="Arial"/>
          <w:b/>
          <w:u w:val="single"/>
          <w:lang w:val="sr-Latn-ME"/>
        </w:rPr>
        <w:t>RAZLOZI I CILJ DONOŠENJA ZAKONA</w:t>
      </w:r>
    </w:p>
    <w:p w14:paraId="33494364" w14:textId="77777777" w:rsidR="00282CE6" w:rsidRPr="008734AD" w:rsidRDefault="00282CE6" w:rsidP="00EA74E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Razlozi za donošenje Zakona o izmjenama i dopunama Zakona o izdavanju pokrivenih obveznica i nadzoru pokrivenih obveznica (u daljem tekstu: Zakon) proizlaze iz obaveze usklađivanja sa </w:t>
      </w:r>
      <w:r w:rsidRPr="008734AD">
        <w:rPr>
          <w:rStyle w:val="Strong"/>
          <w:rFonts w:ascii="Arial" w:eastAsiaTheme="majorEastAsia" w:hAnsi="Arial" w:cs="Arial"/>
          <w:sz w:val="22"/>
          <w:szCs w:val="22"/>
        </w:rPr>
        <w:t>Direktivom (EU) 2023/2864 Evropskog parlamenta i Savjeta od 13. decembra 2023. godine</w:t>
      </w:r>
      <w:r w:rsidRPr="008734AD">
        <w:rPr>
          <w:rFonts w:ascii="Arial" w:hAnsi="Arial" w:cs="Arial"/>
          <w:sz w:val="22"/>
          <w:szCs w:val="22"/>
        </w:rPr>
        <w:t xml:space="preserve">, kojom se uređuje uspostavljanje i funkcionisanje </w:t>
      </w:r>
      <w:r w:rsidRPr="008734AD">
        <w:rPr>
          <w:rStyle w:val="Strong"/>
          <w:rFonts w:ascii="Arial" w:eastAsiaTheme="majorEastAsia" w:hAnsi="Arial" w:cs="Arial"/>
          <w:sz w:val="22"/>
          <w:szCs w:val="22"/>
        </w:rPr>
        <w:t>Evropske jedinstvene pristupne tačke (ESAP)</w:t>
      </w:r>
      <w:r w:rsidRPr="008734AD">
        <w:rPr>
          <w:rFonts w:ascii="Arial" w:hAnsi="Arial" w:cs="Arial"/>
          <w:sz w:val="22"/>
          <w:szCs w:val="22"/>
        </w:rPr>
        <w:t xml:space="preserve"> u okviru zakonodavstva Unije.</w:t>
      </w:r>
    </w:p>
    <w:p w14:paraId="1CAB180A" w14:textId="77777777" w:rsidR="00282CE6" w:rsidRPr="008734AD" w:rsidRDefault="00282CE6" w:rsidP="00EA74E4">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Direktiva 2023/2864 zahtijeva od država članica da obezbijede:</w:t>
      </w:r>
    </w:p>
    <w:p w14:paraId="6AC600C3" w14:textId="0F8399C7" w:rsidR="00282CE6" w:rsidRPr="008734AD" w:rsidRDefault="00282CE6" w:rsidP="00EA74E4">
      <w:pPr>
        <w:pStyle w:val="NormalWeb"/>
        <w:numPr>
          <w:ilvl w:val="0"/>
          <w:numId w:val="8"/>
        </w:numPr>
        <w:spacing w:before="0" w:beforeAutospacing="0" w:after="0" w:afterAutospacing="0"/>
        <w:jc w:val="both"/>
        <w:rPr>
          <w:rFonts w:ascii="Arial" w:hAnsi="Arial" w:cs="Arial"/>
          <w:sz w:val="22"/>
          <w:szCs w:val="22"/>
        </w:rPr>
      </w:pPr>
      <w:r w:rsidRPr="008734AD">
        <w:rPr>
          <w:rFonts w:ascii="Arial" w:hAnsi="Arial" w:cs="Arial"/>
          <w:sz w:val="22"/>
          <w:szCs w:val="22"/>
        </w:rPr>
        <w:t>dostupnost relevantnih finansijskih i nadzornih informacija putem ESAP-a,</w:t>
      </w:r>
    </w:p>
    <w:p w14:paraId="49181D78" w14:textId="77777777" w:rsidR="00282CE6" w:rsidRPr="008734AD" w:rsidRDefault="00282CE6" w:rsidP="00EA74E4">
      <w:pPr>
        <w:pStyle w:val="NormalWeb"/>
        <w:numPr>
          <w:ilvl w:val="0"/>
          <w:numId w:val="9"/>
        </w:numPr>
        <w:spacing w:before="0" w:beforeAutospacing="0" w:after="0" w:afterAutospacing="0"/>
        <w:jc w:val="both"/>
        <w:rPr>
          <w:rFonts w:ascii="Arial" w:hAnsi="Arial" w:cs="Arial"/>
          <w:sz w:val="22"/>
          <w:szCs w:val="22"/>
        </w:rPr>
      </w:pPr>
      <w:r w:rsidRPr="008734AD">
        <w:rPr>
          <w:rFonts w:ascii="Arial" w:hAnsi="Arial" w:cs="Arial"/>
          <w:sz w:val="22"/>
          <w:szCs w:val="22"/>
        </w:rPr>
        <w:t>obavezu dostavljanja podataka u mašinski čitljivom i interoperabilnom formatu,</w:t>
      </w:r>
    </w:p>
    <w:p w14:paraId="3D2F5C56" w14:textId="77777777" w:rsidR="00282CE6" w:rsidRPr="008734AD" w:rsidRDefault="00282CE6" w:rsidP="00EA74E4">
      <w:pPr>
        <w:pStyle w:val="NormalWeb"/>
        <w:numPr>
          <w:ilvl w:val="0"/>
          <w:numId w:val="9"/>
        </w:numPr>
        <w:spacing w:before="0" w:beforeAutospacing="0" w:after="0" w:afterAutospacing="0"/>
        <w:jc w:val="both"/>
        <w:rPr>
          <w:rFonts w:ascii="Arial" w:hAnsi="Arial" w:cs="Arial"/>
          <w:sz w:val="22"/>
          <w:szCs w:val="22"/>
        </w:rPr>
      </w:pPr>
      <w:r w:rsidRPr="008734AD">
        <w:rPr>
          <w:rFonts w:ascii="Arial" w:hAnsi="Arial" w:cs="Arial"/>
          <w:sz w:val="22"/>
          <w:szCs w:val="22"/>
        </w:rPr>
        <w:t>standardizovane metapodatke koji omogućavaju efikasno pretraživanje, razmjenu i ponovnu upotrebu informacija,</w:t>
      </w:r>
    </w:p>
    <w:p w14:paraId="5CF61D9E" w14:textId="7E287B31" w:rsidR="00282CE6" w:rsidRPr="008734AD" w:rsidRDefault="00282CE6" w:rsidP="00EA74E4">
      <w:pPr>
        <w:pStyle w:val="NormalWeb"/>
        <w:numPr>
          <w:ilvl w:val="0"/>
          <w:numId w:val="9"/>
        </w:numPr>
        <w:spacing w:before="0" w:beforeAutospacing="0" w:after="0" w:afterAutospacing="0"/>
        <w:jc w:val="both"/>
        <w:rPr>
          <w:rFonts w:ascii="Arial" w:hAnsi="Arial" w:cs="Arial"/>
          <w:sz w:val="22"/>
          <w:szCs w:val="22"/>
        </w:rPr>
      </w:pPr>
      <w:r w:rsidRPr="008734AD">
        <w:rPr>
          <w:rFonts w:ascii="Arial" w:hAnsi="Arial" w:cs="Arial"/>
          <w:sz w:val="22"/>
          <w:szCs w:val="22"/>
        </w:rPr>
        <w:t xml:space="preserve">definisanje nadležnih </w:t>
      </w:r>
      <w:r w:rsidR="00EA74E4" w:rsidRPr="008734AD">
        <w:rPr>
          <w:rFonts w:ascii="Arial" w:hAnsi="Arial" w:cs="Arial"/>
          <w:sz w:val="22"/>
          <w:szCs w:val="22"/>
        </w:rPr>
        <w:t>organa</w:t>
      </w:r>
      <w:r w:rsidRPr="008734AD">
        <w:rPr>
          <w:rFonts w:ascii="Arial" w:hAnsi="Arial" w:cs="Arial"/>
          <w:sz w:val="22"/>
          <w:szCs w:val="22"/>
        </w:rPr>
        <w:t xml:space="preserve"> za prikupljanje i dostavljanje informacija.</w:t>
      </w:r>
    </w:p>
    <w:p w14:paraId="68DB1016" w14:textId="490CD1EC" w:rsidR="00282CE6" w:rsidRPr="008734AD" w:rsidRDefault="00282CE6" w:rsidP="00EA74E4">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 xml:space="preserve">Iako Crna Gora još uvijek nije članica Evropske unije, neophodno je da se nacionalno zakonodavstvo </w:t>
      </w:r>
      <w:r w:rsidR="00EA74E4" w:rsidRPr="008734AD">
        <w:rPr>
          <w:rStyle w:val="Strong"/>
          <w:rFonts w:ascii="Arial" w:eastAsiaTheme="majorEastAsia" w:hAnsi="Arial" w:cs="Arial"/>
          <w:sz w:val="22"/>
          <w:szCs w:val="22"/>
        </w:rPr>
        <w:t>blago</w:t>
      </w:r>
      <w:r w:rsidRPr="008734AD">
        <w:rPr>
          <w:rStyle w:val="Strong"/>
          <w:rFonts w:ascii="Arial" w:eastAsiaTheme="majorEastAsia" w:hAnsi="Arial" w:cs="Arial"/>
          <w:sz w:val="22"/>
          <w:szCs w:val="22"/>
        </w:rPr>
        <w:t>vremeno usklađuje sa pravnom tekovinom EU</w:t>
      </w:r>
      <w:r w:rsidRPr="008734AD">
        <w:rPr>
          <w:rFonts w:ascii="Arial" w:hAnsi="Arial" w:cs="Arial"/>
          <w:sz w:val="22"/>
          <w:szCs w:val="22"/>
        </w:rPr>
        <w:t>, kako bi se obezbijedila kompatibilnost domaćeg sistema sa evropskim standardima i omogućila nesmetana integracija po pristupanju.</w:t>
      </w:r>
    </w:p>
    <w:p w14:paraId="37050617" w14:textId="0BDE1C69" w:rsidR="00282CE6" w:rsidRPr="008734AD" w:rsidRDefault="00282CE6" w:rsidP="00EA74E4">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 xml:space="preserve">Posebno u oblasti pokrivenih obveznica, koja je u evropskom regulatornom okviru veoma strogo uređena (tzv. </w:t>
      </w:r>
      <w:r w:rsidRPr="008734AD">
        <w:rPr>
          <w:rStyle w:val="Emphasis"/>
          <w:rFonts w:ascii="Arial" w:eastAsiaTheme="majorEastAsia" w:hAnsi="Arial" w:cs="Arial"/>
          <w:sz w:val="22"/>
          <w:szCs w:val="22"/>
        </w:rPr>
        <w:t>covered bonds framework</w:t>
      </w:r>
      <w:r w:rsidRPr="008734AD">
        <w:rPr>
          <w:rFonts w:ascii="Arial" w:hAnsi="Arial" w:cs="Arial"/>
          <w:sz w:val="22"/>
          <w:szCs w:val="22"/>
        </w:rPr>
        <w:t>), važno je obezbijediti:</w:t>
      </w:r>
    </w:p>
    <w:p w14:paraId="56C781FC" w14:textId="77777777" w:rsidR="00282CE6" w:rsidRPr="008734AD" w:rsidRDefault="00282CE6" w:rsidP="00EA74E4">
      <w:pPr>
        <w:pStyle w:val="NormalWeb"/>
        <w:numPr>
          <w:ilvl w:val="0"/>
          <w:numId w:val="10"/>
        </w:numPr>
        <w:spacing w:before="0" w:beforeAutospacing="0" w:after="0" w:afterAutospacing="0"/>
        <w:jc w:val="both"/>
        <w:rPr>
          <w:rFonts w:ascii="Arial" w:hAnsi="Arial" w:cs="Arial"/>
          <w:sz w:val="22"/>
          <w:szCs w:val="22"/>
        </w:rPr>
      </w:pPr>
      <w:r w:rsidRPr="008734AD">
        <w:rPr>
          <w:rFonts w:ascii="Arial" w:hAnsi="Arial" w:cs="Arial"/>
          <w:sz w:val="22"/>
          <w:szCs w:val="22"/>
        </w:rPr>
        <w:t>transparentnost podataka o izdavaocima pokrivenih obveznica,</w:t>
      </w:r>
    </w:p>
    <w:p w14:paraId="3ED29463" w14:textId="16F8DB4C" w:rsidR="00282CE6" w:rsidRPr="008734AD" w:rsidRDefault="00282CE6" w:rsidP="00EA74E4">
      <w:pPr>
        <w:pStyle w:val="NormalWeb"/>
        <w:numPr>
          <w:ilvl w:val="0"/>
          <w:numId w:val="10"/>
        </w:numPr>
        <w:spacing w:before="0" w:beforeAutospacing="0" w:after="0" w:afterAutospacing="0"/>
        <w:jc w:val="both"/>
        <w:rPr>
          <w:rFonts w:ascii="Arial" w:hAnsi="Arial" w:cs="Arial"/>
          <w:sz w:val="22"/>
          <w:szCs w:val="22"/>
        </w:rPr>
      </w:pPr>
      <w:r w:rsidRPr="008734AD">
        <w:rPr>
          <w:rFonts w:ascii="Arial" w:hAnsi="Arial" w:cs="Arial"/>
          <w:sz w:val="22"/>
          <w:szCs w:val="22"/>
        </w:rPr>
        <w:t>dostupnost informacija za nadzor,</w:t>
      </w:r>
    </w:p>
    <w:p w14:paraId="2F936CC3" w14:textId="77777777" w:rsidR="00282CE6" w:rsidRPr="008734AD" w:rsidRDefault="00282CE6" w:rsidP="00EA74E4">
      <w:pPr>
        <w:pStyle w:val="NormalWeb"/>
        <w:numPr>
          <w:ilvl w:val="0"/>
          <w:numId w:val="10"/>
        </w:numPr>
        <w:spacing w:before="0" w:beforeAutospacing="0" w:after="0" w:afterAutospacing="0"/>
        <w:jc w:val="both"/>
        <w:rPr>
          <w:rFonts w:ascii="Arial" w:hAnsi="Arial" w:cs="Arial"/>
          <w:sz w:val="22"/>
          <w:szCs w:val="22"/>
        </w:rPr>
      </w:pPr>
      <w:r w:rsidRPr="008734AD">
        <w:rPr>
          <w:rFonts w:ascii="Arial" w:hAnsi="Arial" w:cs="Arial"/>
          <w:sz w:val="22"/>
          <w:szCs w:val="22"/>
        </w:rPr>
        <w:t>jačanje povjerenja investitora,</w:t>
      </w:r>
    </w:p>
    <w:p w14:paraId="45C043AA" w14:textId="77777777" w:rsidR="00282CE6" w:rsidRPr="008734AD" w:rsidRDefault="00282CE6" w:rsidP="00EA74E4">
      <w:pPr>
        <w:pStyle w:val="NormalWeb"/>
        <w:numPr>
          <w:ilvl w:val="0"/>
          <w:numId w:val="10"/>
        </w:numPr>
        <w:spacing w:before="0" w:beforeAutospacing="0" w:after="0" w:afterAutospacing="0"/>
        <w:jc w:val="both"/>
        <w:rPr>
          <w:rFonts w:ascii="Arial" w:hAnsi="Arial" w:cs="Arial"/>
          <w:sz w:val="22"/>
          <w:szCs w:val="22"/>
        </w:rPr>
      </w:pPr>
      <w:r w:rsidRPr="008734AD">
        <w:rPr>
          <w:rFonts w:ascii="Arial" w:hAnsi="Arial" w:cs="Arial"/>
          <w:sz w:val="22"/>
          <w:szCs w:val="22"/>
        </w:rPr>
        <w:t>digitalnu interoperabilnost i standardizaciju podataka,</w:t>
      </w:r>
    </w:p>
    <w:p w14:paraId="7BF0ADE4" w14:textId="77777777" w:rsidR="00282CE6" w:rsidRPr="008734AD" w:rsidRDefault="00282CE6" w:rsidP="00EA74E4">
      <w:pPr>
        <w:pStyle w:val="NormalWeb"/>
        <w:numPr>
          <w:ilvl w:val="0"/>
          <w:numId w:val="10"/>
        </w:numPr>
        <w:spacing w:before="0" w:beforeAutospacing="0" w:after="0" w:afterAutospacing="0"/>
        <w:jc w:val="both"/>
        <w:rPr>
          <w:rFonts w:ascii="Arial" w:hAnsi="Arial" w:cs="Arial"/>
          <w:sz w:val="22"/>
          <w:szCs w:val="22"/>
        </w:rPr>
      </w:pPr>
      <w:r w:rsidRPr="008734AD">
        <w:rPr>
          <w:rFonts w:ascii="Arial" w:hAnsi="Arial" w:cs="Arial"/>
          <w:sz w:val="22"/>
          <w:szCs w:val="22"/>
        </w:rPr>
        <w:t>efikasnu saradnju sa evropskim nadzornim tijelima (EBA, ESMA).</w:t>
      </w:r>
    </w:p>
    <w:p w14:paraId="5B4BFB90" w14:textId="77777777" w:rsidR="00282CE6" w:rsidRPr="008734AD" w:rsidRDefault="00282CE6" w:rsidP="00EA74E4">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t>Zbog navedenog, ovim zakonom se uvodi novi član 41a kojim se uređuje dostavljanje informacija Komisiji za tržište kapitala radi objavljivanja putem ESAP-a, kao i obaveza kreditnih institucija da koriste standardizovane formate i metapodatke.</w:t>
      </w:r>
    </w:p>
    <w:p w14:paraId="7DAB3A41" w14:textId="571E8E7A" w:rsidR="00EA74E4" w:rsidRPr="008734AD" w:rsidRDefault="00EA74E4" w:rsidP="00EA74E4">
      <w:pPr>
        <w:spacing w:after="0" w:line="240" w:lineRule="auto"/>
        <w:ind w:firstLine="360"/>
        <w:jc w:val="both"/>
        <w:rPr>
          <w:rFonts w:ascii="Arial" w:hAnsi="Arial" w:cs="Arial"/>
          <w:lang w:val="sr-Latn-ME" w:eastAsia="sr-Latn-ME"/>
        </w:rPr>
      </w:pPr>
      <w:r w:rsidRPr="008734AD">
        <w:rPr>
          <w:rFonts w:ascii="Arial" w:hAnsi="Arial" w:cs="Arial"/>
          <w:lang w:val="sr-Latn-ME" w:eastAsia="sr-Latn-ME"/>
        </w:rPr>
        <w:t xml:space="preserve">Odredbe predloženog člana </w:t>
      </w:r>
      <w:r w:rsidRPr="008734AD">
        <w:rPr>
          <w:rFonts w:ascii="Arial" w:hAnsi="Arial" w:cs="Arial"/>
          <w:b/>
          <w:bCs/>
          <w:lang w:val="sr-Latn-ME" w:eastAsia="sr-Latn-ME"/>
        </w:rPr>
        <w:t>41a</w:t>
      </w:r>
      <w:r w:rsidRPr="008734AD">
        <w:rPr>
          <w:rFonts w:ascii="Arial" w:hAnsi="Arial" w:cs="Arial"/>
          <w:lang w:val="sr-Latn-ME" w:eastAsia="sr-Latn-ME"/>
        </w:rPr>
        <w:t xml:space="preserve">, kao i odgovarajuće izmjene u članu 60 Zakona, predviđaju da će se sve obaveze u vezi sa dostavljanjem informacija u standardizovanom formatu, njihovom objavom putem Evropske jedinstvene pristupne tačke (ESAP), kao i obaveze Komisije i kreditnih institucija koje iz toga proističu, </w:t>
      </w:r>
      <w:r w:rsidRPr="008734AD">
        <w:rPr>
          <w:rFonts w:ascii="Arial" w:hAnsi="Arial" w:cs="Arial"/>
          <w:b/>
          <w:bCs/>
          <w:lang w:val="sr-Latn-ME" w:eastAsia="sr-Latn-ME"/>
        </w:rPr>
        <w:t>primjenjivati tek od dana pristupanja Crne Gore Evropskoj uniji</w:t>
      </w:r>
      <w:r w:rsidRPr="008734AD">
        <w:rPr>
          <w:rFonts w:ascii="Arial" w:hAnsi="Arial" w:cs="Arial"/>
          <w:lang w:val="sr-Latn-ME" w:eastAsia="sr-Latn-ME"/>
        </w:rPr>
        <w:t>.</w:t>
      </w:r>
    </w:p>
    <w:p w14:paraId="2CE6BF8F" w14:textId="77777777" w:rsidR="00EA74E4" w:rsidRPr="00EA74E4" w:rsidRDefault="00EA74E4" w:rsidP="00EA74E4">
      <w:p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Razlozi za odloženu primjenu su sljedeći:</w:t>
      </w:r>
    </w:p>
    <w:p w14:paraId="2B4F92D0" w14:textId="0F7521EC" w:rsidR="00EA74E4" w:rsidRPr="00EA74E4" w:rsidRDefault="00EA74E4" w:rsidP="00EA74E4">
      <w:pPr>
        <w:numPr>
          <w:ilvl w:val="0"/>
          <w:numId w:val="11"/>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b/>
          <w:bCs/>
          <w:kern w:val="0"/>
          <w:lang w:val="sr-Latn-ME" w:eastAsia="sr-Latn-ME"/>
          <w14:ligatures w14:val="none"/>
        </w:rPr>
        <w:t>ESAP je informaciona infrastruktura Evropske unije</w:t>
      </w:r>
      <w:r w:rsidRPr="00EA74E4">
        <w:rPr>
          <w:rFonts w:ascii="Arial" w:eastAsia="Times New Roman" w:hAnsi="Arial" w:cs="Arial"/>
          <w:kern w:val="0"/>
          <w:lang w:val="sr-Latn-ME" w:eastAsia="sr-Latn-ME"/>
          <w14:ligatures w14:val="none"/>
        </w:rPr>
        <w:t xml:space="preserve">, kojoj pristup i korišćenje podrazumijeva članstvo u EU i tehničku integraciju nacionalnih </w:t>
      </w:r>
      <w:r w:rsidRPr="008734AD">
        <w:rPr>
          <w:rFonts w:ascii="Arial" w:eastAsia="Times New Roman" w:hAnsi="Arial" w:cs="Arial"/>
          <w:kern w:val="0"/>
          <w:lang w:val="sr-Latn-ME" w:eastAsia="sr-Latn-ME"/>
          <w14:ligatures w14:val="none"/>
        </w:rPr>
        <w:t>organa</w:t>
      </w:r>
      <w:r w:rsidRPr="00EA74E4">
        <w:rPr>
          <w:rFonts w:ascii="Arial" w:eastAsia="Times New Roman" w:hAnsi="Arial" w:cs="Arial"/>
          <w:kern w:val="0"/>
          <w:lang w:val="sr-Latn-ME" w:eastAsia="sr-Latn-ME"/>
          <w14:ligatures w14:val="none"/>
        </w:rPr>
        <w:t xml:space="preserve"> sa sistemima evropskih nadzornih institucija (ESMA, EBA).</w:t>
      </w:r>
    </w:p>
    <w:p w14:paraId="26C00271" w14:textId="77777777" w:rsidR="00EA74E4" w:rsidRPr="00EA74E4" w:rsidRDefault="00EA74E4" w:rsidP="00EA74E4">
      <w:pPr>
        <w:numPr>
          <w:ilvl w:val="0"/>
          <w:numId w:val="11"/>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b/>
          <w:bCs/>
          <w:kern w:val="0"/>
          <w:lang w:val="sr-Latn-ME" w:eastAsia="sr-Latn-ME"/>
          <w14:ligatures w14:val="none"/>
        </w:rPr>
        <w:t>Crna Gora kao država kandidat ne može u potpunosti koristiti ESAP</w:t>
      </w:r>
      <w:r w:rsidRPr="00EA74E4">
        <w:rPr>
          <w:rFonts w:ascii="Arial" w:eastAsia="Times New Roman" w:hAnsi="Arial" w:cs="Arial"/>
          <w:kern w:val="0"/>
          <w:lang w:val="sr-Latn-ME" w:eastAsia="sr-Latn-ME"/>
          <w14:ligatures w14:val="none"/>
        </w:rPr>
        <w:t>, s obzirom da su:</w:t>
      </w:r>
    </w:p>
    <w:p w14:paraId="2F2A6A77" w14:textId="77777777" w:rsidR="00EA74E4" w:rsidRPr="00EA74E4" w:rsidRDefault="00EA74E4" w:rsidP="00EA74E4">
      <w:pPr>
        <w:numPr>
          <w:ilvl w:val="1"/>
          <w:numId w:val="14"/>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mehanizmi razmjene podataka,</w:t>
      </w:r>
    </w:p>
    <w:p w14:paraId="094320AA" w14:textId="77777777" w:rsidR="00EA74E4" w:rsidRPr="00EA74E4" w:rsidRDefault="00EA74E4" w:rsidP="00EA74E4">
      <w:pPr>
        <w:numPr>
          <w:ilvl w:val="1"/>
          <w:numId w:val="14"/>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nadnacionalni nadzorni postupci,</w:t>
      </w:r>
    </w:p>
    <w:p w14:paraId="6F48CD88" w14:textId="589EA836" w:rsidR="00EA74E4" w:rsidRPr="00EA74E4" w:rsidRDefault="00EA74E4" w:rsidP="00EA74E4">
      <w:pPr>
        <w:numPr>
          <w:ilvl w:val="1"/>
          <w:numId w:val="14"/>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pravila o prikupljanju i obradi informacija</w:t>
      </w:r>
      <w:r w:rsidRPr="008734AD">
        <w:rPr>
          <w:rFonts w:ascii="Arial" w:eastAsia="Times New Roman" w:hAnsi="Arial" w:cs="Arial"/>
          <w:kern w:val="0"/>
          <w:lang w:val="sr-Latn-ME" w:eastAsia="sr-Latn-ME"/>
          <w14:ligatures w14:val="none"/>
        </w:rPr>
        <w:t xml:space="preserve"> </w:t>
      </w:r>
      <w:r w:rsidRPr="00EA74E4">
        <w:rPr>
          <w:rFonts w:ascii="Arial" w:eastAsia="Times New Roman" w:hAnsi="Arial" w:cs="Arial"/>
          <w:kern w:val="0"/>
          <w:lang w:val="sr-Latn-ME" w:eastAsia="sr-Latn-ME"/>
          <w14:ligatures w14:val="none"/>
        </w:rPr>
        <w:t>rezervisani za države članice.</w:t>
      </w:r>
    </w:p>
    <w:p w14:paraId="5701C7F3" w14:textId="77777777" w:rsidR="00EA74E4" w:rsidRPr="00EA74E4" w:rsidRDefault="00EA74E4" w:rsidP="00EA74E4">
      <w:pPr>
        <w:numPr>
          <w:ilvl w:val="0"/>
          <w:numId w:val="11"/>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Tehničke i organizacione pretpostavke za funkcionisanje ESAP-a zahtijevaju:</w:t>
      </w:r>
    </w:p>
    <w:p w14:paraId="7A60A4B1" w14:textId="77777777" w:rsidR="00EA74E4" w:rsidRPr="00EA74E4" w:rsidRDefault="00EA74E4" w:rsidP="00EA74E4">
      <w:pPr>
        <w:numPr>
          <w:ilvl w:val="1"/>
          <w:numId w:val="12"/>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povezivanje IT sistema Komisije za tržište kapitala sa evropskom infrastrukturom,</w:t>
      </w:r>
    </w:p>
    <w:p w14:paraId="689B1E53" w14:textId="77777777" w:rsidR="00EA74E4" w:rsidRPr="00EA74E4" w:rsidRDefault="00EA74E4" w:rsidP="00EA74E4">
      <w:pPr>
        <w:numPr>
          <w:ilvl w:val="1"/>
          <w:numId w:val="12"/>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lastRenderedPageBreak/>
        <w:t>primjenu tehničkih standarda koje donosi EBA,</w:t>
      </w:r>
    </w:p>
    <w:p w14:paraId="21E73217" w14:textId="77777777" w:rsidR="00EA74E4" w:rsidRPr="00EA74E4" w:rsidRDefault="00EA74E4" w:rsidP="00EA74E4">
      <w:pPr>
        <w:numPr>
          <w:ilvl w:val="1"/>
          <w:numId w:val="12"/>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učešće u nadnacionalnim nadzornim mrežama, što je moguće tek po pristupanju EU.</w:t>
      </w:r>
    </w:p>
    <w:p w14:paraId="3D797153" w14:textId="77777777" w:rsidR="00EA74E4" w:rsidRPr="00EA74E4" w:rsidRDefault="00EA74E4" w:rsidP="00EA74E4">
      <w:pPr>
        <w:numPr>
          <w:ilvl w:val="0"/>
          <w:numId w:val="11"/>
        </w:numPr>
        <w:spacing w:after="0" w:line="240" w:lineRule="auto"/>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Odložena primjena omogućava:</w:t>
      </w:r>
    </w:p>
    <w:p w14:paraId="76FD563D" w14:textId="12E0B336" w:rsidR="00EA74E4" w:rsidRPr="00EA74E4" w:rsidRDefault="00EA74E4" w:rsidP="00EA74E4">
      <w:pPr>
        <w:numPr>
          <w:ilvl w:val="1"/>
          <w:numId w:val="13"/>
        </w:numPr>
        <w:spacing w:after="0" w:line="240" w:lineRule="auto"/>
        <w:jc w:val="both"/>
        <w:rPr>
          <w:rFonts w:ascii="Arial" w:eastAsia="Times New Roman" w:hAnsi="Arial" w:cs="Arial"/>
          <w:kern w:val="0"/>
          <w:lang w:val="sr-Latn-ME" w:eastAsia="sr-Latn-ME"/>
          <w14:ligatures w14:val="none"/>
        </w:rPr>
      </w:pPr>
      <w:r w:rsidRPr="008734AD">
        <w:rPr>
          <w:rFonts w:ascii="Arial" w:eastAsia="Times New Roman" w:hAnsi="Arial" w:cs="Arial"/>
          <w:kern w:val="0"/>
          <w:lang w:val="sr-Latn-ME" w:eastAsia="sr-Latn-ME"/>
          <w14:ligatures w14:val="none"/>
        </w:rPr>
        <w:t>blago</w:t>
      </w:r>
      <w:r w:rsidRPr="00EA74E4">
        <w:rPr>
          <w:rFonts w:ascii="Arial" w:eastAsia="Times New Roman" w:hAnsi="Arial" w:cs="Arial"/>
          <w:kern w:val="0"/>
          <w:lang w:val="sr-Latn-ME" w:eastAsia="sr-Latn-ME"/>
          <w14:ligatures w14:val="none"/>
        </w:rPr>
        <w:t xml:space="preserve">vremenu </w:t>
      </w:r>
      <w:r w:rsidRPr="00EA74E4">
        <w:rPr>
          <w:rFonts w:ascii="Arial" w:eastAsia="Times New Roman" w:hAnsi="Arial" w:cs="Arial"/>
          <w:b/>
          <w:bCs/>
          <w:kern w:val="0"/>
          <w:lang w:val="sr-Latn-ME" w:eastAsia="sr-Latn-ME"/>
          <w14:ligatures w14:val="none"/>
        </w:rPr>
        <w:t>pripremu regulatornog okvira</w:t>
      </w:r>
      <w:r w:rsidRPr="00EA74E4">
        <w:rPr>
          <w:rFonts w:ascii="Arial" w:eastAsia="Times New Roman" w:hAnsi="Arial" w:cs="Arial"/>
          <w:kern w:val="0"/>
          <w:lang w:val="sr-Latn-ME" w:eastAsia="sr-Latn-ME"/>
          <w14:ligatures w14:val="none"/>
        </w:rPr>
        <w:t>,</w:t>
      </w:r>
    </w:p>
    <w:p w14:paraId="6FE2613C" w14:textId="77777777" w:rsidR="00EA74E4" w:rsidRPr="00EA74E4" w:rsidRDefault="00EA74E4" w:rsidP="00EA74E4">
      <w:pPr>
        <w:numPr>
          <w:ilvl w:val="1"/>
          <w:numId w:val="13"/>
        </w:numPr>
        <w:spacing w:after="0" w:line="240" w:lineRule="auto"/>
        <w:jc w:val="both"/>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 xml:space="preserve">nesmetanu </w:t>
      </w:r>
      <w:r w:rsidRPr="00EA74E4">
        <w:rPr>
          <w:rFonts w:ascii="Arial" w:eastAsia="Times New Roman" w:hAnsi="Arial" w:cs="Arial"/>
          <w:b/>
          <w:bCs/>
          <w:kern w:val="0"/>
          <w:lang w:val="sr-Latn-ME" w:eastAsia="sr-Latn-ME"/>
          <w14:ligatures w14:val="none"/>
        </w:rPr>
        <w:t>tehničku i organizacionu tranziciju</w:t>
      </w:r>
      <w:r w:rsidRPr="00EA74E4">
        <w:rPr>
          <w:rFonts w:ascii="Arial" w:eastAsia="Times New Roman" w:hAnsi="Arial" w:cs="Arial"/>
          <w:kern w:val="0"/>
          <w:lang w:val="sr-Latn-ME" w:eastAsia="sr-Latn-ME"/>
          <w14:ligatures w14:val="none"/>
        </w:rPr>
        <w:t>,</w:t>
      </w:r>
    </w:p>
    <w:p w14:paraId="5AB93D65" w14:textId="77777777" w:rsidR="00EA74E4" w:rsidRPr="00EA74E4" w:rsidRDefault="00EA74E4" w:rsidP="00EA74E4">
      <w:pPr>
        <w:numPr>
          <w:ilvl w:val="1"/>
          <w:numId w:val="13"/>
        </w:numPr>
        <w:spacing w:after="0" w:line="240" w:lineRule="auto"/>
        <w:jc w:val="both"/>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 xml:space="preserve">potpunu usklađenost sa pravnom tekovinom EU </w:t>
      </w:r>
      <w:r w:rsidRPr="00EA74E4">
        <w:rPr>
          <w:rFonts w:ascii="Arial" w:eastAsia="Times New Roman" w:hAnsi="Arial" w:cs="Arial"/>
          <w:b/>
          <w:bCs/>
          <w:kern w:val="0"/>
          <w:lang w:val="sr-Latn-ME" w:eastAsia="sr-Latn-ME"/>
          <w14:ligatures w14:val="none"/>
        </w:rPr>
        <w:t>bez stvaranja obaveza koje nije moguće izvršavati prije pristupanja</w:t>
      </w:r>
      <w:r w:rsidRPr="00EA74E4">
        <w:rPr>
          <w:rFonts w:ascii="Arial" w:eastAsia="Times New Roman" w:hAnsi="Arial" w:cs="Arial"/>
          <w:kern w:val="0"/>
          <w:lang w:val="sr-Latn-ME" w:eastAsia="sr-Latn-ME"/>
          <w14:ligatures w14:val="none"/>
        </w:rPr>
        <w:t>.</w:t>
      </w:r>
    </w:p>
    <w:p w14:paraId="0F753C9D" w14:textId="57862BFC" w:rsidR="00EA74E4" w:rsidRPr="008734AD" w:rsidRDefault="00EA74E4" w:rsidP="00EA74E4">
      <w:pPr>
        <w:spacing w:after="0" w:line="240" w:lineRule="auto"/>
        <w:ind w:firstLine="720"/>
        <w:jc w:val="both"/>
        <w:rPr>
          <w:rFonts w:ascii="Arial" w:eastAsia="Times New Roman" w:hAnsi="Arial" w:cs="Arial"/>
          <w:kern w:val="0"/>
          <w:lang w:val="sr-Latn-ME" w:eastAsia="sr-Latn-ME"/>
          <w14:ligatures w14:val="none"/>
        </w:rPr>
      </w:pPr>
      <w:r w:rsidRPr="00EA74E4">
        <w:rPr>
          <w:rFonts w:ascii="Arial" w:eastAsia="Times New Roman" w:hAnsi="Arial" w:cs="Arial"/>
          <w:kern w:val="0"/>
          <w:lang w:val="sr-Latn-ME" w:eastAsia="sr-Latn-ME"/>
          <w14:ligatures w14:val="none"/>
        </w:rPr>
        <w:t>Stoga se predlaže da sve odredbe koje se odnose na ESAP – uključujući format, metapodatke, nacionaln</w:t>
      </w:r>
      <w:r w:rsidRPr="008734AD">
        <w:rPr>
          <w:rFonts w:ascii="Arial" w:eastAsia="Times New Roman" w:hAnsi="Arial" w:cs="Arial"/>
          <w:kern w:val="0"/>
          <w:lang w:val="sr-Latn-ME" w:eastAsia="sr-Latn-ME"/>
          <w14:ligatures w14:val="none"/>
        </w:rPr>
        <w:t>e</w:t>
      </w:r>
      <w:r w:rsidRPr="00EA74E4">
        <w:rPr>
          <w:rFonts w:ascii="Arial" w:eastAsia="Times New Roman" w:hAnsi="Arial" w:cs="Arial"/>
          <w:kern w:val="0"/>
          <w:lang w:val="sr-Latn-ME" w:eastAsia="sr-Latn-ME"/>
          <w14:ligatures w14:val="none"/>
        </w:rPr>
        <w:t xml:space="preserve"> i evropsk</w:t>
      </w:r>
      <w:r w:rsidRPr="008734AD">
        <w:rPr>
          <w:rFonts w:ascii="Arial" w:eastAsia="Times New Roman" w:hAnsi="Arial" w:cs="Arial"/>
          <w:kern w:val="0"/>
          <w:lang w:val="sr-Latn-ME" w:eastAsia="sr-Latn-ME"/>
          <w14:ligatures w14:val="none"/>
        </w:rPr>
        <w:t>e</w:t>
      </w:r>
      <w:r w:rsidRPr="00EA74E4">
        <w:rPr>
          <w:rFonts w:ascii="Arial" w:eastAsia="Times New Roman" w:hAnsi="Arial" w:cs="Arial"/>
          <w:kern w:val="0"/>
          <w:lang w:val="sr-Latn-ME" w:eastAsia="sr-Latn-ME"/>
          <w14:ligatures w14:val="none"/>
        </w:rPr>
        <w:t xml:space="preserve"> nadzorn</w:t>
      </w:r>
      <w:r w:rsidRPr="008734AD">
        <w:rPr>
          <w:rFonts w:ascii="Arial" w:eastAsia="Times New Roman" w:hAnsi="Arial" w:cs="Arial"/>
          <w:kern w:val="0"/>
          <w:lang w:val="sr-Latn-ME" w:eastAsia="sr-Latn-ME"/>
          <w14:ligatures w14:val="none"/>
        </w:rPr>
        <w:t>e organe</w:t>
      </w:r>
      <w:r w:rsidRPr="00EA74E4">
        <w:rPr>
          <w:rFonts w:ascii="Arial" w:eastAsia="Times New Roman" w:hAnsi="Arial" w:cs="Arial"/>
          <w:kern w:val="0"/>
          <w:lang w:val="sr-Latn-ME" w:eastAsia="sr-Latn-ME"/>
          <w14:ligatures w14:val="none"/>
        </w:rPr>
        <w:t xml:space="preserve"> za prikupljanje podataka – </w:t>
      </w:r>
      <w:r w:rsidRPr="00EA74E4">
        <w:rPr>
          <w:rFonts w:ascii="Arial" w:eastAsia="Times New Roman" w:hAnsi="Arial" w:cs="Arial"/>
          <w:b/>
          <w:bCs/>
          <w:kern w:val="0"/>
          <w:lang w:val="sr-Latn-ME" w:eastAsia="sr-Latn-ME"/>
          <w14:ligatures w14:val="none"/>
        </w:rPr>
        <w:t>stupe na snagu danom ulaska Crne Gore u Evropsku uniju</w:t>
      </w:r>
      <w:r w:rsidRPr="00EA74E4">
        <w:rPr>
          <w:rFonts w:ascii="Arial" w:eastAsia="Times New Roman" w:hAnsi="Arial" w:cs="Arial"/>
          <w:kern w:val="0"/>
          <w:lang w:val="sr-Latn-ME" w:eastAsia="sr-Latn-ME"/>
          <w14:ligatures w14:val="none"/>
        </w:rPr>
        <w:t>, čime se omogućava istovremeno pravno i tehničko funkcionisanje sistema.</w:t>
      </w:r>
    </w:p>
    <w:p w14:paraId="4CBB0439" w14:textId="77777777" w:rsidR="00EA74E4" w:rsidRPr="00EA74E4" w:rsidRDefault="00EA74E4" w:rsidP="00EA74E4">
      <w:pPr>
        <w:spacing w:after="0" w:line="240" w:lineRule="auto"/>
        <w:ind w:firstLine="720"/>
        <w:jc w:val="both"/>
        <w:rPr>
          <w:rFonts w:ascii="Arial" w:eastAsia="Times New Roman" w:hAnsi="Arial" w:cs="Arial"/>
          <w:kern w:val="0"/>
          <w:lang w:val="sr-Latn-ME" w:eastAsia="sr-Latn-ME"/>
          <w14:ligatures w14:val="none"/>
        </w:rPr>
      </w:pPr>
    </w:p>
    <w:p w14:paraId="5363F793" w14:textId="77777777" w:rsidR="00282CE6" w:rsidRPr="008734AD" w:rsidRDefault="00282CE6" w:rsidP="00282CE6">
      <w:pPr>
        <w:spacing w:line="240" w:lineRule="auto"/>
        <w:jc w:val="both"/>
        <w:rPr>
          <w:rFonts w:ascii="Arial" w:hAnsi="Arial" w:cs="Arial"/>
          <w:b/>
          <w:u w:val="single"/>
          <w:lang w:val="sr-Latn-ME"/>
        </w:rPr>
      </w:pPr>
      <w:r w:rsidRPr="008734AD">
        <w:rPr>
          <w:rFonts w:ascii="Arial" w:hAnsi="Arial" w:cs="Arial"/>
          <w:b/>
          <w:u w:val="single"/>
          <w:lang w:val="sr-Latn-ME"/>
        </w:rPr>
        <w:t>III USAGLAŠENOST SA EVROPSKIM ZAKONODAVSTVOM I POTVRĐENIM MEĐUNARODNIM KONVENCIJAMA</w:t>
      </w:r>
    </w:p>
    <w:p w14:paraId="7A7A3680" w14:textId="77777777" w:rsidR="00B62274" w:rsidRPr="008734AD" w:rsidRDefault="00B62274" w:rsidP="00B6227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Zakon o izdavanju pokrivenih obveznica i nadzoru pokrivenih obveznica („Službeni list Crne Gore”, br. 082/25) u svom važećem tekstu već je u potpunosti usklađen sa Direktivom (EU) 2019/2162 („CBD Direktiva“). </w:t>
      </w:r>
    </w:p>
    <w:p w14:paraId="35CA21B3" w14:textId="3D89D7CB" w:rsidR="00EA74E4" w:rsidRPr="008734AD" w:rsidRDefault="00B62274" w:rsidP="00B6227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Donošenjem ovih izmjena i dopuna ostvaruje se i puna usklađenost sa Direktivom (EU) 2023/2864, kojom se uređuje uspostavljanje i funkcionisanje Evropske jedinstvene pristupne tačke (ESAP) u dijelu koji se odnosi na kreditne institucije koje izdaju pokrivene obveznice.</w:t>
      </w:r>
    </w:p>
    <w:p w14:paraId="622B41E4" w14:textId="0A660D74" w:rsidR="00B62274" w:rsidRPr="008734AD" w:rsidRDefault="00B62274" w:rsidP="00B6227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Na ovaj način Crna Gora pokazuje visok stepen posvećenosti sprovođenju pravne tekovine Evropske unije i spremnost da u potpunosti uskladi regulatorni okvir u oblasti finansijskog tržišta sa standardima EU. Blagovremenim preuzimanjem obaveza koje proističu iz sekundarnog zakonodavstva Unije, naročito u dijelu digitalne transparentnosti, javnog nadzora i jačanja integriteta tržišta pokrivenih obveznica, Crna Gora potvrđuje svoju spremnost za preuzimanje obaveza koje donosi članstvo u Evropskoj uniji i doprinosi efikasnijoj i bržoj integraciji u jedinstveno evropsko finansijsko tržište.</w:t>
      </w:r>
    </w:p>
    <w:p w14:paraId="6E9B5910" w14:textId="77777777" w:rsidR="00EA74E4" w:rsidRPr="008734AD" w:rsidRDefault="00EA74E4" w:rsidP="00282CE6">
      <w:pPr>
        <w:pStyle w:val="NormalWeb"/>
        <w:spacing w:before="0" w:beforeAutospacing="0" w:after="0" w:afterAutospacing="0"/>
        <w:jc w:val="both"/>
        <w:rPr>
          <w:rFonts w:ascii="Arial" w:hAnsi="Arial" w:cs="Arial"/>
          <w:sz w:val="22"/>
          <w:szCs w:val="22"/>
        </w:rPr>
      </w:pPr>
    </w:p>
    <w:p w14:paraId="20A6728C" w14:textId="081EC960" w:rsidR="00282CE6" w:rsidRPr="008734AD" w:rsidRDefault="00282CE6" w:rsidP="00B62274">
      <w:pPr>
        <w:spacing w:line="240" w:lineRule="auto"/>
        <w:jc w:val="both"/>
        <w:rPr>
          <w:rFonts w:ascii="Arial" w:hAnsi="Arial" w:cs="Arial"/>
          <w:b/>
          <w:lang w:val="sr-Latn-ME"/>
        </w:rPr>
      </w:pPr>
      <w:r w:rsidRPr="008734AD">
        <w:rPr>
          <w:rFonts w:ascii="Arial" w:hAnsi="Arial" w:cs="Arial"/>
          <w:bCs/>
          <w:lang w:val="sr-Latn-ME"/>
        </w:rPr>
        <w:t xml:space="preserve">  </w:t>
      </w:r>
      <w:r w:rsidRPr="008734AD">
        <w:rPr>
          <w:rFonts w:ascii="Arial" w:hAnsi="Arial" w:cs="Arial"/>
          <w:b/>
          <w:lang w:val="sr-Latn-ME"/>
        </w:rPr>
        <w:t>IV OBJAŠNJENJE OSNOVNIH PRAVNIH INSTITUTA ZAKONA O REFERENTNIM VRIJEDNOSTIMA</w:t>
      </w:r>
    </w:p>
    <w:p w14:paraId="2C852094" w14:textId="77777777" w:rsidR="00282CE6" w:rsidRPr="008734AD" w:rsidRDefault="00282CE6" w:rsidP="00282CE6">
      <w:pPr>
        <w:spacing w:after="0" w:line="240" w:lineRule="auto"/>
        <w:jc w:val="both"/>
        <w:rPr>
          <w:rFonts w:ascii="Arial" w:hAnsi="Arial" w:cs="Arial"/>
          <w:b/>
          <w:lang w:val="sr-Latn-ME"/>
        </w:rPr>
      </w:pPr>
    </w:p>
    <w:p w14:paraId="0A3F9EB1" w14:textId="59518077" w:rsidR="00282CE6" w:rsidRPr="008734AD" w:rsidRDefault="00173C67" w:rsidP="00282CE6">
      <w:pPr>
        <w:spacing w:after="0" w:line="240" w:lineRule="auto"/>
        <w:jc w:val="both"/>
        <w:rPr>
          <w:rFonts w:ascii="Arial" w:hAnsi="Arial" w:cs="Arial"/>
          <w:bCs/>
          <w:lang w:val="sr-Latn-ME"/>
        </w:rPr>
      </w:pPr>
      <w:r>
        <w:rPr>
          <w:rFonts w:ascii="Arial" w:hAnsi="Arial" w:cs="Arial"/>
          <w:bCs/>
          <w:lang w:val="sr-Latn-ME"/>
        </w:rPr>
        <w:t>Nacrt</w:t>
      </w:r>
      <w:bookmarkStart w:id="1" w:name="_GoBack"/>
      <w:bookmarkEnd w:id="1"/>
      <w:r w:rsidR="00282CE6" w:rsidRPr="008734AD">
        <w:rPr>
          <w:rFonts w:ascii="Arial" w:hAnsi="Arial" w:cs="Arial"/>
          <w:bCs/>
          <w:lang w:val="sr-Latn-ME"/>
        </w:rPr>
        <w:t xml:space="preserve"> Zakona o </w:t>
      </w:r>
      <w:r w:rsidR="00B62274" w:rsidRPr="008734AD">
        <w:rPr>
          <w:rFonts w:ascii="Arial" w:hAnsi="Arial" w:cs="Arial"/>
          <w:bCs/>
          <w:lang w:val="sr-Latn-ME"/>
        </w:rPr>
        <w:t xml:space="preserve">izmjenama i dopunama Zakona o izdavanju pokrivenih obveznica i nadzoru pokrivenih obveznica </w:t>
      </w:r>
      <w:r w:rsidR="00282CE6" w:rsidRPr="008734AD">
        <w:rPr>
          <w:rFonts w:ascii="Arial" w:hAnsi="Arial" w:cs="Arial"/>
          <w:bCs/>
          <w:lang w:val="sr-Latn-ME"/>
        </w:rPr>
        <w:t xml:space="preserve">sadrži </w:t>
      </w:r>
      <w:r w:rsidR="00B62274" w:rsidRPr="008734AD">
        <w:rPr>
          <w:rFonts w:ascii="Arial" w:hAnsi="Arial" w:cs="Arial"/>
          <w:bCs/>
          <w:lang w:val="sr-Latn-ME"/>
        </w:rPr>
        <w:t>2</w:t>
      </w:r>
      <w:r w:rsidR="00282CE6" w:rsidRPr="008734AD">
        <w:rPr>
          <w:rFonts w:ascii="Arial" w:hAnsi="Arial" w:cs="Arial"/>
          <w:bCs/>
          <w:lang w:val="sr-Latn-ME"/>
        </w:rPr>
        <w:t xml:space="preserve"> člana, kojima se reguliše sljedeće:</w:t>
      </w:r>
    </w:p>
    <w:p w14:paraId="635744A0" w14:textId="77777777" w:rsidR="00B62274" w:rsidRPr="008734AD" w:rsidRDefault="00B62274" w:rsidP="00282CE6">
      <w:pPr>
        <w:spacing w:after="0" w:line="240" w:lineRule="auto"/>
        <w:jc w:val="both"/>
        <w:rPr>
          <w:rFonts w:ascii="Arial" w:hAnsi="Arial" w:cs="Arial"/>
          <w:bCs/>
          <w:lang w:val="sr-Latn-ME"/>
        </w:rPr>
      </w:pPr>
    </w:p>
    <w:p w14:paraId="43078919" w14:textId="77777777" w:rsidR="00B62274" w:rsidRPr="008734AD" w:rsidRDefault="00B62274" w:rsidP="00B62274">
      <w:pPr>
        <w:pStyle w:val="NormalWeb"/>
        <w:spacing w:before="0" w:beforeAutospacing="0" w:after="0" w:afterAutospacing="0"/>
        <w:ind w:firstLine="720"/>
        <w:jc w:val="both"/>
        <w:rPr>
          <w:rFonts w:ascii="Arial" w:hAnsi="Arial" w:cs="Arial"/>
          <w:sz w:val="22"/>
          <w:szCs w:val="22"/>
        </w:rPr>
      </w:pPr>
      <w:r w:rsidRPr="008734AD">
        <w:rPr>
          <w:rFonts w:ascii="Arial" w:hAnsi="Arial" w:cs="Arial"/>
          <w:b/>
          <w:bCs/>
          <w:sz w:val="22"/>
          <w:szCs w:val="22"/>
        </w:rPr>
        <w:t>Članom 1</w:t>
      </w:r>
      <w:r w:rsidRPr="008734AD">
        <w:rPr>
          <w:rFonts w:ascii="Arial" w:hAnsi="Arial" w:cs="Arial"/>
          <w:sz w:val="22"/>
          <w:szCs w:val="22"/>
        </w:rPr>
        <w:t xml:space="preserve"> uvodi se novi član 41a kojim se propisuje obaveza kreditnih institucija koje imaju odobrenje za izdavanje pokrivenih obveznica da informacije iz člana 15 Zakona, pored javnog objavljivanja, istovremeno dostave Komisiji radi njihovog stavljanja na raspolaganje putem Evropske jedinstvene pristupne tačke (ESAP).</w:t>
      </w:r>
    </w:p>
    <w:p w14:paraId="6C42FE93" w14:textId="2EEC8719" w:rsidR="00B62274" w:rsidRPr="008734AD" w:rsidRDefault="00B62274" w:rsidP="00B62274">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Ovim članom se detaljno uređuju:</w:t>
      </w:r>
    </w:p>
    <w:p w14:paraId="612D473C"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format i tehnički zahtjevi za dostavljanje informacija (otvoreni format ili mašinski čitljiv format),</w:t>
      </w:r>
    </w:p>
    <w:p w14:paraId="2112B020"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obavezni metapodaci koji prate informacije,</w:t>
      </w:r>
    </w:p>
    <w:p w14:paraId="64FB819B"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obaveza kreditnih institucija da pribave LEI identifikator,</w:t>
      </w:r>
    </w:p>
    <w:p w14:paraId="1FA80A2D"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određivanje Komisije kao nacionalnog tijela za prikupljanje i dostavljanje informacija na ESAP,</w:t>
      </w:r>
    </w:p>
    <w:p w14:paraId="0C9B2549"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nadležnost ESMA za podatke od značaja za nadnacionalni nadzor, i</w:t>
      </w:r>
    </w:p>
    <w:p w14:paraId="36F21931" w14:textId="77777777" w:rsidR="00B62274" w:rsidRPr="008734AD" w:rsidRDefault="00B62274" w:rsidP="00B62274">
      <w:pPr>
        <w:pStyle w:val="NormalWeb"/>
        <w:numPr>
          <w:ilvl w:val="0"/>
          <w:numId w:val="16"/>
        </w:numPr>
        <w:spacing w:before="0" w:beforeAutospacing="0" w:after="0" w:afterAutospacing="0"/>
        <w:jc w:val="both"/>
        <w:rPr>
          <w:rFonts w:ascii="Arial" w:hAnsi="Arial" w:cs="Arial"/>
          <w:sz w:val="22"/>
          <w:szCs w:val="22"/>
        </w:rPr>
      </w:pPr>
      <w:r w:rsidRPr="008734AD">
        <w:rPr>
          <w:rFonts w:ascii="Arial" w:hAnsi="Arial" w:cs="Arial"/>
          <w:sz w:val="22"/>
          <w:szCs w:val="22"/>
        </w:rPr>
        <w:t>ovlašćenje EBA da donosi tehničke standarde i smjernice radi osiguranja tačnosti, potpunosti i interoperabilnosti podataka.</w:t>
      </w:r>
    </w:p>
    <w:p w14:paraId="00BD4512" w14:textId="77777777" w:rsidR="00B62274" w:rsidRPr="008734AD" w:rsidRDefault="00B62274" w:rsidP="00B62274">
      <w:pPr>
        <w:pStyle w:val="NormalWeb"/>
        <w:spacing w:before="0" w:beforeAutospacing="0" w:after="0" w:afterAutospacing="0"/>
        <w:ind w:firstLine="360"/>
        <w:jc w:val="both"/>
        <w:rPr>
          <w:rFonts w:ascii="Arial" w:hAnsi="Arial" w:cs="Arial"/>
          <w:sz w:val="22"/>
          <w:szCs w:val="22"/>
        </w:rPr>
      </w:pPr>
      <w:r w:rsidRPr="008734AD">
        <w:rPr>
          <w:rFonts w:ascii="Arial" w:hAnsi="Arial" w:cs="Arial"/>
          <w:sz w:val="22"/>
          <w:szCs w:val="22"/>
        </w:rPr>
        <w:lastRenderedPageBreak/>
        <w:t>Ovim rješenjem obezbjeđuje se usklađenost sa Direktivom (EU) 2023/2864 u dijelu koji se odnosi na kreditne institucije koje izdaju pokrivene obveznice i obezbjeđuje se integracija domaćeg regulatornog okvira sa zahtjevima za funkcionisanje ESAP-a.</w:t>
      </w:r>
    </w:p>
    <w:p w14:paraId="488FE951" w14:textId="77777777" w:rsidR="00282CE6" w:rsidRPr="008734AD" w:rsidRDefault="00282CE6" w:rsidP="00AC37DF">
      <w:pPr>
        <w:rPr>
          <w:rFonts w:ascii="Arial" w:hAnsi="Arial" w:cs="Arial"/>
          <w:lang w:val="sr-Latn-ME"/>
        </w:rPr>
      </w:pPr>
    </w:p>
    <w:p w14:paraId="746F4E1C" w14:textId="77777777" w:rsidR="00522370" w:rsidRPr="008734AD" w:rsidRDefault="00522370" w:rsidP="00522370">
      <w:pPr>
        <w:ind w:firstLine="360"/>
        <w:jc w:val="both"/>
        <w:rPr>
          <w:rFonts w:ascii="Arial" w:hAnsi="Arial" w:cs="Arial"/>
          <w:lang w:val="sr-Latn-ME"/>
        </w:rPr>
      </w:pPr>
      <w:r w:rsidRPr="008734AD">
        <w:rPr>
          <w:rFonts w:ascii="Arial" w:hAnsi="Arial" w:cs="Arial"/>
          <w:b/>
          <w:bCs/>
          <w:lang w:val="sr-Latn-ME"/>
        </w:rPr>
        <w:t>Članom 2</w:t>
      </w:r>
      <w:r w:rsidRPr="008734AD">
        <w:rPr>
          <w:rFonts w:ascii="Arial" w:hAnsi="Arial" w:cs="Arial"/>
          <w:lang w:val="sr-Latn-ME"/>
        </w:rPr>
        <w:t xml:space="preserve"> mijenja se član 60 Zakona kako bi se predvidjela odložena primjena odredbi koje se odnose na ESAP, kao i drugih odredbi čija primjena zavisi od pristupanja Crne Gore Evropskoj uniji.</w:t>
      </w:r>
    </w:p>
    <w:p w14:paraId="438D8CFD" w14:textId="77777777" w:rsidR="00522370" w:rsidRPr="008734AD" w:rsidRDefault="00522370" w:rsidP="00522370">
      <w:pPr>
        <w:rPr>
          <w:rFonts w:ascii="Arial" w:hAnsi="Arial" w:cs="Arial"/>
          <w:lang w:val="sr-Latn-ME"/>
        </w:rPr>
      </w:pPr>
      <w:r w:rsidRPr="008734AD">
        <w:rPr>
          <w:rFonts w:ascii="Arial" w:hAnsi="Arial" w:cs="Arial"/>
          <w:lang w:val="sr-Latn-ME"/>
        </w:rPr>
        <w:t>Primjena navedenih odredbi odlaže se do dana pristupanja EU jer:</w:t>
      </w:r>
    </w:p>
    <w:p w14:paraId="060B0368" w14:textId="77777777" w:rsidR="00522370" w:rsidRPr="008734AD" w:rsidRDefault="00522370" w:rsidP="00522370">
      <w:pPr>
        <w:pStyle w:val="ListParagraph"/>
        <w:numPr>
          <w:ilvl w:val="0"/>
          <w:numId w:val="17"/>
        </w:numPr>
        <w:rPr>
          <w:rFonts w:ascii="Arial" w:hAnsi="Arial" w:cs="Arial"/>
          <w:lang w:val="sr-Latn-ME"/>
        </w:rPr>
      </w:pPr>
      <w:r w:rsidRPr="008734AD">
        <w:rPr>
          <w:rFonts w:ascii="Arial" w:hAnsi="Arial" w:cs="Arial"/>
          <w:lang w:val="sr-Latn-ME"/>
        </w:rPr>
        <w:t>ESAP je informacioni sistem Evropske unije koji je u potpunosti operativan samo za države članice,</w:t>
      </w:r>
    </w:p>
    <w:p w14:paraId="434C1E71" w14:textId="77777777" w:rsidR="00522370" w:rsidRPr="008734AD" w:rsidRDefault="00522370" w:rsidP="00522370">
      <w:pPr>
        <w:pStyle w:val="ListParagraph"/>
        <w:numPr>
          <w:ilvl w:val="0"/>
          <w:numId w:val="17"/>
        </w:numPr>
        <w:rPr>
          <w:rFonts w:ascii="Arial" w:hAnsi="Arial" w:cs="Arial"/>
          <w:lang w:val="sr-Latn-ME"/>
        </w:rPr>
      </w:pPr>
      <w:r w:rsidRPr="008734AD">
        <w:rPr>
          <w:rFonts w:ascii="Arial" w:hAnsi="Arial" w:cs="Arial"/>
          <w:lang w:val="sr-Latn-ME"/>
        </w:rPr>
        <w:t>tehnička integracija nacionalnih institucija u evropsku nadzornu infrastrukturu moguća je tek nakon članstva,</w:t>
      </w:r>
    </w:p>
    <w:p w14:paraId="4D4F1ED8" w14:textId="77777777" w:rsidR="00522370" w:rsidRPr="008734AD" w:rsidRDefault="00522370" w:rsidP="00522370">
      <w:pPr>
        <w:pStyle w:val="ListParagraph"/>
        <w:numPr>
          <w:ilvl w:val="0"/>
          <w:numId w:val="17"/>
        </w:numPr>
        <w:rPr>
          <w:rFonts w:ascii="Arial" w:hAnsi="Arial" w:cs="Arial"/>
          <w:lang w:val="sr-Latn-ME"/>
        </w:rPr>
      </w:pPr>
      <w:r w:rsidRPr="008734AD">
        <w:rPr>
          <w:rFonts w:ascii="Arial" w:hAnsi="Arial" w:cs="Arial"/>
          <w:lang w:val="sr-Latn-ME"/>
        </w:rPr>
        <w:t>određene obaveze u pogledu razmjene podataka sa ESMA i EBA mogu se izvršavati samo u statusu države članice.</w:t>
      </w:r>
    </w:p>
    <w:p w14:paraId="58C14144" w14:textId="2D2664E0" w:rsidR="00282CE6" w:rsidRPr="008734AD" w:rsidRDefault="00522370" w:rsidP="00522370">
      <w:pPr>
        <w:ind w:firstLine="360"/>
        <w:jc w:val="both"/>
        <w:rPr>
          <w:rFonts w:ascii="Arial" w:hAnsi="Arial" w:cs="Arial"/>
          <w:lang w:val="sr-Latn-ME"/>
        </w:rPr>
      </w:pPr>
      <w:r w:rsidRPr="008734AD">
        <w:rPr>
          <w:rFonts w:ascii="Arial" w:hAnsi="Arial" w:cs="Arial"/>
          <w:lang w:val="sr-Latn-ME"/>
        </w:rPr>
        <w:t>Na ovaj način nacionalni sistem se unaprijed priprema za obaveze koje proističu iz članstva u EU, a istovremeno se izbjegava kreiranje obaveza koje nije moguće sprovesti prije pristupanja.</w:t>
      </w:r>
    </w:p>
    <w:p w14:paraId="0499628A" w14:textId="77777777" w:rsidR="00282CE6" w:rsidRPr="008734AD" w:rsidRDefault="00282CE6" w:rsidP="00282CE6">
      <w:pPr>
        <w:pStyle w:val="NormalWeb"/>
        <w:rPr>
          <w:rFonts w:ascii="Arial" w:hAnsi="Arial" w:cs="Arial"/>
          <w:b/>
          <w:sz w:val="22"/>
          <w:szCs w:val="22"/>
        </w:rPr>
      </w:pPr>
      <w:r w:rsidRPr="008734AD">
        <w:rPr>
          <w:rFonts w:ascii="Arial" w:hAnsi="Arial" w:cs="Arial"/>
          <w:b/>
          <w:sz w:val="22"/>
          <w:szCs w:val="22"/>
        </w:rPr>
        <w:t>V. PROCJENA FINANSIJSKIH SREDSTVA ZA SPROVOĐENJE ZAKONA</w:t>
      </w:r>
    </w:p>
    <w:p w14:paraId="0978821E" w14:textId="77777777" w:rsidR="00522370" w:rsidRPr="008734AD" w:rsidRDefault="00522370" w:rsidP="00522370">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Sprovođenje Zakona o izmjenama i dopunama Zakona o izdavanju pokrivenih obveznica i nadzoru pokrivenih obveznica </w:t>
      </w:r>
      <w:r w:rsidRPr="008734AD">
        <w:rPr>
          <w:rStyle w:val="Strong"/>
          <w:rFonts w:ascii="Arial" w:eastAsiaTheme="majorEastAsia" w:hAnsi="Arial" w:cs="Arial"/>
          <w:sz w:val="22"/>
          <w:szCs w:val="22"/>
        </w:rPr>
        <w:t>ne zahtijeva obezbjeđivanje dodatnih finansijskih sredstava iz Budžeta Crne Gore</w:t>
      </w:r>
      <w:r w:rsidRPr="008734AD">
        <w:rPr>
          <w:rFonts w:ascii="Arial" w:hAnsi="Arial" w:cs="Arial"/>
          <w:sz w:val="22"/>
          <w:szCs w:val="22"/>
        </w:rPr>
        <w:t xml:space="preserve"> u periodu do pristupanja Crne Gore Evropskoj uniji.</w:t>
      </w:r>
    </w:p>
    <w:p w14:paraId="459698B3" w14:textId="3E106E32" w:rsidR="00522370" w:rsidRPr="008734AD" w:rsidRDefault="00522370" w:rsidP="00522370">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Razlog tome je što se odredbe koje se odnose na dostavljanje i objavu informacija putem Evropske jedinstvene pristupne tačke (ESAP),kao i tehnički zahtjevi i obaveze Komisije i kreditnih institucija, primjenjuju </w:t>
      </w:r>
      <w:r w:rsidRPr="008734AD">
        <w:rPr>
          <w:rStyle w:val="Strong"/>
          <w:rFonts w:ascii="Arial" w:eastAsiaTheme="majorEastAsia" w:hAnsi="Arial" w:cs="Arial"/>
          <w:b w:val="0"/>
          <w:bCs w:val="0"/>
          <w:sz w:val="22"/>
          <w:szCs w:val="22"/>
        </w:rPr>
        <w:t>tek od dana pristupanja Crne Gore Evropskoj uniji</w:t>
      </w:r>
      <w:r w:rsidRPr="008734AD">
        <w:rPr>
          <w:rFonts w:ascii="Arial" w:hAnsi="Arial" w:cs="Arial"/>
          <w:sz w:val="22"/>
          <w:szCs w:val="22"/>
        </w:rPr>
        <w:t>, u skladu sa izmijenjenim članom 60 Zakona.</w:t>
      </w:r>
    </w:p>
    <w:p w14:paraId="76CB3567" w14:textId="08885BBC" w:rsidR="00522370" w:rsidRPr="008734AD" w:rsidRDefault="00522370" w:rsidP="00522370">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Nakon pristupanja EU, očekuje se potreba za tehničkim prilagođavanjem informacionih sistema Komisije za tržište kapitala radi integracije sa ESAP-om, eventualnim dodatnim troškovima obuka i usklađivanja procesa izvještavanja.</w:t>
      </w:r>
    </w:p>
    <w:p w14:paraId="6CCCB770" w14:textId="77777777" w:rsidR="00522370" w:rsidRPr="008734AD" w:rsidRDefault="00522370" w:rsidP="00522370">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 xml:space="preserve">Procjenjuje se da će i ovi troškovi biti </w:t>
      </w:r>
      <w:r w:rsidRPr="008734AD">
        <w:rPr>
          <w:rStyle w:val="Strong"/>
          <w:rFonts w:ascii="Arial" w:eastAsiaTheme="majorEastAsia" w:hAnsi="Arial" w:cs="Arial"/>
          <w:b w:val="0"/>
          <w:bCs w:val="0"/>
          <w:sz w:val="22"/>
          <w:szCs w:val="22"/>
        </w:rPr>
        <w:t>ograničenog obima</w:t>
      </w:r>
      <w:r w:rsidRPr="008734AD">
        <w:rPr>
          <w:rFonts w:ascii="Arial" w:hAnsi="Arial" w:cs="Arial"/>
          <w:sz w:val="22"/>
          <w:szCs w:val="22"/>
        </w:rPr>
        <w:t xml:space="preserve"> i da će se u značajnoj mjeri moći finansirati iz </w:t>
      </w:r>
      <w:r w:rsidRPr="008734AD">
        <w:rPr>
          <w:rStyle w:val="Strong"/>
          <w:rFonts w:ascii="Arial" w:eastAsiaTheme="majorEastAsia" w:hAnsi="Arial" w:cs="Arial"/>
          <w:b w:val="0"/>
          <w:bCs w:val="0"/>
          <w:sz w:val="22"/>
          <w:szCs w:val="22"/>
        </w:rPr>
        <w:t>pretpristupnih i strukturnih fondova Evropske unije</w:t>
      </w:r>
      <w:r w:rsidRPr="008734AD">
        <w:rPr>
          <w:rFonts w:ascii="Arial" w:hAnsi="Arial" w:cs="Arial"/>
          <w:sz w:val="22"/>
          <w:szCs w:val="22"/>
        </w:rPr>
        <w:t>, koji su predviđeni za digitalizaciju i integraciju nadzornih sistema finansijskog tržišta.</w:t>
      </w:r>
    </w:p>
    <w:p w14:paraId="04A629D2" w14:textId="77777777" w:rsidR="00522370" w:rsidRPr="008734AD" w:rsidRDefault="00522370" w:rsidP="00522370">
      <w:pPr>
        <w:pStyle w:val="NormalWeb"/>
        <w:spacing w:before="0" w:beforeAutospacing="0" w:after="0" w:afterAutospacing="0"/>
        <w:ind w:firstLine="720"/>
        <w:jc w:val="both"/>
      </w:pPr>
      <w:r w:rsidRPr="008734AD">
        <w:rPr>
          <w:rFonts w:ascii="Arial" w:hAnsi="Arial" w:cs="Arial"/>
          <w:sz w:val="22"/>
          <w:szCs w:val="22"/>
        </w:rPr>
        <w:t xml:space="preserve">Shodno navedenom, sprovođenje ovih izmjena i dopuna </w:t>
      </w:r>
      <w:r w:rsidRPr="008734AD">
        <w:rPr>
          <w:rStyle w:val="Strong"/>
          <w:rFonts w:ascii="Arial" w:eastAsiaTheme="majorEastAsia" w:hAnsi="Arial" w:cs="Arial"/>
          <w:sz w:val="22"/>
          <w:szCs w:val="22"/>
        </w:rPr>
        <w:t>ne stvara nove obaveze za Budžet Crne Gore u neposrednom periodu</w:t>
      </w:r>
      <w:r w:rsidRPr="008734AD">
        <w:rPr>
          <w:rFonts w:ascii="Arial" w:hAnsi="Arial" w:cs="Arial"/>
          <w:sz w:val="22"/>
          <w:szCs w:val="22"/>
        </w:rPr>
        <w:t>, niti utiče na fiskalnu stabilnost</w:t>
      </w:r>
      <w:r w:rsidRPr="008734AD">
        <w:t>.</w:t>
      </w:r>
    </w:p>
    <w:p w14:paraId="31F36200" w14:textId="77777777" w:rsidR="00282CE6" w:rsidRPr="008734AD" w:rsidRDefault="00282CE6" w:rsidP="00282CE6">
      <w:pPr>
        <w:spacing w:before="100" w:beforeAutospacing="1" w:after="100" w:afterAutospacing="1" w:line="240" w:lineRule="auto"/>
        <w:outlineLvl w:val="2"/>
        <w:rPr>
          <w:rFonts w:ascii="Arial" w:eastAsia="Times New Roman" w:hAnsi="Arial" w:cs="Arial"/>
          <w:b/>
          <w:bCs/>
          <w:kern w:val="0"/>
          <w:lang w:val="sr-Latn-ME" w:eastAsia="sr-Latn-ME"/>
          <w14:ligatures w14:val="none"/>
        </w:rPr>
      </w:pPr>
      <w:r w:rsidRPr="008734AD">
        <w:rPr>
          <w:rFonts w:ascii="Arial" w:eastAsia="Times New Roman" w:hAnsi="Arial" w:cs="Arial"/>
          <w:b/>
          <w:bCs/>
          <w:kern w:val="0"/>
          <w:lang w:val="sr-Latn-ME" w:eastAsia="sr-Latn-ME"/>
          <w14:ligatures w14:val="none"/>
        </w:rPr>
        <w:t>VI. RAZLOZI ZA HITNOST DONOŠENJA OVOG ZAKONA</w:t>
      </w:r>
    </w:p>
    <w:p w14:paraId="6103586A" w14:textId="31480157" w:rsidR="00282CE6" w:rsidRPr="008734AD" w:rsidRDefault="00282CE6" w:rsidP="00126018">
      <w:pPr>
        <w:spacing w:after="0" w:line="240" w:lineRule="auto"/>
        <w:ind w:firstLine="720"/>
        <w:jc w:val="both"/>
        <w:rPr>
          <w:rFonts w:ascii="Arial" w:eastAsia="Times New Roman" w:hAnsi="Arial" w:cs="Arial"/>
          <w:kern w:val="0"/>
          <w:lang w:val="sr-Latn-ME" w:eastAsia="sr-Latn-ME"/>
          <w14:ligatures w14:val="none"/>
        </w:rPr>
      </w:pPr>
      <w:r w:rsidRPr="008734AD">
        <w:rPr>
          <w:rFonts w:ascii="Arial" w:eastAsia="Times New Roman" w:hAnsi="Arial" w:cs="Arial"/>
          <w:kern w:val="0"/>
          <w:lang w:val="sr-Latn-ME" w:eastAsia="sr-Latn-ME"/>
          <w14:ligatures w14:val="none"/>
        </w:rPr>
        <w:t xml:space="preserve">Predlaže se donošenje Zakona </w:t>
      </w:r>
      <w:r w:rsidR="00126018" w:rsidRPr="008734AD">
        <w:rPr>
          <w:rFonts w:ascii="Arial" w:eastAsia="Times New Roman" w:hAnsi="Arial" w:cs="Arial"/>
          <w:kern w:val="0"/>
          <w:lang w:val="sr-Latn-ME" w:eastAsia="sr-Latn-ME"/>
          <w14:ligatures w14:val="none"/>
        </w:rPr>
        <w:t xml:space="preserve">o izmjenama i dopunama Zakona o izdavanju pokrivenih obveznica i nadzoru pokrivenih obveznica </w:t>
      </w:r>
      <w:r w:rsidRPr="008734AD">
        <w:rPr>
          <w:rFonts w:ascii="Arial" w:eastAsia="Times New Roman" w:hAnsi="Arial" w:cs="Arial"/>
          <w:kern w:val="0"/>
          <w:lang w:val="sr-Latn-ME" w:eastAsia="sr-Latn-ME"/>
          <w14:ligatures w14:val="none"/>
        </w:rPr>
        <w:t>po hitnom postupku, u skladu sa članom 151 Poslovnika Skupštine Crne Gore.</w:t>
      </w:r>
    </w:p>
    <w:p w14:paraId="1A0A8B9D" w14:textId="77777777" w:rsidR="00126018" w:rsidRPr="008734AD" w:rsidRDefault="00126018" w:rsidP="00126018">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Donošenje ovog zakona po hitnom postupku potrebno je kako bi se obezbijedila blagovremena usklađenost pravnog okvira Crne Gore sa pravnom tekovinom Evropske unije, posebno u dijelu koji se odnosi na uspostavljanje i funkcionisanje Evropske jedinstvene pristupne tačke (ESAP), u skladu sa Direktivom (EU) 2023/2864. Blagovremeno preuzimanje ovih obaveza je od ključnog značaja za jačanje transparentnosti, dostupnosti i pouzdanosti informacija u vezi sa pokrivenim obveznicama, koje predstavljaju važan instrument na finansijskom tržištu.</w:t>
      </w:r>
    </w:p>
    <w:p w14:paraId="3B6BB87D" w14:textId="77777777" w:rsidR="00126018" w:rsidRPr="008734AD" w:rsidRDefault="00126018" w:rsidP="00126018">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lastRenderedPageBreak/>
        <w:t>Hitnost donošenja zakona opravdana je i potrebom da se unaprijedi regulatorni okvir kojim se uređuje nadzor nad kreditnim institucijama koje izdaju pokrivene obveznice, kao i obaveze tih institucija u pogledu objave standardizovanih informacija u mašinski čitljivom i interoperabilnom formatu. Obezbjeđivanje ovakvog sistema doprinosi jačanju povjerenja investitora, zaštiti korisnika finansijskih usluga i smanjenju regulatornih rizika.</w:t>
      </w:r>
    </w:p>
    <w:p w14:paraId="0DC71CBA" w14:textId="3227B49F" w:rsidR="00126018" w:rsidRPr="008734AD" w:rsidRDefault="00126018" w:rsidP="00126018">
      <w:pPr>
        <w:pStyle w:val="NormalWeb"/>
        <w:spacing w:before="0" w:beforeAutospacing="0" w:after="0" w:afterAutospacing="0"/>
        <w:ind w:firstLine="720"/>
        <w:jc w:val="both"/>
        <w:rPr>
          <w:rFonts w:ascii="Arial" w:hAnsi="Arial" w:cs="Arial"/>
          <w:sz w:val="22"/>
          <w:szCs w:val="22"/>
        </w:rPr>
      </w:pPr>
      <w:r w:rsidRPr="008734AD">
        <w:rPr>
          <w:rFonts w:ascii="Arial" w:hAnsi="Arial" w:cs="Arial"/>
          <w:sz w:val="22"/>
          <w:szCs w:val="22"/>
        </w:rPr>
        <w:t>S obzirom na strateški značaj harmonizacije sa pravom Evropske unije, potrebu pripreme Crne Gore za buduće obaveze koje nastaju pristupanjem EU, te važnost blagovremenog usklađivanja sa tehničkim i nadzornim zahtjevima koje propisuju evropske nadzorne institucije, opravdano je da se ovaj zakon donese po hitnom postupku. Ovo omogućava da se regulatorni okvir u oblasti pokrivenih obveznica u potpunosti pripremi za integraciju u evropski finansijski sistem i da se osigura stabilnost i integritet domaćeg tržišta kapitala.</w:t>
      </w:r>
    </w:p>
    <w:p w14:paraId="4C2D792C" w14:textId="3848F43B" w:rsidR="00282CE6" w:rsidRPr="00F90FA2" w:rsidRDefault="00282CE6" w:rsidP="00282CE6">
      <w:pPr>
        <w:spacing w:before="100" w:beforeAutospacing="1" w:after="100" w:afterAutospacing="1" w:line="240" w:lineRule="auto"/>
        <w:jc w:val="both"/>
        <w:rPr>
          <w:rFonts w:ascii="Arial" w:eastAsia="Times New Roman" w:hAnsi="Arial" w:cs="Arial"/>
          <w:kern w:val="0"/>
          <w:lang w:val="sr-Latn-ME" w:eastAsia="sr-Latn-ME"/>
          <w14:ligatures w14:val="none"/>
        </w:rPr>
      </w:pPr>
    </w:p>
    <w:p w14:paraId="2782BE54" w14:textId="4544139A" w:rsidR="00F90FA2" w:rsidRPr="00F90FA2" w:rsidRDefault="00F90FA2" w:rsidP="00F90FA2">
      <w:pPr>
        <w:suppressAutoHyphens/>
        <w:autoSpaceDN w:val="0"/>
        <w:spacing w:line="240" w:lineRule="auto"/>
        <w:jc w:val="both"/>
        <w:textAlignment w:val="baseline"/>
        <w:rPr>
          <w:rFonts w:ascii="Arial" w:eastAsia="Calibri" w:hAnsi="Arial" w:cs="Arial"/>
          <w:b/>
        </w:rPr>
      </w:pPr>
      <w:bookmarkStart w:id="2" w:name="_Hlk193461552"/>
      <w:r w:rsidRPr="00F90FA2">
        <w:rPr>
          <w:rFonts w:ascii="Arial" w:eastAsia="Calibri" w:hAnsi="Arial" w:cs="Arial"/>
          <w:b/>
        </w:rPr>
        <w:t>PREGLED</w:t>
      </w:r>
      <w:r w:rsidRPr="00F90FA2">
        <w:rPr>
          <w:rFonts w:ascii="Arial" w:eastAsia="Calibri" w:hAnsi="Arial" w:cs="Arial"/>
          <w:b/>
          <w:lang w:val="sr-Latn-CS"/>
        </w:rPr>
        <w:t xml:space="preserve"> </w:t>
      </w:r>
      <w:r w:rsidRPr="00F90FA2">
        <w:rPr>
          <w:rFonts w:ascii="Arial" w:eastAsia="Calibri" w:hAnsi="Arial" w:cs="Arial"/>
          <w:b/>
        </w:rPr>
        <w:t>ODREDABA</w:t>
      </w:r>
      <w:r w:rsidRPr="00F90FA2">
        <w:rPr>
          <w:rFonts w:ascii="Arial" w:eastAsia="Calibri" w:hAnsi="Arial" w:cs="Arial"/>
          <w:b/>
          <w:lang w:val="sr-Latn-CS"/>
        </w:rPr>
        <w:t xml:space="preserve"> </w:t>
      </w:r>
      <w:r w:rsidRPr="00F90FA2">
        <w:rPr>
          <w:rFonts w:ascii="Arial" w:eastAsia="Calibri" w:hAnsi="Arial" w:cs="Arial"/>
          <w:b/>
        </w:rPr>
        <w:t>ZAKONA</w:t>
      </w:r>
      <w:r w:rsidRPr="00F90FA2">
        <w:rPr>
          <w:rFonts w:ascii="Arial" w:eastAsia="Calibri" w:hAnsi="Arial" w:cs="Arial"/>
          <w:b/>
          <w:lang w:val="sr-Latn-CS"/>
        </w:rPr>
        <w:t xml:space="preserve"> </w:t>
      </w:r>
      <w:r w:rsidRPr="00F90FA2">
        <w:rPr>
          <w:rFonts w:ascii="Arial" w:eastAsia="Calibri" w:hAnsi="Arial" w:cs="Arial"/>
          <w:b/>
        </w:rPr>
        <w:t>O IZDAVANJU POKRIVENIH OBVEZNICA I NADZORU POKRIVENIH OBVEZNICA ("SLUŽBENI LIST CRNE GORE", BR. 082/25 OD 30.07.2025)</w:t>
      </w:r>
      <w:r w:rsidRPr="00F90FA2">
        <w:rPr>
          <w:rFonts w:ascii="Arial" w:eastAsia="Calibri" w:hAnsi="Arial" w:cs="Arial"/>
          <w:b/>
          <w:lang w:val="sr-Latn-CS"/>
        </w:rPr>
        <w:t xml:space="preserve"> Č</w:t>
      </w:r>
      <w:r w:rsidRPr="00F90FA2">
        <w:rPr>
          <w:rFonts w:ascii="Arial" w:eastAsia="Calibri" w:hAnsi="Arial" w:cs="Arial"/>
          <w:b/>
        </w:rPr>
        <w:t>IJE</w:t>
      </w:r>
      <w:r w:rsidRPr="00F90FA2">
        <w:rPr>
          <w:rFonts w:ascii="Arial" w:eastAsia="Calibri" w:hAnsi="Arial" w:cs="Arial"/>
          <w:b/>
          <w:lang w:val="sr-Latn-CS"/>
        </w:rPr>
        <w:t xml:space="preserve"> </w:t>
      </w:r>
      <w:r w:rsidRPr="00F90FA2">
        <w:rPr>
          <w:rFonts w:ascii="Arial" w:eastAsia="Calibri" w:hAnsi="Arial" w:cs="Arial"/>
          <w:b/>
        </w:rPr>
        <w:t>IZMJENE</w:t>
      </w:r>
      <w:r w:rsidRPr="00F90FA2">
        <w:rPr>
          <w:rFonts w:ascii="Arial" w:eastAsia="Calibri" w:hAnsi="Arial" w:cs="Arial"/>
          <w:b/>
          <w:lang w:val="sr-Latn-CS"/>
        </w:rPr>
        <w:t xml:space="preserve"> </w:t>
      </w:r>
      <w:r w:rsidRPr="00F90FA2">
        <w:rPr>
          <w:rFonts w:ascii="Arial" w:eastAsia="Calibri" w:hAnsi="Arial" w:cs="Arial"/>
          <w:b/>
        </w:rPr>
        <w:t>I</w:t>
      </w:r>
      <w:r w:rsidRPr="00F90FA2">
        <w:rPr>
          <w:rFonts w:ascii="Arial" w:eastAsia="Calibri" w:hAnsi="Arial" w:cs="Arial"/>
          <w:b/>
          <w:lang w:val="sr-Latn-CS"/>
        </w:rPr>
        <w:t xml:space="preserve"> </w:t>
      </w:r>
      <w:r w:rsidRPr="00F90FA2">
        <w:rPr>
          <w:rFonts w:ascii="Arial" w:eastAsia="Calibri" w:hAnsi="Arial" w:cs="Arial"/>
          <w:b/>
        </w:rPr>
        <w:t>DOPUNE</w:t>
      </w:r>
      <w:r w:rsidRPr="00F90FA2">
        <w:rPr>
          <w:rFonts w:ascii="Arial" w:eastAsia="Calibri" w:hAnsi="Arial" w:cs="Arial"/>
          <w:b/>
          <w:lang w:val="sr-Latn-CS"/>
        </w:rPr>
        <w:t xml:space="preserve"> </w:t>
      </w:r>
      <w:r w:rsidRPr="00F90FA2">
        <w:rPr>
          <w:rFonts w:ascii="Arial" w:eastAsia="Calibri" w:hAnsi="Arial" w:cs="Arial"/>
          <w:b/>
        </w:rPr>
        <w:t>SE</w:t>
      </w:r>
      <w:r w:rsidRPr="00F90FA2">
        <w:rPr>
          <w:rFonts w:ascii="Arial" w:eastAsia="Calibri" w:hAnsi="Arial" w:cs="Arial"/>
          <w:b/>
          <w:lang w:val="sr-Latn-CS"/>
        </w:rPr>
        <w:t xml:space="preserve"> </w:t>
      </w:r>
      <w:r w:rsidRPr="00F90FA2">
        <w:rPr>
          <w:rFonts w:ascii="Arial" w:eastAsia="Calibri" w:hAnsi="Arial" w:cs="Arial"/>
          <w:b/>
        </w:rPr>
        <w:t>PREDLA</w:t>
      </w:r>
      <w:r w:rsidRPr="00F90FA2">
        <w:rPr>
          <w:rFonts w:ascii="Arial" w:eastAsia="Calibri" w:hAnsi="Arial" w:cs="Arial"/>
          <w:b/>
          <w:lang w:val="sr-Latn-CS"/>
        </w:rPr>
        <w:t>Ž</w:t>
      </w:r>
      <w:r w:rsidRPr="00F90FA2">
        <w:rPr>
          <w:rFonts w:ascii="Arial" w:eastAsia="Calibri" w:hAnsi="Arial" w:cs="Arial"/>
          <w:b/>
        </w:rPr>
        <w:t>U</w:t>
      </w:r>
      <w:r w:rsidRPr="00F90FA2">
        <w:rPr>
          <w:rFonts w:ascii="Arial" w:eastAsia="Calibri" w:hAnsi="Arial" w:cs="Arial"/>
          <w:b/>
          <w:lang w:val="sr-Latn-CS"/>
        </w:rPr>
        <w:t xml:space="preserve"> </w:t>
      </w:r>
    </w:p>
    <w:p w14:paraId="225D6272" w14:textId="77777777" w:rsidR="00F90FA2" w:rsidRPr="00F90FA2" w:rsidRDefault="00F90FA2" w:rsidP="00F90FA2">
      <w:pPr>
        <w:autoSpaceDE w:val="0"/>
        <w:autoSpaceDN w:val="0"/>
        <w:adjustRightInd w:val="0"/>
        <w:spacing w:after="0" w:line="240" w:lineRule="auto"/>
        <w:jc w:val="center"/>
        <w:rPr>
          <w:rFonts w:ascii="Arial" w:hAnsi="Arial" w:cs="Arial"/>
          <w:kern w:val="0"/>
          <w:lang w:val="sr-Latn-ME"/>
        </w:rPr>
      </w:pPr>
      <w:r w:rsidRPr="00F90FA2">
        <w:rPr>
          <w:rFonts w:ascii="Arial" w:hAnsi="Arial" w:cs="Arial"/>
          <w:kern w:val="0"/>
          <w:lang w:val="sr-Latn-ME"/>
        </w:rPr>
        <w:t>Odložena primjena</w:t>
      </w:r>
    </w:p>
    <w:p w14:paraId="73968667" w14:textId="77777777" w:rsidR="00F90FA2" w:rsidRPr="00F90FA2" w:rsidRDefault="00F90FA2" w:rsidP="00F90FA2">
      <w:pPr>
        <w:autoSpaceDE w:val="0"/>
        <w:autoSpaceDN w:val="0"/>
        <w:adjustRightInd w:val="0"/>
        <w:spacing w:after="0" w:line="240" w:lineRule="auto"/>
        <w:jc w:val="center"/>
        <w:rPr>
          <w:rFonts w:ascii="Arial" w:hAnsi="Arial" w:cs="Arial"/>
          <w:kern w:val="0"/>
          <w:lang w:val="sr-Latn-ME"/>
        </w:rPr>
      </w:pPr>
      <w:r w:rsidRPr="00F90FA2">
        <w:rPr>
          <w:rFonts w:ascii="Arial" w:hAnsi="Arial" w:cs="Arial"/>
          <w:kern w:val="0"/>
          <w:lang w:val="sr-Latn-ME"/>
        </w:rPr>
        <w:t>Član 60</w:t>
      </w:r>
    </w:p>
    <w:p w14:paraId="70AF1932" w14:textId="77777777" w:rsidR="00F90FA2" w:rsidRPr="00F90FA2" w:rsidRDefault="00F90FA2" w:rsidP="00A55068">
      <w:pPr>
        <w:autoSpaceDE w:val="0"/>
        <w:autoSpaceDN w:val="0"/>
        <w:adjustRightInd w:val="0"/>
        <w:spacing w:after="0" w:line="240" w:lineRule="auto"/>
        <w:jc w:val="both"/>
        <w:rPr>
          <w:rFonts w:ascii="Arial" w:hAnsi="Arial" w:cs="Arial"/>
          <w:kern w:val="0"/>
          <w:lang w:val="sr-Latn-ME"/>
        </w:rPr>
      </w:pPr>
      <w:r w:rsidRPr="00F90FA2">
        <w:rPr>
          <w:rFonts w:ascii="Arial" w:hAnsi="Arial" w:cs="Arial"/>
          <w:kern w:val="0"/>
          <w:lang w:val="sr-Latn-ME"/>
        </w:rPr>
        <w:t>Odredbe člana 14 stav 15, člana 18 stav 4, člana 39 stav 4, stav 5 tačka 2, st. 6 i 7, člana 41 stav 1 tačka 3, st. 2 i 4, člana 46 stav 1 tačka 1, člana 56 stav 10 i člana 57 ovog zakona primjenjivaće se od dana pristupanja Crne Gore Evropskoj uniji.</w:t>
      </w:r>
    </w:p>
    <w:bookmarkEnd w:id="2"/>
    <w:p w14:paraId="0A99C024" w14:textId="77777777" w:rsidR="00F90FA2" w:rsidRPr="00F90FA2" w:rsidRDefault="00F90FA2" w:rsidP="00F90FA2">
      <w:pPr>
        <w:rPr>
          <w:rFonts w:ascii="Arial" w:eastAsia="Calibri" w:hAnsi="Arial" w:cs="Arial"/>
          <w:sz w:val="24"/>
          <w:szCs w:val="24"/>
          <w:lang w:val="sr-Latn-CS"/>
        </w:rPr>
      </w:pPr>
    </w:p>
    <w:sectPr w:rsidR="00F90FA2" w:rsidRPr="00F90FA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0182" w14:textId="77777777" w:rsidR="00595554" w:rsidRDefault="00595554" w:rsidP="00D33680">
      <w:pPr>
        <w:spacing w:after="0" w:line="240" w:lineRule="auto"/>
      </w:pPr>
      <w:r>
        <w:separator/>
      </w:r>
    </w:p>
  </w:endnote>
  <w:endnote w:type="continuationSeparator" w:id="0">
    <w:p w14:paraId="50ADDC56" w14:textId="77777777" w:rsidR="00595554" w:rsidRDefault="00595554" w:rsidP="00D3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231353"/>
      <w:docPartObj>
        <w:docPartGallery w:val="Page Numbers (Bottom of Page)"/>
        <w:docPartUnique/>
      </w:docPartObj>
    </w:sdtPr>
    <w:sdtEndPr>
      <w:rPr>
        <w:rFonts w:ascii="Arial" w:hAnsi="Arial" w:cs="Arial"/>
        <w:noProof/>
      </w:rPr>
    </w:sdtEndPr>
    <w:sdtContent>
      <w:p w14:paraId="7FB8ED8E" w14:textId="311A22B3" w:rsidR="00510BBA" w:rsidRPr="00510BBA" w:rsidRDefault="00510BBA">
        <w:pPr>
          <w:pStyle w:val="Footer"/>
          <w:jc w:val="right"/>
          <w:rPr>
            <w:rFonts w:ascii="Arial" w:hAnsi="Arial" w:cs="Arial"/>
          </w:rPr>
        </w:pPr>
        <w:r w:rsidRPr="00510BBA">
          <w:rPr>
            <w:rFonts w:ascii="Arial" w:hAnsi="Arial" w:cs="Arial"/>
          </w:rPr>
          <w:fldChar w:fldCharType="begin"/>
        </w:r>
        <w:r w:rsidRPr="00510BBA">
          <w:rPr>
            <w:rFonts w:ascii="Arial" w:hAnsi="Arial" w:cs="Arial"/>
          </w:rPr>
          <w:instrText xml:space="preserve"> PAGE   \* MERGEFORMAT </w:instrText>
        </w:r>
        <w:r w:rsidRPr="00510BBA">
          <w:rPr>
            <w:rFonts w:ascii="Arial" w:hAnsi="Arial" w:cs="Arial"/>
          </w:rPr>
          <w:fldChar w:fldCharType="separate"/>
        </w:r>
        <w:r w:rsidRPr="00510BBA">
          <w:rPr>
            <w:rFonts w:ascii="Arial" w:hAnsi="Arial" w:cs="Arial"/>
            <w:noProof/>
          </w:rPr>
          <w:t>2</w:t>
        </w:r>
        <w:r w:rsidRPr="00510BBA">
          <w:rPr>
            <w:rFonts w:ascii="Arial" w:hAnsi="Arial" w:cs="Arial"/>
            <w:noProof/>
          </w:rPr>
          <w:fldChar w:fldCharType="end"/>
        </w:r>
      </w:p>
    </w:sdtContent>
  </w:sdt>
  <w:p w14:paraId="3589B1B6" w14:textId="77777777" w:rsidR="00510BBA" w:rsidRDefault="0051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7F12" w14:textId="77777777" w:rsidR="00595554" w:rsidRDefault="00595554" w:rsidP="00D33680">
      <w:pPr>
        <w:spacing w:after="0" w:line="240" w:lineRule="auto"/>
      </w:pPr>
      <w:r>
        <w:separator/>
      </w:r>
    </w:p>
  </w:footnote>
  <w:footnote w:type="continuationSeparator" w:id="0">
    <w:p w14:paraId="1DAA4D44" w14:textId="77777777" w:rsidR="00595554" w:rsidRDefault="00595554" w:rsidP="00D33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9350" w14:textId="24A69B73" w:rsidR="007E3D5B" w:rsidRDefault="007E3D5B">
    <w:pPr>
      <w:pStyle w:val="Header"/>
      <w:jc w:val="right"/>
    </w:pPr>
  </w:p>
  <w:p w14:paraId="4B777B7F" w14:textId="6DB7F1B2" w:rsidR="00EE16D2" w:rsidRDefault="00EE16D2" w:rsidP="00EE16D2">
    <w:pPr>
      <w:pStyle w:val="Header"/>
      <w:jc w:val="right"/>
    </w:pPr>
  </w:p>
  <w:p w14:paraId="7E74F4FB" w14:textId="77777777" w:rsidR="007E3D5B" w:rsidRDefault="007E3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725"/>
    <w:multiLevelType w:val="multilevel"/>
    <w:tmpl w:val="6A0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445F6"/>
    <w:multiLevelType w:val="hybridMultilevel"/>
    <w:tmpl w:val="739A7F64"/>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 w15:restartNumberingAfterBreak="0">
    <w:nsid w:val="104605BA"/>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1E2D14"/>
    <w:multiLevelType w:val="multilevel"/>
    <w:tmpl w:val="401E3CD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E27C6"/>
    <w:multiLevelType w:val="hybridMultilevel"/>
    <w:tmpl w:val="27F8DC0C"/>
    <w:lvl w:ilvl="0" w:tplc="F65A8998">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BB0728F"/>
    <w:multiLevelType w:val="multilevel"/>
    <w:tmpl w:val="DA244C9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4667F"/>
    <w:multiLevelType w:val="multilevel"/>
    <w:tmpl w:val="E91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107F8"/>
    <w:multiLevelType w:val="multilevel"/>
    <w:tmpl w:val="45D0A30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A7CB1"/>
    <w:multiLevelType w:val="hybridMultilevel"/>
    <w:tmpl w:val="A03CC42A"/>
    <w:lvl w:ilvl="0" w:tplc="4FD4E382">
      <w:start w:val="2"/>
      <w:numFmt w:val="bullet"/>
      <w:lvlText w:val=""/>
      <w:lvlJc w:val="left"/>
      <w:pPr>
        <w:ind w:left="720" w:hanging="360"/>
      </w:pPr>
      <w:rPr>
        <w:rFonts w:ascii="Symbol" w:eastAsiaTheme="minorHAnsi" w:hAnsi="Symbo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483E2C39"/>
    <w:multiLevelType w:val="multilevel"/>
    <w:tmpl w:val="794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C6694"/>
    <w:multiLevelType w:val="hybridMultilevel"/>
    <w:tmpl w:val="FE1E4BD4"/>
    <w:lvl w:ilvl="0" w:tplc="F65A8998">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4C935DB3"/>
    <w:multiLevelType w:val="multilevel"/>
    <w:tmpl w:val="952C4E02"/>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F3D55"/>
    <w:multiLevelType w:val="multilevel"/>
    <w:tmpl w:val="3920E0F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F20A6"/>
    <w:multiLevelType w:val="multilevel"/>
    <w:tmpl w:val="5FFEF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36318"/>
    <w:multiLevelType w:val="multilevel"/>
    <w:tmpl w:val="AD7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22CDB"/>
    <w:multiLevelType w:val="multilevel"/>
    <w:tmpl w:val="EE4E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62329"/>
    <w:multiLevelType w:val="hybridMultilevel"/>
    <w:tmpl w:val="2D569C6C"/>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691B1145"/>
    <w:multiLevelType w:val="multilevel"/>
    <w:tmpl w:val="6CC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6435C"/>
    <w:multiLevelType w:val="multilevel"/>
    <w:tmpl w:val="A5C2893C"/>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B3B06"/>
    <w:multiLevelType w:val="multilevel"/>
    <w:tmpl w:val="5A2CC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
  </w:num>
  <w:num w:numId="4">
    <w:abstractNumId w:val="6"/>
  </w:num>
  <w:num w:numId="5">
    <w:abstractNumId w:val="15"/>
  </w:num>
  <w:num w:numId="6">
    <w:abstractNumId w:val="17"/>
  </w:num>
  <w:num w:numId="7">
    <w:abstractNumId w:val="19"/>
  </w:num>
  <w:num w:numId="8">
    <w:abstractNumId w:val="10"/>
  </w:num>
  <w:num w:numId="9">
    <w:abstractNumId w:val="18"/>
  </w:num>
  <w:num w:numId="10">
    <w:abstractNumId w:val="7"/>
  </w:num>
  <w:num w:numId="11">
    <w:abstractNumId w:val="13"/>
  </w:num>
  <w:num w:numId="12">
    <w:abstractNumId w:val="3"/>
  </w:num>
  <w:num w:numId="13">
    <w:abstractNumId w:val="12"/>
  </w:num>
  <w:num w:numId="14">
    <w:abstractNumId w:val="11"/>
  </w:num>
  <w:num w:numId="15">
    <w:abstractNumId w:val="0"/>
  </w:num>
  <w:num w:numId="16">
    <w:abstractNumId w:val="5"/>
  </w:num>
  <w:num w:numId="17">
    <w:abstractNumId w:val="4"/>
  </w:num>
  <w:num w:numId="18">
    <w:abstractNumId w:val="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91"/>
    <w:rsid w:val="00126018"/>
    <w:rsid w:val="00136F13"/>
    <w:rsid w:val="00173C67"/>
    <w:rsid w:val="002068B6"/>
    <w:rsid w:val="00235653"/>
    <w:rsid w:val="00282CE6"/>
    <w:rsid w:val="002D6991"/>
    <w:rsid w:val="00321A8F"/>
    <w:rsid w:val="003A3655"/>
    <w:rsid w:val="003F1740"/>
    <w:rsid w:val="004F504F"/>
    <w:rsid w:val="00510BBA"/>
    <w:rsid w:val="00522370"/>
    <w:rsid w:val="00524DDC"/>
    <w:rsid w:val="005564BA"/>
    <w:rsid w:val="00595554"/>
    <w:rsid w:val="005B261A"/>
    <w:rsid w:val="005E3FCD"/>
    <w:rsid w:val="00600AD0"/>
    <w:rsid w:val="00695A88"/>
    <w:rsid w:val="00725900"/>
    <w:rsid w:val="007E3D5B"/>
    <w:rsid w:val="008734AD"/>
    <w:rsid w:val="00A55068"/>
    <w:rsid w:val="00AC37DF"/>
    <w:rsid w:val="00B34CD5"/>
    <w:rsid w:val="00B62274"/>
    <w:rsid w:val="00BF08CB"/>
    <w:rsid w:val="00C212BF"/>
    <w:rsid w:val="00C417BC"/>
    <w:rsid w:val="00C5791B"/>
    <w:rsid w:val="00D33680"/>
    <w:rsid w:val="00E76171"/>
    <w:rsid w:val="00EA74E4"/>
    <w:rsid w:val="00EE16D2"/>
    <w:rsid w:val="00EF114F"/>
    <w:rsid w:val="00F127C6"/>
    <w:rsid w:val="00F3742F"/>
    <w:rsid w:val="00F90FA2"/>
    <w:rsid w:val="00FA4484"/>
    <w:rsid w:val="00FB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B967"/>
  <w15:chartTrackingRefBased/>
  <w15:docId w15:val="{C3F39E99-10AE-4F3B-8695-733D7D04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991"/>
    <w:rPr>
      <w:rFonts w:eastAsiaTheme="majorEastAsia" w:cstheme="majorBidi"/>
      <w:color w:val="272727" w:themeColor="text1" w:themeTint="D8"/>
    </w:rPr>
  </w:style>
  <w:style w:type="paragraph" w:styleId="Title">
    <w:name w:val="Title"/>
    <w:basedOn w:val="Normal"/>
    <w:next w:val="Normal"/>
    <w:link w:val="TitleChar"/>
    <w:uiPriority w:val="10"/>
    <w:qFormat/>
    <w:rsid w:val="002D6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991"/>
    <w:pPr>
      <w:spacing w:before="160"/>
      <w:jc w:val="center"/>
    </w:pPr>
    <w:rPr>
      <w:i/>
      <w:iCs/>
      <w:color w:val="404040" w:themeColor="text1" w:themeTint="BF"/>
    </w:rPr>
  </w:style>
  <w:style w:type="character" w:customStyle="1" w:styleId="QuoteChar">
    <w:name w:val="Quote Char"/>
    <w:basedOn w:val="DefaultParagraphFont"/>
    <w:link w:val="Quote"/>
    <w:uiPriority w:val="29"/>
    <w:rsid w:val="002D6991"/>
    <w:rPr>
      <w:i/>
      <w:iCs/>
      <w:color w:val="404040" w:themeColor="text1" w:themeTint="BF"/>
    </w:rPr>
  </w:style>
  <w:style w:type="paragraph" w:styleId="ListParagraph">
    <w:name w:val="List Paragraph"/>
    <w:basedOn w:val="Normal"/>
    <w:uiPriority w:val="34"/>
    <w:qFormat/>
    <w:rsid w:val="002D6991"/>
    <w:pPr>
      <w:ind w:left="720"/>
      <w:contextualSpacing/>
    </w:pPr>
  </w:style>
  <w:style w:type="character" w:styleId="IntenseEmphasis">
    <w:name w:val="Intense Emphasis"/>
    <w:basedOn w:val="DefaultParagraphFont"/>
    <w:uiPriority w:val="21"/>
    <w:qFormat/>
    <w:rsid w:val="002D6991"/>
    <w:rPr>
      <w:i/>
      <w:iCs/>
      <w:color w:val="2F5496" w:themeColor="accent1" w:themeShade="BF"/>
    </w:rPr>
  </w:style>
  <w:style w:type="paragraph" w:styleId="IntenseQuote">
    <w:name w:val="Intense Quote"/>
    <w:basedOn w:val="Normal"/>
    <w:next w:val="Normal"/>
    <w:link w:val="IntenseQuoteChar"/>
    <w:uiPriority w:val="30"/>
    <w:qFormat/>
    <w:rsid w:val="002D6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991"/>
    <w:rPr>
      <w:i/>
      <w:iCs/>
      <w:color w:val="2F5496" w:themeColor="accent1" w:themeShade="BF"/>
    </w:rPr>
  </w:style>
  <w:style w:type="character" w:styleId="IntenseReference">
    <w:name w:val="Intense Reference"/>
    <w:basedOn w:val="DefaultParagraphFont"/>
    <w:uiPriority w:val="32"/>
    <w:qFormat/>
    <w:rsid w:val="002D6991"/>
    <w:rPr>
      <w:b/>
      <w:bCs/>
      <w:smallCaps/>
      <w:color w:val="2F5496" w:themeColor="accent1" w:themeShade="BF"/>
      <w:spacing w:val="5"/>
    </w:rPr>
  </w:style>
  <w:style w:type="paragraph" w:styleId="NormalWeb">
    <w:name w:val="Normal (Web)"/>
    <w:basedOn w:val="Normal"/>
    <w:uiPriority w:val="99"/>
    <w:unhideWhenUsed/>
    <w:rsid w:val="003A3655"/>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styleId="Strong">
    <w:name w:val="Strong"/>
    <w:basedOn w:val="DefaultParagraphFont"/>
    <w:uiPriority w:val="22"/>
    <w:qFormat/>
    <w:rsid w:val="003A3655"/>
    <w:rPr>
      <w:b/>
      <w:bCs/>
    </w:rPr>
  </w:style>
  <w:style w:type="character" w:styleId="Emphasis">
    <w:name w:val="Emphasis"/>
    <w:basedOn w:val="DefaultParagraphFont"/>
    <w:uiPriority w:val="20"/>
    <w:qFormat/>
    <w:rsid w:val="00282CE6"/>
    <w:rPr>
      <w:i/>
      <w:iCs/>
    </w:rPr>
  </w:style>
  <w:style w:type="paragraph" w:styleId="FootnoteText">
    <w:name w:val="footnote text"/>
    <w:basedOn w:val="Normal"/>
    <w:link w:val="FootnoteTextChar"/>
    <w:uiPriority w:val="99"/>
    <w:semiHidden/>
    <w:unhideWhenUsed/>
    <w:rsid w:val="00D33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680"/>
    <w:rPr>
      <w:sz w:val="20"/>
      <w:szCs w:val="20"/>
    </w:rPr>
  </w:style>
  <w:style w:type="character" w:styleId="FootnoteReference">
    <w:name w:val="footnote reference"/>
    <w:basedOn w:val="DefaultParagraphFont"/>
    <w:uiPriority w:val="99"/>
    <w:semiHidden/>
    <w:unhideWhenUsed/>
    <w:rsid w:val="00D33680"/>
    <w:rPr>
      <w:vertAlign w:val="superscript"/>
    </w:rPr>
  </w:style>
  <w:style w:type="paragraph" w:styleId="Header">
    <w:name w:val="header"/>
    <w:basedOn w:val="Normal"/>
    <w:link w:val="HeaderChar"/>
    <w:uiPriority w:val="99"/>
    <w:unhideWhenUsed/>
    <w:rsid w:val="007E3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5B"/>
  </w:style>
  <w:style w:type="paragraph" w:styleId="Footer">
    <w:name w:val="footer"/>
    <w:basedOn w:val="Normal"/>
    <w:link w:val="FooterChar"/>
    <w:uiPriority w:val="99"/>
    <w:unhideWhenUsed/>
    <w:rsid w:val="007E3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15A0-1BC5-45E9-B9F4-136A5FC6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Anastasija Perucica</cp:lastModifiedBy>
  <cp:revision>6</cp:revision>
  <dcterms:created xsi:type="dcterms:W3CDTF">2025-11-27T10:00:00Z</dcterms:created>
  <dcterms:modified xsi:type="dcterms:W3CDTF">2025-12-02T10:37:00Z</dcterms:modified>
</cp:coreProperties>
</file>