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721CF">
      <w:pPr>
        <w:pStyle w:val="2zakon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t>Odluka o Savjetu za prava djeteta</w:t>
      </w:r>
    </w:p>
    <w:p w:rsidR="00000000" w:rsidRDefault="005721CF">
      <w:pPr>
        <w:pStyle w:val="3mesto"/>
        <w:rPr>
          <w:rFonts w:ascii="Tahoma" w:hAnsi="Tahoma" w:cs="Tahoma"/>
        </w:rPr>
      </w:pPr>
      <w:r>
        <w:rPr>
          <w:rFonts w:ascii="Tahoma" w:hAnsi="Tahoma" w:cs="Tahoma"/>
        </w:rPr>
        <w:t xml:space="preserve">Odluka je objavljena u "Službenom listu CG", br. </w:t>
      </w:r>
      <w:hyperlink r:id="rId4" w:history="1">
        <w:r>
          <w:rPr>
            <w:rStyle w:val="Hyperlink"/>
            <w:rFonts w:ascii="Tahoma" w:hAnsi="Tahoma" w:cs="Tahoma"/>
            <w:color w:val="CC0000"/>
          </w:rPr>
          <w:t>123/2023</w:t>
        </w:r>
      </w:hyperlink>
      <w:r>
        <w:rPr>
          <w:rFonts w:ascii="Tahoma" w:hAnsi="Tahoma" w:cs="Tahoma"/>
        </w:rPr>
        <w:t xml:space="preserve">, </w:t>
      </w:r>
      <w:hyperlink r:id="rId5" w:history="1">
        <w:r>
          <w:rPr>
            <w:rStyle w:val="Hyperlink"/>
            <w:rFonts w:ascii="Tahoma" w:hAnsi="Tahoma" w:cs="Tahoma"/>
          </w:rPr>
          <w:t>6/2024</w:t>
        </w:r>
      </w:hyperlink>
      <w:r>
        <w:rPr>
          <w:rFonts w:ascii="Tahoma" w:hAnsi="Tahoma" w:cs="Tahoma"/>
        </w:rPr>
        <w:t xml:space="preserve">, </w:t>
      </w:r>
      <w:hyperlink r:id="rId6" w:history="1">
        <w:r>
          <w:rPr>
            <w:rStyle w:val="Hyperlink"/>
            <w:rFonts w:ascii="Tahoma" w:hAnsi="Tahoma" w:cs="Tahoma"/>
          </w:rPr>
          <w:t>73/2024</w:t>
        </w:r>
      </w:hyperlink>
      <w:r>
        <w:rPr>
          <w:rFonts w:ascii="Tahoma" w:hAnsi="Tahoma" w:cs="Tahoma"/>
        </w:rPr>
        <w:t xml:space="preserve">, </w:t>
      </w:r>
      <w:hyperlink r:id="rId7" w:history="1">
        <w:r>
          <w:rPr>
            <w:rStyle w:val="Hyperlink"/>
            <w:rFonts w:ascii="Tahoma" w:hAnsi="Tahoma" w:cs="Tahoma"/>
          </w:rPr>
          <w:t>98/2024</w:t>
        </w:r>
      </w:hyperlink>
      <w:r>
        <w:rPr>
          <w:rFonts w:ascii="Tahoma" w:hAnsi="Tahoma" w:cs="Tahoma"/>
        </w:rPr>
        <w:t xml:space="preserve"> i </w:t>
      </w:r>
      <w:hyperlink r:id="rId8" w:history="1">
        <w:r>
          <w:rPr>
            <w:rStyle w:val="Hyperlink"/>
            <w:rFonts w:ascii="Tahoma" w:hAnsi="Tahoma" w:cs="Tahoma"/>
          </w:rPr>
          <w:t>69/2026</w:t>
        </w:r>
      </w:hyperlink>
      <w:r>
        <w:rPr>
          <w:rFonts w:ascii="Tahoma" w:hAnsi="Tahoma" w:cs="Tahoma"/>
        </w:rPr>
        <w:t>.</w:t>
      </w:r>
    </w:p>
    <w:p w:rsidR="00000000" w:rsidRDefault="005721CF">
      <w:pPr>
        <w:jc w:val="center"/>
        <w:divId w:val="71585487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Ovom odlukom obrazuje se Savjet za prava djeteta (u daljem tekstu: Savjet), kao privremeno radno tijelo Vlade Crne Gore (u daljem tekstu: Vlada) i utvrđuje njegov sastav, djelokrug rada i druga p</w:t>
      </w:r>
      <w:r>
        <w:rPr>
          <w:rFonts w:ascii="Tahoma" w:hAnsi="Tahoma" w:cs="Tahoma"/>
        </w:rPr>
        <w:t>itanja od značaja za njegov rad.</w:t>
      </w:r>
    </w:p>
    <w:p w:rsidR="00000000" w:rsidRDefault="005721CF">
      <w:pPr>
        <w:jc w:val="center"/>
        <w:divId w:val="1836608847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2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Izrazi koji se u ovoj odluci koriste za fizička lica u muškom rodu podrazumijevaju iste izraze u ženskom rodu.</w:t>
      </w:r>
    </w:p>
    <w:p w:rsidR="00000000" w:rsidRDefault="005721CF">
      <w:pPr>
        <w:jc w:val="center"/>
        <w:divId w:val="1004163226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3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Predsjednik Savjeta je ministar socijalnog staranja, brige o porodici i demografije.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Članovi Savje</w:t>
      </w:r>
      <w:r>
        <w:rPr>
          <w:rFonts w:ascii="Tahoma" w:hAnsi="Tahoma" w:cs="Tahoma"/>
        </w:rPr>
        <w:t>ta su: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1) potpredsjednik Vlade za obrazovanje, nauku i odnose sa vjerskim zajednicama;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2) ministar prosvjete, nauke i inovacija;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3) ministar sporta i mladih;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4) ministar ljudskih i manjinskih prava;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5) ministar finansija;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6) ministar rada, zapošljavanja i </w:t>
      </w:r>
      <w:r>
        <w:rPr>
          <w:rFonts w:ascii="Tahoma" w:hAnsi="Tahoma" w:cs="Tahoma"/>
        </w:rPr>
        <w:t>socijalnog dijaloga;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7) ministar zdravlja;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8) ministar unutrašnjih poslova;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9) ministar vanjskih poslova;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10) ministar javne uprave;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11) ministar kulture i medija;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12) ministar pravde;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13) ministar evropskih poslova;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14) predstavnik Ministarstva socijalnog</w:t>
      </w:r>
      <w:r>
        <w:rPr>
          <w:rFonts w:ascii="Tahoma" w:hAnsi="Tahoma" w:cs="Tahoma"/>
        </w:rPr>
        <w:t xml:space="preserve"> staranja, brige o porodici i demografije;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15) Zaštitnik ljudskih prava i sloboda Crne Gore;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16) predstavnik Sekretarijata za zakonodavstvo;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17) direktor Uprave za statistiku;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18) direktor Zavoda za socijalnu i dječju zaštitu;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19) predstavnik djece, na pre</w:t>
      </w:r>
      <w:r>
        <w:rPr>
          <w:rFonts w:ascii="Tahoma" w:hAnsi="Tahoma" w:cs="Tahoma"/>
        </w:rPr>
        <w:t>dlog nevladine organizacije koja se bavi zaštitom prava djeteta i koja se bira u skladu sa propisom iz stava 4 ovog člana;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20) dva predstavnika društveno ranjivih grupa, na predlog nevladine organizacije koja se bavi zaštitom prava djeteta i koja se bira u</w:t>
      </w:r>
      <w:r>
        <w:rPr>
          <w:rFonts w:ascii="Tahoma" w:hAnsi="Tahoma" w:cs="Tahoma"/>
        </w:rPr>
        <w:t xml:space="preserve"> skladu sa propisom iz stava 4 ovog člana;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21) predstavnik djece koji se bira iz Mreže zlatnih savjetnika Ombudsmana.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U slučaju odsustva ili spriječenosti predsjednika Savjeta da predsjedava sjednicom Savjeta, zamjenjuje ga ministar prosvjete, nauke i inov</w:t>
      </w:r>
      <w:r>
        <w:rPr>
          <w:rFonts w:ascii="Tahoma" w:hAnsi="Tahoma" w:cs="Tahoma"/>
        </w:rPr>
        <w:t>acija.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U radu Savjeta mogu učestvovati i predstavnici drugih nevladinih organizacija, koji se biraju u skladu sa propisom kojim se utvrđuju kriterijumi i postupak izbora predstavnika nevladinih organizacija u radne grupe i druga radna tijela organa državne</w:t>
      </w:r>
      <w:r>
        <w:rPr>
          <w:rFonts w:ascii="Tahoma" w:hAnsi="Tahoma" w:cs="Tahoma"/>
        </w:rPr>
        <w:t xml:space="preserve"> uprave.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U radu Savjeta mogu učestvovati, bez prava glasa, predstavnici međunarodnih organizacija koje se bave zaštitom prava djeteta.</w:t>
      </w:r>
    </w:p>
    <w:p w:rsidR="00000000" w:rsidRDefault="005721CF">
      <w:pPr>
        <w:jc w:val="center"/>
        <w:divId w:val="87239010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4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 ima sekretara koji obavlja stručne i administrativno-tehničke poslove.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Sekretar iz stava 1 ovog člana imen</w:t>
      </w:r>
      <w:r>
        <w:rPr>
          <w:rFonts w:ascii="Tahoma" w:hAnsi="Tahoma" w:cs="Tahoma"/>
        </w:rPr>
        <w:t>uje se iz reda zaposlenih u Kabinetu predsjednika Vlade.</w:t>
      </w:r>
    </w:p>
    <w:p w:rsidR="00000000" w:rsidRDefault="005721CF">
      <w:pPr>
        <w:jc w:val="center"/>
        <w:divId w:val="185985390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5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Vlada posebnom odlukom imenuje predsjednika, zamjenika predsjednika, članove i sekretara Savjeta.</w:t>
      </w:r>
    </w:p>
    <w:p w:rsidR="00000000" w:rsidRDefault="005721CF">
      <w:pPr>
        <w:jc w:val="center"/>
        <w:divId w:val="903225143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6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Savjet: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1) u saradnji sa nadležnim ministarstvom, prati izvršavanje preuzetih obaveza C</w:t>
      </w:r>
      <w:r>
        <w:rPr>
          <w:rFonts w:ascii="Tahoma" w:hAnsi="Tahoma" w:cs="Tahoma"/>
        </w:rPr>
        <w:t>rne Gore koje proizilaze iz Konvencije o pravima djeteta i drugih međunarodnih dokumenata koji se odnose na zaštitu prava djeteta;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2) prati primjenu propisa koji se odnose na zaštitu prava djeteta i daje inicijative za njihove izmjene;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3) prati implementac</w:t>
      </w:r>
      <w:r>
        <w:rPr>
          <w:rFonts w:ascii="Tahoma" w:hAnsi="Tahoma" w:cs="Tahoma"/>
        </w:rPr>
        <w:t>iju strateških dokumenata koji se odnose na ostvarivanje prava djeteta, na prevenciju i zaštitu djece od svih oblika nasilja, zlostavljanja i zanemarivanja i drugih strategija od značaja za ostvarivanje prava djeteta i njihov optimalni razvoj;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4) podnosi V</w:t>
      </w:r>
      <w:r>
        <w:rPr>
          <w:rFonts w:ascii="Tahoma" w:hAnsi="Tahoma" w:cs="Tahoma"/>
        </w:rPr>
        <w:t>ladi inicijative, predloge, mišljenja i analize koje se odnose na ostvarivanje prava djeteta u Crnoj Gori;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5) koordinira zaštitu i unapređenje prava djeteta u oblastima socijalne i dječije zaštite, zdravstvene zaštite, vaspitanja, obrazovanja i u drugim ob</w:t>
      </w:r>
      <w:r>
        <w:rPr>
          <w:rFonts w:ascii="Tahoma" w:hAnsi="Tahoma" w:cs="Tahoma"/>
        </w:rPr>
        <w:t>lastima od značaja za zaštitu prava i interesa djeteta, posebno u periodu ranog razvoja i adolescencije;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6) unapređuje međuresorni i multidisciplinarni pristup u promociji, prevenciji i zaštiti prava djeteta,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7) unapređuje saradnju nevladinih organizacija,</w:t>
      </w:r>
      <w:r>
        <w:rPr>
          <w:rFonts w:ascii="Tahoma" w:hAnsi="Tahoma" w:cs="Tahoma"/>
        </w:rPr>
        <w:t xml:space="preserve"> organa državne uprave i lokalne samouprave u procesu implementacije i zaštite prava djeteta;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8) upoznaje javnost o pravima djeteta i obavještava o stanju prava djeteta u Crnoj Gori;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9) razmatra i druga pitanja od značaja za ostvarivanje prava djeteta.</w:t>
      </w:r>
    </w:p>
    <w:p w:rsidR="00000000" w:rsidRDefault="005721CF">
      <w:pPr>
        <w:jc w:val="center"/>
        <w:divId w:val="1742830583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</w:t>
      </w:r>
      <w:r>
        <w:rPr>
          <w:rFonts w:ascii="Tahoma" w:eastAsia="Times New Roman" w:hAnsi="Tahoma" w:cs="Tahoma"/>
          <w:b/>
          <w:bCs/>
        </w:rPr>
        <w:t>n 7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U obavljanju poslova iz svog djelokruga, Savjet ostvaruje saradnju sa međunarodnim organizacijama i naučnim ustanovama, stručnim i drugim udruženjima koja se bave zaštitom prava djeteta.</w:t>
      </w:r>
    </w:p>
    <w:p w:rsidR="00000000" w:rsidRDefault="005721CF">
      <w:pPr>
        <w:jc w:val="center"/>
        <w:divId w:val="1475098677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8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Savjet može, radi efikasnog i djelotvornog ostvarivanja za</w:t>
      </w:r>
      <w:r>
        <w:rPr>
          <w:rFonts w:ascii="Tahoma" w:hAnsi="Tahoma" w:cs="Tahoma"/>
        </w:rPr>
        <w:t>dataka, obrazovati stalne ili povremene radne grupe.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Predsjednik Savjeta može, po potrebi, pozivati na sjednice Savjeta stručnjake, predstavnike akademske zajednice, starješine organa državne uprave i lokalne samouprave, predstavnike institucija i domaćih </w:t>
      </w:r>
      <w:r>
        <w:rPr>
          <w:rFonts w:ascii="Tahoma" w:hAnsi="Tahoma" w:cs="Tahoma"/>
        </w:rPr>
        <w:t>ili međunarodnih organizacija, čiji predstavnici nijesu članovi Savjeta i zatražiti podatke, objašnjenja i izvještaje u vezi sa pitanjima koja se odnose na realizaciju zadataka iz člana 6 ove odluke.</w:t>
      </w:r>
    </w:p>
    <w:p w:rsidR="00000000" w:rsidRDefault="005721CF">
      <w:pPr>
        <w:jc w:val="center"/>
        <w:divId w:val="45830702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9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 donosi poslovnik kojim se uređuje način r</w:t>
      </w:r>
      <w:r>
        <w:rPr>
          <w:rFonts w:ascii="Tahoma" w:hAnsi="Tahoma" w:cs="Tahoma"/>
        </w:rPr>
        <w:t>ada Savjeta, kao i druga pitanja od značaja za rad i ostvarivanje zadataka Savjeta.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Poslovnik iz stava 1 ovog člana donosi se većinom glasova članova Savjeta.</w:t>
      </w:r>
    </w:p>
    <w:p w:rsidR="00000000" w:rsidRDefault="005721CF">
      <w:pPr>
        <w:jc w:val="center"/>
        <w:divId w:val="165498645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10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Predsjedniku, zamjeniku predsjednika, </w:t>
      </w:r>
      <w:r>
        <w:rPr>
          <w:rFonts w:ascii="Tahoma" w:hAnsi="Tahoma" w:cs="Tahoma"/>
        </w:rPr>
        <w:t>članovima Savjeta i sekretaru pripada naknada za rad u skladu sa članom 2 Odluke o kriterijumima za utvrđivanje visine naknade za rad člana radnog tijela ili drugog oblika rada („Službeni list CG”, br. 23/12, 27/13, 44/22 i 78/22).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Naknada iz stava 1 ovog </w:t>
      </w:r>
      <w:r>
        <w:rPr>
          <w:rFonts w:ascii="Tahoma" w:hAnsi="Tahoma" w:cs="Tahoma"/>
        </w:rPr>
        <w:t>člana isplaćuje se iz budžetskih sredstava organa na čiji predlog su imenovani predsjednik, zamjenik, članovi i sekretar Savjeta, a naknada za člana Savjeta predstavnika nevladine organizacije isplaćuje se iz budžetskih sredstava Generalnog sekretarijata V</w:t>
      </w:r>
      <w:r>
        <w:rPr>
          <w:rFonts w:ascii="Tahoma" w:hAnsi="Tahoma" w:cs="Tahoma"/>
        </w:rPr>
        <w:t>lade.</w:t>
      </w:r>
    </w:p>
    <w:p w:rsidR="00000000" w:rsidRDefault="005721CF">
      <w:pPr>
        <w:jc w:val="center"/>
        <w:divId w:val="71181092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11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 za svoj rad odgovara Vladi.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 jednom godišnje podnosi Vladi izvještaj o radu, koji se nakon usvajanja objavljuje na internet stranici Vlade.</w:t>
      </w:r>
    </w:p>
    <w:p w:rsidR="00000000" w:rsidRDefault="005721CF">
      <w:pPr>
        <w:jc w:val="center"/>
        <w:divId w:val="1937522540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12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Rad Savjeta je javan.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 je dužan da javnosti omogući uvid u svoj rad, u skl</w:t>
      </w:r>
      <w:r>
        <w:rPr>
          <w:rFonts w:ascii="Tahoma" w:hAnsi="Tahoma" w:cs="Tahoma"/>
        </w:rPr>
        <w:t>adu sa zakonom kojim se uređuje slobodan pristup informacijama od javnog interesa i poslovnikom Savjeta.</w:t>
      </w:r>
    </w:p>
    <w:p w:rsidR="00000000" w:rsidRDefault="005721CF">
      <w:pPr>
        <w:jc w:val="center"/>
        <w:divId w:val="771321885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13</w:t>
      </w:r>
    </w:p>
    <w:p w:rsidR="00000000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Danom stupanja na snagu ove odluke prestaje da važi Odluka o Savjetu za prava djeteta („Službeni list CG”, broj 80/22).</w:t>
      </w:r>
    </w:p>
    <w:p w:rsidR="00000000" w:rsidRDefault="005721CF">
      <w:pPr>
        <w:jc w:val="center"/>
        <w:divId w:val="947927868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14</w:t>
      </w:r>
    </w:p>
    <w:p w:rsidR="005721CF" w:rsidRDefault="005721CF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Ova odluka stup</w:t>
      </w:r>
      <w:r>
        <w:rPr>
          <w:rFonts w:ascii="Tahoma" w:hAnsi="Tahoma" w:cs="Tahoma"/>
        </w:rPr>
        <w:t>a na snagu osmog dana od dana objavljivanja u „Službenom listu Crne Gore”.</w:t>
      </w:r>
    </w:p>
    <w:sectPr w:rsidR="00572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7D"/>
    <w:rsid w:val="005721CF"/>
    <w:rsid w:val="0086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7A13F6-6172-4A1D-9568-A1D0CC6E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0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1tekst">
    <w:name w:val="_1tekst"/>
    <w:basedOn w:val="Normal"/>
    <w:pPr>
      <w:ind w:left="150" w:right="150" w:firstLine="240"/>
      <w:jc w:val="both"/>
    </w:pPr>
    <w:rPr>
      <w:sz w:val="23"/>
      <w:szCs w:val="23"/>
    </w:rPr>
  </w:style>
  <w:style w:type="paragraph" w:customStyle="1" w:styleId="osnovnitekst">
    <w:name w:val="osnovnitekst"/>
    <w:basedOn w:val="Normal"/>
    <w:pPr>
      <w:spacing w:before="100" w:beforeAutospacing="1" w:after="100" w:afterAutospacing="1"/>
      <w:ind w:left="240" w:right="240"/>
    </w:pPr>
    <w:rPr>
      <w:b/>
      <w:bCs/>
      <w:color w:val="FF0000"/>
      <w:sz w:val="36"/>
      <w:szCs w:val="36"/>
    </w:rPr>
  </w:style>
  <w:style w:type="paragraph" w:customStyle="1" w:styleId="rasir">
    <w:name w:val="rasir"/>
    <w:basedOn w:val="Normal"/>
    <w:pPr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obrazac">
    <w:name w:val="obrazac"/>
    <w:basedOn w:val="Normal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0080"/>
      <w:sz w:val="36"/>
      <w:szCs w:val="36"/>
    </w:rPr>
  </w:style>
  <w:style w:type="paragraph" w:customStyle="1" w:styleId="napomena">
    <w:name w:val="napomena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8080"/>
      <w:sz w:val="36"/>
      <w:szCs w:val="36"/>
    </w:rPr>
  </w:style>
  <w:style w:type="paragraph" w:customStyle="1" w:styleId="2zakon">
    <w:name w:val="_2zakon"/>
    <w:basedOn w:val="Normal"/>
    <w:pPr>
      <w:spacing w:before="100" w:beforeAutospacing="1" w:after="100" w:afterAutospacing="1"/>
      <w:jc w:val="center"/>
    </w:pPr>
    <w:rPr>
      <w:color w:val="0033CC"/>
      <w:sz w:val="42"/>
      <w:szCs w:val="42"/>
    </w:rPr>
  </w:style>
  <w:style w:type="paragraph" w:customStyle="1" w:styleId="6naslov">
    <w:name w:val="_6naslov"/>
    <w:basedOn w:val="Normal"/>
    <w:pPr>
      <w:spacing w:before="60" w:after="30"/>
      <w:jc w:val="center"/>
    </w:pPr>
    <w:rPr>
      <w:sz w:val="32"/>
      <w:szCs w:val="32"/>
    </w:rPr>
  </w:style>
  <w:style w:type="paragraph" w:customStyle="1" w:styleId="5nadnaslov">
    <w:name w:val="_5nadnaslov"/>
    <w:basedOn w:val="Normal"/>
    <w:pPr>
      <w:spacing w:before="240"/>
      <w:jc w:val="center"/>
    </w:pPr>
    <w:rPr>
      <w:b/>
      <w:bCs/>
      <w:sz w:val="33"/>
      <w:szCs w:val="33"/>
    </w:rPr>
  </w:style>
  <w:style w:type="paragraph" w:customStyle="1" w:styleId="7podnas">
    <w:name w:val="_7podnas"/>
    <w:basedOn w:val="Normal"/>
    <w:pPr>
      <w:spacing w:before="60"/>
      <w:jc w:val="center"/>
    </w:pPr>
    <w:rPr>
      <w:b/>
      <w:bCs/>
      <w:sz w:val="27"/>
      <w:szCs w:val="27"/>
    </w:rPr>
  </w:style>
  <w:style w:type="paragraph" w:customStyle="1" w:styleId="8podpodnas">
    <w:name w:val="_8podpodnas"/>
    <w:basedOn w:val="Normal"/>
    <w:pPr>
      <w:spacing w:before="240" w:after="240"/>
      <w:jc w:val="center"/>
    </w:pPr>
    <w:rPr>
      <w:i/>
      <w:iCs/>
      <w:sz w:val="27"/>
      <w:szCs w:val="27"/>
    </w:rPr>
  </w:style>
  <w:style w:type="paragraph" w:customStyle="1" w:styleId="odeljak">
    <w:name w:val="odeljak"/>
    <w:basedOn w:val="Normal"/>
    <w:pPr>
      <w:spacing w:before="240" w:after="240"/>
      <w:jc w:val="center"/>
    </w:pPr>
  </w:style>
  <w:style w:type="paragraph" w:customStyle="1" w:styleId="3mesto">
    <w:name w:val="_3mesto"/>
    <w:basedOn w:val="Normal"/>
    <w:pPr>
      <w:spacing w:before="100" w:beforeAutospacing="1" w:after="100" w:afterAutospacing="1"/>
      <w:ind w:left="375" w:right="375"/>
      <w:jc w:val="center"/>
    </w:pPr>
  </w:style>
  <w:style w:type="paragraph" w:customStyle="1" w:styleId="4clan">
    <w:name w:val="_4clan"/>
    <w:basedOn w:val="Normal"/>
    <w:pPr>
      <w:spacing w:before="240" w:after="240"/>
      <w:jc w:val="center"/>
    </w:pPr>
    <w:rPr>
      <w:b/>
      <w:bCs/>
    </w:rPr>
  </w:style>
  <w:style w:type="paragraph" w:customStyle="1" w:styleId="medjclan">
    <w:name w:val="medjclan"/>
    <w:basedOn w:val="Normal"/>
    <w:pPr>
      <w:spacing w:before="240" w:after="240"/>
      <w:jc w:val="center"/>
    </w:pPr>
    <w:rPr>
      <w:b/>
      <w:bCs/>
      <w:sz w:val="29"/>
      <w:szCs w:val="29"/>
    </w:rPr>
  </w:style>
  <w:style w:type="paragraph" w:customStyle="1" w:styleId="medjtekst">
    <w:name w:val="medjtekst"/>
    <w:basedOn w:val="Normal"/>
    <w:pPr>
      <w:ind w:left="525" w:right="525" w:firstLine="240"/>
      <w:jc w:val="both"/>
    </w:pPr>
    <w:rPr>
      <w:sz w:val="27"/>
      <w:szCs w:val="27"/>
    </w:rPr>
  </w:style>
  <w:style w:type="paragraph" w:customStyle="1" w:styleId="glava">
    <w:name w:val="glava"/>
    <w:basedOn w:val="Normal"/>
    <w:pPr>
      <w:spacing w:before="240" w:after="240"/>
      <w:jc w:val="center"/>
    </w:pPr>
    <w:rPr>
      <w:b/>
      <w:bCs/>
      <w:i/>
      <w:iCs/>
      <w:sz w:val="36"/>
      <w:szCs w:val="36"/>
    </w:rPr>
  </w:style>
  <w:style w:type="paragraph" w:customStyle="1" w:styleId="deo">
    <w:name w:val="deo"/>
    <w:basedOn w:val="Normal"/>
    <w:pPr>
      <w:spacing w:before="240" w:after="240"/>
      <w:jc w:val="center"/>
    </w:pPr>
    <w:rPr>
      <w:b/>
      <w:bCs/>
      <w:sz w:val="33"/>
      <w:szCs w:val="33"/>
    </w:rPr>
  </w:style>
  <w:style w:type="paragraph" w:customStyle="1" w:styleId="vidi">
    <w:name w:val="vidi"/>
    <w:basedOn w:val="Normal"/>
    <w:pPr>
      <w:ind w:right="1650"/>
    </w:pPr>
    <w:rPr>
      <w:b/>
      <w:bCs/>
      <w:color w:val="800000"/>
      <w:sz w:val="20"/>
      <w:szCs w:val="20"/>
    </w:rPr>
  </w:style>
  <w:style w:type="paragraph" w:customStyle="1" w:styleId="vidividi">
    <w:name w:val="vidi_vidi"/>
    <w:basedOn w:val="Normal"/>
    <w:rPr>
      <w:b/>
      <w:bCs/>
      <w:color w:val="800000"/>
      <w:sz w:val="20"/>
      <w:szCs w:val="20"/>
    </w:rPr>
  </w:style>
  <w:style w:type="paragraph" w:customStyle="1" w:styleId="nodis">
    <w:name w:val="nodis"/>
    <w:basedOn w:val="Normal"/>
    <w:pPr>
      <w:spacing w:before="100" w:beforeAutospacing="1" w:after="100" w:afterAutospacing="1"/>
    </w:pPr>
    <w:rPr>
      <w:vanish/>
    </w:rPr>
  </w:style>
  <w:style w:type="paragraph" w:customStyle="1" w:styleId="vlinkovi">
    <w:name w:val="vlinkovi"/>
    <w:basedOn w:val="Normal"/>
    <w:pPr>
      <w:ind w:left="375" w:right="375"/>
    </w:pPr>
    <w:rPr>
      <w:sz w:val="20"/>
      <w:szCs w:val="20"/>
    </w:rPr>
  </w:style>
  <w:style w:type="paragraph" w:customStyle="1" w:styleId="vlb">
    <w:name w:val="vlb"/>
    <w:basedOn w:val="Normal"/>
    <w:pPr>
      <w:spacing w:before="100" w:beforeAutospacing="1" w:after="100" w:afterAutospacing="1"/>
    </w:pPr>
    <w:rPr>
      <w:b/>
      <w:bCs/>
      <w:sz w:val="17"/>
      <w:szCs w:val="17"/>
    </w:rPr>
  </w:style>
  <w:style w:type="paragraph" w:customStyle="1" w:styleId="vlnowrap">
    <w:name w:val="vlnowrap"/>
    <w:basedOn w:val="Normal"/>
    <w:pPr>
      <w:spacing w:before="100" w:beforeAutospacing="1" w:after="100" w:afterAutospacing="1"/>
    </w:pPr>
    <w:rPr>
      <w:color w:val="000080"/>
    </w:rPr>
  </w:style>
  <w:style w:type="paragraph" w:customStyle="1" w:styleId="vlf">
    <w:name w:val="vlf"/>
    <w:basedOn w:val="Normal"/>
    <w:pPr>
      <w:shd w:val="clear" w:color="auto" w:fill="FFFFFF"/>
      <w:spacing w:before="75"/>
      <w:ind w:right="225"/>
    </w:pPr>
    <w:rPr>
      <w:b/>
      <w:bCs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787204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16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005058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192474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673641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2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697279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3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272466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0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229543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576540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1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463384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8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648696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3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5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255595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2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051349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12913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987023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10" Type="http://schemas.openxmlformats.org/officeDocument/2006/relationships/theme" Target="theme/theme1.xml"/><Relationship Id="rId4" Type="http://schemas.openxmlformats.org/officeDocument/2006/relationships/hyperlink" Target="javascript:void(0)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o Savjetu za prava djeteta</vt:lpstr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Savjetu za prava djeteta</dc:title>
  <dc:subject/>
  <dc:creator>Lidija Knezevic</dc:creator>
  <cp:keywords/>
  <dc:description/>
  <cp:lastModifiedBy>Lidija Knezevic</cp:lastModifiedBy>
  <cp:revision>2</cp:revision>
  <dcterms:created xsi:type="dcterms:W3CDTF">2026-10-07T07:54:00Z</dcterms:created>
  <dcterms:modified xsi:type="dcterms:W3CDTF">2026-10-07T07:54:00Z</dcterms:modified>
</cp:coreProperties>
</file>