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UGOVOR</w:t>
      </w:r>
    </w:p>
    <w:p w:rsidR="0028614A" w:rsidRPr="000761D3" w:rsidRDefault="0028614A"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O</w:t>
      </w:r>
    </w:p>
    <w:p w:rsidR="0072320F" w:rsidRPr="000761D3" w:rsidRDefault="0072320F" w:rsidP="000761D3">
      <w:pPr>
        <w:pStyle w:val="BodyText"/>
        <w:spacing w:after="0" w:line="276" w:lineRule="auto"/>
        <w:ind w:left="144" w:right="144"/>
        <w:jc w:val="center"/>
        <w:rPr>
          <w:rFonts w:ascii="Arial" w:hAnsi="Arial" w:cs="Arial"/>
          <w:b/>
          <w:sz w:val="22"/>
          <w:szCs w:val="22"/>
        </w:rPr>
      </w:pPr>
      <w:r w:rsidRPr="000761D3">
        <w:rPr>
          <w:rFonts w:ascii="Arial" w:hAnsi="Arial" w:cs="Arial"/>
          <w:b/>
          <w:sz w:val="22"/>
          <w:szCs w:val="22"/>
        </w:rPr>
        <w:t xml:space="preserve">KONCESIJI ZA </w:t>
      </w:r>
      <w:r w:rsidR="000761D3">
        <w:rPr>
          <w:rFonts w:ascii="Arial" w:hAnsi="Arial" w:cs="Arial"/>
          <w:b/>
          <w:sz w:val="22"/>
          <w:szCs w:val="22"/>
        </w:rPr>
        <w:t xml:space="preserve">DETALJNA GEOLOŠKA ISTRAŽIVANJA I </w:t>
      </w:r>
      <w:r w:rsidRPr="000761D3">
        <w:rPr>
          <w:rFonts w:ascii="Arial" w:hAnsi="Arial" w:cs="Arial"/>
          <w:b/>
          <w:sz w:val="22"/>
          <w:szCs w:val="22"/>
        </w:rPr>
        <w:t xml:space="preserve">EKSPLOATACIJU </w:t>
      </w:r>
      <w:r w:rsidR="00DF2F34" w:rsidRPr="000761D3">
        <w:rPr>
          <w:rFonts w:ascii="Arial" w:hAnsi="Arial" w:cs="Arial"/>
          <w:b/>
          <w:sz w:val="22"/>
          <w:szCs w:val="22"/>
        </w:rPr>
        <w:t xml:space="preserve">MINERALNE SIROVINE TEHNIČKO-GRAĐEVINSKOG KAMENA   </w:t>
      </w:r>
      <w:r w:rsidR="0061674D" w:rsidRPr="000761D3">
        <w:rPr>
          <w:rFonts w:ascii="Arial" w:hAnsi="Arial" w:cs="Arial"/>
          <w:b/>
          <w:sz w:val="22"/>
          <w:szCs w:val="22"/>
        </w:rPr>
        <w:t xml:space="preserve">SA </w:t>
      </w:r>
      <w:r w:rsidR="00DF2F34" w:rsidRPr="000761D3">
        <w:rPr>
          <w:rFonts w:ascii="Arial" w:hAnsi="Arial" w:cs="Arial"/>
          <w:b/>
          <w:sz w:val="22"/>
          <w:szCs w:val="22"/>
        </w:rPr>
        <w:t xml:space="preserve">LEŽIŠTA </w:t>
      </w:r>
      <w:r w:rsidR="00A34723" w:rsidRPr="000761D3">
        <w:rPr>
          <w:rFonts w:ascii="Arial" w:hAnsi="Arial" w:cs="Arial"/>
          <w:b/>
          <w:bCs/>
          <w:sz w:val="22"/>
          <w:szCs w:val="22"/>
        </w:rPr>
        <w:t>„</w:t>
      </w:r>
      <w:r w:rsidR="000761D3">
        <w:rPr>
          <w:rFonts w:ascii="Arial" w:hAnsi="Arial" w:cs="Arial"/>
          <w:b/>
          <w:sz w:val="22"/>
          <w:szCs w:val="22"/>
        </w:rPr>
        <w:t xml:space="preserve">KRŠ“ - </w:t>
      </w:r>
      <w:r w:rsidR="00DB6965" w:rsidRPr="000761D3">
        <w:rPr>
          <w:rFonts w:ascii="Arial" w:hAnsi="Arial" w:cs="Arial"/>
          <w:b/>
          <w:bCs/>
          <w:sz w:val="22"/>
          <w:szCs w:val="22"/>
        </w:rPr>
        <w:t>KALUĐERSKI LAZ</w:t>
      </w:r>
      <w:r w:rsidR="00DF2F34" w:rsidRPr="000761D3">
        <w:rPr>
          <w:rFonts w:ascii="Arial" w:hAnsi="Arial" w:cs="Arial"/>
          <w:b/>
          <w:sz w:val="22"/>
          <w:szCs w:val="22"/>
        </w:rPr>
        <w:t xml:space="preserve">, OPŠTINA </w:t>
      </w:r>
      <w:r w:rsidR="00DB6965" w:rsidRPr="000761D3">
        <w:rPr>
          <w:rFonts w:ascii="Arial" w:hAnsi="Arial" w:cs="Arial"/>
          <w:b/>
          <w:sz w:val="22"/>
          <w:szCs w:val="22"/>
        </w:rPr>
        <w:t>ROŽAJE</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sz w:val="22"/>
          <w:szCs w:val="22"/>
        </w:rPr>
      </w:pPr>
    </w:p>
    <w:p w:rsidR="0028614A" w:rsidRPr="000761D3" w:rsidRDefault="0028614A" w:rsidP="000761D3">
      <w:pPr>
        <w:pStyle w:val="BodyText"/>
        <w:spacing w:after="0" w:line="276" w:lineRule="auto"/>
        <w:ind w:left="144" w:right="144"/>
        <w:jc w:val="center"/>
        <w:rPr>
          <w:rFonts w:ascii="Arial" w:hAnsi="Arial" w:cs="Arial"/>
          <w:b/>
          <w:bCs/>
          <w:sz w:val="22"/>
          <w:szCs w:val="22"/>
        </w:rPr>
      </w:pPr>
      <w:r w:rsidRPr="000761D3">
        <w:rPr>
          <w:rFonts w:ascii="Arial" w:hAnsi="Arial" w:cs="Arial"/>
          <w:b/>
          <w:bCs/>
          <w:sz w:val="22"/>
          <w:szCs w:val="22"/>
        </w:rPr>
        <w:t>UGOVORNE STRANE:</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Pr="000761D3" w:rsidRDefault="00A01593"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Vlada Crne Gore </w:t>
      </w:r>
      <w:r w:rsidR="0028614A" w:rsidRPr="000761D3">
        <w:rPr>
          <w:rFonts w:ascii="Arial" w:hAnsi="Arial" w:cs="Arial"/>
          <w:b/>
          <w:bCs/>
          <w:sz w:val="22"/>
          <w:szCs w:val="22"/>
        </w:rPr>
        <w:t>, koju zastupa ministar</w:t>
      </w:r>
      <w:r w:rsidR="0077286C" w:rsidRPr="000761D3">
        <w:rPr>
          <w:rFonts w:ascii="Arial" w:hAnsi="Arial" w:cs="Arial"/>
          <w:b/>
          <w:bCs/>
          <w:sz w:val="22"/>
          <w:szCs w:val="22"/>
        </w:rPr>
        <w:t xml:space="preserve">ka </w:t>
      </w:r>
      <w:r w:rsidR="0028614A" w:rsidRPr="000761D3">
        <w:rPr>
          <w:rFonts w:ascii="Arial" w:hAnsi="Arial" w:cs="Arial"/>
          <w:b/>
          <w:bCs/>
          <w:sz w:val="22"/>
          <w:szCs w:val="22"/>
        </w:rPr>
        <w:t xml:space="preserve"> </w:t>
      </w:r>
      <w:r w:rsidR="00914801" w:rsidRPr="000761D3">
        <w:rPr>
          <w:rFonts w:ascii="Arial" w:hAnsi="Arial" w:cs="Arial"/>
          <w:b/>
          <w:bCs/>
          <w:sz w:val="22"/>
          <w:szCs w:val="22"/>
        </w:rPr>
        <w:t xml:space="preserve">ekonomije </w:t>
      </w:r>
      <w:r w:rsidR="0077286C" w:rsidRPr="000761D3">
        <w:rPr>
          <w:rFonts w:ascii="Arial" w:hAnsi="Arial" w:cs="Arial"/>
          <w:b/>
          <w:bCs/>
          <w:sz w:val="22"/>
          <w:szCs w:val="22"/>
        </w:rPr>
        <w:t>Dragica Sekulić</w:t>
      </w:r>
      <w:r w:rsidR="004170ED" w:rsidRPr="000761D3">
        <w:rPr>
          <w:rFonts w:ascii="Arial" w:hAnsi="Arial" w:cs="Arial"/>
          <w:b/>
          <w:bCs/>
          <w:sz w:val="22"/>
          <w:szCs w:val="22"/>
        </w:rPr>
        <w:t xml:space="preserve"> </w:t>
      </w:r>
      <w:r w:rsidR="0028614A" w:rsidRPr="000761D3">
        <w:rPr>
          <w:rFonts w:ascii="Arial" w:hAnsi="Arial" w:cs="Arial"/>
          <w:b/>
          <w:bCs/>
          <w:sz w:val="22"/>
          <w:szCs w:val="22"/>
        </w:rPr>
        <w:t xml:space="preserve">(u daljem tekstu: </w:t>
      </w:r>
      <w:r w:rsidR="004170ED" w:rsidRPr="000761D3">
        <w:rPr>
          <w:rFonts w:ascii="Arial" w:hAnsi="Arial" w:cs="Arial"/>
          <w:b/>
          <w:bCs/>
          <w:sz w:val="22"/>
          <w:szCs w:val="22"/>
        </w:rPr>
        <w:t xml:space="preserve">„Koncedent </w:t>
      </w:r>
      <w:r w:rsidR="0028614A" w:rsidRPr="000761D3">
        <w:rPr>
          <w:rFonts w:ascii="Arial" w:hAnsi="Arial" w:cs="Arial"/>
          <w:b/>
          <w:bCs/>
          <w:sz w:val="22"/>
          <w:szCs w:val="22"/>
        </w:rPr>
        <w:t>")</w:t>
      </w:r>
    </w:p>
    <w:p w:rsidR="0028614A" w:rsidRPr="000761D3" w:rsidRDefault="0028614A" w:rsidP="000761D3">
      <w:pPr>
        <w:pStyle w:val="BodyText"/>
        <w:spacing w:after="0" w:line="276" w:lineRule="auto"/>
        <w:ind w:left="144" w:right="144"/>
        <w:jc w:val="both"/>
        <w:rPr>
          <w:rFonts w:ascii="Arial" w:hAnsi="Arial" w:cs="Arial"/>
          <w:b/>
          <w:bCs/>
          <w:sz w:val="22"/>
          <w:szCs w:val="22"/>
        </w:rPr>
      </w:pPr>
      <w:r w:rsidRPr="000761D3">
        <w:rPr>
          <w:rFonts w:ascii="Arial" w:hAnsi="Arial" w:cs="Arial"/>
          <w:b/>
          <w:bCs/>
          <w:sz w:val="22"/>
          <w:szCs w:val="22"/>
        </w:rPr>
        <w:t xml:space="preserve">i </w:t>
      </w:r>
    </w:p>
    <w:p w:rsidR="0028614A" w:rsidRPr="000761D3" w:rsidRDefault="0028614A" w:rsidP="000761D3">
      <w:pPr>
        <w:pStyle w:val="BodyText"/>
        <w:spacing w:after="0" w:line="276" w:lineRule="auto"/>
        <w:ind w:left="144" w:right="144"/>
        <w:jc w:val="both"/>
        <w:rPr>
          <w:rFonts w:ascii="Arial" w:hAnsi="Arial" w:cs="Arial"/>
          <w:b/>
          <w:bCs/>
          <w:sz w:val="22"/>
          <w:szCs w:val="22"/>
        </w:rPr>
      </w:pPr>
    </w:p>
    <w:p w:rsidR="0028614A" w:rsidRDefault="003A08FE" w:rsidP="000761D3">
      <w:pPr>
        <w:pStyle w:val="BodyText"/>
        <w:suppressAutoHyphens/>
        <w:spacing w:after="0" w:line="276" w:lineRule="auto"/>
        <w:ind w:left="144" w:right="144"/>
        <w:jc w:val="both"/>
        <w:rPr>
          <w:rFonts w:ascii="Arial" w:hAnsi="Arial" w:cs="Arial"/>
          <w:sz w:val="22"/>
          <w:szCs w:val="22"/>
        </w:rPr>
      </w:pPr>
      <w:r w:rsidRPr="000761D3">
        <w:rPr>
          <w:rFonts w:ascii="Arial" w:hAnsi="Arial" w:cs="Arial"/>
          <w:b/>
          <w:bCs/>
          <w:sz w:val="22"/>
          <w:szCs w:val="22"/>
        </w:rPr>
        <w:t xml:space="preserve">, </w:t>
      </w:r>
      <w:r w:rsidR="000761D3">
        <w:rPr>
          <w:rFonts w:ascii="Arial" w:hAnsi="Arial" w:cs="Arial"/>
          <w:b/>
          <w:bCs/>
          <w:sz w:val="22"/>
          <w:szCs w:val="22"/>
        </w:rPr>
        <w:t>__________________</w:t>
      </w:r>
      <w:r w:rsidR="0028614A" w:rsidRPr="000761D3">
        <w:rPr>
          <w:rFonts w:ascii="Arial" w:hAnsi="Arial" w:cs="Arial"/>
          <w:b/>
          <w:bCs/>
          <w:sz w:val="22"/>
          <w:szCs w:val="22"/>
        </w:rPr>
        <w:t xml:space="preserve">koga zastupa _____________ (u daljem tekstu: </w:t>
      </w:r>
      <w:r w:rsidR="004170ED" w:rsidRPr="000761D3">
        <w:rPr>
          <w:rFonts w:ascii="Arial" w:hAnsi="Arial" w:cs="Arial"/>
          <w:b/>
          <w:bCs/>
          <w:sz w:val="22"/>
          <w:szCs w:val="22"/>
        </w:rPr>
        <w:t>„</w:t>
      </w:r>
      <w:r w:rsidR="0028614A" w:rsidRPr="000761D3">
        <w:rPr>
          <w:rFonts w:ascii="Arial" w:hAnsi="Arial" w:cs="Arial"/>
          <w:b/>
          <w:bCs/>
          <w:sz w:val="22"/>
          <w:szCs w:val="22"/>
        </w:rPr>
        <w:t>Koncesionar</w:t>
      </w:r>
      <w:r w:rsidR="000761D3">
        <w:rPr>
          <w:rFonts w:ascii="Arial" w:hAnsi="Arial" w:cs="Arial"/>
          <w:b/>
          <w:bCs/>
          <w:sz w:val="22"/>
          <w:szCs w:val="22"/>
        </w:rPr>
        <w:t>“)</w:t>
      </w:r>
      <w:r w:rsidR="0028614A" w:rsidRPr="000761D3">
        <w:rPr>
          <w:rFonts w:ascii="Arial" w:hAnsi="Arial" w:cs="Arial"/>
          <w:sz w:val="22"/>
          <w:szCs w:val="22"/>
        </w:rPr>
        <w:t>,</w:t>
      </w:r>
    </w:p>
    <w:p w:rsidR="000761D3" w:rsidRPr="000761D3" w:rsidRDefault="000761D3" w:rsidP="000761D3">
      <w:pPr>
        <w:pStyle w:val="BodyText"/>
        <w:suppressAutoHyphens/>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Koncedent i Koncesionar zajednički Ugovorne strane</w:t>
      </w:r>
      <w:r w:rsidR="004170ED" w:rsidRPr="000761D3">
        <w:rPr>
          <w:rFonts w:ascii="Arial" w:hAnsi="Arial" w:cs="Arial"/>
          <w:sz w:val="22"/>
          <w:szCs w:val="22"/>
        </w:rPr>
        <w:t>, a pojedinačno Ugovorna strana</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0761D3" w:rsidP="000761D3">
      <w:pPr>
        <w:pStyle w:val="BodyText"/>
        <w:spacing w:after="0" w:line="276" w:lineRule="auto"/>
        <w:ind w:left="144" w:right="144"/>
        <w:jc w:val="center"/>
        <w:rPr>
          <w:rFonts w:ascii="Arial" w:hAnsi="Arial" w:cs="Arial"/>
          <w:sz w:val="22"/>
          <w:szCs w:val="22"/>
        </w:rPr>
      </w:pPr>
      <w:r>
        <w:rPr>
          <w:rFonts w:ascii="Arial" w:hAnsi="Arial" w:cs="Arial"/>
          <w:sz w:val="22"/>
          <w:szCs w:val="22"/>
        </w:rPr>
        <w:t xml:space="preserve">Zaključen ____________ </w:t>
      </w:r>
      <w:r w:rsidR="00366A30">
        <w:rPr>
          <w:rFonts w:ascii="Arial" w:hAnsi="Arial" w:cs="Arial"/>
          <w:sz w:val="22"/>
          <w:szCs w:val="22"/>
        </w:rPr>
        <w:t xml:space="preserve">201__ </w:t>
      </w:r>
      <w:r w:rsidR="0028614A" w:rsidRPr="000761D3">
        <w:rPr>
          <w:rFonts w:ascii="Arial" w:hAnsi="Arial" w:cs="Arial"/>
          <w:sz w:val="22"/>
          <w:szCs w:val="22"/>
        </w:rPr>
        <w:t>godine, u Podgorici</w:t>
      </w: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0A5B12" w:rsidRPr="000761D3" w:rsidRDefault="000A5B12" w:rsidP="000761D3">
      <w:pPr>
        <w:pStyle w:val="BodyText"/>
        <w:spacing w:after="0" w:line="276" w:lineRule="auto"/>
        <w:ind w:left="144" w:right="144"/>
        <w:jc w:val="both"/>
        <w:rPr>
          <w:rFonts w:ascii="Arial" w:hAnsi="Arial" w:cs="Arial"/>
          <w:sz w:val="22"/>
          <w:szCs w:val="22"/>
        </w:rPr>
      </w:pPr>
    </w:p>
    <w:p w:rsidR="008503A2" w:rsidRDefault="008503A2"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BodyText"/>
        <w:spacing w:after="0" w:line="276" w:lineRule="auto"/>
        <w:ind w:left="144" w:right="144"/>
        <w:jc w:val="both"/>
        <w:rPr>
          <w:rFonts w:ascii="Arial" w:hAnsi="Arial" w:cs="Arial"/>
          <w:sz w:val="22"/>
          <w:szCs w:val="22"/>
        </w:rPr>
      </w:pPr>
    </w:p>
    <w:p w:rsidR="005047EA" w:rsidRPr="000761D3" w:rsidRDefault="005047EA" w:rsidP="000761D3">
      <w:pPr>
        <w:pStyle w:val="BodyText"/>
        <w:spacing w:after="0" w:line="276" w:lineRule="auto"/>
        <w:ind w:left="144" w:right="144"/>
        <w:jc w:val="both"/>
        <w:rPr>
          <w:rFonts w:ascii="Arial" w:hAnsi="Arial" w:cs="Arial"/>
          <w:sz w:val="22"/>
          <w:szCs w:val="22"/>
        </w:rPr>
      </w:pPr>
    </w:p>
    <w:p w:rsidR="0028614A" w:rsidRPr="000761D3" w:rsidRDefault="0028614A"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Heading2"/>
        <w:spacing w:before="0"/>
        <w:ind w:left="144" w:right="144"/>
        <w:rPr>
          <w:rFonts w:ascii="Arial" w:hAnsi="Arial" w:cs="Arial"/>
          <w:color w:val="auto"/>
          <w:sz w:val="22"/>
          <w:szCs w:val="22"/>
        </w:rPr>
      </w:pPr>
      <w:bookmarkStart w:id="0" w:name="_Toc287441940"/>
      <w:bookmarkStart w:id="1" w:name="_Toc379374222"/>
      <w:r w:rsidRPr="000761D3">
        <w:rPr>
          <w:rFonts w:ascii="Arial" w:hAnsi="Arial" w:cs="Arial"/>
          <w:color w:val="auto"/>
          <w:sz w:val="22"/>
          <w:szCs w:val="22"/>
        </w:rPr>
        <w:lastRenderedPageBreak/>
        <w:t>Preambula</w:t>
      </w:r>
      <w:bookmarkEnd w:id="0"/>
      <w:bookmarkEnd w:id="1"/>
      <w:r w:rsidRPr="000761D3">
        <w:rPr>
          <w:rFonts w:ascii="Arial" w:hAnsi="Arial" w:cs="Arial"/>
          <w:color w:val="auto"/>
          <w:sz w:val="22"/>
          <w:szCs w:val="22"/>
        </w:rPr>
        <w:t xml:space="preserve">: </w:t>
      </w:r>
    </w:p>
    <w:p w:rsidR="000761D3" w:rsidRDefault="000761D3" w:rsidP="000761D3">
      <w:pPr>
        <w:spacing w:after="0"/>
        <w:ind w:left="144" w:right="144"/>
        <w:jc w:val="both"/>
        <w:rPr>
          <w:rFonts w:ascii="Arial" w:hAnsi="Arial" w:cs="Arial"/>
        </w:rPr>
      </w:pPr>
    </w:p>
    <w:p w:rsidR="000761D3" w:rsidRPr="000761D3" w:rsidRDefault="000761D3" w:rsidP="000761D3">
      <w:pPr>
        <w:spacing w:after="0"/>
        <w:ind w:left="144" w:right="144"/>
        <w:jc w:val="both"/>
        <w:rPr>
          <w:rFonts w:ascii="Arial" w:hAnsi="Arial" w:cs="Arial"/>
        </w:rPr>
      </w:pPr>
      <w:r w:rsidRPr="000761D3">
        <w:rPr>
          <w:rFonts w:ascii="Arial" w:hAnsi="Arial" w:cs="Arial"/>
        </w:rPr>
        <w:t>S OBZIROM DA Ustav Države Crne Gore (“Službeni list Crne Gore”, broj 1/07 i 38/13), član 58, definiše da su prirodna bogatstva u državnoj imovini,</w:t>
      </w:r>
    </w:p>
    <w:p w:rsidR="000761D3" w:rsidRPr="000761D3" w:rsidRDefault="000761D3" w:rsidP="000761D3">
      <w:pPr>
        <w:spacing w:after="0"/>
        <w:ind w:left="144" w:right="144"/>
        <w:jc w:val="both"/>
        <w:rPr>
          <w:rFonts w:ascii="Arial" w:hAnsi="Arial" w:cs="Arial"/>
        </w:rPr>
      </w:pPr>
    </w:p>
    <w:p w:rsidR="000761D3" w:rsidRPr="000761D3" w:rsidRDefault="000761D3" w:rsidP="000761D3">
      <w:pPr>
        <w:spacing w:after="0"/>
        <w:ind w:left="144" w:right="144"/>
        <w:jc w:val="both"/>
        <w:rPr>
          <w:rFonts w:ascii="Arial" w:hAnsi="Arial" w:cs="Arial"/>
        </w:rPr>
      </w:pPr>
      <w:r w:rsidRPr="000761D3">
        <w:rPr>
          <w:rFonts w:ascii="Arial" w:hAnsi="Arial" w:cs="Arial"/>
        </w:rPr>
        <w:t>S OBZIROM DA Zakon o državnoj imovini (“Službeni list Crne Gore”, broj 21/09 i 40/11), član 11, definiše da su prirodna bogatstva kojima raspolaže Crna Gora: rude, nafta, gas i druga prirodna bogatstva određena zakonom,</w:t>
      </w:r>
    </w:p>
    <w:p w:rsidR="000761D3" w:rsidRPr="000761D3" w:rsidRDefault="000761D3" w:rsidP="000761D3">
      <w:pPr>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S OBZIROM DA Zakon o rudarstvu (“Službeni list Crne Gore”, broj 65/08, 74/10, 41/11), član </w:t>
      </w:r>
      <w:r w:rsidRPr="000761D3">
        <w:rPr>
          <w:rFonts w:ascii="Arial" w:hAnsi="Arial" w:cs="Arial"/>
          <w:bCs/>
        </w:rPr>
        <w:t xml:space="preserve">3, </w:t>
      </w:r>
      <w:r w:rsidRPr="000761D3">
        <w:rPr>
          <w:rFonts w:ascii="Arial" w:hAnsi="Arial" w:cs="Arial"/>
        </w:rPr>
        <w:t xml:space="preserve">definiše da se rudnim bogatstvima smatraju se sve organske i neorganske mineralne sirovine u </w:t>
      </w:r>
      <w:r w:rsidRPr="000761D3">
        <w:rPr>
          <w:rFonts w:ascii="Arial" w:eastAsia="TimesNewRoman" w:hAnsi="Arial" w:cs="Arial"/>
        </w:rPr>
        <w:t>č</w:t>
      </w:r>
      <w:r w:rsidRPr="000761D3">
        <w:rPr>
          <w:rFonts w:ascii="Arial" w:hAnsi="Arial" w:cs="Arial"/>
        </w:rPr>
        <w:t>vrstom,</w:t>
      </w:r>
      <w:r w:rsidRPr="000761D3">
        <w:rPr>
          <w:rFonts w:ascii="Arial" w:hAnsi="Arial" w:cs="Arial"/>
          <w:b/>
          <w:bCs/>
        </w:rPr>
        <w:t xml:space="preserve"> </w:t>
      </w:r>
      <w:r w:rsidRPr="000761D3">
        <w:rPr>
          <w:rFonts w:ascii="Arial" w:hAnsi="Arial" w:cs="Arial"/>
        </w:rPr>
        <w:t>te</w:t>
      </w:r>
      <w:r w:rsidRPr="000761D3">
        <w:rPr>
          <w:rFonts w:ascii="Arial" w:eastAsia="TimesNewRoman" w:hAnsi="Arial" w:cs="Arial"/>
        </w:rPr>
        <w:t>č</w:t>
      </w:r>
      <w:r w:rsidRPr="000761D3">
        <w:rPr>
          <w:rFonts w:ascii="Arial" w:hAnsi="Arial" w:cs="Arial"/>
        </w:rPr>
        <w:t xml:space="preserve">nom i gasovitom stanju koje se nalaze u primarnom ležištu, u nanosima, odlagalištima, kao i tehnogene mineralne sirovine nastale procesom eksploatacije, </w:t>
      </w:r>
    </w:p>
    <w:p w:rsidR="000761D3" w:rsidRPr="000761D3" w:rsidRDefault="000761D3" w:rsidP="000761D3">
      <w:pPr>
        <w:autoSpaceDE w:val="0"/>
        <w:autoSpaceDN w:val="0"/>
        <w:adjustRightInd w:val="0"/>
        <w:spacing w:after="0"/>
        <w:ind w:left="144" w:right="144"/>
        <w:jc w:val="both"/>
        <w:rPr>
          <w:rFonts w:ascii="Arial" w:hAnsi="Arial" w:cs="Arial"/>
          <w:b/>
          <w:bCs/>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S OBZIROM DA Zakon o koncesijama ("Službeni list Crne Gore", br. 08/09), član 6, definiše da predmet koncesije mogu biti istraživanje ili eksploatacija, ili istraživanje i eksploatacija mineralnih sirovina,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S OBZIROM DA Zakon o koncesijama ("Službeni list Crne Gore", br. 08/09), član 9, definiše da odluku o davanju koncesije na predmetu koncesije na kojem svojinska prava i ovlaš</w:t>
      </w:r>
      <w:r w:rsidRPr="000761D3">
        <w:rPr>
          <w:rFonts w:ascii="Arial" w:eastAsia="TimesNewRoman" w:hAnsi="Arial" w:cs="Arial"/>
        </w:rPr>
        <w:t>ć</w:t>
      </w:r>
      <w:r w:rsidRPr="000761D3">
        <w:rPr>
          <w:rFonts w:ascii="Arial" w:hAnsi="Arial" w:cs="Arial"/>
        </w:rPr>
        <w:t xml:space="preserve">enja vrši Crna Gora donosi Vlada Crne Gore, odnosno Skupština,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S OBZIROM DA je Ministarstvo ekonomije Vlade Crne Gore objavilo Javni oglas za dodjelu koncesije za detaljna geološka istr</w:t>
      </w:r>
      <w:r>
        <w:rPr>
          <w:rFonts w:ascii="Arial" w:hAnsi="Arial" w:cs="Arial"/>
        </w:rPr>
        <w:t xml:space="preserve">aživanja i eksploataciju </w:t>
      </w:r>
      <w:r w:rsidRPr="000761D3">
        <w:rPr>
          <w:rFonts w:ascii="Arial" w:hAnsi="Arial" w:cs="Arial"/>
        </w:rPr>
        <w:t>mineralne sirovine tehničko- građev</w:t>
      </w:r>
      <w:r>
        <w:rPr>
          <w:rFonts w:ascii="Arial" w:hAnsi="Arial" w:cs="Arial"/>
        </w:rPr>
        <w:t>inskog kamena na ležištu „Krš</w:t>
      </w:r>
      <w:r w:rsidRPr="000761D3">
        <w:rPr>
          <w:rFonts w:ascii="Arial" w:hAnsi="Arial" w:cs="Arial"/>
        </w:rPr>
        <w:t>“</w:t>
      </w:r>
      <w:r>
        <w:rPr>
          <w:rFonts w:ascii="Arial" w:hAnsi="Arial" w:cs="Arial"/>
        </w:rPr>
        <w:t xml:space="preserve"> – Kaluđerski laz, opština Rožaje</w:t>
      </w:r>
      <w:r w:rsidRPr="000761D3">
        <w:rPr>
          <w:rFonts w:ascii="Arial" w:hAnsi="Arial" w:cs="Arial"/>
        </w:rPr>
        <w:t xml:space="preserve"> („Službeni list Crne Gore“, broj ......)</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 xml:space="preserve">S OBRZIROM DA je Koncesionar po predmetnom Javnom oglasu dostavio ponudu broj XX od XX 201-. godine,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pStyle w:val="BodyText"/>
        <w:spacing w:after="0" w:line="276" w:lineRule="auto"/>
        <w:ind w:left="144" w:right="144"/>
        <w:jc w:val="both"/>
        <w:rPr>
          <w:rFonts w:ascii="Arial" w:hAnsi="Arial" w:cs="Arial"/>
          <w:sz w:val="22"/>
          <w:szCs w:val="22"/>
        </w:rPr>
      </w:pPr>
      <w:r w:rsidRPr="000761D3">
        <w:rPr>
          <w:rFonts w:ascii="Arial" w:hAnsi="Arial" w:cs="Arial"/>
          <w:sz w:val="22"/>
          <w:szCs w:val="22"/>
        </w:rPr>
        <w:t>S OBZIROM DA je Vlada Crne Gore donijela Odluku o dodjeli koncesije za detaljna geološka istr</w:t>
      </w:r>
      <w:r>
        <w:rPr>
          <w:rFonts w:ascii="Arial" w:hAnsi="Arial" w:cs="Arial"/>
          <w:sz w:val="22"/>
          <w:szCs w:val="22"/>
        </w:rPr>
        <w:t xml:space="preserve">aživanja i eksploataciju </w:t>
      </w:r>
      <w:r w:rsidRPr="000761D3">
        <w:rPr>
          <w:rFonts w:ascii="Arial" w:hAnsi="Arial" w:cs="Arial"/>
          <w:sz w:val="22"/>
          <w:szCs w:val="22"/>
        </w:rPr>
        <w:t xml:space="preserve">mineralne sirovine tehničko-građevinskog kamena </w:t>
      </w:r>
      <w:r w:rsidR="00F2246D">
        <w:rPr>
          <w:rFonts w:ascii="Arial" w:hAnsi="Arial" w:cs="Arial"/>
          <w:sz w:val="22"/>
          <w:szCs w:val="22"/>
        </w:rPr>
        <w:t>na ležištu „Krš“ – Kaluđerski laz, opština Rožaje</w:t>
      </w:r>
      <w:r w:rsidRPr="000761D3">
        <w:rPr>
          <w:rFonts w:ascii="Arial" w:hAnsi="Arial" w:cs="Arial"/>
          <w:sz w:val="22"/>
          <w:szCs w:val="22"/>
        </w:rPr>
        <w:t xml:space="preserve"> („Službeni list Crne Gore“, broj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S OBZIROM DA Zakon o koncesijama ("Službeni list Crne Gore", br. 08/09), član 43, definiše da se Ugovor o koncesiji zaklju</w:t>
      </w:r>
      <w:r w:rsidRPr="000761D3">
        <w:rPr>
          <w:rFonts w:ascii="Arial" w:eastAsia="TimesNewRoman" w:hAnsi="Arial" w:cs="Arial"/>
        </w:rPr>
        <w:t>č</w:t>
      </w:r>
      <w:r w:rsidRPr="000761D3">
        <w:rPr>
          <w:rFonts w:ascii="Arial" w:hAnsi="Arial" w:cs="Arial"/>
        </w:rPr>
        <w:t>uje se u roku od 15 dana od dana donošenja odluke, odnosno u roku utvr</w:t>
      </w:r>
      <w:r w:rsidRPr="000761D3">
        <w:rPr>
          <w:rFonts w:ascii="Arial" w:eastAsia="TimesNewRoman" w:hAnsi="Arial" w:cs="Arial"/>
        </w:rPr>
        <w:t>đ</w:t>
      </w:r>
      <w:r w:rsidRPr="000761D3">
        <w:rPr>
          <w:rFonts w:ascii="Arial" w:hAnsi="Arial" w:cs="Arial"/>
        </w:rPr>
        <w:t>enom u odluci o davanju koncesije, u skladu sa tenderskom dokumentacijom, dostavljenom ponudom i odlukom o davanju koncesije.</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Default="000761D3" w:rsidP="000761D3">
      <w:pPr>
        <w:spacing w:after="0"/>
        <w:ind w:left="144" w:right="144"/>
        <w:jc w:val="both"/>
        <w:rPr>
          <w:rFonts w:ascii="Arial" w:hAnsi="Arial" w:cs="Arial"/>
        </w:rPr>
      </w:pPr>
      <w:r w:rsidRPr="000761D3">
        <w:rPr>
          <w:rFonts w:ascii="Arial" w:hAnsi="Arial" w:cs="Arial"/>
        </w:rPr>
        <w:t>SADA SE STOGA zaključuje kao što slijedi:</w:t>
      </w:r>
    </w:p>
    <w:p w:rsidR="00B4341E" w:rsidRDefault="00B4341E" w:rsidP="000761D3">
      <w:pPr>
        <w:spacing w:after="0"/>
        <w:ind w:left="144" w:right="144"/>
        <w:jc w:val="both"/>
        <w:rPr>
          <w:rFonts w:ascii="Arial" w:hAnsi="Arial" w:cs="Arial"/>
        </w:rPr>
      </w:pPr>
    </w:p>
    <w:p w:rsidR="00B4341E" w:rsidRPr="000761D3" w:rsidRDefault="00B4341E" w:rsidP="000761D3">
      <w:pPr>
        <w:spacing w:after="0"/>
        <w:ind w:left="144" w:right="144"/>
        <w:jc w:val="both"/>
        <w:rPr>
          <w:rFonts w:ascii="Arial" w:hAnsi="Arial" w:cs="Arial"/>
        </w:rPr>
      </w:pP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lastRenderedPageBreak/>
        <w:t>Tumačenje i definicije</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Default="000761D3" w:rsidP="00B55AEB">
      <w:pPr>
        <w:pStyle w:val="ListParagraph"/>
        <w:numPr>
          <w:ilvl w:val="0"/>
          <w:numId w:val="6"/>
        </w:numPr>
        <w:spacing w:after="0"/>
        <w:ind w:right="144"/>
        <w:rPr>
          <w:rFonts w:ascii="Arial" w:hAnsi="Arial" w:cs="Arial"/>
          <w:sz w:val="22"/>
        </w:rPr>
      </w:pPr>
      <w:r w:rsidRPr="000761D3">
        <w:rPr>
          <w:rFonts w:ascii="Arial" w:hAnsi="Arial" w:cs="Arial"/>
          <w:sz w:val="22"/>
        </w:rPr>
        <w:t xml:space="preserve">U </w:t>
      </w:r>
      <w:r w:rsidRPr="00B4341E">
        <w:rPr>
          <w:rFonts w:ascii="Arial" w:hAnsi="Arial" w:cs="Arial"/>
          <w:sz w:val="22"/>
        </w:rPr>
        <w:t>tumačenju ovog Ugovora, osim u slučaju kada kontekst zahtijeva drugačije, biće primjenjivana sl</w:t>
      </w:r>
      <w:r w:rsidR="00B4341E">
        <w:rPr>
          <w:rFonts w:ascii="Arial" w:hAnsi="Arial" w:cs="Arial"/>
          <w:sz w:val="22"/>
        </w:rPr>
        <w:t>j</w:t>
      </w:r>
      <w:r w:rsidRPr="00B4341E">
        <w:rPr>
          <w:rFonts w:ascii="Arial" w:hAnsi="Arial" w:cs="Arial"/>
          <w:sz w:val="22"/>
        </w:rPr>
        <w:t>edeća pravila:</w:t>
      </w:r>
    </w:p>
    <w:p w:rsidR="00B4341E" w:rsidRPr="00B4341E" w:rsidRDefault="00B4341E" w:rsidP="00B4341E">
      <w:pPr>
        <w:pStyle w:val="ListParagraph"/>
        <w:spacing w:after="0"/>
        <w:ind w:left="864" w:right="144"/>
        <w:rPr>
          <w:rFonts w:ascii="Arial" w:hAnsi="Arial" w:cs="Arial"/>
          <w:sz w:val="22"/>
        </w:rPr>
      </w:pP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u jednini će podrazumijevati i njihovu množinu, a riječi u množini će podrazumijevati i njihovu jedninu;</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riječi bilo kog roda će podrazumijevati i drugi rod;</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pozivanje na bilo koji zakon i drugi propis, statut, obavještenje ili odluku će obuhvatati i sve njihove buduće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upućivanje na bilo koji ugovor, protokol, sporazum ili neki drugi dokument će obuhvatati sve njihove amandmane, dopune, izmjene ili druge promjene;</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naslovi  članova ovog ugovora unijeti su isključivo radi lakšeg snalaženja i neće ni na koji način uticati na tumačenje ugovora i</w:t>
      </w:r>
    </w:p>
    <w:p w:rsidR="000761D3" w:rsidRPr="00B4341E" w:rsidRDefault="000761D3" w:rsidP="00B55AEB">
      <w:pPr>
        <w:pStyle w:val="ListParagraph"/>
        <w:numPr>
          <w:ilvl w:val="0"/>
          <w:numId w:val="7"/>
        </w:numPr>
        <w:tabs>
          <w:tab w:val="left" w:pos="990"/>
        </w:tabs>
        <w:suppressAutoHyphens/>
        <w:spacing w:after="0"/>
        <w:ind w:right="144"/>
        <w:rPr>
          <w:rFonts w:ascii="Arial" w:hAnsi="Arial" w:cs="Arial"/>
          <w:sz w:val="22"/>
        </w:rPr>
      </w:pPr>
      <w:r w:rsidRPr="00B4341E">
        <w:rPr>
          <w:rFonts w:ascii="Arial" w:hAnsi="Arial" w:cs="Arial"/>
          <w:sz w:val="22"/>
        </w:rPr>
        <w:t>sva obavještenja, saglasnosti i potvrde biće u pisanom obliku.</w:t>
      </w:r>
    </w:p>
    <w:p w:rsidR="000761D3" w:rsidRPr="000761D3"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Definicije predviđene zakonom i drugim propisima će se primjenjivati na ovaj Ugovor i povezane aktivnosti koje se vrše u skladu sa Ugovorom.</w:t>
      </w:r>
    </w:p>
    <w:p w:rsidR="000761D3" w:rsidRPr="00B4341E" w:rsidRDefault="000761D3" w:rsidP="000761D3">
      <w:pPr>
        <w:tabs>
          <w:tab w:val="left" w:pos="990"/>
        </w:tabs>
        <w:suppressAutoHyphens/>
        <w:spacing w:after="0"/>
        <w:ind w:left="144" w:right="144"/>
        <w:jc w:val="both"/>
        <w:rPr>
          <w:rFonts w:ascii="Arial" w:hAnsi="Arial" w:cs="Arial"/>
        </w:rPr>
      </w:pPr>
    </w:p>
    <w:p w:rsidR="000761D3" w:rsidRPr="00B4341E" w:rsidRDefault="000761D3" w:rsidP="00B55AEB">
      <w:pPr>
        <w:pStyle w:val="ListParagraph"/>
        <w:numPr>
          <w:ilvl w:val="0"/>
          <w:numId w:val="6"/>
        </w:numPr>
        <w:tabs>
          <w:tab w:val="left" w:pos="990"/>
        </w:tabs>
        <w:suppressAutoHyphens/>
        <w:spacing w:after="0"/>
        <w:ind w:right="144"/>
        <w:rPr>
          <w:rFonts w:ascii="Arial" w:hAnsi="Arial" w:cs="Arial"/>
          <w:sz w:val="22"/>
        </w:rPr>
      </w:pPr>
      <w:r w:rsidRPr="00B4341E">
        <w:rPr>
          <w:rFonts w:ascii="Arial" w:hAnsi="Arial" w:cs="Arial"/>
          <w:sz w:val="22"/>
        </w:rPr>
        <w:t>Pojedini izrazi i pojmovi upotrijebljeni u ovom Ugovoru imaju sljedeće značenje:</w:t>
      </w:r>
    </w:p>
    <w:p w:rsidR="000761D3" w:rsidRPr="000761D3" w:rsidRDefault="000761D3" w:rsidP="000761D3">
      <w:pPr>
        <w:tabs>
          <w:tab w:val="left" w:pos="990"/>
        </w:tabs>
        <w:suppressAutoHyphens/>
        <w:spacing w:after="0"/>
        <w:ind w:left="144" w:right="144"/>
        <w:jc w:val="both"/>
        <w:rPr>
          <w:rFonts w:ascii="Arial" w:hAnsi="Arial" w:cs="Arial"/>
        </w:rPr>
      </w:pPr>
    </w:p>
    <w:tbl>
      <w:tblPr>
        <w:tblW w:w="8748" w:type="dxa"/>
        <w:tblLayout w:type="fixed"/>
        <w:tblLook w:val="0000"/>
      </w:tblPr>
      <w:tblGrid>
        <w:gridCol w:w="2522"/>
        <w:gridCol w:w="6226"/>
      </w:tblGrid>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w:t>
            </w:r>
          </w:p>
        </w:tc>
        <w:tc>
          <w:tcPr>
            <w:tcW w:w="6226" w:type="dxa"/>
            <w:shd w:val="clear" w:color="auto" w:fill="auto"/>
          </w:tcPr>
          <w:p w:rsidR="000761D3" w:rsidRPr="000761D3" w:rsidRDefault="000761D3" w:rsidP="000761D3">
            <w:pPr>
              <w:pStyle w:val="BodyText"/>
              <w:snapToGrid w:val="0"/>
              <w:spacing w:after="0" w:line="276" w:lineRule="auto"/>
              <w:ind w:left="144" w:right="144"/>
              <w:jc w:val="both"/>
              <w:rPr>
                <w:rFonts w:ascii="Arial" w:hAnsi="Arial" w:cs="Arial"/>
                <w:sz w:val="22"/>
                <w:szCs w:val="22"/>
              </w:rPr>
            </w:pPr>
            <w:r w:rsidRPr="000761D3">
              <w:rPr>
                <w:rFonts w:ascii="Arial" w:hAnsi="Arial" w:cs="Arial"/>
                <w:sz w:val="22"/>
                <w:szCs w:val="22"/>
              </w:rPr>
              <w:t xml:space="preserve">označava bezuslovnu obnovljivu bankarsku garanciju plativu na prvi poziv, bez prava prigovora, </w:t>
            </w:r>
            <w:r w:rsidR="00E2021C">
              <w:rPr>
                <w:rFonts w:ascii="Arial" w:hAnsi="Arial" w:cs="Arial"/>
                <w:sz w:val="22"/>
                <w:szCs w:val="22"/>
              </w:rPr>
              <w:t>izdatu u skladu sa članom 12</w:t>
            </w:r>
            <w:r w:rsidRPr="000761D3">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Bankarska garancija za rekultivaciju</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bezuslovnu obnovljivu bankarsku garanciju plativu na prvi poziv, bez prava prigovo</w:t>
            </w:r>
            <w:r w:rsidR="00E2021C">
              <w:rPr>
                <w:rFonts w:ascii="Arial" w:hAnsi="Arial" w:cs="Arial"/>
              </w:rPr>
              <w:t>ra, izdatu u skladu sa članom 13</w:t>
            </w:r>
            <w:r w:rsidRPr="000761D3">
              <w:rPr>
                <w:rFonts w:ascii="Arial" w:hAnsi="Arial" w:cs="Arial"/>
              </w:rPr>
              <w:t xml:space="preserve"> Ugovora, na iznos utvrđen od strane Koncedenta u skladu sa zakonom, u form</w:t>
            </w:r>
            <w:r w:rsidR="00B4341E">
              <w:rPr>
                <w:rFonts w:ascii="Arial" w:hAnsi="Arial" w:cs="Arial"/>
              </w:rPr>
              <w:t>i i sa sadržinom kao u Prilogu 3</w:t>
            </w:r>
            <w:r w:rsidRPr="000761D3">
              <w:rPr>
                <w:rFonts w:ascii="Arial" w:hAnsi="Arial" w:cs="Arial"/>
              </w:rPr>
              <w:t xml:space="preserve"> Ugovora, koja se izdaje kao sredstvo obezbjeđenja izvršavanja ugovornih obaveza sanacije i rekultivacije površina na kojima su izvođeni rudarski radovi;</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color w:val="000000"/>
              </w:rPr>
              <w:t>Istražno-eksploatacioni prostor</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color w:val="000000"/>
              </w:rPr>
            </w:pPr>
            <w:r w:rsidRPr="000761D3">
              <w:rPr>
                <w:rFonts w:ascii="Arial" w:hAnsi="Arial" w:cs="Arial"/>
                <w:color w:val="000000"/>
              </w:rPr>
              <w:t>označava prostor na kojem će se vršiti detalna geološka istraž</w:t>
            </w:r>
            <w:r w:rsidR="00B4341E">
              <w:rPr>
                <w:rFonts w:ascii="Arial" w:hAnsi="Arial" w:cs="Arial"/>
                <w:color w:val="000000"/>
              </w:rPr>
              <w:t>ivanja i eksploatacija Mineralne sirovine</w:t>
            </w:r>
            <w:r w:rsidRPr="000761D3">
              <w:rPr>
                <w:rFonts w:ascii="Arial" w:hAnsi="Arial" w:cs="Arial"/>
                <w:color w:val="000000"/>
              </w:rPr>
              <w:t xml:space="preserve"> koja je predmet ovog Ugovora, a koji je određen Koncesionim aktom i članom 3 Ugovora;</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B4341E" w:rsidP="000761D3">
            <w:pPr>
              <w:snapToGrid w:val="0"/>
              <w:spacing w:after="0"/>
              <w:ind w:left="144" w:right="144"/>
              <w:jc w:val="both"/>
              <w:rPr>
                <w:rFonts w:ascii="Arial" w:hAnsi="Arial" w:cs="Arial"/>
              </w:rPr>
            </w:pPr>
            <w:r>
              <w:rPr>
                <w:rFonts w:ascii="Arial" w:hAnsi="Arial" w:cs="Arial"/>
              </w:rPr>
              <w:t xml:space="preserve">Elaborat o </w:t>
            </w:r>
            <w:r w:rsidR="000761D3" w:rsidRPr="000761D3">
              <w:rPr>
                <w:rFonts w:ascii="Arial" w:hAnsi="Arial" w:cs="Arial"/>
              </w:rPr>
              <w:t xml:space="preserve">klasifikaciji, </w:t>
            </w:r>
            <w:r w:rsidR="000761D3" w:rsidRPr="000761D3">
              <w:rPr>
                <w:rFonts w:ascii="Arial" w:hAnsi="Arial" w:cs="Arial"/>
              </w:rPr>
              <w:lastRenderedPageBreak/>
              <w:t>kategorizaciji i proračunu rezervi Mineralne sirovine</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lastRenderedPageBreak/>
              <w:t xml:space="preserve">označava Elaborat koji izrađuje Koncesionar u skladu sa zakonom, a koji sadrži podatke o klasifikaciji, kategorizaciji </w:t>
            </w:r>
            <w:r w:rsidRPr="000761D3">
              <w:rPr>
                <w:rFonts w:ascii="Arial" w:hAnsi="Arial" w:cs="Arial"/>
              </w:rPr>
              <w:lastRenderedPageBreak/>
              <w:t>i proračunu rezervi mineralne sirovine tehničko</w:t>
            </w:r>
            <w:r w:rsidR="00B4341E">
              <w:rPr>
                <w:rFonts w:ascii="Arial" w:hAnsi="Arial" w:cs="Arial"/>
              </w:rPr>
              <w:t>-građevinskog kamena sa ležišta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 xml:space="preserve">, čiju ovjeru vrši Organ uprave u skladu sa zakonom; </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lastRenderedPageBreak/>
              <w:t>Ležište</w:t>
            </w:r>
          </w:p>
        </w:tc>
        <w:tc>
          <w:tcPr>
            <w:tcW w:w="6226" w:type="dxa"/>
            <w:shd w:val="clear" w:color="auto" w:fill="auto"/>
          </w:tcPr>
          <w:p w:rsidR="000761D3" w:rsidRPr="000761D3" w:rsidRDefault="000761D3" w:rsidP="000761D3">
            <w:pPr>
              <w:spacing w:after="0"/>
              <w:ind w:left="144" w:right="144"/>
              <w:jc w:val="both"/>
              <w:rPr>
                <w:rFonts w:ascii="Arial" w:hAnsi="Arial" w:cs="Arial"/>
              </w:rPr>
            </w:pPr>
            <w:r w:rsidRPr="000761D3">
              <w:rPr>
                <w:rFonts w:ascii="Arial" w:hAnsi="Arial" w:cs="Arial"/>
              </w:rPr>
              <w:t>označava ležište tehničko-g</w:t>
            </w:r>
            <w:r w:rsidR="00B4341E">
              <w:rPr>
                <w:rFonts w:ascii="Arial" w:hAnsi="Arial" w:cs="Arial"/>
              </w:rPr>
              <w:t>rađevinskog kamena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 xml:space="preserve">; </w:t>
            </w:r>
          </w:p>
          <w:p w:rsidR="000761D3" w:rsidRPr="000761D3" w:rsidRDefault="000761D3" w:rsidP="000761D3">
            <w:pPr>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Mineralna sirovina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mineralnu sirovinu tehničko-g</w:t>
            </w:r>
            <w:r w:rsidR="00B4341E">
              <w:rPr>
                <w:rFonts w:ascii="Arial" w:hAnsi="Arial" w:cs="Arial"/>
              </w:rPr>
              <w:t>rađevinskog kamena sa ležišta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djelatnost</w:t>
            </w:r>
          </w:p>
          <w:p w:rsidR="000761D3" w:rsidRPr="000761D3" w:rsidRDefault="000761D3" w:rsidP="000761D3">
            <w:pPr>
              <w:snapToGrid w:val="0"/>
              <w:spacing w:after="0"/>
              <w:ind w:left="144" w:right="144"/>
              <w:jc w:val="both"/>
              <w:rPr>
                <w:rFonts w:ascii="Arial" w:hAnsi="Arial" w:cs="Arial"/>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sve aktivnosti Koncesionara na geološkim istraživanjima i eksploataciji mineralne sirovine tehničko-gr</w:t>
            </w:r>
            <w:r w:rsidR="00B4341E">
              <w:rPr>
                <w:rFonts w:ascii="Arial" w:hAnsi="Arial" w:cs="Arial"/>
              </w:rPr>
              <w:t>ađevinskog kamena sa ležišta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Koncesiona naknada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w:t>
            </w:r>
            <w:r w:rsidR="008A1FF8">
              <w:rPr>
                <w:rFonts w:ascii="Arial" w:hAnsi="Arial" w:cs="Arial"/>
              </w:rPr>
              <w:t>ačava naknadu utvrđenu članom 10</w:t>
            </w:r>
            <w:r w:rsidRPr="000761D3">
              <w:rPr>
                <w:rFonts w:ascii="Arial" w:hAnsi="Arial" w:cs="Arial"/>
              </w:rPr>
              <w:t xml:space="preserve"> Ugovora koju Koncesionar plaća Koncedentu u skladu sa zakonom i Ugovorom;</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Koncesioni akt</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w:t>
            </w:r>
            <w:r w:rsidR="00B4341E">
              <w:rPr>
                <w:rFonts w:ascii="Arial" w:hAnsi="Arial" w:cs="Arial"/>
              </w:rPr>
              <w:t>značava Koncesioni akt o mineralnoj sirovini</w:t>
            </w:r>
            <w:r w:rsidRPr="000761D3">
              <w:rPr>
                <w:rFonts w:ascii="Arial" w:hAnsi="Arial" w:cs="Arial"/>
              </w:rPr>
              <w:t xml:space="preserve"> tehničko-g</w:t>
            </w:r>
            <w:r w:rsidR="00B4341E">
              <w:rPr>
                <w:rFonts w:ascii="Arial" w:hAnsi="Arial" w:cs="Arial"/>
              </w:rPr>
              <w:t>rađevinskom kamenu ležišta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 usvojen od stane Konce</w:t>
            </w:r>
            <w:r w:rsidR="00366A30">
              <w:rPr>
                <w:rFonts w:ascii="Arial" w:hAnsi="Arial" w:cs="Arial"/>
              </w:rPr>
              <w:t xml:space="preserve">denta na sjednici od 18. </w:t>
            </w:r>
            <w:proofErr w:type="gramStart"/>
            <w:r w:rsidR="00366A30">
              <w:rPr>
                <w:rFonts w:ascii="Arial" w:hAnsi="Arial" w:cs="Arial"/>
              </w:rPr>
              <w:t>oktobra</w:t>
            </w:r>
            <w:proofErr w:type="gramEnd"/>
            <w:r w:rsidR="00366A30">
              <w:rPr>
                <w:rFonts w:ascii="Arial" w:hAnsi="Arial" w:cs="Arial"/>
              </w:rPr>
              <w:t xml:space="preserve"> </w:t>
            </w:r>
            <w:r w:rsidR="00B4341E">
              <w:rPr>
                <w:rFonts w:ascii="Arial" w:hAnsi="Arial" w:cs="Arial"/>
              </w:rPr>
              <w:t>2018.</w:t>
            </w:r>
            <w:r w:rsidRPr="000761D3">
              <w:rPr>
                <w:rFonts w:ascii="Arial" w:hAnsi="Arial" w:cs="Arial"/>
              </w:rPr>
              <w:t xml:space="preserve"> godine;</w:t>
            </w: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i/>
              </w:rPr>
            </w:pPr>
            <w:r w:rsidRPr="000761D3">
              <w:rPr>
                <w:rFonts w:ascii="Arial" w:hAnsi="Arial" w:cs="Arial"/>
              </w:rPr>
              <w:t>Koncesiono društvo [u slučaju dodjele</w:t>
            </w:r>
            <w:r w:rsidRPr="000761D3">
              <w:rPr>
                <w:rFonts w:ascii="Arial" w:hAnsi="Arial" w:cs="Arial"/>
                <w:i/>
              </w:rPr>
              <w:t xml:space="preserve"> ugovora inostranom drušvu ili ćerki kompaniji osnovanoj u CG]</w:t>
            </w:r>
          </w:p>
          <w:p w:rsidR="000761D3" w:rsidRPr="000761D3" w:rsidRDefault="000761D3" w:rsidP="000761D3">
            <w:pPr>
              <w:snapToGrid w:val="0"/>
              <w:spacing w:after="0"/>
              <w:ind w:left="144" w:right="144"/>
              <w:jc w:val="both"/>
              <w:rPr>
                <w:rFonts w:ascii="Arial" w:hAnsi="Arial" w:cs="Arial"/>
                <w:i/>
              </w:rPr>
            </w:pP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privredno društvo sa sjedištem u Crnoj Gori, osnovano i registrovano u skladu sa zakonom od strane Koncesionara za potrebe vršenja Koncesione djelatnosti i koje je u 100% vlasništvu Koncesionara;</w:t>
            </w:r>
          </w:p>
          <w:p w:rsidR="000761D3" w:rsidRPr="000761D3" w:rsidRDefault="000761D3" w:rsidP="000761D3">
            <w:pPr>
              <w:snapToGrid w:val="0"/>
              <w:spacing w:after="0"/>
              <w:ind w:left="144" w:right="144"/>
              <w:jc w:val="both"/>
              <w:rPr>
                <w:rFonts w:ascii="Arial" w:hAnsi="Arial" w:cs="Arial"/>
              </w:rPr>
            </w:pPr>
          </w:p>
          <w:p w:rsidR="000761D3" w:rsidRPr="000761D3" w:rsidRDefault="000761D3" w:rsidP="000761D3">
            <w:pPr>
              <w:snapToGrid w:val="0"/>
              <w:spacing w:after="0"/>
              <w:ind w:left="144" w:right="144"/>
              <w:jc w:val="both"/>
              <w:rPr>
                <w:rFonts w:ascii="Arial" w:hAnsi="Arial" w:cs="Arial"/>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Organ uprave</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Ministarstvo ekonomije, odnosno drugi državni organ nadležan za oblast detaljnih geoloških istraživanja i/ili rudarstva;</w:t>
            </w:r>
          </w:p>
          <w:p w:rsidR="000761D3" w:rsidRPr="000761D3" w:rsidRDefault="000761D3" w:rsidP="000761D3">
            <w:pPr>
              <w:snapToGrid w:val="0"/>
              <w:spacing w:after="0"/>
              <w:ind w:left="144" w:right="144"/>
              <w:jc w:val="both"/>
              <w:rPr>
                <w:rFonts w:ascii="Arial" w:hAnsi="Arial" w:cs="Arial"/>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Period trajanja koncesije</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period određen članom 4 ovog Ugovora na koji se Koncesionaru daje koncesija za vršenje Koncesione djelatnosti;</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t>Ponuda</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ponudu Koncesionara dostavljenu u skladu sa Javnim oglasom _____________</w:t>
            </w:r>
            <w:r w:rsidRPr="000761D3">
              <w:rPr>
                <w:rFonts w:ascii="Arial" w:hAnsi="Arial" w:cs="Arial"/>
                <w:b/>
              </w:rPr>
              <w:t xml:space="preserve">, </w:t>
            </w:r>
            <w:r w:rsidRPr="000761D3">
              <w:rPr>
                <w:rFonts w:ascii="Arial" w:hAnsi="Arial" w:cs="Arial"/>
              </w:rPr>
              <w:t>na osnovu kojeg je Koncesionar izabran za najpovoljnijeg ponuđača i koja čini sastavni dio ovog Ugovora;</w:t>
            </w:r>
          </w:p>
          <w:p w:rsidR="000761D3" w:rsidRPr="000761D3" w:rsidDel="00985C20" w:rsidRDefault="000761D3" w:rsidP="000761D3">
            <w:pPr>
              <w:tabs>
                <w:tab w:val="left" w:pos="2880"/>
              </w:tabs>
              <w:spacing w:after="0"/>
              <w:ind w:left="144" w:right="144"/>
              <w:jc w:val="both"/>
              <w:rPr>
                <w:rFonts w:ascii="Arial" w:hAnsi="Arial" w:cs="Arial"/>
                <w:b/>
              </w:rPr>
            </w:pPr>
          </w:p>
        </w:tc>
      </w:tr>
      <w:tr w:rsidR="000761D3" w:rsidRPr="000761D3" w:rsidDel="00985C20" w:rsidTr="00B4341E">
        <w:tc>
          <w:tcPr>
            <w:tcW w:w="2522" w:type="dxa"/>
            <w:shd w:val="clear" w:color="auto" w:fill="auto"/>
          </w:tcPr>
          <w:p w:rsidR="000761D3" w:rsidRPr="000761D3" w:rsidDel="00985C20" w:rsidRDefault="000761D3" w:rsidP="000761D3">
            <w:pPr>
              <w:snapToGrid w:val="0"/>
              <w:spacing w:after="0"/>
              <w:ind w:left="144" w:right="144"/>
              <w:jc w:val="both"/>
              <w:rPr>
                <w:rFonts w:ascii="Arial" w:hAnsi="Arial" w:cs="Arial"/>
                <w:color w:val="000000"/>
              </w:rPr>
            </w:pPr>
            <w:r w:rsidRPr="000761D3">
              <w:rPr>
                <w:rFonts w:ascii="Arial" w:hAnsi="Arial" w:cs="Arial"/>
              </w:rPr>
              <w:lastRenderedPageBreak/>
              <w:t>Ugovor</w:t>
            </w:r>
          </w:p>
        </w:tc>
        <w:tc>
          <w:tcPr>
            <w:tcW w:w="6226" w:type="dxa"/>
            <w:shd w:val="clear" w:color="auto" w:fill="auto"/>
          </w:tcPr>
          <w:p w:rsidR="000761D3" w:rsidRPr="000761D3" w:rsidRDefault="000761D3" w:rsidP="000761D3">
            <w:pPr>
              <w:tabs>
                <w:tab w:val="left" w:pos="2880"/>
              </w:tabs>
              <w:spacing w:after="0"/>
              <w:ind w:left="144" w:right="144"/>
              <w:jc w:val="both"/>
              <w:rPr>
                <w:rFonts w:ascii="Arial" w:hAnsi="Arial" w:cs="Arial"/>
              </w:rPr>
            </w:pPr>
            <w:r w:rsidRPr="000761D3">
              <w:rPr>
                <w:rFonts w:ascii="Arial" w:hAnsi="Arial" w:cs="Arial"/>
              </w:rPr>
              <w:t>označava ovaj Ugovor o koncesiji za detaljna geološka istr</w:t>
            </w:r>
            <w:r w:rsidR="00B4341E">
              <w:rPr>
                <w:rFonts w:ascii="Arial" w:hAnsi="Arial" w:cs="Arial"/>
              </w:rPr>
              <w:t xml:space="preserve">aživanja i eksploataciju </w:t>
            </w:r>
            <w:r w:rsidRPr="000761D3">
              <w:rPr>
                <w:rFonts w:ascii="Arial" w:hAnsi="Arial" w:cs="Arial"/>
              </w:rPr>
              <w:t>mineralne sirovi</w:t>
            </w:r>
            <w:r w:rsidR="00B4341E">
              <w:rPr>
                <w:rFonts w:ascii="Arial" w:hAnsi="Arial" w:cs="Arial"/>
              </w:rPr>
              <w:t>ne tehničko-građevinskog kamena na ležištu “Krš</w:t>
            </w:r>
            <w:r w:rsidRPr="000761D3">
              <w:rPr>
                <w:rFonts w:ascii="Arial" w:hAnsi="Arial" w:cs="Arial"/>
              </w:rPr>
              <w:t>”</w:t>
            </w:r>
            <w:r w:rsidR="00B4341E">
              <w:rPr>
                <w:rFonts w:ascii="Arial" w:hAnsi="Arial" w:cs="Arial"/>
              </w:rPr>
              <w:t xml:space="preserve"> – Kaluđerski laz, opština Rožaje</w:t>
            </w:r>
            <w:r w:rsidRPr="000761D3">
              <w:rPr>
                <w:rFonts w:ascii="Arial" w:hAnsi="Arial" w:cs="Arial"/>
              </w:rPr>
              <w:t>, sa svim prilozima, koji čine sastavni dio Ugovora;</w:t>
            </w:r>
          </w:p>
          <w:p w:rsidR="000761D3" w:rsidRPr="000761D3" w:rsidDel="00985C20" w:rsidRDefault="000761D3" w:rsidP="000761D3">
            <w:pPr>
              <w:tabs>
                <w:tab w:val="left" w:pos="2880"/>
              </w:tabs>
              <w:spacing w:after="0"/>
              <w:ind w:left="144" w:right="144"/>
              <w:jc w:val="both"/>
              <w:rPr>
                <w:rFonts w:ascii="Arial" w:hAnsi="Arial" w:cs="Arial"/>
                <w:color w:val="000000"/>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Viša sila</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dog</w:t>
            </w:r>
            <w:r w:rsidR="008A1FF8">
              <w:rPr>
                <w:rFonts w:ascii="Arial" w:hAnsi="Arial" w:cs="Arial"/>
              </w:rPr>
              <w:t>ađaje bliže definisane članom 16</w:t>
            </w:r>
            <w:r w:rsidRPr="000761D3">
              <w:rPr>
                <w:rFonts w:ascii="Arial" w:hAnsi="Arial" w:cs="Arial"/>
              </w:rPr>
              <w:t xml:space="preserve"> Ugovora;</w:t>
            </w:r>
          </w:p>
          <w:p w:rsidR="000761D3" w:rsidRPr="000761D3" w:rsidRDefault="000761D3" w:rsidP="000761D3">
            <w:pPr>
              <w:snapToGrid w:val="0"/>
              <w:spacing w:after="0"/>
              <w:ind w:left="144" w:right="144"/>
              <w:jc w:val="both"/>
              <w:rPr>
                <w:rFonts w:ascii="Arial" w:eastAsia="Times New Roman" w:hAnsi="Arial" w:cs="Arial"/>
                <w:lang w:eastAsia="nb-NO"/>
              </w:rPr>
            </w:pPr>
          </w:p>
        </w:tc>
      </w:tr>
      <w:tr w:rsidR="000761D3" w:rsidRPr="000761D3" w:rsidTr="00B4341E">
        <w:tc>
          <w:tcPr>
            <w:tcW w:w="2522"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Zakon ili propis</w:t>
            </w:r>
          </w:p>
        </w:tc>
        <w:tc>
          <w:tcPr>
            <w:tcW w:w="6226" w:type="dxa"/>
            <w:shd w:val="clear" w:color="auto" w:fill="auto"/>
          </w:tcPr>
          <w:p w:rsidR="000761D3" w:rsidRPr="000761D3" w:rsidRDefault="000761D3" w:rsidP="000761D3">
            <w:pPr>
              <w:snapToGrid w:val="0"/>
              <w:spacing w:after="0"/>
              <w:ind w:left="144" w:right="144"/>
              <w:jc w:val="both"/>
              <w:rPr>
                <w:rFonts w:ascii="Arial" w:hAnsi="Arial" w:cs="Arial"/>
              </w:rPr>
            </w:pPr>
            <w:r w:rsidRPr="000761D3">
              <w:rPr>
                <w:rFonts w:ascii="Arial" w:hAnsi="Arial" w:cs="Arial"/>
              </w:rPr>
              <w:t>označava sva pravna akta (Ustav, zakone i druge propise donijete na osnovu zakona) koji su važeći na teritoriji Crne Gore.</w:t>
            </w:r>
          </w:p>
        </w:tc>
      </w:tr>
    </w:tbl>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4"/>
        </w:numPr>
        <w:spacing w:after="0" w:line="276" w:lineRule="auto"/>
        <w:ind w:left="144" w:right="144" w:firstLine="0"/>
        <w:jc w:val="both"/>
        <w:rPr>
          <w:rFonts w:ascii="Arial" w:hAnsi="Arial" w:cs="Arial"/>
          <w:b/>
          <w:bCs/>
          <w:sz w:val="22"/>
          <w:szCs w:val="22"/>
        </w:rPr>
      </w:pPr>
      <w:r w:rsidRPr="000761D3">
        <w:rPr>
          <w:rFonts w:ascii="Arial" w:hAnsi="Arial" w:cs="Arial"/>
          <w:b/>
          <w:bCs/>
          <w:sz w:val="22"/>
          <w:szCs w:val="22"/>
        </w:rPr>
        <w:t>Predmet koncesije</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sz w:val="22"/>
          <w:szCs w:val="22"/>
        </w:rPr>
        <w:t>Ugovorne strane su saglasne da je predmet ovog Ugovora pravo na detaljna geološka ist</w:t>
      </w:r>
      <w:r w:rsidR="00B4341E">
        <w:rPr>
          <w:rFonts w:ascii="Arial" w:hAnsi="Arial" w:cs="Arial"/>
          <w:sz w:val="22"/>
          <w:szCs w:val="22"/>
        </w:rPr>
        <w:t>raživanja i eksploataciju Mineralne sirovine, koju</w:t>
      </w:r>
      <w:r w:rsidRPr="000761D3">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0761D3" w:rsidRDefault="000761D3" w:rsidP="000761D3">
      <w:pPr>
        <w:pStyle w:val="BodyText"/>
        <w:spacing w:after="0" w:line="276" w:lineRule="auto"/>
        <w:ind w:left="144" w:right="144"/>
        <w:jc w:val="both"/>
        <w:rPr>
          <w:rFonts w:ascii="Arial" w:hAnsi="Arial" w:cs="Arial"/>
          <w:b/>
          <w:bCs/>
          <w:sz w:val="22"/>
          <w:szCs w:val="22"/>
        </w:rPr>
      </w:pPr>
    </w:p>
    <w:p w:rsidR="000761D3" w:rsidRPr="000761D3" w:rsidRDefault="000761D3" w:rsidP="00B55AEB">
      <w:pPr>
        <w:pStyle w:val="BodyText"/>
        <w:numPr>
          <w:ilvl w:val="0"/>
          <w:numId w:val="5"/>
        </w:numPr>
        <w:spacing w:after="0" w:line="276" w:lineRule="auto"/>
        <w:ind w:left="144" w:right="144" w:firstLine="0"/>
        <w:jc w:val="both"/>
        <w:rPr>
          <w:rFonts w:ascii="Arial" w:hAnsi="Arial" w:cs="Arial"/>
          <w:b/>
          <w:bCs/>
          <w:sz w:val="22"/>
          <w:szCs w:val="22"/>
        </w:rPr>
      </w:pPr>
      <w:r w:rsidRPr="000761D3">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rsidR="000761D3" w:rsidRPr="000761D3" w:rsidRDefault="000761D3" w:rsidP="00B4341E">
      <w:pPr>
        <w:spacing w:after="0"/>
        <w:ind w:right="144"/>
        <w:jc w:val="both"/>
        <w:rPr>
          <w:rFonts w:ascii="Arial" w:eastAsia="Times New Roman" w:hAnsi="Arial" w:cs="Arial"/>
          <w:bCs/>
          <w:lang w:eastAsia="sl-SI"/>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Istražno-eksploatacioni prostor</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887236">
      <w:pPr>
        <w:pStyle w:val="ListParagraph"/>
        <w:numPr>
          <w:ilvl w:val="0"/>
          <w:numId w:val="1"/>
        </w:numPr>
        <w:spacing w:after="0"/>
        <w:ind w:left="144" w:right="144" w:firstLine="0"/>
        <w:rPr>
          <w:rFonts w:ascii="Arial" w:hAnsi="Arial" w:cs="Arial"/>
          <w:vanish/>
          <w:sz w:val="22"/>
        </w:rPr>
      </w:pPr>
    </w:p>
    <w:p w:rsidR="000761D3" w:rsidRPr="000761D3" w:rsidRDefault="000761D3" w:rsidP="00887236">
      <w:pPr>
        <w:pStyle w:val="ListParagraph"/>
        <w:numPr>
          <w:ilvl w:val="0"/>
          <w:numId w:val="1"/>
        </w:numPr>
        <w:spacing w:after="0"/>
        <w:ind w:left="144" w:right="144" w:firstLine="0"/>
        <w:rPr>
          <w:rFonts w:ascii="Arial" w:hAnsi="Arial" w:cs="Arial"/>
          <w:vanish/>
          <w:sz w:val="22"/>
        </w:rPr>
      </w:pPr>
    </w:p>
    <w:p w:rsidR="000761D3" w:rsidRPr="000761D3" w:rsidRDefault="000761D3" w:rsidP="00887236">
      <w:pPr>
        <w:pStyle w:val="ListParagraph"/>
        <w:numPr>
          <w:ilvl w:val="0"/>
          <w:numId w:val="1"/>
        </w:numPr>
        <w:spacing w:after="0"/>
        <w:ind w:left="144" w:right="144" w:firstLine="0"/>
        <w:rPr>
          <w:rFonts w:ascii="Arial" w:hAnsi="Arial" w:cs="Arial"/>
          <w:vanish/>
          <w:sz w:val="22"/>
        </w:rPr>
      </w:pPr>
    </w:p>
    <w:p w:rsidR="000761D3" w:rsidRPr="000761D3" w:rsidRDefault="000761D3" w:rsidP="00B55AEB">
      <w:pPr>
        <w:pStyle w:val="ListParagraph"/>
        <w:numPr>
          <w:ilvl w:val="0"/>
          <w:numId w:val="8"/>
        </w:numPr>
        <w:spacing w:after="0"/>
        <w:ind w:right="144"/>
        <w:rPr>
          <w:rFonts w:ascii="Arial" w:hAnsi="Arial" w:cs="Arial"/>
          <w:b/>
          <w:sz w:val="22"/>
        </w:rPr>
      </w:pPr>
      <w:r w:rsidRPr="000761D3">
        <w:rPr>
          <w:rFonts w:ascii="Arial" w:hAnsi="Arial" w:cs="Arial"/>
          <w:sz w:val="22"/>
        </w:rPr>
        <w:t>Istražno-</w:t>
      </w:r>
      <w:r w:rsidR="00B4341E">
        <w:rPr>
          <w:rFonts w:ascii="Arial" w:hAnsi="Arial" w:cs="Arial"/>
          <w:sz w:val="22"/>
        </w:rPr>
        <w:t>eksploatacioni prostor „Krš</w:t>
      </w:r>
      <w:r w:rsidRPr="000761D3">
        <w:rPr>
          <w:rFonts w:ascii="Arial" w:hAnsi="Arial" w:cs="Arial"/>
          <w:sz w:val="22"/>
        </w:rPr>
        <w:t>“</w:t>
      </w:r>
      <w:r w:rsidR="00B4341E">
        <w:rPr>
          <w:rFonts w:ascii="Arial" w:hAnsi="Arial" w:cs="Arial"/>
          <w:sz w:val="22"/>
        </w:rPr>
        <w:t xml:space="preserve"> – Kaluđerski laz</w:t>
      </w:r>
      <w:r w:rsidRPr="000761D3">
        <w:rPr>
          <w:rFonts w:ascii="Arial" w:hAnsi="Arial" w:cs="Arial"/>
          <w:sz w:val="22"/>
        </w:rPr>
        <w:t>, na kojem je utvrđena Mineralna sirovina,  koja je predmet Ug</w:t>
      </w:r>
      <w:r w:rsidR="00AA49F6">
        <w:rPr>
          <w:rFonts w:ascii="Arial" w:hAnsi="Arial" w:cs="Arial"/>
          <w:sz w:val="22"/>
        </w:rPr>
        <w:t>ovora, administrativno pripada Opštini Rožaje</w:t>
      </w:r>
      <w:r w:rsidRPr="000761D3">
        <w:rPr>
          <w:rFonts w:ascii="Arial" w:hAnsi="Arial" w:cs="Arial"/>
          <w:sz w:val="22"/>
        </w:rPr>
        <w:t>, a bliže je određen u Koncesionom aktu.</w:t>
      </w:r>
    </w:p>
    <w:p w:rsidR="000761D3" w:rsidRPr="000761D3" w:rsidRDefault="000761D3" w:rsidP="000761D3">
      <w:pPr>
        <w:pStyle w:val="ListParagraph"/>
        <w:spacing w:after="0"/>
        <w:ind w:left="144" w:right="144"/>
        <w:rPr>
          <w:rFonts w:ascii="Arial" w:hAnsi="Arial" w:cs="Arial"/>
          <w:b/>
          <w:sz w:val="22"/>
        </w:rPr>
      </w:pPr>
    </w:p>
    <w:p w:rsidR="000761D3" w:rsidRDefault="000761D3" w:rsidP="00B55AEB">
      <w:pPr>
        <w:pStyle w:val="ListParagraph"/>
        <w:numPr>
          <w:ilvl w:val="0"/>
          <w:numId w:val="8"/>
        </w:numPr>
        <w:spacing w:after="0"/>
        <w:ind w:right="144"/>
        <w:rPr>
          <w:rFonts w:ascii="Arial" w:hAnsi="Arial" w:cs="Arial"/>
          <w:sz w:val="22"/>
        </w:rPr>
      </w:pPr>
      <w:r w:rsidRPr="000761D3">
        <w:rPr>
          <w:rFonts w:ascii="Arial" w:hAnsi="Arial" w:cs="Arial"/>
          <w:sz w:val="22"/>
        </w:rPr>
        <w:t>Koordinate graničnih tačaka i površina istraž</w:t>
      </w:r>
      <w:r w:rsidR="00AA49F6">
        <w:rPr>
          <w:rFonts w:ascii="Arial" w:hAnsi="Arial" w:cs="Arial"/>
          <w:sz w:val="22"/>
        </w:rPr>
        <w:t>no-eksploatacionog prostora „Krš</w:t>
      </w:r>
      <w:r w:rsidRPr="000761D3">
        <w:rPr>
          <w:rFonts w:ascii="Arial" w:hAnsi="Arial" w:cs="Arial"/>
          <w:sz w:val="22"/>
        </w:rPr>
        <w:t>“</w:t>
      </w:r>
      <w:r w:rsidR="00AA49F6">
        <w:rPr>
          <w:rFonts w:ascii="Arial" w:hAnsi="Arial" w:cs="Arial"/>
          <w:sz w:val="22"/>
        </w:rPr>
        <w:t xml:space="preserve"> – Kaluđerski laz</w:t>
      </w:r>
      <w:r w:rsidRPr="000761D3">
        <w:rPr>
          <w:rFonts w:ascii="Arial" w:hAnsi="Arial" w:cs="Arial"/>
          <w:sz w:val="22"/>
        </w:rPr>
        <w:t>, dati su u sljedećoj tabeli:</w:t>
      </w:r>
    </w:p>
    <w:p w:rsidR="00AA49F6" w:rsidRDefault="00AA49F6" w:rsidP="00AA49F6">
      <w:pPr>
        <w:spacing w:after="0"/>
        <w:ind w:right="144"/>
        <w:rPr>
          <w:rFonts w:ascii="Arial" w:hAnsi="Arial" w:cs="Arial"/>
        </w:rPr>
      </w:pPr>
    </w:p>
    <w:tbl>
      <w:tblPr>
        <w:tblW w:w="6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4"/>
        <w:gridCol w:w="1636"/>
        <w:gridCol w:w="1624"/>
        <w:gridCol w:w="1921"/>
      </w:tblGrid>
      <w:tr w:rsidR="00AA49F6" w:rsidRPr="00714FCC" w:rsidTr="00F936FD">
        <w:trPr>
          <w:trHeight w:val="244"/>
          <w:jc w:val="center"/>
        </w:trPr>
        <w:tc>
          <w:tcPr>
            <w:tcW w:w="1384" w:type="dxa"/>
            <w:vMerge w:val="restart"/>
            <w:tcBorders>
              <w:top w:val="single" w:sz="12" w:space="0" w:color="auto"/>
              <w:left w:val="single" w:sz="12" w:space="0" w:color="auto"/>
            </w:tcBorders>
            <w:shd w:val="clear" w:color="auto" w:fill="FFFFFF"/>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Tačka</w:t>
            </w:r>
          </w:p>
        </w:tc>
        <w:tc>
          <w:tcPr>
            <w:tcW w:w="3260" w:type="dxa"/>
            <w:gridSpan w:val="2"/>
            <w:tcBorders>
              <w:top w:val="single" w:sz="12" w:space="0" w:color="auto"/>
              <w:bottom w:val="single" w:sz="4" w:space="0" w:color="auto"/>
            </w:tcBorders>
            <w:shd w:val="clear" w:color="auto" w:fill="FFFFFF"/>
          </w:tcPr>
          <w:p w:rsidR="00AA49F6" w:rsidRPr="00714FCC" w:rsidRDefault="00AA49F6" w:rsidP="00F936FD">
            <w:pPr>
              <w:spacing w:after="0"/>
              <w:jc w:val="center"/>
              <w:rPr>
                <w:rFonts w:ascii="Arial" w:hAnsi="Arial" w:cs="Arial"/>
                <w:b/>
              </w:rPr>
            </w:pPr>
            <w:r w:rsidRPr="00714FCC">
              <w:rPr>
                <w:rFonts w:ascii="Arial" w:hAnsi="Arial" w:cs="Arial"/>
                <w:b/>
              </w:rPr>
              <w:t>Koordinate</w:t>
            </w:r>
          </w:p>
        </w:tc>
        <w:tc>
          <w:tcPr>
            <w:tcW w:w="1921" w:type="dxa"/>
            <w:vMerge w:val="restart"/>
            <w:tcBorders>
              <w:top w:val="single" w:sz="12" w:space="0" w:color="auto"/>
              <w:right w:val="single" w:sz="12" w:space="0" w:color="auto"/>
            </w:tcBorders>
            <w:shd w:val="clear" w:color="auto" w:fill="FFFFFF"/>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Površina (ha)</w:t>
            </w:r>
          </w:p>
        </w:tc>
      </w:tr>
      <w:tr w:rsidR="00AA49F6" w:rsidRPr="00714FCC" w:rsidTr="00F936FD">
        <w:trPr>
          <w:trHeight w:val="272"/>
          <w:jc w:val="center"/>
        </w:trPr>
        <w:tc>
          <w:tcPr>
            <w:tcW w:w="1384" w:type="dxa"/>
            <w:vMerge/>
            <w:tcBorders>
              <w:left w:val="single" w:sz="12" w:space="0" w:color="auto"/>
              <w:bottom w:val="single" w:sz="12" w:space="0" w:color="auto"/>
            </w:tcBorders>
            <w:shd w:val="clear" w:color="auto" w:fill="FFFFFF"/>
          </w:tcPr>
          <w:p w:rsidR="00AA49F6" w:rsidRPr="00714FCC" w:rsidRDefault="00AA49F6" w:rsidP="00F936FD">
            <w:pPr>
              <w:spacing w:after="0"/>
              <w:jc w:val="both"/>
              <w:rPr>
                <w:rFonts w:ascii="Arial" w:hAnsi="Arial" w:cs="Arial"/>
                <w:b/>
                <w:lang w:val="sr-Cyrl-CS"/>
              </w:rPr>
            </w:pPr>
          </w:p>
        </w:tc>
        <w:tc>
          <w:tcPr>
            <w:tcW w:w="1636" w:type="dxa"/>
            <w:tcBorders>
              <w:top w:val="single" w:sz="4" w:space="0" w:color="auto"/>
              <w:bottom w:val="single" w:sz="12" w:space="0" w:color="auto"/>
            </w:tcBorders>
            <w:shd w:val="clear" w:color="auto" w:fill="FFFFFF"/>
          </w:tcPr>
          <w:p w:rsidR="00AA49F6" w:rsidRPr="00714FCC" w:rsidRDefault="00AA49F6" w:rsidP="00F936FD">
            <w:pPr>
              <w:spacing w:after="0"/>
              <w:jc w:val="both"/>
              <w:rPr>
                <w:rFonts w:ascii="Arial" w:hAnsi="Arial" w:cs="Arial"/>
                <w:b/>
              </w:rPr>
            </w:pPr>
          </w:p>
        </w:tc>
        <w:tc>
          <w:tcPr>
            <w:tcW w:w="1624" w:type="dxa"/>
            <w:tcBorders>
              <w:top w:val="single" w:sz="4" w:space="0" w:color="auto"/>
              <w:bottom w:val="single" w:sz="12" w:space="0" w:color="auto"/>
            </w:tcBorders>
            <w:shd w:val="clear" w:color="auto" w:fill="FFFFFF"/>
          </w:tcPr>
          <w:p w:rsidR="00AA49F6" w:rsidRPr="00714FCC" w:rsidRDefault="00AA49F6" w:rsidP="00F936FD">
            <w:pPr>
              <w:spacing w:after="0"/>
              <w:jc w:val="both"/>
              <w:rPr>
                <w:rFonts w:ascii="Arial" w:hAnsi="Arial" w:cs="Arial"/>
                <w:b/>
              </w:rPr>
            </w:pPr>
          </w:p>
        </w:tc>
        <w:tc>
          <w:tcPr>
            <w:tcW w:w="1921" w:type="dxa"/>
            <w:vMerge/>
            <w:tcBorders>
              <w:bottom w:val="single" w:sz="12" w:space="0" w:color="auto"/>
              <w:right w:val="single" w:sz="12" w:space="0" w:color="auto"/>
            </w:tcBorders>
            <w:shd w:val="clear" w:color="auto" w:fill="FFFFFF"/>
          </w:tcPr>
          <w:p w:rsidR="00AA49F6" w:rsidRPr="00714FCC" w:rsidRDefault="00AA49F6" w:rsidP="00F936FD">
            <w:pPr>
              <w:spacing w:after="0"/>
              <w:jc w:val="both"/>
              <w:rPr>
                <w:rFonts w:ascii="Arial" w:hAnsi="Arial" w:cs="Arial"/>
                <w:b/>
                <w:lang w:val="sr-Cyrl-CS"/>
              </w:rPr>
            </w:pPr>
          </w:p>
        </w:tc>
      </w:tr>
      <w:tr w:rsidR="00AA49F6" w:rsidRPr="00714FCC" w:rsidTr="00F936FD">
        <w:trPr>
          <w:jc w:val="center"/>
        </w:trPr>
        <w:tc>
          <w:tcPr>
            <w:tcW w:w="1384" w:type="dxa"/>
            <w:tcBorders>
              <w:top w:val="single" w:sz="12" w:space="0" w:color="auto"/>
              <w:left w:val="single" w:sz="12" w:space="0" w:color="auto"/>
            </w:tcBorders>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A</w:t>
            </w:r>
          </w:p>
        </w:tc>
        <w:tc>
          <w:tcPr>
            <w:tcW w:w="1636" w:type="dxa"/>
            <w:tcBorders>
              <w:top w:val="single" w:sz="12" w:space="0" w:color="auto"/>
            </w:tcBorders>
          </w:tcPr>
          <w:p w:rsidR="00AA49F6" w:rsidRPr="00714FCC" w:rsidRDefault="00AA49F6" w:rsidP="00F936FD">
            <w:pPr>
              <w:spacing w:after="0"/>
              <w:jc w:val="center"/>
              <w:rPr>
                <w:rFonts w:ascii="Arial" w:hAnsi="Arial" w:cs="Arial"/>
              </w:rPr>
            </w:pPr>
            <w:r w:rsidRPr="00714FCC">
              <w:rPr>
                <w:rFonts w:ascii="Arial" w:hAnsi="Arial" w:cs="Arial"/>
              </w:rPr>
              <w:t>4 739 420,00</w:t>
            </w:r>
          </w:p>
        </w:tc>
        <w:tc>
          <w:tcPr>
            <w:tcW w:w="1624" w:type="dxa"/>
            <w:tcBorders>
              <w:top w:val="single" w:sz="12" w:space="0" w:color="auto"/>
            </w:tcBorders>
          </w:tcPr>
          <w:p w:rsidR="00AA49F6" w:rsidRPr="00714FCC" w:rsidRDefault="00AA49F6" w:rsidP="00F936FD">
            <w:pPr>
              <w:spacing w:after="0"/>
              <w:jc w:val="center"/>
              <w:rPr>
                <w:rFonts w:ascii="Arial" w:hAnsi="Arial" w:cs="Arial"/>
              </w:rPr>
            </w:pPr>
            <w:r w:rsidRPr="00714FCC">
              <w:rPr>
                <w:rFonts w:ascii="Arial" w:hAnsi="Arial" w:cs="Arial"/>
              </w:rPr>
              <w:t>7 434 004,40</w:t>
            </w:r>
          </w:p>
        </w:tc>
        <w:tc>
          <w:tcPr>
            <w:tcW w:w="1921" w:type="dxa"/>
            <w:vMerge w:val="restart"/>
            <w:tcBorders>
              <w:top w:val="single" w:sz="12" w:space="0" w:color="auto"/>
              <w:right w:val="single" w:sz="12" w:space="0" w:color="auto"/>
            </w:tcBorders>
            <w:shd w:val="clear" w:color="auto" w:fill="auto"/>
          </w:tcPr>
          <w:p w:rsidR="00AA49F6" w:rsidRPr="00714FCC" w:rsidRDefault="00AA49F6" w:rsidP="00F936FD">
            <w:pPr>
              <w:spacing w:after="0"/>
              <w:jc w:val="both"/>
              <w:rPr>
                <w:rFonts w:ascii="Arial" w:hAnsi="Arial" w:cs="Arial"/>
              </w:rPr>
            </w:pPr>
          </w:p>
          <w:p w:rsidR="00AA49F6" w:rsidRPr="00714FCC" w:rsidRDefault="00AA49F6" w:rsidP="00F936FD">
            <w:pPr>
              <w:spacing w:after="0"/>
              <w:jc w:val="both"/>
              <w:rPr>
                <w:rFonts w:ascii="Arial" w:hAnsi="Arial" w:cs="Arial"/>
              </w:rPr>
            </w:pPr>
          </w:p>
          <w:p w:rsidR="00AA49F6" w:rsidRPr="00714FCC" w:rsidRDefault="00AA49F6" w:rsidP="00F936FD">
            <w:pPr>
              <w:spacing w:after="0"/>
              <w:jc w:val="both"/>
              <w:rPr>
                <w:rFonts w:ascii="Arial" w:hAnsi="Arial" w:cs="Arial"/>
              </w:rPr>
            </w:pPr>
          </w:p>
          <w:p w:rsidR="00AA49F6" w:rsidRPr="00714FCC" w:rsidRDefault="00AA49F6" w:rsidP="00F936FD">
            <w:pPr>
              <w:spacing w:after="0"/>
              <w:jc w:val="center"/>
              <w:rPr>
                <w:rFonts w:ascii="Arial" w:hAnsi="Arial" w:cs="Arial"/>
              </w:rPr>
            </w:pPr>
            <w:r w:rsidRPr="00714FCC">
              <w:rPr>
                <w:rFonts w:ascii="Arial" w:hAnsi="Arial" w:cs="Arial"/>
              </w:rPr>
              <w:t>11,</w:t>
            </w:r>
            <w:r>
              <w:rPr>
                <w:rFonts w:ascii="Arial" w:hAnsi="Arial" w:cs="Arial"/>
              </w:rPr>
              <w:t>1</w:t>
            </w:r>
            <w:r w:rsidRPr="00714FCC">
              <w:rPr>
                <w:rFonts w:ascii="Arial" w:hAnsi="Arial" w:cs="Arial"/>
              </w:rPr>
              <w:t>6</w:t>
            </w:r>
          </w:p>
        </w:tc>
      </w:tr>
      <w:tr w:rsidR="00AA49F6" w:rsidRPr="00714FCC" w:rsidTr="00F936FD">
        <w:trPr>
          <w:jc w:val="center"/>
        </w:trPr>
        <w:tc>
          <w:tcPr>
            <w:tcW w:w="1384" w:type="dxa"/>
            <w:tcBorders>
              <w:left w:val="single" w:sz="12" w:space="0" w:color="auto"/>
            </w:tcBorders>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B</w:t>
            </w:r>
          </w:p>
        </w:tc>
        <w:tc>
          <w:tcPr>
            <w:tcW w:w="1636" w:type="dxa"/>
          </w:tcPr>
          <w:p w:rsidR="00AA49F6" w:rsidRPr="00714FCC" w:rsidRDefault="00AA49F6" w:rsidP="00F936FD">
            <w:pPr>
              <w:spacing w:after="0"/>
              <w:jc w:val="center"/>
              <w:rPr>
                <w:rFonts w:ascii="Arial" w:hAnsi="Arial" w:cs="Arial"/>
              </w:rPr>
            </w:pPr>
            <w:r w:rsidRPr="00714FCC">
              <w:rPr>
                <w:rFonts w:ascii="Arial" w:hAnsi="Arial" w:cs="Arial"/>
              </w:rPr>
              <w:t>4 739 420,00</w:t>
            </w:r>
          </w:p>
        </w:tc>
        <w:tc>
          <w:tcPr>
            <w:tcW w:w="1624" w:type="dxa"/>
          </w:tcPr>
          <w:p w:rsidR="00AA49F6" w:rsidRPr="00714FCC" w:rsidRDefault="00AA49F6" w:rsidP="00F936FD">
            <w:pPr>
              <w:spacing w:after="0"/>
              <w:jc w:val="center"/>
              <w:rPr>
                <w:rFonts w:ascii="Arial" w:hAnsi="Arial" w:cs="Arial"/>
              </w:rPr>
            </w:pPr>
            <w:r w:rsidRPr="00714FCC">
              <w:rPr>
                <w:rFonts w:ascii="Arial" w:hAnsi="Arial" w:cs="Arial"/>
              </w:rPr>
              <w:t>7 434 370,00</w:t>
            </w:r>
          </w:p>
        </w:tc>
        <w:tc>
          <w:tcPr>
            <w:tcW w:w="1921" w:type="dxa"/>
            <w:vMerge/>
            <w:tcBorders>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r w:rsidR="00AA49F6" w:rsidRPr="00714FCC" w:rsidTr="00F936FD">
        <w:trPr>
          <w:jc w:val="center"/>
        </w:trPr>
        <w:tc>
          <w:tcPr>
            <w:tcW w:w="1384" w:type="dxa"/>
            <w:tcBorders>
              <w:left w:val="single" w:sz="12" w:space="0" w:color="auto"/>
            </w:tcBorders>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C</w:t>
            </w:r>
          </w:p>
        </w:tc>
        <w:tc>
          <w:tcPr>
            <w:tcW w:w="1636" w:type="dxa"/>
          </w:tcPr>
          <w:p w:rsidR="00AA49F6" w:rsidRPr="00714FCC" w:rsidRDefault="00AA49F6" w:rsidP="00F936FD">
            <w:pPr>
              <w:spacing w:after="0"/>
              <w:jc w:val="center"/>
              <w:rPr>
                <w:rFonts w:ascii="Arial" w:hAnsi="Arial" w:cs="Arial"/>
              </w:rPr>
            </w:pPr>
            <w:r w:rsidRPr="00714FCC">
              <w:rPr>
                <w:rFonts w:ascii="Arial" w:hAnsi="Arial" w:cs="Arial"/>
              </w:rPr>
              <w:t>4 739 200,00</w:t>
            </w:r>
          </w:p>
        </w:tc>
        <w:tc>
          <w:tcPr>
            <w:tcW w:w="1624" w:type="dxa"/>
          </w:tcPr>
          <w:p w:rsidR="00AA49F6" w:rsidRPr="00714FCC" w:rsidRDefault="00AA49F6" w:rsidP="00F936FD">
            <w:pPr>
              <w:spacing w:after="0"/>
              <w:jc w:val="center"/>
              <w:rPr>
                <w:rFonts w:ascii="Arial" w:hAnsi="Arial" w:cs="Arial"/>
              </w:rPr>
            </w:pPr>
            <w:r w:rsidRPr="00714FCC">
              <w:rPr>
                <w:rFonts w:ascii="Arial" w:hAnsi="Arial" w:cs="Arial"/>
              </w:rPr>
              <w:t>7 434 550,00</w:t>
            </w:r>
          </w:p>
        </w:tc>
        <w:tc>
          <w:tcPr>
            <w:tcW w:w="1921" w:type="dxa"/>
            <w:vMerge/>
            <w:tcBorders>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r w:rsidR="00AA49F6" w:rsidRPr="00714FCC" w:rsidTr="00F936FD">
        <w:trPr>
          <w:jc w:val="center"/>
        </w:trPr>
        <w:tc>
          <w:tcPr>
            <w:tcW w:w="1384" w:type="dxa"/>
            <w:tcBorders>
              <w:left w:val="single" w:sz="12" w:space="0" w:color="auto"/>
            </w:tcBorders>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D</w:t>
            </w:r>
          </w:p>
        </w:tc>
        <w:tc>
          <w:tcPr>
            <w:tcW w:w="1636" w:type="dxa"/>
          </w:tcPr>
          <w:p w:rsidR="00AA49F6" w:rsidRPr="00714FCC" w:rsidRDefault="00AA49F6" w:rsidP="00F936FD">
            <w:pPr>
              <w:spacing w:after="0"/>
              <w:jc w:val="center"/>
              <w:rPr>
                <w:rFonts w:ascii="Arial" w:hAnsi="Arial" w:cs="Arial"/>
              </w:rPr>
            </w:pPr>
            <w:r w:rsidRPr="00714FCC">
              <w:rPr>
                <w:rFonts w:ascii="Arial" w:hAnsi="Arial" w:cs="Arial"/>
              </w:rPr>
              <w:t>4 739 014,32</w:t>
            </w:r>
          </w:p>
        </w:tc>
        <w:tc>
          <w:tcPr>
            <w:tcW w:w="1624" w:type="dxa"/>
          </w:tcPr>
          <w:p w:rsidR="00AA49F6" w:rsidRPr="00714FCC" w:rsidRDefault="00AA49F6" w:rsidP="00F936FD">
            <w:pPr>
              <w:spacing w:after="0"/>
              <w:jc w:val="center"/>
              <w:rPr>
                <w:rFonts w:ascii="Arial" w:hAnsi="Arial" w:cs="Arial"/>
              </w:rPr>
            </w:pPr>
            <w:r w:rsidRPr="00714FCC">
              <w:rPr>
                <w:rFonts w:ascii="Arial" w:hAnsi="Arial" w:cs="Arial"/>
              </w:rPr>
              <w:t>7 434 280,77</w:t>
            </w:r>
          </w:p>
        </w:tc>
        <w:tc>
          <w:tcPr>
            <w:tcW w:w="1921" w:type="dxa"/>
            <w:vMerge/>
            <w:tcBorders>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r w:rsidR="00AA49F6" w:rsidRPr="00714FCC" w:rsidTr="00F936FD">
        <w:trPr>
          <w:jc w:val="center"/>
        </w:trPr>
        <w:tc>
          <w:tcPr>
            <w:tcW w:w="1384" w:type="dxa"/>
            <w:tcBorders>
              <w:left w:val="single" w:sz="12" w:space="0" w:color="auto"/>
            </w:tcBorders>
          </w:tcPr>
          <w:p w:rsidR="00AA49F6" w:rsidRPr="00714FCC" w:rsidRDefault="00AA49F6" w:rsidP="00F936FD">
            <w:pPr>
              <w:spacing w:after="0"/>
              <w:jc w:val="center"/>
              <w:rPr>
                <w:rFonts w:ascii="Arial" w:hAnsi="Arial" w:cs="Arial"/>
                <w:b/>
                <w:lang w:val="sr-Cyrl-CS"/>
              </w:rPr>
            </w:pPr>
            <w:r w:rsidRPr="00714FCC">
              <w:rPr>
                <w:rFonts w:ascii="Arial" w:hAnsi="Arial" w:cs="Arial"/>
                <w:b/>
                <w:lang w:val="sr-Cyrl-CS"/>
              </w:rPr>
              <w:t>E</w:t>
            </w:r>
          </w:p>
        </w:tc>
        <w:tc>
          <w:tcPr>
            <w:tcW w:w="1636" w:type="dxa"/>
          </w:tcPr>
          <w:p w:rsidR="00AA49F6" w:rsidRPr="00714FCC" w:rsidRDefault="00AA49F6" w:rsidP="00F936FD">
            <w:pPr>
              <w:spacing w:after="0"/>
              <w:jc w:val="center"/>
              <w:rPr>
                <w:rFonts w:ascii="Arial" w:hAnsi="Arial" w:cs="Arial"/>
              </w:rPr>
            </w:pPr>
            <w:r w:rsidRPr="00714FCC">
              <w:rPr>
                <w:rFonts w:ascii="Arial" w:hAnsi="Arial" w:cs="Arial"/>
              </w:rPr>
              <w:t>4 739 181,76</w:t>
            </w:r>
          </w:p>
        </w:tc>
        <w:tc>
          <w:tcPr>
            <w:tcW w:w="1624" w:type="dxa"/>
          </w:tcPr>
          <w:p w:rsidR="00AA49F6" w:rsidRPr="00714FCC" w:rsidRDefault="00AA49F6" w:rsidP="00F936FD">
            <w:pPr>
              <w:spacing w:after="0"/>
              <w:jc w:val="center"/>
              <w:rPr>
                <w:rFonts w:ascii="Arial" w:hAnsi="Arial" w:cs="Arial"/>
              </w:rPr>
            </w:pPr>
            <w:r w:rsidRPr="00714FCC">
              <w:rPr>
                <w:rFonts w:ascii="Arial" w:hAnsi="Arial" w:cs="Arial"/>
              </w:rPr>
              <w:t>7 434 197,81</w:t>
            </w:r>
          </w:p>
        </w:tc>
        <w:tc>
          <w:tcPr>
            <w:tcW w:w="1921" w:type="dxa"/>
            <w:vMerge/>
            <w:tcBorders>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r w:rsidR="00AA49F6" w:rsidRPr="00714FCC" w:rsidTr="00F936FD">
        <w:trPr>
          <w:jc w:val="center"/>
        </w:trPr>
        <w:tc>
          <w:tcPr>
            <w:tcW w:w="1384" w:type="dxa"/>
            <w:tcBorders>
              <w:left w:val="single" w:sz="12" w:space="0" w:color="auto"/>
            </w:tcBorders>
          </w:tcPr>
          <w:p w:rsidR="00AA49F6" w:rsidRPr="00714FCC" w:rsidRDefault="00AA49F6" w:rsidP="00F936FD">
            <w:pPr>
              <w:spacing w:after="0"/>
              <w:jc w:val="center"/>
              <w:rPr>
                <w:rFonts w:ascii="Arial" w:hAnsi="Arial" w:cs="Arial"/>
                <w:b/>
              </w:rPr>
            </w:pPr>
            <w:r w:rsidRPr="00714FCC">
              <w:rPr>
                <w:rFonts w:ascii="Arial" w:hAnsi="Arial" w:cs="Arial"/>
                <w:b/>
              </w:rPr>
              <w:t>F</w:t>
            </w:r>
          </w:p>
        </w:tc>
        <w:tc>
          <w:tcPr>
            <w:tcW w:w="1636" w:type="dxa"/>
          </w:tcPr>
          <w:p w:rsidR="00AA49F6" w:rsidRPr="00714FCC" w:rsidRDefault="00AA49F6" w:rsidP="00F936FD">
            <w:pPr>
              <w:spacing w:after="0"/>
              <w:jc w:val="center"/>
              <w:rPr>
                <w:rFonts w:ascii="Arial" w:hAnsi="Arial" w:cs="Arial"/>
              </w:rPr>
            </w:pPr>
            <w:r w:rsidRPr="00714FCC">
              <w:rPr>
                <w:rFonts w:ascii="Arial" w:hAnsi="Arial" w:cs="Arial"/>
              </w:rPr>
              <w:t>4 739 284,15</w:t>
            </w:r>
          </w:p>
        </w:tc>
        <w:tc>
          <w:tcPr>
            <w:tcW w:w="1624" w:type="dxa"/>
          </w:tcPr>
          <w:p w:rsidR="00AA49F6" w:rsidRPr="00714FCC" w:rsidRDefault="00AA49F6" w:rsidP="00F936FD">
            <w:pPr>
              <w:spacing w:after="0"/>
              <w:jc w:val="center"/>
              <w:rPr>
                <w:rFonts w:ascii="Arial" w:hAnsi="Arial" w:cs="Arial"/>
              </w:rPr>
            </w:pPr>
            <w:r w:rsidRPr="00714FCC">
              <w:rPr>
                <w:rFonts w:ascii="Arial" w:hAnsi="Arial" w:cs="Arial"/>
              </w:rPr>
              <w:t>7 434 133,33</w:t>
            </w:r>
          </w:p>
        </w:tc>
        <w:tc>
          <w:tcPr>
            <w:tcW w:w="1921" w:type="dxa"/>
            <w:vMerge/>
            <w:tcBorders>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r w:rsidR="00AA49F6" w:rsidRPr="00714FCC" w:rsidTr="00F936FD">
        <w:trPr>
          <w:jc w:val="center"/>
        </w:trPr>
        <w:tc>
          <w:tcPr>
            <w:tcW w:w="1384" w:type="dxa"/>
            <w:tcBorders>
              <w:left w:val="single" w:sz="12" w:space="0" w:color="auto"/>
              <w:bottom w:val="single" w:sz="12" w:space="0" w:color="auto"/>
            </w:tcBorders>
          </w:tcPr>
          <w:p w:rsidR="00AA49F6" w:rsidRPr="00714FCC" w:rsidRDefault="00AA49F6" w:rsidP="00F936FD">
            <w:pPr>
              <w:spacing w:after="0"/>
              <w:jc w:val="center"/>
              <w:rPr>
                <w:rFonts w:ascii="Arial" w:hAnsi="Arial" w:cs="Arial"/>
                <w:b/>
              </w:rPr>
            </w:pPr>
            <w:r w:rsidRPr="00714FCC">
              <w:rPr>
                <w:rFonts w:ascii="Arial" w:hAnsi="Arial" w:cs="Arial"/>
                <w:b/>
              </w:rPr>
              <w:t>G</w:t>
            </w:r>
          </w:p>
        </w:tc>
        <w:tc>
          <w:tcPr>
            <w:tcW w:w="1636" w:type="dxa"/>
            <w:tcBorders>
              <w:bottom w:val="single" w:sz="12" w:space="0" w:color="auto"/>
            </w:tcBorders>
          </w:tcPr>
          <w:p w:rsidR="00AA49F6" w:rsidRPr="00714FCC" w:rsidRDefault="00AA49F6" w:rsidP="00F936FD">
            <w:pPr>
              <w:spacing w:after="0"/>
              <w:jc w:val="center"/>
              <w:rPr>
                <w:rFonts w:ascii="Arial" w:hAnsi="Arial" w:cs="Arial"/>
              </w:rPr>
            </w:pPr>
            <w:r w:rsidRPr="00714FCC">
              <w:rPr>
                <w:rFonts w:ascii="Arial" w:hAnsi="Arial" w:cs="Arial"/>
              </w:rPr>
              <w:t>4 739 351,92</w:t>
            </w:r>
          </w:p>
        </w:tc>
        <w:tc>
          <w:tcPr>
            <w:tcW w:w="1624" w:type="dxa"/>
            <w:tcBorders>
              <w:bottom w:val="single" w:sz="12" w:space="0" w:color="auto"/>
            </w:tcBorders>
          </w:tcPr>
          <w:p w:rsidR="00AA49F6" w:rsidRPr="00714FCC" w:rsidRDefault="00AA49F6" w:rsidP="00F936FD">
            <w:pPr>
              <w:spacing w:after="0"/>
              <w:jc w:val="center"/>
              <w:rPr>
                <w:rFonts w:ascii="Arial" w:hAnsi="Arial" w:cs="Arial"/>
              </w:rPr>
            </w:pPr>
            <w:r w:rsidRPr="00714FCC">
              <w:rPr>
                <w:rFonts w:ascii="Arial" w:hAnsi="Arial" w:cs="Arial"/>
              </w:rPr>
              <w:t>7 434 073,32</w:t>
            </w:r>
          </w:p>
        </w:tc>
        <w:tc>
          <w:tcPr>
            <w:tcW w:w="1921" w:type="dxa"/>
            <w:vMerge/>
            <w:tcBorders>
              <w:bottom w:val="single" w:sz="12" w:space="0" w:color="auto"/>
              <w:right w:val="single" w:sz="12" w:space="0" w:color="auto"/>
            </w:tcBorders>
            <w:shd w:val="clear" w:color="auto" w:fill="auto"/>
          </w:tcPr>
          <w:p w:rsidR="00AA49F6" w:rsidRPr="00714FCC" w:rsidRDefault="00AA49F6" w:rsidP="00F936FD">
            <w:pPr>
              <w:spacing w:after="0"/>
              <w:jc w:val="both"/>
              <w:rPr>
                <w:rFonts w:ascii="Arial" w:hAnsi="Arial" w:cs="Arial"/>
                <w:lang w:val="sr-Cyrl-CS"/>
              </w:rPr>
            </w:pPr>
          </w:p>
        </w:tc>
      </w:tr>
    </w:tbl>
    <w:p w:rsidR="00AA49F6" w:rsidRPr="00AA49F6" w:rsidRDefault="00AA49F6" w:rsidP="00AA49F6">
      <w:pPr>
        <w:spacing w:after="0"/>
        <w:ind w:right="144"/>
        <w:rPr>
          <w:rFonts w:ascii="Arial" w:hAnsi="Arial" w:cs="Arial"/>
        </w:rPr>
      </w:pP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lastRenderedPageBreak/>
        <w:t>Period trajanja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 xml:space="preserve">Period trajanja koncesije iznosi _________ godina </w:t>
      </w:r>
      <w:r w:rsidRPr="000761D3">
        <w:rPr>
          <w:rFonts w:ascii="Arial" w:hAnsi="Arial" w:cs="Arial"/>
          <w:sz w:val="22"/>
        </w:rPr>
        <w:t xml:space="preserve">[unijeti u skladu sa ponudom] </w:t>
      </w:r>
      <w:r w:rsidRPr="000761D3">
        <w:rPr>
          <w:rFonts w:ascii="Arial" w:hAnsi="Arial" w:cs="Arial"/>
          <w:color w:val="000000"/>
          <w:sz w:val="22"/>
        </w:rPr>
        <w:t>i počinje teći od dana zaključivanja Ugovora.</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color w:val="000000"/>
          <w:sz w:val="22"/>
        </w:rPr>
      </w:pPr>
      <w:r w:rsidRPr="000761D3">
        <w:rPr>
          <w:rFonts w:ascii="Arial" w:hAnsi="Arial" w:cs="Arial"/>
          <w:color w:val="000000"/>
          <w:sz w:val="22"/>
        </w:rPr>
        <w:t>Istekom roka iz stava 1 ovog člana Ugovor prestaje da važi osim u slučaju produženja u skladu sa zakonom.</w:t>
      </w:r>
    </w:p>
    <w:p w:rsidR="000761D3" w:rsidRPr="000761D3" w:rsidRDefault="000761D3" w:rsidP="000761D3">
      <w:pPr>
        <w:pStyle w:val="ListParagraph"/>
        <w:spacing w:after="0"/>
        <w:ind w:left="144" w:right="144"/>
        <w:rPr>
          <w:rFonts w:ascii="Arial" w:hAnsi="Arial" w:cs="Arial"/>
          <w:color w:val="000000"/>
          <w:sz w:val="22"/>
        </w:rPr>
      </w:pPr>
    </w:p>
    <w:p w:rsidR="000761D3" w:rsidRPr="000761D3" w:rsidRDefault="000761D3" w:rsidP="00B55AEB">
      <w:pPr>
        <w:pStyle w:val="ListParagraph"/>
        <w:numPr>
          <w:ilvl w:val="0"/>
          <w:numId w:val="9"/>
        </w:numPr>
        <w:spacing w:after="0"/>
        <w:ind w:right="144"/>
        <w:rPr>
          <w:rFonts w:ascii="Arial" w:hAnsi="Arial" w:cs="Arial"/>
          <w:sz w:val="22"/>
        </w:rPr>
      </w:pPr>
      <w:r w:rsidRPr="000761D3">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koja su nastale prije isteka Perioda trajanja koncesije, ili </w:t>
      </w:r>
      <w:r w:rsidRPr="000761D3">
        <w:rPr>
          <w:rFonts w:ascii="Arial" w:hAnsi="Arial" w:cs="Arial"/>
          <w:color w:val="000000"/>
          <w:sz w:val="22"/>
        </w:rPr>
        <w:t>potpunog iskorištenja eksploatacionih rezervi Mineralne sirovine sa ležišta,</w:t>
      </w:r>
      <w:r w:rsidRPr="000761D3">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Uslovi obavljanja Koncesione djelatnosti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0761D3" w:rsidRDefault="000761D3" w:rsidP="000761D3">
      <w:pPr>
        <w:pStyle w:val="ListParagraph"/>
        <w:spacing w:after="0"/>
        <w:ind w:left="144" w:right="144"/>
        <w:rPr>
          <w:rFonts w:ascii="Arial" w:hAnsi="Arial" w:cs="Arial"/>
          <w:sz w:val="22"/>
        </w:rPr>
      </w:pPr>
    </w:p>
    <w:p w:rsidR="000761D3" w:rsidRPr="004E3C7D" w:rsidRDefault="000761D3" w:rsidP="004E3C7D">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u roku od 1 (jedne) godine od dana zaključivanja Ugovora izvede detaljna geološka istraživanja, izradi i u skladu sa zakonom ovjeri Elaborat o klasifikaciji, kategorizaciji i proračunu rezervi Mineralne sirovine</w:t>
      </w:r>
      <w:r w:rsidRPr="004E3C7D">
        <w:rPr>
          <w:rFonts w:ascii="Arial" w:hAnsi="Arial" w:cs="Arial"/>
          <w:sz w:val="22"/>
        </w:rPr>
        <w:t xml:space="preserve"> izradi rudarsku tehničku dokumentaciju za eksploataciju Mineralne sirovine i pribavi odobrenja i saglasnosti za izvođenje radova po istim, u skladu sa zakonom.</w:t>
      </w:r>
    </w:p>
    <w:p w:rsidR="00AA49F6" w:rsidRPr="000761D3" w:rsidRDefault="00AA49F6" w:rsidP="00AA49F6">
      <w:pPr>
        <w:pStyle w:val="ListParagraph"/>
        <w:spacing w:after="0"/>
        <w:ind w:left="864" w:right="144"/>
        <w:rPr>
          <w:rFonts w:ascii="Arial" w:hAnsi="Arial" w:cs="Arial"/>
          <w:sz w:val="22"/>
        </w:rPr>
      </w:pPr>
    </w:p>
    <w:p w:rsidR="000761D3" w:rsidRPr="000761D3" w:rsidRDefault="000761D3" w:rsidP="00B55AEB">
      <w:pPr>
        <w:pStyle w:val="ListParagraph"/>
        <w:numPr>
          <w:ilvl w:val="0"/>
          <w:numId w:val="10"/>
        </w:numPr>
        <w:spacing w:after="0"/>
        <w:ind w:right="144"/>
        <w:rPr>
          <w:rFonts w:ascii="Arial" w:hAnsi="Arial" w:cs="Arial"/>
          <w:sz w:val="22"/>
        </w:rPr>
      </w:pPr>
      <w:r w:rsidRPr="000761D3">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Ostale obaveze Koncesionara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Ugovorne strane su saglasne da je Koncesionar dužan da:</w:t>
      </w:r>
    </w:p>
    <w:p w:rsidR="000761D3" w:rsidRPr="000761D3" w:rsidRDefault="000761D3" w:rsidP="000761D3">
      <w:pPr>
        <w:spacing w:after="0"/>
        <w:ind w:left="144" w:right="144"/>
        <w:jc w:val="both"/>
        <w:rPr>
          <w:rFonts w:ascii="Arial" w:hAnsi="Arial" w:cs="Arial"/>
        </w:rPr>
      </w:pP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racionalno eksploatiše Mineralnu sirovinu i vrši njenu obradu uz obezbjeđenje ljudi i imovine, u skadu sa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poštuje projektovane i ugovorene kapacitete i dinamiku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tokom eksploatacije, u skladu sa zakonom, izvodi geološka istraživanja u cilju povećanja ukupnih rezervi Mineralne sirovine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lastRenderedPageBreak/>
        <w:t>poštuje mjere zaštite životne sredine propisane i utvrđene odobrenom tehničkom dokumentacijom i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ulaže u istraživanje za poboljšanje sigurnosti radne sredine i za poboljšanje mjera zaštite životne sredine;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postupa isključivo po projektima i odobrenim tehnološkim postupcima;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 xml:space="preserve">izvještava Koncedenta o eventualnoj pojavi drugih mineralnih sirovina u ležištima; </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obavlja rudarska mjerenja i izrađuje rudarske planove;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vrši doistraživanje Eksploatacionog prostora u skladu za zakonom;</w:t>
      </w:r>
    </w:p>
    <w:p w:rsidR="000761D3" w:rsidRPr="00AA49F6" w:rsidRDefault="00AA49F6" w:rsidP="00B55AEB">
      <w:pPr>
        <w:pStyle w:val="ListParagraph"/>
        <w:numPr>
          <w:ilvl w:val="0"/>
          <w:numId w:val="11"/>
        </w:numPr>
        <w:spacing w:after="0"/>
        <w:ind w:right="144"/>
        <w:rPr>
          <w:rFonts w:ascii="Arial" w:hAnsi="Arial" w:cs="Arial"/>
          <w:sz w:val="22"/>
        </w:rPr>
      </w:pPr>
      <w:r w:rsidRPr="00AA49F6">
        <w:rPr>
          <w:rFonts w:ascii="Arial" w:hAnsi="Arial" w:cs="Arial"/>
          <w:sz w:val="22"/>
        </w:rPr>
        <w:t>v</w:t>
      </w:r>
      <w:r w:rsidR="000761D3" w:rsidRPr="00AA49F6">
        <w:rPr>
          <w:rFonts w:ascii="Arial" w:hAnsi="Arial" w:cs="Arial"/>
          <w:sz w:val="22"/>
        </w:rPr>
        <w:t>rši redovnu izradu Elaborata o klasifikaciji, kategorizaciji i proračunu rezervi Mineralne sirovine u skladu sa zakonom;</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sprovodi mjere u cilju unapr</w:t>
      </w:r>
      <w:r w:rsidR="00A17E70">
        <w:rPr>
          <w:rFonts w:ascii="Arial" w:hAnsi="Arial" w:cs="Arial"/>
          <w:sz w:val="22"/>
        </w:rPr>
        <w:t>j</w:t>
      </w:r>
      <w:r w:rsidRPr="00AA49F6">
        <w:rPr>
          <w:rFonts w:ascii="Arial" w:hAnsi="Arial" w:cs="Arial"/>
          <w:sz w:val="22"/>
        </w:rPr>
        <w:t>eđenja energetske efikasnosti;</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održava putnu infrastrukturu koju koristi za potrebe realizacije koncesije;</w:t>
      </w:r>
    </w:p>
    <w:p w:rsidR="000761D3" w:rsidRPr="00AA49F6" w:rsidRDefault="000761D3" w:rsidP="00B55AEB">
      <w:pPr>
        <w:pStyle w:val="ListParagraph"/>
        <w:numPr>
          <w:ilvl w:val="0"/>
          <w:numId w:val="11"/>
        </w:numPr>
        <w:spacing w:after="0"/>
        <w:ind w:right="144"/>
        <w:rPr>
          <w:rFonts w:ascii="Arial" w:hAnsi="Arial" w:cs="Arial"/>
          <w:sz w:val="22"/>
        </w:rPr>
      </w:pPr>
      <w:r w:rsidRPr="00AA49F6">
        <w:rPr>
          <w:rFonts w:ascii="Arial" w:hAnsi="Arial" w:cs="Arial"/>
          <w:sz w:val="22"/>
        </w:rPr>
        <w:t>obezbijedi novčana sr</w:t>
      </w:r>
      <w:r w:rsidR="00A17E70">
        <w:rPr>
          <w:rFonts w:ascii="Arial" w:hAnsi="Arial" w:cs="Arial"/>
          <w:sz w:val="22"/>
        </w:rPr>
        <w:t>edstva za realizaciju koncesije.</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Imovinsko - pravni odnosi</w:t>
      </w:r>
    </w:p>
    <w:p w:rsidR="000761D3" w:rsidRPr="000761D3" w:rsidRDefault="000761D3" w:rsidP="000761D3">
      <w:pPr>
        <w:spacing w:after="0"/>
        <w:ind w:left="144" w:right="144"/>
        <w:jc w:val="both"/>
        <w:rPr>
          <w:rFonts w:ascii="Arial" w:hAnsi="Arial" w:cs="Arial"/>
          <w:b/>
        </w:rPr>
      </w:pPr>
    </w:p>
    <w:p w:rsidR="000761D3" w:rsidRPr="0044046F" w:rsidRDefault="000761D3" w:rsidP="0044046F">
      <w:pPr>
        <w:pStyle w:val="ListParagraph"/>
        <w:numPr>
          <w:ilvl w:val="0"/>
          <w:numId w:val="12"/>
        </w:numPr>
        <w:spacing w:after="0"/>
        <w:ind w:right="144"/>
        <w:rPr>
          <w:rFonts w:ascii="Arial" w:hAnsi="Arial" w:cs="Arial"/>
          <w:sz w:val="22"/>
        </w:rPr>
      </w:pPr>
      <w:r w:rsidRPr="000761D3">
        <w:rPr>
          <w:rFonts w:ascii="Arial" w:hAnsi="Arial" w:cs="Arial"/>
          <w:sz w:val="22"/>
        </w:rPr>
        <w:t>Ugovorne strane su saglasne da je Koncesionar dobijanjem koncesije dobio saglasnost za korišćenje zamljišta u svojini Koncedenta, u skladu sa članom 44 stav 2 Zakona o koncesijama.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Pripadnost grupi ležišta </w:t>
      </w:r>
    </w:p>
    <w:p w:rsidR="000761D3" w:rsidRPr="000761D3" w:rsidRDefault="000761D3" w:rsidP="000761D3">
      <w:pPr>
        <w:pStyle w:val="ListParagraph"/>
        <w:spacing w:after="0"/>
        <w:ind w:left="144" w:right="144"/>
        <w:rPr>
          <w:rFonts w:ascii="Arial" w:hAnsi="Arial" w:cs="Arial"/>
          <w:b/>
          <w:sz w:val="22"/>
        </w:rPr>
      </w:pPr>
    </w:p>
    <w:p w:rsidR="00A17E70" w:rsidRPr="00E2021C" w:rsidRDefault="000761D3" w:rsidP="00E2021C">
      <w:pPr>
        <w:pStyle w:val="ListParagraph"/>
        <w:numPr>
          <w:ilvl w:val="0"/>
          <w:numId w:val="14"/>
        </w:numPr>
        <w:autoSpaceDE w:val="0"/>
        <w:autoSpaceDN w:val="0"/>
        <w:adjustRightInd w:val="0"/>
        <w:spacing w:after="0"/>
        <w:ind w:right="144"/>
        <w:rPr>
          <w:rFonts w:ascii="Arial" w:hAnsi="Arial" w:cs="Arial"/>
          <w:b/>
          <w:sz w:val="22"/>
        </w:rPr>
      </w:pPr>
      <w:r w:rsidRPr="000761D3">
        <w:rPr>
          <w:rFonts w:ascii="Arial" w:hAnsi="Arial" w:cs="Arial"/>
          <w:sz w:val="22"/>
        </w:rPr>
        <w:t xml:space="preserve">Ugovorne strane saglasno konstatuju da Mineralna sirovina pripadaja </w:t>
      </w:r>
      <w:r w:rsidRPr="000761D3">
        <w:rPr>
          <w:rFonts w:ascii="Arial" w:hAnsi="Arial" w:cs="Arial"/>
          <w:bCs/>
          <w:sz w:val="22"/>
        </w:rPr>
        <w:t>Grupi G</w:t>
      </w:r>
      <w:r w:rsidRPr="000761D3">
        <w:rPr>
          <w:rFonts w:ascii="Arial" w:hAnsi="Arial" w:cs="Arial"/>
          <w:bCs/>
          <w:sz w:val="22"/>
          <w:vertAlign w:val="subscript"/>
        </w:rPr>
        <w:t>3</w:t>
      </w:r>
      <w:r w:rsidRPr="000761D3">
        <w:rPr>
          <w:rFonts w:ascii="Arial" w:hAnsi="Arial" w:cs="Arial"/>
          <w:bCs/>
          <w:sz w:val="22"/>
        </w:rPr>
        <w:t xml:space="preserve"> ležišta sa procentualnim iznosom od _% </w:t>
      </w:r>
      <w:r w:rsidRPr="000761D3">
        <w:rPr>
          <w:rFonts w:ascii="Arial" w:hAnsi="Arial" w:cs="Arial"/>
          <w:bCs/>
          <w:i/>
          <w:sz w:val="22"/>
        </w:rPr>
        <w:t>[popuniti u skladu sa ponudom]</w:t>
      </w:r>
      <w:r w:rsidRPr="000761D3">
        <w:rPr>
          <w:rFonts w:ascii="Arial" w:hAnsi="Arial" w:cs="Arial"/>
          <w:bCs/>
          <w:sz w:val="22"/>
        </w:rPr>
        <w:t xml:space="preserve"> </w:t>
      </w:r>
      <w:r w:rsidRPr="000761D3">
        <w:rPr>
          <w:rFonts w:ascii="Arial" w:hAnsi="Arial" w:cs="Arial"/>
          <w:sz w:val="22"/>
        </w:rPr>
        <w:t>od tržišne vrijednosti bilansnih ili eksploatacionih rezervi, odnosno ukupnog tržišnog proizvoda.</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Minimalna godišnja eksploatacija</w:t>
      </w:r>
    </w:p>
    <w:p w:rsidR="00A17E70" w:rsidRPr="000761D3" w:rsidRDefault="00A17E70"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rPr>
      </w:pPr>
      <w:r w:rsidRPr="000761D3">
        <w:rPr>
          <w:rFonts w:ascii="Arial" w:hAnsi="Arial" w:cs="Arial"/>
        </w:rPr>
        <w:t xml:space="preserve">Koncesionar je dužan da vrši minimalnu godišnju eksploataciju Mineralne sirovine </w:t>
      </w:r>
      <w:proofErr w:type="gramStart"/>
      <w:r w:rsidRPr="000761D3">
        <w:rPr>
          <w:rFonts w:ascii="Arial" w:hAnsi="Arial" w:cs="Arial"/>
        </w:rPr>
        <w:t>na</w:t>
      </w:r>
      <w:proofErr w:type="gramEnd"/>
      <w:r w:rsidRPr="000761D3">
        <w:rPr>
          <w:rFonts w:ascii="Arial" w:hAnsi="Arial" w:cs="Arial"/>
        </w:rPr>
        <w:t xml:space="preserve"> sljedeći način:</w:t>
      </w:r>
    </w:p>
    <w:p w:rsidR="000761D3" w:rsidRPr="00A17E70" w:rsidRDefault="000761D3" w:rsidP="000761D3">
      <w:pPr>
        <w:autoSpaceDE w:val="0"/>
        <w:autoSpaceDN w:val="0"/>
        <w:adjustRightInd w:val="0"/>
        <w:spacing w:after="0"/>
        <w:ind w:left="144" w:right="144"/>
        <w:jc w:val="both"/>
        <w:rPr>
          <w:rFonts w:ascii="Arial" w:hAnsi="Arial" w:cs="Arial"/>
        </w:rPr>
      </w:pPr>
    </w:p>
    <w:p w:rsidR="000761D3" w:rsidRPr="00AA49F6" w:rsidRDefault="00AA49F6" w:rsidP="00B55AEB">
      <w:pPr>
        <w:pStyle w:val="ListParagraph"/>
        <w:numPr>
          <w:ilvl w:val="0"/>
          <w:numId w:val="7"/>
        </w:numPr>
        <w:autoSpaceDE w:val="0"/>
        <w:autoSpaceDN w:val="0"/>
        <w:adjustRightInd w:val="0"/>
        <w:spacing w:after="0"/>
        <w:ind w:right="144"/>
        <w:rPr>
          <w:rFonts w:ascii="Arial" w:hAnsi="Arial" w:cs="Arial"/>
          <w:i/>
        </w:rPr>
      </w:pPr>
      <w:r w:rsidRPr="00A17E70">
        <w:rPr>
          <w:rFonts w:ascii="Arial" w:hAnsi="Arial" w:cs="Arial"/>
          <w:i/>
          <w:sz w:val="22"/>
        </w:rPr>
        <w:t>[p</w:t>
      </w:r>
      <w:r w:rsidR="000761D3" w:rsidRPr="00A17E70">
        <w:rPr>
          <w:rFonts w:ascii="Arial" w:hAnsi="Arial" w:cs="Arial"/>
          <w:i/>
          <w:sz w:val="22"/>
        </w:rPr>
        <w:t>opuniti u skladu sa ponudom</w:t>
      </w:r>
      <w:r w:rsidRPr="00A17E70">
        <w:rPr>
          <w:rFonts w:ascii="Arial" w:hAnsi="Arial" w:cs="Arial"/>
          <w:i/>
          <w:sz w:val="22"/>
        </w:rPr>
        <w:t>].</w:t>
      </w:r>
    </w:p>
    <w:p w:rsidR="000761D3" w:rsidRPr="000761D3" w:rsidRDefault="000761D3" w:rsidP="005D3263">
      <w:pPr>
        <w:autoSpaceDE w:val="0"/>
        <w:autoSpaceDN w:val="0"/>
        <w:adjustRightInd w:val="0"/>
        <w:spacing w:after="0"/>
        <w:ind w:right="144"/>
        <w:jc w:val="both"/>
        <w:rPr>
          <w:rFonts w:ascii="Arial" w:hAnsi="Arial" w:cs="Arial"/>
          <w:b/>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 xml:space="preserve">Koncesiona naknada </w:t>
      </w:r>
    </w:p>
    <w:p w:rsidR="000761D3" w:rsidRPr="000761D3" w:rsidRDefault="000761D3" w:rsidP="000761D3">
      <w:pPr>
        <w:autoSpaceDE w:val="0"/>
        <w:autoSpaceDN w:val="0"/>
        <w:adjustRightInd w:val="0"/>
        <w:spacing w:after="0"/>
        <w:ind w:left="144" w:right="144"/>
        <w:jc w:val="both"/>
        <w:rPr>
          <w:rFonts w:ascii="Arial" w:hAnsi="Arial" w:cs="Arial"/>
          <w:vertAlign w:val="superscript"/>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1. </w:t>
      </w:r>
      <w:r w:rsidR="000761D3" w:rsidRPr="00E2021C">
        <w:rPr>
          <w:rFonts w:ascii="Arial" w:hAnsi="Arial" w:cs="Arial"/>
        </w:rPr>
        <w:t xml:space="preserve">Koncesionar je dužan da za dobijeno pravo ne eksploataciju Mineralne sirovine, plaća </w:t>
      </w:r>
      <w:r>
        <w:rPr>
          <w:rFonts w:ascii="Arial" w:hAnsi="Arial" w:cs="Arial"/>
        </w:rPr>
        <w:t xml:space="preserve">    </w:t>
      </w:r>
      <w:r w:rsidR="000761D3" w:rsidRPr="00E2021C">
        <w:rPr>
          <w:rFonts w:ascii="Arial" w:hAnsi="Arial" w:cs="Arial"/>
        </w:rPr>
        <w:t xml:space="preserve">Koncesionu naknadu u skladu </w:t>
      </w:r>
      <w:proofErr w:type="gramStart"/>
      <w:r w:rsidR="000761D3" w:rsidRPr="00E2021C">
        <w:rPr>
          <w:rFonts w:ascii="Arial" w:hAnsi="Arial" w:cs="Arial"/>
        </w:rPr>
        <w:t>sa</w:t>
      </w:r>
      <w:proofErr w:type="gramEnd"/>
      <w:r w:rsidR="000761D3" w:rsidRPr="00E2021C">
        <w:rPr>
          <w:rFonts w:ascii="Arial" w:hAnsi="Arial" w:cs="Arial"/>
        </w:rPr>
        <w:t xml:space="preserve"> zakonom i Ugovorom.</w:t>
      </w:r>
    </w:p>
    <w:p w:rsidR="000761D3" w:rsidRPr="009D3F35" w:rsidRDefault="000761D3" w:rsidP="00E2021C">
      <w:pPr>
        <w:pStyle w:val="ListParagraph"/>
        <w:autoSpaceDE w:val="0"/>
        <w:autoSpaceDN w:val="0"/>
        <w:adjustRightInd w:val="0"/>
        <w:spacing w:after="0"/>
        <w:ind w:left="144" w:right="144"/>
        <w:rPr>
          <w:rFonts w:ascii="Arial" w:hAnsi="Arial" w:cs="Arial"/>
          <w:sz w:val="22"/>
        </w:rPr>
      </w:pPr>
    </w:p>
    <w:p w:rsidR="000761D3" w:rsidRPr="0044046F" w:rsidRDefault="00E2021C" w:rsidP="0044046F">
      <w:pPr>
        <w:autoSpaceDE w:val="0"/>
        <w:autoSpaceDN w:val="0"/>
        <w:adjustRightInd w:val="0"/>
        <w:spacing w:after="0"/>
        <w:ind w:right="144"/>
        <w:jc w:val="both"/>
        <w:rPr>
          <w:rFonts w:ascii="Arial" w:hAnsi="Arial" w:cs="Arial"/>
        </w:rPr>
      </w:pPr>
      <w:r>
        <w:rPr>
          <w:rFonts w:ascii="Arial" w:hAnsi="Arial" w:cs="Arial"/>
        </w:rPr>
        <w:t xml:space="preserve">2. </w:t>
      </w:r>
      <w:r w:rsidR="000761D3" w:rsidRPr="00E2021C">
        <w:rPr>
          <w:rFonts w:ascii="Arial" w:hAnsi="Arial" w:cs="Arial"/>
        </w:rPr>
        <w:t xml:space="preserve">Koncesiona naknada iz stava 1 ovog člana se sastoji </w:t>
      </w:r>
      <w:proofErr w:type="gramStart"/>
      <w:r w:rsidR="000761D3" w:rsidRPr="00E2021C">
        <w:rPr>
          <w:rFonts w:ascii="Arial" w:hAnsi="Arial" w:cs="Arial"/>
        </w:rPr>
        <w:t>od</w:t>
      </w:r>
      <w:proofErr w:type="gramEnd"/>
      <w:r w:rsidR="000761D3" w:rsidRPr="00E2021C">
        <w:rPr>
          <w:rFonts w:ascii="Arial" w:hAnsi="Arial" w:cs="Arial"/>
        </w:rPr>
        <w:t xml:space="preserve"> stalnog i promjenjivog dijela naknade.</w:t>
      </w:r>
    </w:p>
    <w:p w:rsidR="009D3F35" w:rsidRPr="00E2021C" w:rsidRDefault="00E2021C" w:rsidP="00E2021C">
      <w:pPr>
        <w:autoSpaceDE w:val="0"/>
        <w:autoSpaceDN w:val="0"/>
        <w:adjustRightInd w:val="0"/>
        <w:spacing w:after="0"/>
        <w:ind w:right="144"/>
        <w:jc w:val="both"/>
        <w:rPr>
          <w:rFonts w:ascii="Arial" w:hAnsi="Arial" w:cs="Arial"/>
        </w:rPr>
      </w:pPr>
      <w:r>
        <w:rPr>
          <w:rFonts w:ascii="Arial" w:hAnsi="Arial" w:cs="Arial"/>
        </w:rPr>
        <w:lastRenderedPageBreak/>
        <w:t xml:space="preserve">3. </w:t>
      </w:r>
      <w:r w:rsidR="000761D3" w:rsidRPr="00E2021C">
        <w:rPr>
          <w:rFonts w:ascii="Arial" w:hAnsi="Arial" w:cs="Arial"/>
        </w:rPr>
        <w:t xml:space="preserve">Koncesionar je dužan da za dobijeno pravo </w:t>
      </w:r>
      <w:proofErr w:type="gramStart"/>
      <w:r w:rsidR="000761D3" w:rsidRPr="00E2021C">
        <w:rPr>
          <w:rFonts w:ascii="Arial" w:hAnsi="Arial" w:cs="Arial"/>
        </w:rPr>
        <w:t>na</w:t>
      </w:r>
      <w:proofErr w:type="gramEnd"/>
      <w:r w:rsidR="000761D3" w:rsidRPr="00E2021C">
        <w:rPr>
          <w:rFonts w:ascii="Arial" w:hAnsi="Arial" w:cs="Arial"/>
        </w:rPr>
        <w:t xml:space="preserve"> eksploataciju Mineralne sirovine plaća stalni dio koncesione naknade, u ukupnom iznosu od ________ (popuniti u skladu sa ponudom), i to na sljedeći način:</w:t>
      </w:r>
    </w:p>
    <w:p w:rsidR="009D3F35" w:rsidRDefault="009D3F35" w:rsidP="00E2021C">
      <w:pPr>
        <w:pStyle w:val="ListParagraph"/>
        <w:autoSpaceDE w:val="0"/>
        <w:autoSpaceDN w:val="0"/>
        <w:adjustRightInd w:val="0"/>
        <w:spacing w:after="0"/>
        <w:ind w:left="864" w:right="144"/>
        <w:rPr>
          <w:rFonts w:ascii="Arial" w:hAnsi="Arial" w:cs="Arial"/>
        </w:rPr>
      </w:pPr>
    </w:p>
    <w:p w:rsidR="000761D3" w:rsidRPr="009D3F35" w:rsidRDefault="000761D3" w:rsidP="00E2021C">
      <w:pPr>
        <w:pStyle w:val="ListParagraph"/>
        <w:numPr>
          <w:ilvl w:val="0"/>
          <w:numId w:val="7"/>
        </w:numPr>
        <w:autoSpaceDE w:val="0"/>
        <w:autoSpaceDN w:val="0"/>
        <w:adjustRightInd w:val="0"/>
        <w:spacing w:after="0"/>
        <w:ind w:right="144"/>
        <w:rPr>
          <w:rFonts w:ascii="Arial" w:hAnsi="Arial" w:cs="Arial"/>
        </w:rPr>
      </w:pPr>
      <w:r w:rsidRPr="009D3F35">
        <w:rPr>
          <w:rFonts w:ascii="Arial" w:hAnsi="Arial" w:cs="Arial"/>
          <w:i/>
          <w:sz w:val="22"/>
        </w:rPr>
        <w:t>[popuniti u skladu sa ponudom].</w:t>
      </w:r>
    </w:p>
    <w:p w:rsidR="000761D3" w:rsidRPr="000761D3" w:rsidRDefault="000761D3" w:rsidP="00E2021C">
      <w:pPr>
        <w:autoSpaceDE w:val="0"/>
        <w:autoSpaceDN w:val="0"/>
        <w:adjustRightInd w:val="0"/>
        <w:spacing w:after="0"/>
        <w:ind w:right="144"/>
        <w:jc w:val="both"/>
        <w:rPr>
          <w:rFonts w:ascii="Arial" w:hAnsi="Arial" w:cs="Arial"/>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4. </w:t>
      </w:r>
      <w:r w:rsidR="000761D3" w:rsidRPr="00E2021C">
        <w:rPr>
          <w:rFonts w:ascii="Arial" w:hAnsi="Arial" w:cs="Arial"/>
        </w:rPr>
        <w:t>Koncesionar je dužan da iznose stalnog dijela Koncesione naknade iz stava 3 ovog člana plaća u jednakim polugodišnjim ratama do kraja juna, odnosno decembra tekuće godine.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5. </w:t>
      </w:r>
      <w:r w:rsidR="000761D3" w:rsidRPr="00E2021C">
        <w:rPr>
          <w:rFonts w:ascii="Arial" w:hAnsi="Arial" w:cs="Arial"/>
        </w:rPr>
        <w:t xml:space="preserve">Ugovorne strane su saglasne da obračun promjenjivog dijela Koncesione naknade vrši godišnje Organ uprave u skladu </w:t>
      </w:r>
      <w:proofErr w:type="gramStart"/>
      <w:r w:rsidR="000761D3" w:rsidRPr="00E2021C">
        <w:rPr>
          <w:rFonts w:ascii="Arial" w:hAnsi="Arial" w:cs="Arial"/>
        </w:rPr>
        <w:t>sa</w:t>
      </w:r>
      <w:proofErr w:type="gramEnd"/>
      <w:r w:rsidR="000761D3" w:rsidRPr="00E2021C">
        <w:rPr>
          <w:rFonts w:ascii="Arial" w:hAnsi="Arial" w:cs="Arial"/>
        </w:rPr>
        <w:t xml:space="preserve"> zakonom i parametrima utvrđenim Ugovorom. Promjenljivi dio koncesione nakade se plaća u iznosu za koji je veći od stalnog dijela koncesione naknade.</w:t>
      </w:r>
    </w:p>
    <w:p w:rsidR="000761D3" w:rsidRPr="000761D3" w:rsidRDefault="000761D3" w:rsidP="00E2021C">
      <w:pPr>
        <w:pStyle w:val="ListParagraph"/>
        <w:autoSpaceDE w:val="0"/>
        <w:autoSpaceDN w:val="0"/>
        <w:adjustRightInd w:val="0"/>
        <w:spacing w:after="0"/>
        <w:ind w:left="144" w:right="144"/>
        <w:rPr>
          <w:rFonts w:ascii="Arial" w:hAnsi="Arial" w:cs="Arial"/>
          <w:sz w:val="22"/>
        </w:rPr>
      </w:pPr>
    </w:p>
    <w:p w:rsidR="000761D3" w:rsidRPr="00E2021C" w:rsidRDefault="00E2021C" w:rsidP="00E2021C">
      <w:pPr>
        <w:autoSpaceDE w:val="0"/>
        <w:autoSpaceDN w:val="0"/>
        <w:adjustRightInd w:val="0"/>
        <w:spacing w:after="0"/>
        <w:ind w:right="144"/>
        <w:jc w:val="both"/>
        <w:rPr>
          <w:rFonts w:ascii="Arial" w:hAnsi="Arial" w:cs="Arial"/>
        </w:rPr>
      </w:pPr>
      <w:r>
        <w:rPr>
          <w:rFonts w:ascii="Arial" w:hAnsi="Arial" w:cs="Arial"/>
        </w:rPr>
        <w:t xml:space="preserve">6. </w:t>
      </w:r>
      <w:r w:rsidR="000761D3" w:rsidRPr="00E2021C">
        <w:rPr>
          <w:rFonts w:ascii="Arial" w:hAnsi="Arial" w:cs="Arial"/>
        </w:rPr>
        <w:t xml:space="preserve">Ugovorne strane su saglasne da Koncedent može za obračun godišnje vrijednosti proizvodnje Mineralne sirovine koristiti i statističke podatke o ostvarenim prosječnim godišnjim prodajnim cijenama ove vrste proizvoda </w:t>
      </w:r>
      <w:proofErr w:type="gramStart"/>
      <w:r w:rsidR="000761D3" w:rsidRPr="00E2021C">
        <w:rPr>
          <w:rFonts w:ascii="Arial" w:hAnsi="Arial" w:cs="Arial"/>
        </w:rPr>
        <w:t>na</w:t>
      </w:r>
      <w:proofErr w:type="gramEnd"/>
      <w:r w:rsidR="000761D3" w:rsidRPr="00E2021C">
        <w:rPr>
          <w:rFonts w:ascii="Arial" w:hAnsi="Arial" w:cs="Arial"/>
        </w:rPr>
        <w:t xml:space="preserve"> domaćem ili inostranom tržištu.</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 xml:space="preserve">Kontrola otkopnih količina </w:t>
      </w: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kontrolu otkopanih količina Mineralne sirovine može jedanput godišnje izvršiti institucija, komisija ili drugo lice koju odredi Organ uprave.</w:t>
      </w:r>
    </w:p>
    <w:p w:rsidR="000761D3" w:rsidRPr="000761D3" w:rsidRDefault="000761D3" w:rsidP="000761D3">
      <w:pPr>
        <w:pStyle w:val="ListParagraph"/>
        <w:spacing w:after="0"/>
        <w:ind w:left="144" w:right="144"/>
        <w:rPr>
          <w:rFonts w:ascii="Arial" w:hAnsi="Arial" w:cs="Arial"/>
          <w:sz w:val="22"/>
        </w:rPr>
      </w:pPr>
      <w:r w:rsidRPr="000761D3">
        <w:rPr>
          <w:rFonts w:ascii="Arial" w:hAnsi="Arial" w:cs="Arial"/>
          <w:sz w:val="22"/>
        </w:rPr>
        <w:t xml:space="preserve">  </w:t>
      </w:r>
    </w:p>
    <w:p w:rsidR="009D3F35" w:rsidRDefault="000761D3" w:rsidP="00FA034E">
      <w:pPr>
        <w:pStyle w:val="ListParagraph"/>
        <w:numPr>
          <w:ilvl w:val="0"/>
          <w:numId w:val="15"/>
        </w:numPr>
        <w:spacing w:after="0"/>
        <w:ind w:right="144"/>
        <w:rPr>
          <w:rFonts w:ascii="Arial" w:hAnsi="Arial" w:cs="Arial"/>
          <w:sz w:val="22"/>
        </w:rPr>
      </w:pPr>
      <w:r w:rsidRPr="000761D3">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FA034E" w:rsidRDefault="0044046F" w:rsidP="0044046F">
      <w:pPr>
        <w:pStyle w:val="ListParagraph"/>
        <w:spacing w:after="0"/>
        <w:ind w:left="864" w:right="144"/>
        <w:rPr>
          <w:rFonts w:ascii="Arial" w:hAnsi="Arial" w:cs="Arial"/>
          <w:sz w:val="22"/>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15"/>
        </w:numPr>
        <w:spacing w:after="0"/>
        <w:ind w:right="144"/>
        <w:rPr>
          <w:rFonts w:ascii="Arial" w:hAnsi="Arial" w:cs="Arial"/>
          <w:sz w:val="22"/>
        </w:rPr>
      </w:pPr>
      <w:r w:rsidRPr="000761D3">
        <w:rPr>
          <w:rFonts w:ascii="Arial" w:hAnsi="Arial" w:cs="Arial"/>
          <w:sz w:val="22"/>
        </w:rPr>
        <w:t>Troškove kontrole otkopanih količina Mineralne sirovine snosi Koncesionar.</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Bankarska garancija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Koncesionar  je dužan  da Koncedentu redovno dostavlja Bankarsku garanciju prihvatljivu za Koncedenta i plativu na prvi poziv bez prava prigovora, kao sredstvo obezbjeđenja izvršenja svih ugovornih obaveza.</w:t>
      </w:r>
    </w:p>
    <w:p w:rsidR="000761D3" w:rsidRPr="000761D3" w:rsidRDefault="000761D3" w:rsidP="000761D3">
      <w:pPr>
        <w:autoSpaceDE w:val="0"/>
        <w:spacing w:after="0"/>
        <w:ind w:left="144" w:right="144"/>
        <w:jc w:val="both"/>
        <w:rPr>
          <w:rFonts w:ascii="Arial" w:hAnsi="Arial" w:cs="Arial"/>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 xml:space="preserve">Koncesionar je </w:t>
      </w:r>
      <w:r w:rsidR="00E2021C">
        <w:rPr>
          <w:rFonts w:ascii="Arial" w:hAnsi="Arial" w:cs="Arial"/>
          <w:sz w:val="22"/>
        </w:rPr>
        <w:t>dužan da, kao preduslov stupanja</w:t>
      </w:r>
      <w:r w:rsidRPr="000761D3">
        <w:rPr>
          <w:rFonts w:ascii="Arial" w:hAnsi="Arial" w:cs="Arial"/>
          <w:sz w:val="22"/>
        </w:rPr>
        <w:t xml:space="preserve"> na snagu Ugovora, na dan zaključivanja Ugovora dostavi Koncedentu Bankarsku garanciju plativu na prvi poziv bez prava prigovora, u formi i sadržaju kao u Prilogu 1 Ugovora, kao  sredstvo obezbjeđenja izvršenja ugovornih obaveza iz člana 5 stav 2 Ugovora i drugih </w:t>
      </w:r>
      <w:r w:rsidRPr="000761D3">
        <w:rPr>
          <w:rFonts w:ascii="Arial" w:hAnsi="Arial" w:cs="Arial"/>
          <w:sz w:val="22"/>
        </w:rPr>
        <w:lastRenderedPageBreak/>
        <w:t>u</w:t>
      </w:r>
      <w:r w:rsidR="005D3263">
        <w:rPr>
          <w:rFonts w:ascii="Arial" w:hAnsi="Arial" w:cs="Arial"/>
          <w:sz w:val="22"/>
        </w:rPr>
        <w:t>govornih obaveza, u iznosu od 25.121,25</w:t>
      </w:r>
      <w:r w:rsidRPr="000761D3">
        <w:rPr>
          <w:rFonts w:ascii="Arial" w:hAnsi="Arial" w:cs="Arial"/>
          <w:sz w:val="22"/>
        </w:rPr>
        <w:t xml:space="preserve"> € (slo</w:t>
      </w:r>
      <w:r w:rsidR="005D3263">
        <w:rPr>
          <w:rFonts w:ascii="Arial" w:hAnsi="Arial" w:cs="Arial"/>
          <w:sz w:val="22"/>
        </w:rPr>
        <w:t>vima: dvadeset pet hiljada stotinu dvadeset jedan eura i dvadeset pet</w:t>
      </w:r>
      <w:r w:rsidRPr="000761D3">
        <w:rPr>
          <w:rFonts w:ascii="Arial" w:hAnsi="Arial" w:cs="Arial"/>
          <w:sz w:val="22"/>
        </w:rPr>
        <w:t xml:space="preserve"> centi)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Koncesionar je dužan da, najkasnije 30 dana prije isteka Bankarske garancije iz stava 2 ovog člana dostavi Koncedentu Bankarsku garanciju plativu na prvi poziv bez prava prigovora, u f</w:t>
      </w:r>
      <w:r w:rsidR="002813CA">
        <w:rPr>
          <w:rFonts w:ascii="Arial" w:hAnsi="Arial" w:cs="Arial"/>
          <w:sz w:val="22"/>
        </w:rPr>
        <w:t>ormi i sadržaju kao u Prilogu 2</w:t>
      </w:r>
      <w:r w:rsidR="009D3F35">
        <w:rPr>
          <w:rFonts w:ascii="Arial" w:hAnsi="Arial" w:cs="Arial"/>
          <w:sz w:val="22"/>
        </w:rPr>
        <w:t xml:space="preserve"> </w:t>
      </w:r>
      <w:r w:rsidRPr="000761D3">
        <w:rPr>
          <w:rFonts w:ascii="Arial" w:hAnsi="Arial" w:cs="Arial"/>
          <w:sz w:val="22"/>
        </w:rPr>
        <w:t xml:space="preserve">Ugovora, kao  sredstvo obezbjeđenja izvršenja svih ugovornih </w:t>
      </w:r>
      <w:r w:rsidR="009D3F35">
        <w:rPr>
          <w:rFonts w:ascii="Arial" w:hAnsi="Arial" w:cs="Arial"/>
          <w:sz w:val="22"/>
        </w:rPr>
        <w:t>obaveza, u iznosu od 50.242</w:t>
      </w:r>
      <w:r w:rsidR="00BA4947">
        <w:rPr>
          <w:rFonts w:ascii="Arial" w:hAnsi="Arial" w:cs="Arial"/>
          <w:sz w:val="22"/>
        </w:rPr>
        <w:t xml:space="preserve">,50 € (slovima: pedeset hiljada dvije stotine četrdeset dva </w:t>
      </w:r>
      <w:r w:rsidRPr="000761D3">
        <w:rPr>
          <w:rFonts w:ascii="Arial" w:hAnsi="Arial" w:cs="Arial"/>
          <w:sz w:val="22"/>
        </w:rPr>
        <w:t>eura</w:t>
      </w:r>
      <w:r w:rsidR="00BA4947">
        <w:rPr>
          <w:rFonts w:ascii="Arial" w:hAnsi="Arial" w:cs="Arial"/>
          <w:sz w:val="22"/>
        </w:rPr>
        <w:t xml:space="preserve"> i pedeset centi</w:t>
      </w:r>
      <w:r w:rsidRPr="000761D3">
        <w:rPr>
          <w:rFonts w:ascii="Arial" w:hAnsi="Arial" w:cs="Arial"/>
          <w:sz w:val="22"/>
        </w:rPr>
        <w:t>) i sa rokom važenja od godinu dana od datuma izdavanja.</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spacing w:after="0"/>
        <w:ind w:right="144"/>
        <w:rPr>
          <w:rFonts w:ascii="Arial" w:hAnsi="Arial" w:cs="Arial"/>
          <w:sz w:val="22"/>
        </w:rPr>
      </w:pPr>
      <w:r w:rsidRPr="000761D3">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Po dostavljanju nove Bankarske garancije prethodna Bankarska garancija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6"/>
        </w:numPr>
        <w:autoSpaceDE w:val="0"/>
        <w:spacing w:after="0"/>
        <w:ind w:right="144"/>
        <w:rPr>
          <w:rFonts w:ascii="Arial" w:hAnsi="Arial" w:cs="Arial"/>
          <w:sz w:val="22"/>
        </w:rPr>
      </w:pPr>
      <w:r w:rsidRPr="000761D3">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Pr>
          <w:rFonts w:ascii="Arial" w:hAnsi="Arial" w:cs="Arial"/>
          <w:sz w:val="22"/>
        </w:rPr>
        <w:t xml:space="preserve"> okolnosti definisanih članom 17</w:t>
      </w:r>
      <w:r w:rsidRPr="000761D3">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rsidR="000761D3" w:rsidRPr="000761D3" w:rsidRDefault="000761D3" w:rsidP="000761D3">
      <w:pPr>
        <w:pStyle w:val="ListParagraph"/>
        <w:autoSpaceDE w:val="0"/>
        <w:spacing w:after="0"/>
        <w:ind w:left="144" w:right="144"/>
        <w:rPr>
          <w:rFonts w:ascii="Arial" w:hAnsi="Arial" w:cs="Arial"/>
          <w:sz w:val="22"/>
        </w:rPr>
      </w:pPr>
    </w:p>
    <w:p w:rsidR="000761D3" w:rsidRDefault="000761D3" w:rsidP="00650E6C">
      <w:pPr>
        <w:pStyle w:val="ListParagraph"/>
        <w:numPr>
          <w:ilvl w:val="0"/>
          <w:numId w:val="16"/>
        </w:numPr>
        <w:spacing w:after="0"/>
        <w:ind w:right="144"/>
        <w:rPr>
          <w:rFonts w:ascii="Arial" w:hAnsi="Arial" w:cs="Arial"/>
          <w:sz w:val="22"/>
        </w:rPr>
      </w:pPr>
      <w:r w:rsidRPr="000761D3">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650E6C" w:rsidRDefault="00650E6C" w:rsidP="00650E6C">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Rekultivacija i sanacija površina i sredstvo obezbjeđenja </w:t>
      </w:r>
    </w:p>
    <w:p w:rsidR="000761D3" w:rsidRPr="000761D3" w:rsidRDefault="000761D3" w:rsidP="000761D3">
      <w:pPr>
        <w:autoSpaceDE w:val="0"/>
        <w:autoSpaceDN w:val="0"/>
        <w:adjustRightInd w:val="0"/>
        <w:spacing w:after="0"/>
        <w:ind w:left="144" w:right="144"/>
        <w:jc w:val="both"/>
        <w:rPr>
          <w:rFonts w:ascii="Arial" w:hAnsi="Arial" w:cs="Arial"/>
          <w:b/>
        </w:rPr>
      </w:pPr>
    </w:p>
    <w:p w:rsidR="00650E6C" w:rsidRPr="00650E6C"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Koncesionar je dužan da u toku i po završetku izvođenja rudarskih radova na </w:t>
      </w:r>
    </w:p>
    <w:p w:rsidR="000761D3" w:rsidRPr="000761D3" w:rsidRDefault="000761D3" w:rsidP="00650E6C">
      <w:pPr>
        <w:pStyle w:val="ListParagraph"/>
        <w:autoSpaceDE w:val="0"/>
        <w:autoSpaceDN w:val="0"/>
        <w:adjustRightInd w:val="0"/>
        <w:spacing w:after="0"/>
        <w:ind w:left="864" w:right="144"/>
        <w:rPr>
          <w:rFonts w:ascii="Arial" w:hAnsi="Arial" w:cs="Arial"/>
          <w:color w:val="000000" w:themeColor="text1"/>
          <w:sz w:val="22"/>
        </w:rPr>
      </w:pPr>
      <w:r w:rsidRPr="000761D3">
        <w:rPr>
          <w:rFonts w:ascii="Arial" w:hAnsi="Arial" w:cs="Arial"/>
          <w:sz w:val="22"/>
        </w:rPr>
        <w:lastRenderedPageBreak/>
        <w:t xml:space="preserve">eksploataciji Mineralne sirovine, bez obzira na uzrok završetka izvođenja radova, izvrši sanaciju i </w:t>
      </w:r>
      <w:r w:rsidRPr="000761D3">
        <w:rPr>
          <w:rFonts w:ascii="Arial" w:hAnsi="Arial" w:cs="Arial"/>
          <w:color w:val="000000" w:themeColor="text1"/>
          <w:sz w:val="22"/>
        </w:rPr>
        <w:t>rekultivaciju površina na kojima su izvođeni rudarski radovi u skladu sa zakonom.</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0761D3">
        <w:rPr>
          <w:rFonts w:ascii="Arial" w:hAnsi="Arial" w:cs="Arial"/>
          <w:sz w:val="22"/>
        </w:rPr>
        <w:t xml:space="preserve">, istu može izvršiti Koncedent o trošku Koncesionara.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sz w:val="22"/>
        </w:rPr>
        <w:t xml:space="preserve">Bez obzira na odredbe stava 2 ovog člana, u slučaju da Koncesionar u roku do četiri mjeseca od dana završetka izvođenja rudarskih radova na eksploataciji Mineralne sirovine ne otpočne sa izvođenjem radova na sanaciji i rekultivaciji </w:t>
      </w:r>
      <w:r w:rsidRPr="000761D3">
        <w:rPr>
          <w:rFonts w:ascii="Arial" w:hAnsi="Arial" w:cs="Arial"/>
          <w:color w:val="000000" w:themeColor="text1"/>
          <w:sz w:val="22"/>
        </w:rPr>
        <w:t>površina na kojima su izvođeni rudarski radovi</w:t>
      </w:r>
      <w:r w:rsidRPr="000761D3">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0761D3">
        <w:rPr>
          <w:rFonts w:ascii="Arial" w:hAnsi="Arial" w:cs="Arial"/>
          <w:color w:val="000000" w:themeColor="text1"/>
          <w:sz w:val="22"/>
        </w:rPr>
        <w:t>površina na kojima su izvođeni rudarski radovi o trošku Koncesionara.</w:t>
      </w:r>
    </w:p>
    <w:p w:rsidR="000761D3" w:rsidRPr="000761D3" w:rsidRDefault="000761D3" w:rsidP="000761D3">
      <w:pPr>
        <w:pStyle w:val="ListParagraph"/>
        <w:autoSpaceDE w:val="0"/>
        <w:autoSpaceDN w:val="0"/>
        <w:adjustRightInd w:val="0"/>
        <w:spacing w:after="0"/>
        <w:ind w:left="144" w:right="144"/>
        <w:rPr>
          <w:rFonts w:ascii="Arial" w:hAnsi="Arial" w:cs="Arial"/>
          <w:color w:val="000000" w:themeColor="text1"/>
          <w:sz w:val="22"/>
        </w:rPr>
      </w:pPr>
    </w:p>
    <w:p w:rsidR="000761D3" w:rsidRDefault="000761D3" w:rsidP="00B55AEB">
      <w:pPr>
        <w:pStyle w:val="ListParagraph"/>
        <w:numPr>
          <w:ilvl w:val="0"/>
          <w:numId w:val="17"/>
        </w:numPr>
        <w:autoSpaceDE w:val="0"/>
        <w:autoSpaceDN w:val="0"/>
        <w:adjustRightInd w:val="0"/>
        <w:spacing w:after="0"/>
        <w:ind w:right="144"/>
        <w:rPr>
          <w:rFonts w:ascii="Arial" w:hAnsi="Arial" w:cs="Arial"/>
          <w:color w:val="000000" w:themeColor="text1"/>
          <w:sz w:val="22"/>
        </w:rPr>
      </w:pPr>
      <w:r w:rsidRPr="000761D3">
        <w:rPr>
          <w:rFonts w:ascii="Arial" w:hAnsi="Arial" w:cs="Arial"/>
          <w:color w:val="000000" w:themeColor="text1"/>
          <w:sz w:val="22"/>
        </w:rPr>
        <w:t>Ugovorne strane su saglasne da je Koncesionar dužan da</w:t>
      </w:r>
      <w:r w:rsidR="00F936FD">
        <w:rPr>
          <w:rFonts w:ascii="Arial" w:hAnsi="Arial" w:cs="Arial"/>
          <w:color w:val="000000" w:themeColor="text1"/>
          <w:sz w:val="22"/>
        </w:rPr>
        <w:t xml:space="preserve">, u trenutku kada se steknu uslovi za obračun godišnjeg iznosa sredstava za rekultivaciju, dostavi Koncedentu, u skladu sa zakonom, a njegov zahtjev </w:t>
      </w:r>
      <w:r w:rsidRPr="000761D3">
        <w:rPr>
          <w:rFonts w:ascii="Arial" w:hAnsi="Arial" w:cs="Arial"/>
          <w:color w:val="000000" w:themeColor="text1"/>
          <w:sz w:val="22"/>
        </w:rPr>
        <w:t xml:space="preserve">Bankarsku garanciju za rekultivaciju, plativu na prvi poziv bez prava prigovora, u </w:t>
      </w:r>
      <w:r w:rsidR="00154BF9">
        <w:rPr>
          <w:rFonts w:ascii="Arial" w:hAnsi="Arial" w:cs="Arial"/>
          <w:color w:val="000000" w:themeColor="text1"/>
          <w:sz w:val="22"/>
        </w:rPr>
        <w:t>formi i sadržaju kao u Prilogu 3</w:t>
      </w:r>
      <w:r w:rsidRPr="000761D3">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rsidR="00F936FD" w:rsidRPr="00BA4947" w:rsidRDefault="00F936FD" w:rsidP="00F936FD">
      <w:pPr>
        <w:pStyle w:val="ListParagraph"/>
        <w:autoSpaceDE w:val="0"/>
        <w:autoSpaceDN w:val="0"/>
        <w:adjustRightInd w:val="0"/>
        <w:spacing w:after="0"/>
        <w:ind w:left="864" w:right="144"/>
        <w:rPr>
          <w:rFonts w:ascii="Arial" w:hAnsi="Arial" w:cs="Arial"/>
          <w:color w:val="000000" w:themeColor="text1"/>
          <w:sz w:val="22"/>
        </w:rPr>
      </w:pPr>
    </w:p>
    <w:p w:rsidR="000761D3" w:rsidRDefault="000761D3" w:rsidP="00B55AEB">
      <w:pPr>
        <w:pStyle w:val="ListParagraph"/>
        <w:numPr>
          <w:ilvl w:val="0"/>
          <w:numId w:val="17"/>
        </w:numPr>
        <w:spacing w:after="0"/>
        <w:ind w:right="144"/>
        <w:rPr>
          <w:rFonts w:ascii="Arial" w:hAnsi="Arial" w:cs="Arial"/>
          <w:color w:val="000000" w:themeColor="text1"/>
          <w:sz w:val="22"/>
        </w:rPr>
      </w:pPr>
      <w:r w:rsidRPr="000761D3">
        <w:rPr>
          <w:rFonts w:ascii="Arial" w:hAnsi="Arial" w:cs="Arial"/>
          <w:color w:val="000000" w:themeColor="text1"/>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0761D3" w:rsidRDefault="00BA4947" w:rsidP="00BA4947">
      <w:pPr>
        <w:pStyle w:val="ListParagraph"/>
        <w:spacing w:after="0"/>
        <w:ind w:left="144" w:right="144"/>
        <w:rPr>
          <w:rFonts w:ascii="Arial" w:hAnsi="Arial" w:cs="Arial"/>
          <w:color w:val="000000" w:themeColor="text1"/>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color w:val="000000" w:themeColor="text1"/>
          <w:sz w:val="22"/>
        </w:rPr>
        <w:t xml:space="preserve">U slučaju da Koncedent u skladu sa stavom 2 ili 3 ovog člana izvrši sanaciju i rekultivaciju površina na kojima su izvođeni rudarski radovi, isti ima pravo na aktivaciju Bankarske garancije za </w:t>
      </w:r>
      <w:r w:rsidRPr="000761D3">
        <w:rPr>
          <w:rFonts w:ascii="Arial" w:hAnsi="Arial" w:cs="Arial"/>
          <w:sz w:val="22"/>
        </w:rPr>
        <w:t>rekultivac</w:t>
      </w:r>
      <w:r w:rsidR="006552F3">
        <w:rPr>
          <w:rFonts w:ascii="Arial" w:hAnsi="Arial" w:cs="Arial"/>
          <w:sz w:val="22"/>
        </w:rPr>
        <w:t>iju ili povlačenje drugog sredstva obezbjeđenja izvršenja obaveze rekultivacije, u skladu sa zakonom.</w:t>
      </w:r>
      <w:r w:rsidRPr="000761D3">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lastRenderedPageBreak/>
        <w:t>Ugovorne strane su saglasne da Koncedent u skladu sa zakonom određuje visinu novčanog iznosa na koji se izdaje Bankarska garancija za rekultivaciju iz stava 4 i 5 ovog člana.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17"/>
        </w:numPr>
        <w:spacing w:after="0"/>
        <w:ind w:right="144"/>
        <w:rPr>
          <w:rFonts w:ascii="Arial" w:hAnsi="Arial" w:cs="Arial"/>
          <w:sz w:val="22"/>
        </w:rPr>
      </w:pPr>
      <w:r w:rsidRPr="000761D3">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Default="00BA4947" w:rsidP="00BA4947">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spacing w:after="0"/>
        <w:ind w:right="144"/>
        <w:rPr>
          <w:rFonts w:ascii="Arial" w:hAnsi="Arial" w:cs="Arial"/>
          <w:sz w:val="22"/>
        </w:rPr>
      </w:pPr>
      <w:r w:rsidRPr="000761D3">
        <w:rPr>
          <w:rFonts w:ascii="Arial" w:hAnsi="Arial" w:cs="Arial"/>
          <w:sz w:val="22"/>
        </w:rPr>
        <w:t>Po dostavljanju nove Bankarske garancije za rekultivaciju prethodna Bankarska garancija za rekultivaciju će se vratiti Koncesionaru.</w:t>
      </w:r>
    </w:p>
    <w:p w:rsidR="000761D3" w:rsidRPr="000761D3" w:rsidRDefault="000761D3" w:rsidP="000761D3">
      <w:pPr>
        <w:pStyle w:val="ListParagraph"/>
        <w:autoSpaceDE w:val="0"/>
        <w:spacing w:after="0"/>
        <w:ind w:left="144" w:right="144"/>
        <w:rPr>
          <w:rFonts w:ascii="Arial" w:hAnsi="Arial" w:cs="Arial"/>
          <w:sz w:val="22"/>
        </w:rPr>
      </w:pPr>
    </w:p>
    <w:p w:rsidR="000761D3" w:rsidRPr="000761D3" w:rsidRDefault="000761D3" w:rsidP="00B55AEB">
      <w:pPr>
        <w:pStyle w:val="ListParagraph"/>
        <w:numPr>
          <w:ilvl w:val="0"/>
          <w:numId w:val="17"/>
        </w:numPr>
        <w:autoSpaceDE w:val="0"/>
        <w:autoSpaceDN w:val="0"/>
        <w:adjustRightInd w:val="0"/>
        <w:spacing w:after="0"/>
        <w:ind w:right="144"/>
        <w:rPr>
          <w:rFonts w:ascii="Arial" w:hAnsi="Arial" w:cs="Arial"/>
          <w:sz w:val="22"/>
        </w:rPr>
      </w:pPr>
      <w:r w:rsidRPr="000761D3">
        <w:rPr>
          <w:rFonts w:ascii="Arial" w:hAnsi="Arial" w:cs="Arial"/>
          <w:sz w:val="22"/>
        </w:rPr>
        <w:t>Ugovorne strane su saglasne da Koncedent ima pravo</w:t>
      </w:r>
      <w:r w:rsidR="006552F3">
        <w:rPr>
          <w:rFonts w:ascii="Arial" w:hAnsi="Arial" w:cs="Arial"/>
          <w:sz w:val="22"/>
        </w:rPr>
        <w:t xml:space="preserve"> da, u skladu zahtijeva drugo</w:t>
      </w:r>
      <w:r w:rsidRPr="000761D3">
        <w:rPr>
          <w:rFonts w:ascii="Arial" w:hAnsi="Arial" w:cs="Arial"/>
          <w:sz w:val="22"/>
        </w:rPr>
        <w:t xml:space="preserve"> </w:t>
      </w:r>
      <w:r w:rsidR="006552F3">
        <w:rPr>
          <w:rFonts w:ascii="Arial" w:hAnsi="Arial" w:cs="Arial"/>
          <w:sz w:val="22"/>
        </w:rPr>
        <w:t xml:space="preserve">sredstvo obezbjeđenja izvršenja rekultivacije definisanih ovim članom, različito od bankarske garancije za rekultivaciju </w:t>
      </w:r>
      <w:r w:rsidRPr="000761D3">
        <w:rPr>
          <w:rFonts w:ascii="Arial" w:hAnsi="Arial" w:cs="Arial"/>
          <w:sz w:val="22"/>
        </w:rPr>
        <w:t>oblik novčanog plaćanja različit od Bankarske</w:t>
      </w:r>
      <w:r w:rsidR="006552F3">
        <w:rPr>
          <w:rFonts w:ascii="Arial" w:hAnsi="Arial" w:cs="Arial"/>
          <w:sz w:val="22"/>
        </w:rPr>
        <w:t xml:space="preserve"> garanciju za rekultivaciju</w:t>
      </w:r>
      <w:r w:rsidRPr="000761D3">
        <w:rPr>
          <w:rFonts w:ascii="Arial" w:hAnsi="Arial" w:cs="Arial"/>
          <w:sz w:val="22"/>
        </w:rPr>
        <w:t>. U tom slučaju</w:t>
      </w:r>
      <w:r w:rsidR="006552F3">
        <w:rPr>
          <w:rFonts w:ascii="Arial" w:hAnsi="Arial" w:cs="Arial"/>
          <w:sz w:val="22"/>
        </w:rPr>
        <w:t>, nakon obezbjeđenja drugog sredstva obezbjeđenja izvršenja obaveze rekultivacije od strane Koncesionara, u skladu sa zakonom</w:t>
      </w:r>
      <w:r w:rsidRPr="000761D3">
        <w:rPr>
          <w:rFonts w:ascii="Arial" w:hAnsi="Arial" w:cs="Arial"/>
          <w:sz w:val="22"/>
        </w:rPr>
        <w:t>, Koncedent će izvršiti povraćaj tekuće Bankarske garancije za rekultivaciju.</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Koncesiono društvo</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Nakon osnivanja Koncesionog društva iz stava 1 ovog člana i njegove registracije, sva prava i obaveze Koncesionara iz ovog Ugovora predstavljaće istovremeno prava i obaveze Koncesionog društva</w:t>
      </w:r>
      <w:r w:rsidRPr="000761D3">
        <w:rPr>
          <w:rFonts w:ascii="Arial" w:hAnsi="Arial" w:cs="Arial"/>
          <w:b/>
          <w:sz w:val="22"/>
        </w:rPr>
        <w:t>.</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Bez obzira na stav 3 ovog člana Koncesionar i Koncesiono društvo ostaju neograničeno solidarno odgovorni Koncedentu za ispunjenje svih ugovornih obaveza.</w:t>
      </w:r>
    </w:p>
    <w:p w:rsidR="000761D3" w:rsidRPr="000761D3" w:rsidRDefault="000761D3" w:rsidP="000761D3">
      <w:pPr>
        <w:pStyle w:val="ListParagraph"/>
        <w:spacing w:after="0"/>
        <w:ind w:left="144" w:right="144"/>
        <w:rPr>
          <w:rFonts w:ascii="Arial" w:hAnsi="Arial" w:cs="Arial"/>
          <w:sz w:val="22"/>
        </w:rPr>
      </w:pPr>
    </w:p>
    <w:p w:rsidR="00BA4947"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Koncedent je ovlašćen da po sopstvenom nahođenju i/ili od Koncesionara i/ili od Koncesionog društva:</w:t>
      </w:r>
      <w:r w:rsidRPr="00BA4947">
        <w:rPr>
          <w:rFonts w:ascii="Arial" w:hAnsi="Arial" w:cs="Arial"/>
          <w:sz w:val="22"/>
        </w:rPr>
        <w:t>zahtijeva ispunjenje bilo koje ugovorne obaveze, odnosno traži prinudno izvršenje bilo koje ugovorne obaveze, i</w:t>
      </w:r>
    </w:p>
    <w:p w:rsidR="00BA4947" w:rsidRDefault="00BA4947" w:rsidP="00BA4947">
      <w:pPr>
        <w:pStyle w:val="ListParagraph"/>
        <w:spacing w:after="0"/>
        <w:ind w:left="864" w:right="144"/>
        <w:rPr>
          <w:rFonts w:ascii="Arial" w:hAnsi="Arial" w:cs="Arial"/>
          <w:sz w:val="22"/>
        </w:rPr>
      </w:pPr>
    </w:p>
    <w:p w:rsid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zahtijeva obeštećenje za bilo koji gubitak koji je pretrpio usled radnje Koncesionara, odnosno usl</w:t>
      </w:r>
      <w:r w:rsidR="00BA4947">
        <w:rPr>
          <w:rFonts w:ascii="Arial" w:hAnsi="Arial" w:cs="Arial"/>
          <w:sz w:val="22"/>
        </w:rPr>
        <w:t>ij</w:t>
      </w:r>
      <w:r w:rsidRPr="00BA4947">
        <w:rPr>
          <w:rFonts w:ascii="Arial" w:hAnsi="Arial" w:cs="Arial"/>
          <w:sz w:val="22"/>
        </w:rPr>
        <w:t xml:space="preserve">ed toga što neka obaveza Koncesionara, u skladu s ovim Ugovorom, nije ispunjena u vrijeme i </w:t>
      </w:r>
    </w:p>
    <w:p w:rsidR="00BA4947" w:rsidRDefault="00BA4947" w:rsidP="00BA4947">
      <w:pPr>
        <w:pStyle w:val="ListParagraph"/>
        <w:spacing w:after="0"/>
        <w:ind w:left="1584" w:right="144"/>
        <w:rPr>
          <w:rFonts w:ascii="Arial" w:hAnsi="Arial" w:cs="Arial"/>
          <w:sz w:val="22"/>
        </w:rPr>
      </w:pPr>
    </w:p>
    <w:p w:rsidR="000761D3" w:rsidRPr="00BA4947" w:rsidRDefault="000761D3" w:rsidP="00B55AEB">
      <w:pPr>
        <w:pStyle w:val="ListParagraph"/>
        <w:numPr>
          <w:ilvl w:val="0"/>
          <w:numId w:val="19"/>
        </w:numPr>
        <w:spacing w:after="0"/>
        <w:ind w:right="144"/>
        <w:rPr>
          <w:rFonts w:ascii="Arial" w:hAnsi="Arial" w:cs="Arial"/>
          <w:sz w:val="22"/>
        </w:rPr>
      </w:pPr>
      <w:r w:rsidRPr="00BA4947">
        <w:rPr>
          <w:rFonts w:ascii="Arial" w:hAnsi="Arial" w:cs="Arial"/>
          <w:sz w:val="22"/>
        </w:rPr>
        <w:t>na način kao što je to ovim Ugovorom određeno.</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 xml:space="preserve">Koncesionar ne može na bilo koji način raspolagati (prodaja, prenos ili uspostavljanje tereta) udjelima u Koncesionom društvu, niti smije na bilo koji način efektivno prenijeti </w:t>
      </w:r>
      <w:r w:rsidRPr="000761D3">
        <w:rPr>
          <w:rFonts w:ascii="Arial" w:hAnsi="Arial" w:cs="Arial"/>
          <w:sz w:val="22"/>
        </w:rPr>
        <w:lastRenderedPageBreak/>
        <w:t xml:space="preserve">pravo upravljanja nad Koncesionim društvom, bez prethodne saglasnosti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18"/>
        </w:numPr>
        <w:spacing w:after="0"/>
        <w:ind w:right="144"/>
        <w:rPr>
          <w:rFonts w:ascii="Arial" w:hAnsi="Arial" w:cs="Arial"/>
          <w:sz w:val="22"/>
        </w:rPr>
      </w:pPr>
      <w:r w:rsidRPr="000761D3">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0761D3" w:rsidRPr="000761D3" w:rsidRDefault="000761D3" w:rsidP="000761D3">
      <w:pPr>
        <w:spacing w:after="0"/>
        <w:ind w:left="144" w:right="144"/>
        <w:jc w:val="both"/>
        <w:rPr>
          <w:rFonts w:ascii="Arial" w:hAnsi="Arial" w:cs="Arial"/>
        </w:rPr>
      </w:pPr>
    </w:p>
    <w:p w:rsidR="000761D3" w:rsidRPr="00BA4947" w:rsidRDefault="000761D3" w:rsidP="00BA4947">
      <w:pPr>
        <w:pStyle w:val="ListParagraph"/>
        <w:spacing w:after="0"/>
        <w:ind w:left="864" w:right="144"/>
        <w:rPr>
          <w:rFonts w:ascii="Arial" w:hAnsi="Arial" w:cs="Arial"/>
          <w:i/>
          <w:sz w:val="22"/>
        </w:rPr>
      </w:pPr>
      <w:r w:rsidRPr="00BA4947">
        <w:rPr>
          <w:rFonts w:ascii="Arial" w:hAnsi="Arial" w:cs="Arial"/>
          <w:sz w:val="22"/>
        </w:rPr>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0761D3" w:rsidRDefault="000761D3" w:rsidP="000761D3">
      <w:pPr>
        <w:autoSpaceDE w:val="0"/>
        <w:autoSpaceDN w:val="0"/>
        <w:adjustRightInd w:val="0"/>
        <w:spacing w:after="0"/>
        <w:ind w:left="144" w:right="144"/>
        <w:jc w:val="both"/>
        <w:rPr>
          <w:rFonts w:ascii="Arial" w:hAnsi="Arial" w:cs="Arial"/>
        </w:rPr>
      </w:pPr>
    </w:p>
    <w:p w:rsidR="000761D3" w:rsidRPr="000761D3" w:rsidRDefault="000761D3" w:rsidP="00B55AEB">
      <w:pPr>
        <w:pStyle w:val="ListParagraph"/>
        <w:numPr>
          <w:ilvl w:val="0"/>
          <w:numId w:val="4"/>
        </w:numPr>
        <w:autoSpaceDE w:val="0"/>
        <w:autoSpaceDN w:val="0"/>
        <w:adjustRightInd w:val="0"/>
        <w:spacing w:after="0"/>
        <w:ind w:left="144" w:right="144" w:firstLine="0"/>
        <w:rPr>
          <w:rFonts w:ascii="Arial" w:hAnsi="Arial" w:cs="Arial"/>
          <w:b/>
          <w:sz w:val="22"/>
        </w:rPr>
      </w:pPr>
      <w:r w:rsidRPr="000761D3">
        <w:rPr>
          <w:rFonts w:ascii="Arial" w:hAnsi="Arial" w:cs="Arial"/>
          <w:b/>
          <w:sz w:val="22"/>
        </w:rPr>
        <w:t>Odgovornost Koncesionara i Koncesionog društva</w:t>
      </w:r>
    </w:p>
    <w:p w:rsidR="000761D3" w:rsidRPr="000761D3" w:rsidRDefault="000761D3" w:rsidP="000761D3">
      <w:pPr>
        <w:pStyle w:val="ListParagraph"/>
        <w:autoSpaceDE w:val="0"/>
        <w:autoSpaceDN w:val="0"/>
        <w:adjustRightInd w:val="0"/>
        <w:spacing w:after="0"/>
        <w:ind w:left="144" w:right="144"/>
        <w:rPr>
          <w:rFonts w:ascii="Arial" w:hAnsi="Arial" w:cs="Arial"/>
          <w:b/>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nastalu obavljanjem Koncesione djelatnosti koju pretrpi Koncedent ili treća strana.</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0"/>
        </w:numPr>
        <w:spacing w:after="0"/>
        <w:ind w:right="144"/>
        <w:rPr>
          <w:rFonts w:ascii="Arial" w:hAnsi="Arial" w:cs="Arial"/>
          <w:sz w:val="22"/>
        </w:rPr>
      </w:pPr>
      <w:r w:rsidRPr="00BA4947">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BA4947" w:rsidRDefault="000761D3" w:rsidP="000761D3">
      <w:pPr>
        <w:pStyle w:val="ListParagraph"/>
        <w:spacing w:after="0"/>
        <w:ind w:left="144" w:right="144"/>
        <w:rPr>
          <w:rFonts w:ascii="Arial" w:hAnsi="Arial" w:cs="Arial"/>
          <w:sz w:val="22"/>
        </w:rPr>
      </w:pPr>
    </w:p>
    <w:p w:rsidR="000761D3" w:rsidRPr="00BA4947" w:rsidRDefault="000761D3" w:rsidP="00BA4947">
      <w:pPr>
        <w:pStyle w:val="ListParagraph"/>
        <w:spacing w:after="0"/>
        <w:ind w:right="144"/>
        <w:rPr>
          <w:rFonts w:ascii="Arial" w:hAnsi="Arial" w:cs="Arial"/>
          <w:i/>
          <w:sz w:val="22"/>
        </w:rPr>
      </w:pPr>
      <w:r w:rsidRPr="00BA4947">
        <w:rPr>
          <w:rFonts w:ascii="Arial" w:hAnsi="Arial" w:cs="Arial"/>
          <w:sz w:val="22"/>
        </w:rPr>
        <w:t>[</w:t>
      </w:r>
      <w:r w:rsidRPr="00BA4947">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prilagoditi na način što će se brisati dio koji se odnosi na Koncesiono društvo, tj Koncesionar će ostati odgovorno lice).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Viša sila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w:t>
      </w:r>
      <w:r w:rsidRPr="000761D3">
        <w:rPr>
          <w:rFonts w:ascii="Arial" w:hAnsi="Arial" w:cs="Arial"/>
          <w:sz w:val="22"/>
        </w:rPr>
        <w:lastRenderedPageBreak/>
        <w:t>ili neobjavljen ratovi, prekogranična neprijateljstva, blokade, karantinska ograničenja, građanski nemiri ili neredi.</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0761D3" w:rsidRDefault="000761D3" w:rsidP="000761D3">
      <w:pPr>
        <w:pStyle w:val="ListParagraph"/>
        <w:spacing w:after="0"/>
        <w:ind w:left="144" w:right="144"/>
        <w:rPr>
          <w:rFonts w:ascii="Arial" w:hAnsi="Arial" w:cs="Arial"/>
          <w:sz w:val="22"/>
        </w:rPr>
      </w:pPr>
    </w:p>
    <w:p w:rsid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0761D3" w:rsidRDefault="00BA4947" w:rsidP="00BA4947">
      <w:pPr>
        <w:pStyle w:val="ListParagraph"/>
        <w:spacing w:after="0"/>
        <w:ind w:left="144" w:right="144"/>
        <w:rPr>
          <w:rFonts w:ascii="Arial" w:hAnsi="Arial" w:cs="Arial"/>
          <w:sz w:val="22"/>
        </w:rPr>
      </w:pPr>
    </w:p>
    <w:p w:rsidR="000761D3" w:rsidRPr="000761D3" w:rsidRDefault="000761D3" w:rsidP="00B55AEB">
      <w:pPr>
        <w:pStyle w:val="ListParagraph"/>
        <w:numPr>
          <w:ilvl w:val="0"/>
          <w:numId w:val="21"/>
        </w:numPr>
        <w:spacing w:after="0"/>
        <w:ind w:right="144"/>
        <w:rPr>
          <w:rFonts w:ascii="Arial" w:hAnsi="Arial" w:cs="Arial"/>
          <w:sz w:val="22"/>
        </w:rPr>
      </w:pPr>
      <w:r w:rsidRPr="000761D3">
        <w:rPr>
          <w:rFonts w:ascii="Arial" w:hAnsi="Arial" w:cs="Arial"/>
          <w:sz w:val="22"/>
        </w:rPr>
        <w:t xml:space="preserve">U slučaju Više sile </w:t>
      </w:r>
      <w:r w:rsidRPr="000761D3">
        <w:rPr>
          <w:rFonts w:ascii="Arial" w:hAnsi="Arial" w:cs="Arial"/>
          <w:color w:val="000000"/>
          <w:sz w:val="22"/>
        </w:rPr>
        <w:t xml:space="preserve">privremeno miruju prava i obaveze iz Ugovora do prestanka dejstva Više sile. Odluku o mirovanju prava i obaveza Koncesionara iz Ugovora donosi Koncedent na osnovu pisanog zahtjeva Koncesionara. Ugovorne </w:t>
      </w:r>
      <w:r w:rsidRPr="000761D3">
        <w:rPr>
          <w:rFonts w:ascii="Arial" w:hAnsi="Arial" w:cs="Arial"/>
          <w:sz w:val="22"/>
        </w:rPr>
        <w:t xml:space="preserve">strane će, što je prije moguće, sprovesti konsultacije u dobroj mjeri kako bi se dogovorile o odgovarajućim radnjama radi umanjenja posljedica Više sile i kako bi obezbijedili dalje izvršenje ugovornih obaveza. </w:t>
      </w:r>
    </w:p>
    <w:p w:rsidR="000761D3" w:rsidRPr="000761D3" w:rsidRDefault="000761D3" w:rsidP="000761D3">
      <w:pPr>
        <w:pStyle w:val="ListParagraph"/>
        <w:spacing w:after="0"/>
        <w:ind w:left="144" w:right="144"/>
        <w:rPr>
          <w:rFonts w:ascii="Arial" w:hAnsi="Arial" w:cs="Arial"/>
          <w:sz w:val="22"/>
        </w:rPr>
      </w:pPr>
    </w:p>
    <w:p w:rsidR="000761D3" w:rsidRDefault="000761D3" w:rsidP="00A17E70">
      <w:pPr>
        <w:pStyle w:val="ListParagraph"/>
        <w:numPr>
          <w:ilvl w:val="0"/>
          <w:numId w:val="21"/>
        </w:numPr>
        <w:spacing w:after="0"/>
        <w:ind w:right="144"/>
        <w:rPr>
          <w:rFonts w:ascii="Arial" w:hAnsi="Arial" w:cs="Arial"/>
          <w:sz w:val="22"/>
        </w:rPr>
      </w:pPr>
      <w:r w:rsidRPr="000761D3">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A17E70" w:rsidRDefault="00D54433" w:rsidP="00D54433">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Raskid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Ugovorne strane su saglasne da Koncedent ima pravo da raskine Ugovor dostavljanjem obavještenja o raskidu, bez davanja roka za otklanjanje povreda Ugovora, ukoliko:</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pokrenut postupak bankrotstva ili likvidacije nad Koncesionarom [ili Koncesionim društvom]ili Koncesionim društvom;</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je koncesija data na osnovu netačnih podataka bitnih za donošenje odluke o davanju koncesije i zaključivanje ovog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lastRenderedPageBreak/>
        <w:t>Koncesionar svoja prava i obaveze iz ovog Ugovora prenese na drugo privredno društvo bez prethodne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izvrši prenos vlasničkoj udjela na drugo pravno ili fizičko lice bez p</w:t>
      </w:r>
      <w:r w:rsidR="006552F3">
        <w:rPr>
          <w:rFonts w:ascii="Arial" w:hAnsi="Arial" w:cs="Arial"/>
          <w:sz w:val="22"/>
          <w:szCs w:val="22"/>
        </w:rPr>
        <w:t>rethodne saglasnosti Koncedenta;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i/>
          <w:sz w:val="22"/>
          <w:szCs w:val="22"/>
        </w:rPr>
      </w:pPr>
      <w:r w:rsidRPr="000761D3">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6552F3">
        <w:rPr>
          <w:rFonts w:ascii="Arial" w:hAnsi="Arial" w:cs="Arial"/>
          <w:sz w:val="22"/>
          <w:szCs w:val="22"/>
        </w:rPr>
        <w:t xml:space="preserve"> </w:t>
      </w:r>
      <w:r w:rsidRPr="000761D3">
        <w:rPr>
          <w:rFonts w:ascii="Arial" w:hAnsi="Arial" w:cs="Arial"/>
          <w:i/>
          <w:sz w:val="22"/>
          <w:szCs w:val="22"/>
        </w:rPr>
        <w:t>[u slučaju dodjele ugovora o koncesiji pravnom licu osnovanom u inostranstvu, odnosno ćerki kompaniji tog lica osnovanoj u Crnoj Gori];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prikaže netačne podatke o eksploatisanim količin</w:t>
      </w:r>
      <w:r w:rsidR="006552F3">
        <w:rPr>
          <w:rFonts w:ascii="Arial" w:hAnsi="Arial" w:cs="Arial"/>
          <w:sz w:val="22"/>
          <w:szCs w:val="22"/>
        </w:rPr>
        <w:t>ama Mineralne sirovine, njihovoj</w:t>
      </w:r>
      <w:r w:rsidRPr="000761D3">
        <w:rPr>
          <w:rFonts w:ascii="Arial" w:hAnsi="Arial" w:cs="Arial"/>
          <w:sz w:val="22"/>
          <w:szCs w:val="22"/>
        </w:rPr>
        <w:t xml:space="preserve"> vrijednosti, strukturi i cijeni;</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Koncesionar ne obnavlja Bankarsku garanciju u rokovima, sadržaju i visini određen</w:t>
      </w:r>
      <w:r w:rsidR="006552F3">
        <w:rPr>
          <w:rFonts w:ascii="Arial" w:hAnsi="Arial" w:cs="Arial"/>
          <w:sz w:val="22"/>
          <w:szCs w:val="22"/>
        </w:rPr>
        <w:t>om članom 12</w:t>
      </w:r>
      <w:r w:rsidRPr="000761D3">
        <w:rPr>
          <w:rFonts w:ascii="Arial" w:hAnsi="Arial" w:cs="Arial"/>
          <w:sz w:val="22"/>
          <w:szCs w:val="22"/>
        </w:rPr>
        <w:t xml:space="preserve"> Ugovora.</w:t>
      </w:r>
    </w:p>
    <w:p w:rsidR="000761D3" w:rsidRPr="000761D3" w:rsidRDefault="000761D3" w:rsidP="00B55AEB">
      <w:pPr>
        <w:pStyle w:val="BodyText"/>
        <w:numPr>
          <w:ilvl w:val="0"/>
          <w:numId w:val="23"/>
        </w:numPr>
        <w:suppressAutoHyphens/>
        <w:spacing w:after="0" w:line="276" w:lineRule="auto"/>
        <w:ind w:right="144"/>
        <w:jc w:val="both"/>
        <w:rPr>
          <w:rFonts w:ascii="Arial" w:hAnsi="Arial" w:cs="Arial"/>
          <w:sz w:val="22"/>
          <w:szCs w:val="22"/>
        </w:rPr>
      </w:pPr>
      <w:r w:rsidRPr="000761D3">
        <w:rPr>
          <w:rFonts w:ascii="Arial" w:hAnsi="Arial" w:cs="Arial"/>
          <w:sz w:val="22"/>
          <w:szCs w:val="22"/>
        </w:rPr>
        <w:t>ne dostavi Bankarsku garanciju za rekultivaciju, u roku, sadržaju i visini određenom Ugovorom, odnosno ako iste ne obnavlja na ugovoreni način</w:t>
      </w:r>
      <w:r w:rsidR="00BC5BCC">
        <w:rPr>
          <w:rFonts w:ascii="Arial" w:hAnsi="Arial" w:cs="Arial"/>
          <w:sz w:val="22"/>
          <w:szCs w:val="22"/>
        </w:rPr>
        <w:t>.</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Default="000761D3" w:rsidP="00B55AEB">
      <w:pPr>
        <w:pStyle w:val="BodyText"/>
        <w:numPr>
          <w:ilvl w:val="0"/>
          <w:numId w:val="22"/>
        </w:numPr>
        <w:spacing w:after="0" w:line="276" w:lineRule="auto"/>
        <w:ind w:right="144"/>
        <w:jc w:val="both"/>
        <w:rPr>
          <w:rFonts w:ascii="Arial" w:hAnsi="Arial" w:cs="Arial"/>
          <w:sz w:val="22"/>
          <w:szCs w:val="22"/>
        </w:rPr>
      </w:pPr>
      <w:r w:rsidRPr="000761D3">
        <w:rPr>
          <w:rFonts w:ascii="Arial" w:hAnsi="Arial" w:cs="Arial"/>
          <w:sz w:val="22"/>
          <w:szCs w:val="22"/>
        </w:rPr>
        <w:t>Pored slučajeva iz stava 1 ovog člana, Koncedent ima pravo da raskine Ugovor u slučajevima kada Koncesionar:</w:t>
      </w:r>
    </w:p>
    <w:p w:rsidR="00BA4947" w:rsidRPr="000761D3" w:rsidRDefault="00BA4947" w:rsidP="00BA4947">
      <w:pPr>
        <w:pStyle w:val="BodyText"/>
        <w:spacing w:after="0" w:line="276" w:lineRule="auto"/>
        <w:ind w:left="864" w:right="144"/>
        <w:jc w:val="both"/>
        <w:rPr>
          <w:rFonts w:ascii="Arial" w:hAnsi="Arial" w:cs="Arial"/>
          <w:sz w:val="22"/>
          <w:szCs w:val="22"/>
        </w:rPr>
      </w:pP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i u skladu sa zakonom ne ovjeri Elaborat o klasifikaciji, kategorizaciji i proračunu rezervi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u roku definisanom članom 5 Ugovora ne izradi rudarsku tehničku dokumentaciju i ne pribavi odobrenja i saglasnosti za izvođenje radova po istim u skladu sa zakonom;</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vrši eksploataciju Mineralne sirovine bez potrebnih odobrenja i saglasnosti;</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zahtjev Koncedenta da u skladu sa zakonom </w:t>
      </w:r>
      <w:r w:rsidR="00BC5BCC">
        <w:rPr>
          <w:rFonts w:ascii="Arial" w:hAnsi="Arial" w:cs="Arial"/>
          <w:sz w:val="22"/>
        </w:rPr>
        <w:t>obezbijedi drugo sredstvo obezbjeđenja izvršenja obaveze rekultivacije i sanacije prostora na kojem su izvođeni rudarski radovi, odnosno ako neredovno izvršava propisanu obavezu;</w:t>
      </w:r>
      <w:r w:rsidRPr="00687928">
        <w:rPr>
          <w:rFonts w:ascii="Arial" w:hAnsi="Arial" w:cs="Arial"/>
          <w:sz w:val="22"/>
        </w:rPr>
        <w:t xml:space="preserve"> </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duže od godinu dana ne obavlja eksploataciju Mineralne sirovine;</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color w:val="000000"/>
          <w:sz w:val="22"/>
        </w:rPr>
        <w:t>ne vrši plaćanje, odnosno kasni u plaćanju Konce</w:t>
      </w:r>
      <w:r w:rsidR="00BC5BCC">
        <w:rPr>
          <w:rFonts w:ascii="Arial" w:hAnsi="Arial" w:cs="Arial"/>
          <w:color w:val="000000"/>
          <w:sz w:val="22"/>
        </w:rPr>
        <w:t>sione naknade iz člana 10</w:t>
      </w:r>
      <w:r w:rsidRPr="00687928">
        <w:rPr>
          <w:rFonts w:ascii="Arial" w:hAnsi="Arial" w:cs="Arial"/>
          <w:color w:val="000000"/>
          <w:sz w:val="22"/>
        </w:rPr>
        <w:t xml:space="preserve"> ovog Ugovora koje je duže od 30 dana;</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 xml:space="preserve">odbije da plati Koncesionu naknadu za količine Mineralne sirovine eksploatisane </w:t>
      </w:r>
      <w:r w:rsidR="00BC5BCC">
        <w:rPr>
          <w:rFonts w:ascii="Arial" w:hAnsi="Arial" w:cs="Arial"/>
          <w:sz w:val="22"/>
        </w:rPr>
        <w:t xml:space="preserve">protivno odredbama zakona, na način i u </w:t>
      </w:r>
      <w:r w:rsidRPr="00687928">
        <w:rPr>
          <w:rFonts w:ascii="Arial" w:hAnsi="Arial" w:cs="Arial"/>
          <w:sz w:val="22"/>
        </w:rPr>
        <w:t>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odbije da plati Koncesionu naknadu za razliku u količinama otkopane Mineralne sirovine</w:t>
      </w:r>
      <w:r w:rsidR="00BC5BCC">
        <w:rPr>
          <w:rFonts w:ascii="Arial" w:hAnsi="Arial" w:cs="Arial"/>
          <w:sz w:val="22"/>
        </w:rPr>
        <w:t>, utvrđenu u skladu sa članom 11</w:t>
      </w:r>
      <w:r w:rsidRPr="00687928">
        <w:rPr>
          <w:rFonts w:ascii="Arial" w:hAnsi="Arial" w:cs="Arial"/>
          <w:sz w:val="22"/>
        </w:rPr>
        <w:t xml:space="preserve"> ovog Ugovora, na način i u rokovima koje odredi Koncedent;</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ne dostavi podatke neophodne za obračun Koncesione naknade u zakonom predviđenom roku;</w:t>
      </w:r>
    </w:p>
    <w:p w:rsidR="000761D3" w:rsidRPr="00687928" w:rsidRDefault="000761D3" w:rsidP="00687928">
      <w:pPr>
        <w:pStyle w:val="ListParagraph"/>
        <w:numPr>
          <w:ilvl w:val="0"/>
          <w:numId w:val="33"/>
        </w:numPr>
        <w:spacing w:after="0"/>
        <w:ind w:right="144"/>
        <w:rPr>
          <w:rFonts w:ascii="Arial" w:hAnsi="Arial" w:cs="Arial"/>
          <w:sz w:val="22"/>
        </w:rPr>
      </w:pPr>
      <w:r w:rsidRPr="00687928">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lastRenderedPageBreak/>
        <w:t>prilikom vršenja Koncesione djelatnosti se ne pridržava zakona, odnosno istu vrši suprotno izdatim odobrenjima, saglasnostima i prihvaćenom tehničkom dokumentacijom;</w:t>
      </w:r>
    </w:p>
    <w:p w:rsidR="000761D3"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samovoljno mijenja uslove pod kojima je koncesija data;</w:t>
      </w:r>
    </w:p>
    <w:p w:rsidR="00687928" w:rsidRPr="00687928" w:rsidRDefault="00687928" w:rsidP="00687928">
      <w:pPr>
        <w:pStyle w:val="ListParagraph"/>
        <w:numPr>
          <w:ilvl w:val="0"/>
          <w:numId w:val="33"/>
        </w:numPr>
        <w:suppressAutoHyphens/>
        <w:spacing w:after="0"/>
        <w:rPr>
          <w:rFonts w:ascii="Arial" w:hAnsi="Arial" w:cs="Arial"/>
          <w:b/>
          <w:sz w:val="22"/>
          <w:lang w:val="sr-Latn-CS"/>
        </w:rPr>
      </w:pPr>
      <w:r w:rsidRPr="00EA47C9">
        <w:rPr>
          <w:rFonts w:ascii="Arial" w:hAnsi="Arial" w:cs="Arial"/>
          <w:sz w:val="22"/>
          <w:lang w:val="sr-Latn-CS"/>
        </w:rPr>
        <w:t>ne održava putnu infrastrukturu koju koristi za potrebe realizacije koncesije;</w:t>
      </w:r>
    </w:p>
    <w:p w:rsidR="000761D3" w:rsidRPr="00687928" w:rsidRDefault="000761D3" w:rsidP="00687928">
      <w:pPr>
        <w:pStyle w:val="ListParagraph"/>
        <w:numPr>
          <w:ilvl w:val="0"/>
          <w:numId w:val="33"/>
        </w:numPr>
        <w:suppressAutoHyphens/>
        <w:spacing w:after="0"/>
        <w:ind w:right="144"/>
        <w:rPr>
          <w:rFonts w:ascii="Arial" w:hAnsi="Arial" w:cs="Arial"/>
          <w:sz w:val="22"/>
        </w:rPr>
      </w:pPr>
      <w:r w:rsidRPr="00687928">
        <w:rPr>
          <w:rFonts w:ascii="Arial" w:hAnsi="Arial" w:cs="Arial"/>
          <w:sz w:val="22"/>
        </w:rPr>
        <w:t>ne</w:t>
      </w:r>
      <w:r w:rsidR="00BC5BCC">
        <w:rPr>
          <w:rFonts w:ascii="Arial" w:hAnsi="Arial" w:cs="Arial"/>
          <w:sz w:val="22"/>
        </w:rPr>
        <w:t xml:space="preserve"> </w:t>
      </w:r>
      <w:r w:rsidRPr="00687928">
        <w:rPr>
          <w:rFonts w:ascii="Arial" w:hAnsi="Arial" w:cs="Arial"/>
          <w:sz w:val="22"/>
        </w:rPr>
        <w:t>poštuje druge odredbe Ugovora ili zakona, čija povreda n</w:t>
      </w:r>
      <w:r w:rsidR="00BC5BCC">
        <w:rPr>
          <w:rFonts w:ascii="Arial" w:hAnsi="Arial" w:cs="Arial"/>
          <w:sz w:val="22"/>
        </w:rPr>
        <w:t xml:space="preserve">ije izričito definisana tač. a-n </w:t>
      </w:r>
      <w:r w:rsidRPr="00687928">
        <w:rPr>
          <w:rFonts w:ascii="Arial" w:hAnsi="Arial" w:cs="Arial"/>
          <w:sz w:val="22"/>
        </w:rPr>
        <w:t>ovog stava ili stavom 1 ovog člana.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22"/>
        </w:numPr>
        <w:suppressAutoHyphens/>
        <w:spacing w:after="0"/>
        <w:ind w:right="144"/>
        <w:rPr>
          <w:rFonts w:ascii="Arial" w:hAnsi="Arial" w:cs="Arial"/>
          <w:sz w:val="22"/>
        </w:rPr>
      </w:pPr>
      <w:r w:rsidRPr="000761D3">
        <w:rPr>
          <w:rFonts w:ascii="Arial" w:hAnsi="Arial" w:cs="Arial"/>
          <w:sz w:val="22"/>
        </w:rPr>
        <w:t>Bez obzira na odredbu stava 3 ovog člana Koncedent može da raskine ovaj Ugovor ukoliko u roku od šezdeset (60) dana nakon što Koncesionar primi obavještenj</w:t>
      </w:r>
      <w:r w:rsidR="00BC5BCC">
        <w:rPr>
          <w:rFonts w:ascii="Arial" w:hAnsi="Arial" w:cs="Arial"/>
          <w:sz w:val="22"/>
        </w:rPr>
        <w:t>e iz stava 3</w:t>
      </w:r>
      <w:r w:rsidRPr="000761D3">
        <w:rPr>
          <w:rFonts w:ascii="Arial" w:hAnsi="Arial" w:cs="Arial"/>
          <w:sz w:val="22"/>
        </w:rPr>
        <w:t xml:space="preserve"> ovog člana:</w:t>
      </w:r>
    </w:p>
    <w:p w:rsidR="000761D3" w:rsidRPr="000761D3" w:rsidRDefault="000761D3" w:rsidP="000761D3">
      <w:pPr>
        <w:suppressAutoHyphens/>
        <w:spacing w:after="0"/>
        <w:ind w:left="144" w:right="144"/>
        <w:jc w:val="both"/>
        <w:rPr>
          <w:rFonts w:ascii="Arial" w:hAnsi="Arial" w:cs="Arial"/>
        </w:rPr>
      </w:pPr>
    </w:p>
    <w:p w:rsidR="00950EE2"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Koncesionar nije pokušao da ispravi povredu Ugovora ili zakona kako je to navedeno u obavještenju; ili</w:t>
      </w:r>
    </w:p>
    <w:p w:rsidR="00950EE2" w:rsidRPr="00BC5BCC" w:rsidRDefault="00950EE2" w:rsidP="00950EE2">
      <w:pPr>
        <w:spacing w:after="0"/>
        <w:ind w:left="504" w:right="144"/>
        <w:rPr>
          <w:rFonts w:ascii="Arial" w:hAnsi="Arial" w:cs="Arial"/>
        </w:rPr>
      </w:pPr>
    </w:p>
    <w:p w:rsidR="000761D3" w:rsidRPr="00BC5BCC" w:rsidRDefault="000761D3" w:rsidP="00BC5BCC">
      <w:pPr>
        <w:pStyle w:val="ListParagraph"/>
        <w:numPr>
          <w:ilvl w:val="0"/>
          <w:numId w:val="35"/>
        </w:numPr>
        <w:spacing w:after="0"/>
        <w:ind w:right="144"/>
        <w:rPr>
          <w:rFonts w:ascii="Arial" w:hAnsi="Arial" w:cs="Arial"/>
          <w:sz w:val="22"/>
        </w:rPr>
      </w:pPr>
      <w:r w:rsidRPr="00BC5BCC">
        <w:rPr>
          <w:rFonts w:ascii="Arial" w:hAnsi="Arial" w:cs="Arial"/>
          <w:sz w:val="22"/>
        </w:rPr>
        <w:t xml:space="preserve">Ukoliko je jasno van postojanja osnovane sumnje da se povreda koja je navedena u obavještenju ne može ispraviti ili ukloniti u roku od devedeset (90) dana. </w:t>
      </w:r>
    </w:p>
    <w:p w:rsidR="000761D3" w:rsidRPr="000761D3" w:rsidRDefault="000761D3" w:rsidP="000761D3">
      <w:pPr>
        <w:pStyle w:val="ListParagraph"/>
        <w:spacing w:after="0"/>
        <w:ind w:left="144" w:right="144"/>
        <w:rPr>
          <w:rFonts w:ascii="Arial" w:hAnsi="Arial" w:cs="Arial"/>
          <w:sz w:val="22"/>
        </w:rPr>
      </w:pPr>
    </w:p>
    <w:p w:rsidR="000761D3" w:rsidRPr="00BA4947" w:rsidRDefault="000761D3" w:rsidP="00B55AEB">
      <w:pPr>
        <w:pStyle w:val="ListParagraph"/>
        <w:numPr>
          <w:ilvl w:val="0"/>
          <w:numId w:val="22"/>
        </w:numPr>
        <w:spacing w:after="0"/>
        <w:ind w:right="144"/>
        <w:rPr>
          <w:rFonts w:ascii="Arial" w:hAnsi="Arial" w:cs="Arial"/>
          <w:sz w:val="22"/>
        </w:rPr>
      </w:pPr>
      <w:r w:rsidRPr="00BA4947">
        <w:rPr>
          <w:rFonts w:ascii="Arial" w:hAnsi="Arial" w:cs="Arial"/>
          <w:sz w:val="22"/>
        </w:rPr>
        <w:t>U slučaju raskida Ugovora definisanih ovim članom Koncesionar nema pravo na nadoknadu štete.</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Sporazumni raskid Ugovora</w:t>
      </w:r>
    </w:p>
    <w:p w:rsidR="000761D3" w:rsidRPr="000761D3" w:rsidRDefault="000761D3" w:rsidP="000761D3">
      <w:pPr>
        <w:pStyle w:val="ListParagraph"/>
        <w:spacing w:after="0"/>
        <w:ind w:left="144" w:right="144"/>
        <w:rPr>
          <w:rFonts w:ascii="Arial" w:hAnsi="Arial" w:cs="Arial"/>
          <w:b/>
          <w:sz w:val="22"/>
        </w:rPr>
      </w:pPr>
    </w:p>
    <w:p w:rsidR="000761D3" w:rsidRDefault="000761D3" w:rsidP="00A17E70">
      <w:pPr>
        <w:pStyle w:val="ListParagraph"/>
        <w:numPr>
          <w:ilvl w:val="0"/>
          <w:numId w:val="25"/>
        </w:numPr>
        <w:suppressAutoHyphens/>
        <w:spacing w:after="0"/>
        <w:ind w:right="144"/>
        <w:rPr>
          <w:rFonts w:ascii="Arial" w:hAnsi="Arial" w:cs="Arial"/>
          <w:sz w:val="22"/>
        </w:rPr>
      </w:pPr>
      <w:r w:rsidRPr="00950EE2">
        <w:rPr>
          <w:rFonts w:ascii="Arial" w:hAnsi="Arial" w:cs="Arial"/>
          <w:sz w:val="22"/>
        </w:rPr>
        <w:t>Ukoliko se nakon ovjere Elaborata o klasifikaciji, kategorizaciji i proračunu rezervi Mineralne sirovine, pod uslovom da je isti izrađen i ovjeren u skladu sa zakonom u roku definisanom članom 4 Ugovora, utvrdi da ukupno procijenjene eksploatacione rezerve Mineralne sirovine, u pogledu količine i kvaliteta, utiču na mogućnost ostvarivanja ugovorene dinamike eksploatacije i kvaliteta</w:t>
      </w:r>
      <w:r w:rsidR="00950EE2" w:rsidRPr="00950EE2">
        <w:rPr>
          <w:rFonts w:ascii="Arial" w:hAnsi="Arial" w:cs="Arial"/>
          <w:sz w:val="22"/>
        </w:rPr>
        <w:t xml:space="preserve"> </w:t>
      </w:r>
      <w:r w:rsidRPr="00950EE2">
        <w:rPr>
          <w:rFonts w:ascii="Arial" w:hAnsi="Arial" w:cs="Arial"/>
          <w:sz w:val="22"/>
        </w:rPr>
        <w:t>Mineralne sirovine, Koncesionar može podnijeti zahtjev za sporazumni raskid Ugovora.</w:t>
      </w:r>
    </w:p>
    <w:p w:rsidR="008A1FF8" w:rsidRPr="00A17E70" w:rsidRDefault="008A1FF8" w:rsidP="008A1FF8">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25"/>
        </w:numPr>
        <w:suppressAutoHyphens/>
        <w:spacing w:after="0"/>
        <w:ind w:right="144"/>
        <w:rPr>
          <w:rFonts w:ascii="Arial" w:hAnsi="Arial" w:cs="Arial"/>
          <w:sz w:val="22"/>
        </w:rPr>
      </w:pPr>
      <w:r w:rsidRPr="000761D3">
        <w:rPr>
          <w:rFonts w:ascii="Arial" w:hAnsi="Arial" w:cs="Arial"/>
          <w:sz w:val="22"/>
        </w:rPr>
        <w:t>Koncedent je dužan odgovoriti na zahtjev iz stava 1 ovog člana u roku od 30 (trideset) dana od dana prijema zahtjeva.</w:t>
      </w:r>
    </w:p>
    <w:p w:rsidR="000761D3" w:rsidRPr="000761D3" w:rsidRDefault="000761D3" w:rsidP="000761D3">
      <w:pPr>
        <w:pStyle w:val="ListParagraph"/>
        <w:suppressAutoHyphens/>
        <w:spacing w:after="0"/>
        <w:ind w:left="144" w:right="144"/>
        <w:rPr>
          <w:rFonts w:ascii="Arial" w:hAnsi="Arial" w:cs="Arial"/>
          <w:sz w:val="22"/>
        </w:rPr>
      </w:pPr>
    </w:p>
    <w:p w:rsidR="00366A30" w:rsidRDefault="000761D3" w:rsidP="00366A30">
      <w:pPr>
        <w:pStyle w:val="ListParagraph"/>
        <w:numPr>
          <w:ilvl w:val="0"/>
          <w:numId w:val="25"/>
        </w:numPr>
        <w:suppressAutoHyphens/>
        <w:spacing w:after="0"/>
        <w:ind w:right="144"/>
        <w:rPr>
          <w:rFonts w:ascii="Arial" w:hAnsi="Arial" w:cs="Arial"/>
          <w:sz w:val="22"/>
        </w:rPr>
      </w:pPr>
      <w:r w:rsidRPr="000761D3">
        <w:rPr>
          <w:rFonts w:ascii="Arial" w:hAnsi="Arial" w:cs="Arial"/>
          <w:sz w:val="22"/>
        </w:rPr>
        <w:t>U slučaju sporazumnog raskida Ugovora u skladu sa ovim članom, Koncesionar nema pravo na naknadu štete.</w:t>
      </w:r>
    </w:p>
    <w:p w:rsidR="00366A30" w:rsidRPr="00366A30" w:rsidRDefault="00366A30" w:rsidP="00366A30">
      <w:pPr>
        <w:pStyle w:val="ListParagraph"/>
        <w:suppressAutoHyphens/>
        <w:spacing w:after="0"/>
        <w:ind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Prenos Ugovora o koncesiji i vlasničkih udjela</w:t>
      </w:r>
    </w:p>
    <w:p w:rsidR="00366A30" w:rsidRPr="00366A30" w:rsidRDefault="00366A30" w:rsidP="000761D3">
      <w:pPr>
        <w:suppressAutoHyphens/>
        <w:spacing w:after="0"/>
        <w:ind w:left="144" w:right="144"/>
        <w:rPr>
          <w:rFonts w:ascii="Arial" w:hAnsi="Arial" w:cs="Arial"/>
          <w:b/>
        </w:rPr>
      </w:pPr>
    </w:p>
    <w:p w:rsidR="00366A30"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 xml:space="preserve">Ugovorne strane su saglasne da Koncesionar može prenijeti Ugovor o koncesiji na drugo privredno društvo samo uz prethodnu saglasnost Koncedenta datu u skladu sa </w:t>
      </w:r>
    </w:p>
    <w:p w:rsidR="000761D3" w:rsidRPr="00366A30" w:rsidRDefault="000761D3" w:rsidP="00366A30">
      <w:pPr>
        <w:pStyle w:val="ListParagraph"/>
        <w:suppressAutoHyphens/>
        <w:spacing w:after="0"/>
        <w:ind w:right="144"/>
        <w:rPr>
          <w:rFonts w:ascii="Arial" w:hAnsi="Arial" w:cs="Arial"/>
          <w:sz w:val="22"/>
        </w:rPr>
      </w:pPr>
      <w:r w:rsidRPr="00366A30">
        <w:rPr>
          <w:rFonts w:ascii="Arial" w:hAnsi="Arial" w:cs="Arial"/>
          <w:sz w:val="22"/>
        </w:rPr>
        <w:lastRenderedPageBreak/>
        <w:t>zakonom.</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vlasnički udio nad Koncesionarom može prenijeti na drugo fizičko ili pravno lice samo uz prethodnu saglasnost Koncedenta.</w:t>
      </w:r>
    </w:p>
    <w:p w:rsidR="000761D3" w:rsidRPr="00950EE2" w:rsidRDefault="000761D3" w:rsidP="000761D3">
      <w:pPr>
        <w:suppressAutoHyphens/>
        <w:spacing w:after="0"/>
        <w:ind w:left="144" w:right="144"/>
        <w:jc w:val="both"/>
        <w:rPr>
          <w:rFonts w:ascii="Arial" w:hAnsi="Arial" w:cs="Arial"/>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Ugovorne strane su saglasne da se odredbe stava 2 ovog člana naročito odnose i na vlasničke udjele u Koncesionom društvu</w:t>
      </w:r>
      <w:r w:rsidRPr="00950EE2">
        <w:rPr>
          <w:rFonts w:ascii="Arial" w:hAnsi="Arial" w:cs="Arial"/>
          <w:i/>
          <w:sz w:val="22"/>
        </w:rPr>
        <w:t xml:space="preserve">. </w:t>
      </w:r>
      <w:r w:rsidRPr="00950EE2">
        <w:rPr>
          <w:rFonts w:ascii="Arial" w:hAnsi="Arial" w:cs="Arial"/>
          <w:sz w:val="22"/>
        </w:rPr>
        <w:t>[</w:t>
      </w:r>
      <w:r w:rsidRPr="00950EE2">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navadeni tekst će se brisati).</w:t>
      </w:r>
    </w:p>
    <w:p w:rsidR="000761D3" w:rsidRPr="00950EE2" w:rsidRDefault="000761D3" w:rsidP="000761D3">
      <w:pPr>
        <w:pStyle w:val="ListParagraph"/>
        <w:suppressAutoHyphens/>
        <w:spacing w:after="0"/>
        <w:ind w:left="144" w:right="144"/>
        <w:rPr>
          <w:rFonts w:ascii="Arial" w:hAnsi="Arial" w:cs="Arial"/>
          <w:sz w:val="22"/>
        </w:rPr>
      </w:pPr>
    </w:p>
    <w:p w:rsidR="000761D3" w:rsidRPr="00950EE2" w:rsidRDefault="000761D3" w:rsidP="00B55AEB">
      <w:pPr>
        <w:pStyle w:val="ListParagraph"/>
        <w:numPr>
          <w:ilvl w:val="0"/>
          <w:numId w:val="26"/>
        </w:numPr>
        <w:suppressAutoHyphens/>
        <w:spacing w:after="0"/>
        <w:ind w:right="144"/>
        <w:rPr>
          <w:rFonts w:ascii="Arial" w:hAnsi="Arial" w:cs="Arial"/>
          <w:sz w:val="22"/>
        </w:rPr>
      </w:pPr>
      <w:r w:rsidRPr="00950EE2">
        <w:rPr>
          <w:rFonts w:ascii="Arial" w:hAnsi="Arial" w:cs="Arial"/>
          <w:sz w:val="22"/>
        </w:rPr>
        <w:t>Ne ograničavajući se na naprijed navedeno, u slučaju prenosa iz stava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b/>
          <w:sz w:val="22"/>
        </w:rPr>
      </w:pPr>
      <w:r w:rsidRPr="000761D3">
        <w:rPr>
          <w:rFonts w:ascii="Arial" w:hAnsi="Arial" w:cs="Arial"/>
          <w:sz w:val="22"/>
        </w:rPr>
        <w:t>Ugovorne strane su saglasne da Koncesionar može, ukoliko zakonom nije drugačije od</w:t>
      </w:r>
      <w:r w:rsidR="008A1FF8">
        <w:rPr>
          <w:rFonts w:ascii="Arial" w:hAnsi="Arial" w:cs="Arial"/>
          <w:sz w:val="22"/>
        </w:rPr>
        <w:t xml:space="preserve">ređeno, najkasnije godinu dana </w:t>
      </w:r>
      <w:r w:rsidRPr="000761D3">
        <w:rPr>
          <w:rFonts w:ascii="Arial" w:hAnsi="Arial" w:cs="Arial"/>
          <w:sz w:val="22"/>
        </w:rPr>
        <w:t>prije isteka trajanja Perioda koncesije, podnijeti zahtjev za produženje Perioda trajanja koncesije.</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0761D3" w:rsidRDefault="000761D3" w:rsidP="000761D3">
      <w:pPr>
        <w:pStyle w:val="ListParagraph"/>
        <w:suppressAutoHyphens/>
        <w:spacing w:after="0"/>
        <w:ind w:left="144" w:right="144"/>
        <w:rPr>
          <w:rFonts w:ascii="Arial" w:hAnsi="Arial" w:cs="Arial"/>
          <w:sz w:val="22"/>
        </w:rPr>
      </w:pPr>
    </w:p>
    <w:p w:rsidR="000761D3" w:rsidRDefault="000761D3" w:rsidP="00B55AEB">
      <w:pPr>
        <w:pStyle w:val="ListParagraph"/>
        <w:numPr>
          <w:ilvl w:val="0"/>
          <w:numId w:val="27"/>
        </w:numPr>
        <w:suppressAutoHyphens/>
        <w:spacing w:after="0"/>
        <w:ind w:right="144"/>
        <w:rPr>
          <w:rFonts w:ascii="Arial" w:hAnsi="Arial" w:cs="Arial"/>
          <w:sz w:val="22"/>
        </w:rPr>
      </w:pPr>
      <w:r w:rsidRPr="000761D3">
        <w:rPr>
          <w:rFonts w:ascii="Arial" w:hAnsi="Arial" w:cs="Arial"/>
          <w:sz w:val="22"/>
        </w:rPr>
        <w:t>Ugovorne strane su sagasne da u slučaju produženja Perioda trajanja koncesije Koncedent može propisati dodatne ili nove uslove za realizaciju koncesije.</w:t>
      </w:r>
    </w:p>
    <w:p w:rsidR="008A1FF8" w:rsidRDefault="008A1FF8" w:rsidP="008A1FF8">
      <w:pPr>
        <w:pStyle w:val="ListParagraph"/>
        <w:suppressAutoHyphens/>
        <w:spacing w:after="0"/>
        <w:ind w:left="864" w:right="144"/>
        <w:rPr>
          <w:rFonts w:ascii="Arial" w:hAnsi="Arial" w:cs="Arial"/>
          <w:sz w:val="22"/>
        </w:rPr>
      </w:pPr>
    </w:p>
    <w:p w:rsidR="008A1FF8" w:rsidRPr="000761D3" w:rsidRDefault="008A1FF8" w:rsidP="00B55AEB">
      <w:pPr>
        <w:pStyle w:val="ListParagraph"/>
        <w:numPr>
          <w:ilvl w:val="0"/>
          <w:numId w:val="27"/>
        </w:numPr>
        <w:suppressAutoHyphens/>
        <w:spacing w:after="0"/>
        <w:ind w:right="144"/>
        <w:rPr>
          <w:rFonts w:ascii="Arial" w:hAnsi="Arial" w:cs="Arial"/>
          <w:sz w:val="22"/>
        </w:rPr>
      </w:pPr>
      <w:r>
        <w:rPr>
          <w:rFonts w:ascii="Arial" w:hAnsi="Arial" w:cs="Arial"/>
          <w:sz w:val="22"/>
        </w:rPr>
        <w:t>U slučaju da Koncesionar ne podnese zahtjev za produženje koncesije u roku iz stava 1 ovog člana, dužan je pristupiti sanaciji i rekultivaciji u skladu sa zakonom.</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Rizici</w:t>
      </w:r>
    </w:p>
    <w:p w:rsidR="000761D3" w:rsidRPr="000761D3" w:rsidRDefault="000761D3" w:rsidP="000761D3">
      <w:pPr>
        <w:pStyle w:val="ListParagraph"/>
        <w:suppressAutoHyphens/>
        <w:spacing w:after="0"/>
        <w:ind w:left="144" w:right="144"/>
        <w:rPr>
          <w:rFonts w:ascii="Arial" w:hAnsi="Arial" w:cs="Arial"/>
          <w:b/>
          <w:sz w:val="22"/>
        </w:rPr>
      </w:pPr>
    </w:p>
    <w:p w:rsidR="000761D3" w:rsidRPr="00950EE2" w:rsidRDefault="000761D3" w:rsidP="00366A30">
      <w:pPr>
        <w:spacing w:after="0"/>
        <w:ind w:right="144"/>
        <w:rPr>
          <w:rFonts w:ascii="Arial" w:hAnsi="Arial" w:cs="Arial"/>
        </w:rPr>
      </w:pPr>
      <w:r w:rsidRPr="008A1FF8">
        <w:rPr>
          <w:rFonts w:ascii="Arial" w:hAnsi="Arial" w:cs="Arial"/>
        </w:rPr>
        <w:t>Ugovorne strane su saglasne da je Koncesionar odgovoran za rizike:</w:t>
      </w: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utvrđivanja komercijalnih rezervi Mineralne sirovine;</w:t>
      </w:r>
    </w:p>
    <w:p w:rsidR="00950EE2" w:rsidRPr="00950EE2" w:rsidRDefault="00950EE2" w:rsidP="00950EE2">
      <w:pPr>
        <w:pStyle w:val="ListParagraph"/>
        <w:spacing w:after="0"/>
        <w:ind w:left="144" w:right="144"/>
        <w:rPr>
          <w:rFonts w:ascii="Arial" w:hAnsi="Arial" w:cs="Arial"/>
          <w:sz w:val="22"/>
        </w:rPr>
      </w:pPr>
    </w:p>
    <w:p w:rsidR="00950EE2" w:rsidRPr="00366A30" w:rsidRDefault="000761D3" w:rsidP="00366A30">
      <w:pPr>
        <w:pStyle w:val="ListParagraph"/>
        <w:numPr>
          <w:ilvl w:val="0"/>
          <w:numId w:val="28"/>
        </w:numPr>
        <w:spacing w:after="0"/>
        <w:ind w:right="144"/>
        <w:rPr>
          <w:rFonts w:ascii="Arial" w:hAnsi="Arial" w:cs="Arial"/>
          <w:sz w:val="22"/>
        </w:rPr>
      </w:pPr>
      <w:r w:rsidRPr="00950EE2">
        <w:rPr>
          <w:rFonts w:ascii="Arial" w:hAnsi="Arial" w:cs="Arial"/>
          <w:sz w:val="22"/>
        </w:rPr>
        <w:t>dobijanja svih odobrenja i saglasnosti potrebnih za zakonito izvođenje Koncesione djelatnosti;</w:t>
      </w: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lastRenderedPageBreak/>
        <w:t>finansiranja i ostvarivanja gubitaka u poslovanju;</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rizike po zdravlje, zaštitu lica i imovine;</w:t>
      </w:r>
    </w:p>
    <w:p w:rsidR="00950EE2" w:rsidRPr="00950EE2" w:rsidRDefault="00950EE2" w:rsidP="00950EE2">
      <w:pPr>
        <w:pStyle w:val="ListParagraph"/>
        <w:spacing w:after="0"/>
        <w:ind w:right="144"/>
        <w:rPr>
          <w:rFonts w:ascii="Arial" w:hAnsi="Arial" w:cs="Arial"/>
          <w:sz w:val="22"/>
        </w:rPr>
      </w:pPr>
    </w:p>
    <w:p w:rsidR="000761D3"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 xml:space="preserve">ekološki rizik; </w:t>
      </w:r>
    </w:p>
    <w:p w:rsidR="00950EE2" w:rsidRPr="00950EE2" w:rsidRDefault="00950EE2" w:rsidP="00950EE2">
      <w:pPr>
        <w:pStyle w:val="ListParagraph"/>
        <w:spacing w:after="0"/>
        <w:ind w:right="144"/>
        <w:rPr>
          <w:rFonts w:ascii="Arial" w:hAnsi="Arial" w:cs="Arial"/>
          <w:sz w:val="22"/>
        </w:rPr>
      </w:pPr>
    </w:p>
    <w:p w:rsidR="000761D3" w:rsidRPr="00950EE2" w:rsidRDefault="000761D3" w:rsidP="00B55AEB">
      <w:pPr>
        <w:pStyle w:val="ListParagraph"/>
        <w:numPr>
          <w:ilvl w:val="0"/>
          <w:numId w:val="28"/>
        </w:numPr>
        <w:spacing w:after="0"/>
        <w:ind w:right="144"/>
        <w:rPr>
          <w:rFonts w:ascii="Arial" w:hAnsi="Arial" w:cs="Arial"/>
          <w:sz w:val="22"/>
        </w:rPr>
      </w:pPr>
      <w:r w:rsidRPr="00950EE2">
        <w:rPr>
          <w:rFonts w:ascii="Arial" w:hAnsi="Arial" w:cs="Arial"/>
          <w:sz w:val="22"/>
        </w:rPr>
        <w:t>druge rizike u vezi sa vršenjem Koncesione djelatnosti.</w:t>
      </w:r>
    </w:p>
    <w:p w:rsidR="000761D3" w:rsidRPr="000761D3" w:rsidRDefault="000761D3" w:rsidP="00A17E70">
      <w:pPr>
        <w:autoSpaceDE w:val="0"/>
        <w:autoSpaceDN w:val="0"/>
        <w:adjustRightInd w:val="0"/>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Kontrola izvršenja Ugovora</w:t>
      </w:r>
    </w:p>
    <w:p w:rsidR="000761D3" w:rsidRPr="000761D3" w:rsidRDefault="000761D3" w:rsidP="000761D3">
      <w:pPr>
        <w:pStyle w:val="ListParagraph"/>
        <w:autoSpaceDE w:val="0"/>
        <w:autoSpaceDN w:val="0"/>
        <w:adjustRightInd w:val="0"/>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spacing w:after="0"/>
        <w:ind w:right="144"/>
        <w:rPr>
          <w:rFonts w:ascii="Arial" w:hAnsi="Arial" w:cs="Arial"/>
          <w:sz w:val="22"/>
        </w:rPr>
      </w:pPr>
      <w:r w:rsidRPr="000761D3">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29"/>
        </w:numPr>
        <w:autoSpaceDE w:val="0"/>
        <w:autoSpaceDN w:val="0"/>
        <w:adjustRightInd w:val="0"/>
        <w:spacing w:after="0"/>
        <w:ind w:right="144"/>
        <w:rPr>
          <w:rFonts w:ascii="Arial" w:hAnsi="Arial" w:cs="Arial"/>
          <w:sz w:val="22"/>
        </w:rPr>
      </w:pPr>
      <w:r w:rsidRPr="000761D3">
        <w:rPr>
          <w:rFonts w:ascii="Arial" w:hAnsi="Arial" w:cs="Arial"/>
          <w:sz w:val="22"/>
        </w:rPr>
        <w:t>Bez uticaja na odredbu stava 3 ovog člana, u zavisnosti od zakonskih ovlašćenja, kontrolu izvršavanja ugovornih obaveza i poštovanja zakona u ime Koncedenta mogu vršiti i drugi nadležni državni i/ili inspekcijski organi.</w:t>
      </w:r>
    </w:p>
    <w:p w:rsidR="000761D3" w:rsidRPr="000761D3" w:rsidRDefault="000761D3" w:rsidP="000761D3">
      <w:pPr>
        <w:spacing w:after="0"/>
        <w:ind w:left="144" w:right="144"/>
        <w:jc w:val="both"/>
        <w:rPr>
          <w:rFonts w:ascii="Arial" w:hAnsi="Arial" w:cs="Arial"/>
          <w:b/>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Mjerodavno pravo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Izvršenje, sprovođenje i tumačenje Ugovora vršiće se u skladu sa zakonima Crne Gore.</w:t>
      </w:r>
    </w:p>
    <w:p w:rsidR="000761D3" w:rsidRPr="000761D3" w:rsidRDefault="000761D3" w:rsidP="000761D3">
      <w:pPr>
        <w:pStyle w:val="ListParagraph"/>
        <w:spacing w:after="0"/>
        <w:ind w:left="144" w:right="144"/>
        <w:rPr>
          <w:rFonts w:ascii="Arial" w:hAnsi="Arial" w:cs="Arial"/>
          <w:sz w:val="22"/>
        </w:rPr>
      </w:pPr>
    </w:p>
    <w:p w:rsidR="000761D3" w:rsidRPr="000761D3" w:rsidRDefault="000761D3" w:rsidP="00B55AEB">
      <w:pPr>
        <w:pStyle w:val="ListParagraph"/>
        <w:numPr>
          <w:ilvl w:val="0"/>
          <w:numId w:val="30"/>
        </w:numPr>
        <w:spacing w:after="0"/>
        <w:ind w:right="144"/>
        <w:rPr>
          <w:rFonts w:ascii="Arial" w:hAnsi="Arial" w:cs="Arial"/>
          <w:sz w:val="22"/>
        </w:rPr>
      </w:pPr>
      <w:r w:rsidRPr="000761D3">
        <w:rPr>
          <w:rFonts w:ascii="Arial" w:hAnsi="Arial" w:cs="Arial"/>
          <w:sz w:val="22"/>
        </w:rPr>
        <w:t>U slučaju kolizije između odredbi Ugovora i zakona Crne Gore, preovladaće odredbe zakona.</w:t>
      </w:r>
    </w:p>
    <w:p w:rsidR="000761D3" w:rsidRPr="000761D3" w:rsidRDefault="000761D3" w:rsidP="000761D3">
      <w:pPr>
        <w:pStyle w:val="ListParagraph"/>
        <w:spacing w:after="0"/>
        <w:ind w:left="144" w:right="144"/>
        <w:rPr>
          <w:rFonts w:ascii="Arial" w:hAnsi="Arial" w:cs="Arial"/>
          <w:sz w:val="22"/>
        </w:rPr>
      </w:pPr>
    </w:p>
    <w:p w:rsidR="000761D3" w:rsidRDefault="000761D3" w:rsidP="00FA034E">
      <w:pPr>
        <w:pStyle w:val="ListParagraph"/>
        <w:numPr>
          <w:ilvl w:val="0"/>
          <w:numId w:val="30"/>
        </w:numPr>
        <w:spacing w:after="0"/>
        <w:ind w:right="144"/>
        <w:rPr>
          <w:rFonts w:ascii="Arial" w:hAnsi="Arial" w:cs="Arial"/>
          <w:sz w:val="22"/>
        </w:rPr>
      </w:pPr>
      <w:r w:rsidRPr="000761D3">
        <w:rPr>
          <w:rFonts w:ascii="Arial" w:hAnsi="Arial" w:cs="Arial"/>
          <w:sz w:val="22"/>
        </w:rPr>
        <w:t>Sve izmjene ili druge promjene zakona primjenjivaće se na ovaj Ugovor.</w:t>
      </w:r>
    </w:p>
    <w:p w:rsidR="008A1FF8" w:rsidRPr="00FA034E" w:rsidRDefault="008A1FF8" w:rsidP="008A1FF8">
      <w:pPr>
        <w:pStyle w:val="ListParagraph"/>
        <w:spacing w:after="0"/>
        <w:ind w:left="864" w:right="144"/>
        <w:rPr>
          <w:rFonts w:ascii="Arial" w:hAnsi="Arial" w:cs="Arial"/>
          <w:sz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Način rješavanja sporova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Sporovi koji nastanu u toku izvršenja Ugovora ili koji su u vezi sa Ugovorom rješavaće se pred Osnovnim sudom u Podgorici.</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Jezik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0761D3">
      <w:pPr>
        <w:spacing w:after="0"/>
        <w:ind w:left="144" w:right="144"/>
        <w:jc w:val="both"/>
        <w:rPr>
          <w:rFonts w:ascii="Arial" w:hAnsi="Arial" w:cs="Arial"/>
        </w:rPr>
      </w:pPr>
      <w:r w:rsidRPr="000761D3">
        <w:rPr>
          <w:rFonts w:ascii="Arial" w:hAnsi="Arial" w:cs="Arial"/>
        </w:rPr>
        <w:t>Ovaj Ugovor je zaključen na crnogorskom jeziku.</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Izmjene i dopune Ugovora</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Izmjene i dopune Ugovora vrše se saglasnošću Ugovornih strana aneksima Ugovora sačinjenim u pismenoj formi.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 xml:space="preserve">Aneksi ovog Ugovora po svom redosljedu zaključivanja označavaju se arapskim brojevima i čine sastavni dio Ugovora. </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Inicijativu za izmjene i dopune ovog Ugovora može dati svaka od Ugovornih strana.</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BodyText"/>
        <w:numPr>
          <w:ilvl w:val="0"/>
          <w:numId w:val="31"/>
        </w:numPr>
        <w:spacing w:after="0" w:line="276" w:lineRule="auto"/>
        <w:ind w:right="144"/>
        <w:jc w:val="both"/>
        <w:rPr>
          <w:rFonts w:ascii="Arial" w:hAnsi="Arial" w:cs="Arial"/>
          <w:sz w:val="22"/>
          <w:szCs w:val="22"/>
        </w:rPr>
      </w:pPr>
      <w:r w:rsidRPr="000761D3">
        <w:rPr>
          <w:rFonts w:ascii="Arial" w:hAnsi="Arial" w:cs="Arial"/>
          <w:sz w:val="22"/>
          <w:szCs w:val="22"/>
        </w:rPr>
        <w:t>Ugovorna strana, koja je primila pisanu inicijativu za izmjenu i dopunu Ugovora dužna je da se u roku do 30 (trideset) dana izjasni o predloženoj inicijativi.</w:t>
      </w:r>
    </w:p>
    <w:p w:rsidR="000761D3" w:rsidRPr="000761D3" w:rsidRDefault="000761D3" w:rsidP="000761D3">
      <w:pPr>
        <w:pStyle w:val="BodyText"/>
        <w:spacing w:after="0" w:line="276" w:lineRule="auto"/>
        <w:ind w:left="144" w:right="144"/>
        <w:jc w:val="both"/>
        <w:rPr>
          <w:rFonts w:ascii="Arial" w:hAnsi="Arial" w:cs="Arial"/>
          <w:sz w:val="22"/>
          <w:szCs w:val="22"/>
        </w:rPr>
      </w:pPr>
    </w:p>
    <w:p w:rsidR="000761D3" w:rsidRPr="000761D3" w:rsidRDefault="000761D3" w:rsidP="00B55AEB">
      <w:pPr>
        <w:pStyle w:val="ListParagraph"/>
        <w:numPr>
          <w:ilvl w:val="0"/>
          <w:numId w:val="4"/>
        </w:numPr>
        <w:spacing w:after="0"/>
        <w:ind w:left="144" w:right="144" w:firstLine="0"/>
        <w:rPr>
          <w:rFonts w:ascii="Arial" w:hAnsi="Arial" w:cs="Arial"/>
          <w:b/>
          <w:sz w:val="22"/>
        </w:rPr>
      </w:pPr>
      <w:r w:rsidRPr="000761D3">
        <w:rPr>
          <w:rFonts w:ascii="Arial" w:hAnsi="Arial" w:cs="Arial"/>
          <w:b/>
          <w:sz w:val="22"/>
        </w:rPr>
        <w:t xml:space="preserve">Obavještenja </w:t>
      </w:r>
    </w:p>
    <w:p w:rsidR="000761D3" w:rsidRPr="000761D3" w:rsidRDefault="000761D3" w:rsidP="000761D3">
      <w:pPr>
        <w:pStyle w:val="ListParagraph"/>
        <w:spacing w:after="0"/>
        <w:ind w:left="144" w:right="144"/>
        <w:rPr>
          <w:rFonts w:ascii="Arial" w:hAnsi="Arial" w:cs="Arial"/>
          <w:b/>
          <w:sz w:val="22"/>
        </w:rPr>
      </w:pPr>
    </w:p>
    <w:p w:rsidR="000761D3" w:rsidRP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0761D3" w:rsidRDefault="000761D3" w:rsidP="000761D3">
      <w:pPr>
        <w:spacing w:after="0"/>
        <w:ind w:left="144" w:right="144"/>
        <w:jc w:val="both"/>
        <w:rPr>
          <w:rFonts w:ascii="Arial" w:hAnsi="Arial" w:cs="Arial"/>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 xml:space="preserve">Koncedent: </w:t>
      </w:r>
    </w:p>
    <w:p w:rsidR="000761D3" w:rsidRPr="000761D3" w:rsidRDefault="000761D3" w:rsidP="000761D3">
      <w:pPr>
        <w:pStyle w:val="ListParagraph"/>
        <w:spacing w:after="0"/>
        <w:ind w:left="144" w:right="144"/>
        <w:rPr>
          <w:rFonts w:ascii="Arial" w:hAnsi="Arial" w:cs="Arial"/>
          <w:b/>
          <w:bCs/>
          <w:sz w:val="22"/>
        </w:rPr>
      </w:pP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 xml:space="preserve">Vlada Crne Gore - Ministarstvo ekonomije </w:t>
      </w:r>
    </w:p>
    <w:p w:rsidR="000761D3" w:rsidRPr="000761D3" w:rsidRDefault="000761D3" w:rsidP="000761D3">
      <w:pPr>
        <w:spacing w:after="0"/>
        <w:ind w:left="144" w:right="144"/>
        <w:jc w:val="both"/>
        <w:rPr>
          <w:rFonts w:ascii="Arial" w:hAnsi="Arial" w:cs="Arial"/>
        </w:rPr>
      </w:pPr>
      <w:r w:rsidRPr="000761D3">
        <w:rPr>
          <w:rFonts w:ascii="Arial" w:hAnsi="Arial" w:cs="Arial"/>
        </w:rPr>
        <w:t>Rimski trg 46, 81000 Podgorica</w:t>
      </w:r>
    </w:p>
    <w:p w:rsidR="000761D3" w:rsidRPr="000761D3" w:rsidRDefault="000761D3" w:rsidP="000761D3">
      <w:pPr>
        <w:spacing w:after="0"/>
        <w:ind w:left="144" w:right="144"/>
        <w:jc w:val="both"/>
        <w:rPr>
          <w:rFonts w:ascii="Arial" w:hAnsi="Arial" w:cs="Arial"/>
        </w:rPr>
      </w:pPr>
      <w:r w:rsidRPr="000761D3">
        <w:rPr>
          <w:rFonts w:ascii="Arial" w:hAnsi="Arial" w:cs="Arial"/>
        </w:rPr>
        <w:t>Za: Ministar</w:t>
      </w:r>
    </w:p>
    <w:p w:rsidR="000761D3" w:rsidRPr="000761D3" w:rsidRDefault="000761D3" w:rsidP="000761D3">
      <w:pPr>
        <w:spacing w:after="0"/>
        <w:ind w:left="144" w:right="144"/>
        <w:jc w:val="both"/>
        <w:rPr>
          <w:rFonts w:ascii="Arial" w:hAnsi="Arial" w:cs="Arial"/>
        </w:rPr>
      </w:pPr>
      <w:r w:rsidRPr="000761D3" w:rsidDel="0061520E">
        <w:rPr>
          <w:rFonts w:ascii="Arial" w:hAnsi="Arial" w:cs="Arial"/>
        </w:rPr>
        <w:t xml:space="preserve"> </w:t>
      </w:r>
      <w:r w:rsidRPr="000761D3">
        <w:rPr>
          <w:rFonts w:ascii="Arial" w:hAnsi="Arial" w:cs="Arial"/>
        </w:rPr>
        <w:t>telefon: +382 20 482 163</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faks: + 382 20 234 027</w:t>
      </w:r>
    </w:p>
    <w:p w:rsidR="000761D3" w:rsidRPr="000761D3" w:rsidRDefault="000761D3" w:rsidP="000761D3">
      <w:pPr>
        <w:spacing w:after="0"/>
        <w:ind w:left="144" w:right="144"/>
        <w:jc w:val="both"/>
        <w:rPr>
          <w:rFonts w:ascii="Arial" w:hAnsi="Arial" w:cs="Arial"/>
          <w:b/>
          <w:bCs/>
        </w:rPr>
      </w:pPr>
    </w:p>
    <w:p w:rsidR="000761D3" w:rsidRPr="000761D3" w:rsidRDefault="000761D3" w:rsidP="00B55AEB">
      <w:pPr>
        <w:pStyle w:val="ListParagraph"/>
        <w:numPr>
          <w:ilvl w:val="0"/>
          <w:numId w:val="2"/>
        </w:numPr>
        <w:spacing w:after="0"/>
        <w:ind w:left="144" w:right="144" w:firstLine="0"/>
        <w:rPr>
          <w:rFonts w:ascii="Arial" w:hAnsi="Arial" w:cs="Arial"/>
          <w:b/>
          <w:bCs/>
          <w:sz w:val="22"/>
        </w:rPr>
      </w:pPr>
      <w:r w:rsidRPr="000761D3">
        <w:rPr>
          <w:rFonts w:ascii="Arial" w:hAnsi="Arial" w:cs="Arial"/>
          <w:b/>
          <w:bCs/>
          <w:sz w:val="22"/>
        </w:rPr>
        <w:t>Koncesionar:</w:t>
      </w:r>
    </w:p>
    <w:p w:rsidR="000761D3" w:rsidRPr="000761D3" w:rsidRDefault="000761D3" w:rsidP="000761D3">
      <w:pPr>
        <w:spacing w:after="0"/>
        <w:ind w:left="144" w:right="144"/>
        <w:jc w:val="both"/>
        <w:rPr>
          <w:rFonts w:ascii="Arial" w:hAnsi="Arial" w:cs="Arial"/>
          <w:b/>
          <w:bCs/>
        </w:rPr>
      </w:pPr>
      <w:r w:rsidRPr="000761D3">
        <w:rPr>
          <w:rFonts w:ascii="Arial" w:hAnsi="Arial" w:cs="Arial"/>
          <w:b/>
          <w:bCs/>
        </w:rPr>
        <w:t>______________________________________________</w:t>
      </w:r>
    </w:p>
    <w:p w:rsidR="000761D3" w:rsidRPr="000761D3" w:rsidRDefault="000761D3" w:rsidP="000761D3">
      <w:pPr>
        <w:spacing w:after="0"/>
        <w:ind w:left="144" w:right="144"/>
        <w:jc w:val="both"/>
        <w:rPr>
          <w:rFonts w:ascii="Arial" w:hAnsi="Arial" w:cs="Arial"/>
          <w:b/>
          <w:bCs/>
        </w:rPr>
      </w:pPr>
      <w:r w:rsidRPr="000761D3">
        <w:rPr>
          <w:rFonts w:ascii="Arial" w:hAnsi="Arial" w:cs="Arial"/>
        </w:rPr>
        <w:t>Adresa:</w:t>
      </w:r>
    </w:p>
    <w:p w:rsidR="000761D3" w:rsidRPr="000761D3" w:rsidRDefault="000761D3" w:rsidP="000761D3">
      <w:pPr>
        <w:spacing w:after="0"/>
        <w:ind w:left="144" w:right="144"/>
        <w:jc w:val="both"/>
        <w:rPr>
          <w:rFonts w:ascii="Arial" w:hAnsi="Arial" w:cs="Arial"/>
        </w:rPr>
      </w:pPr>
      <w:r w:rsidRPr="000761D3">
        <w:rPr>
          <w:rFonts w:ascii="Arial" w:hAnsi="Arial" w:cs="Arial"/>
        </w:rPr>
        <w:t>Za:  (odgovorno lice)</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telefon: </w:t>
      </w:r>
    </w:p>
    <w:p w:rsidR="000761D3" w:rsidRPr="000761D3" w:rsidRDefault="000761D3" w:rsidP="000761D3">
      <w:pPr>
        <w:spacing w:after="0"/>
        <w:ind w:left="144" w:right="144"/>
        <w:jc w:val="both"/>
        <w:rPr>
          <w:rFonts w:ascii="Arial" w:hAnsi="Arial" w:cs="Arial"/>
        </w:rPr>
      </w:pPr>
      <w:r w:rsidRPr="000761D3">
        <w:rPr>
          <w:rFonts w:ascii="Arial" w:hAnsi="Arial" w:cs="Arial"/>
        </w:rPr>
        <w:t xml:space="preserve"> faks: </w:t>
      </w:r>
    </w:p>
    <w:p w:rsidR="000761D3" w:rsidRPr="000761D3" w:rsidRDefault="000761D3" w:rsidP="000761D3">
      <w:pPr>
        <w:spacing w:after="0"/>
        <w:ind w:left="144" w:right="144"/>
        <w:jc w:val="both"/>
        <w:rPr>
          <w:rFonts w:ascii="Arial" w:hAnsi="Arial" w:cs="Arial"/>
          <w:b/>
          <w:bCs/>
        </w:rPr>
      </w:pPr>
    </w:p>
    <w:p w:rsidR="000761D3" w:rsidRDefault="000761D3" w:rsidP="00B55AEB">
      <w:pPr>
        <w:pStyle w:val="ListParagraph"/>
        <w:numPr>
          <w:ilvl w:val="0"/>
          <w:numId w:val="32"/>
        </w:numPr>
        <w:spacing w:after="0"/>
        <w:ind w:right="144"/>
        <w:rPr>
          <w:rFonts w:ascii="Arial" w:hAnsi="Arial" w:cs="Arial"/>
          <w:sz w:val="22"/>
        </w:rPr>
      </w:pPr>
      <w:r w:rsidRPr="000761D3">
        <w:rPr>
          <w:rFonts w:ascii="Arial" w:hAnsi="Arial" w:cs="Arial"/>
          <w:sz w:val="22"/>
        </w:rPr>
        <w:t>Svaka Ugovorna strana može da zamijeni ili promijeni navedenu adresu uz slanje pisanog obavještenja drugoj Ugovornoj strani.</w:t>
      </w:r>
    </w:p>
    <w:p w:rsidR="000761D3" w:rsidRPr="000761D3" w:rsidRDefault="000761D3" w:rsidP="00366A30">
      <w:pPr>
        <w:suppressAutoHyphens/>
        <w:spacing w:after="0"/>
        <w:ind w:right="144"/>
        <w:jc w:val="both"/>
        <w:rPr>
          <w:rFonts w:ascii="Arial" w:hAnsi="Arial" w:cs="Arial"/>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Ugovorna dokumentacija</w:t>
      </w:r>
    </w:p>
    <w:p w:rsidR="000761D3" w:rsidRPr="000761D3" w:rsidRDefault="000761D3" w:rsidP="000761D3">
      <w:pPr>
        <w:pStyle w:val="ListParagraph"/>
        <w:suppressAutoHyphens/>
        <w:spacing w:after="0"/>
        <w:ind w:left="144" w:right="144"/>
        <w:rPr>
          <w:rFonts w:ascii="Arial" w:hAnsi="Arial" w:cs="Arial"/>
          <w:b/>
          <w:sz w:val="22"/>
        </w:rPr>
      </w:pPr>
    </w:p>
    <w:p w:rsidR="000761D3" w:rsidRPr="000761D3" w:rsidRDefault="000761D3" w:rsidP="000761D3">
      <w:pPr>
        <w:suppressAutoHyphens/>
        <w:spacing w:after="0"/>
        <w:ind w:left="144" w:right="144"/>
        <w:jc w:val="both"/>
        <w:rPr>
          <w:rFonts w:ascii="Arial" w:hAnsi="Arial" w:cs="Arial"/>
        </w:rPr>
      </w:pPr>
      <w:r w:rsidRPr="000761D3">
        <w:rPr>
          <w:rFonts w:ascii="Arial" w:hAnsi="Arial" w:cs="Arial"/>
        </w:rPr>
        <w:t xml:space="preserve"> Sastavni dio ovog Ugovora čine i:</w:t>
      </w:r>
    </w:p>
    <w:p w:rsidR="000761D3" w:rsidRPr="000761D3" w:rsidRDefault="000761D3" w:rsidP="000761D3">
      <w:pPr>
        <w:suppressAutoHyphens/>
        <w:spacing w:after="0"/>
        <w:ind w:left="144" w:right="144"/>
        <w:jc w:val="both"/>
        <w:rPr>
          <w:rFonts w:ascii="Arial" w:hAnsi="Arial" w:cs="Arial"/>
        </w:rPr>
      </w:pP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Koncesioni akt broj 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lastRenderedPageBreak/>
        <w:t>Ponuda Koncesionara broj ___________;</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Prilozi Ugovora;</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 xml:space="preserve">Izvod iz sudskog registra Koncesionara; </w:t>
      </w:r>
    </w:p>
    <w:p w:rsidR="000761D3" w:rsidRPr="000761D3" w:rsidRDefault="000761D3" w:rsidP="00B55AEB">
      <w:pPr>
        <w:pStyle w:val="ListParagraph"/>
        <w:numPr>
          <w:ilvl w:val="0"/>
          <w:numId w:val="3"/>
        </w:numPr>
        <w:suppressAutoHyphens/>
        <w:spacing w:after="0"/>
        <w:ind w:left="144" w:right="144" w:firstLine="0"/>
        <w:rPr>
          <w:rFonts w:ascii="Arial" w:hAnsi="Arial" w:cs="Arial"/>
          <w:sz w:val="22"/>
        </w:rPr>
      </w:pPr>
      <w:r w:rsidRPr="000761D3">
        <w:rPr>
          <w:rFonts w:ascii="Arial" w:hAnsi="Arial" w:cs="Arial"/>
          <w:sz w:val="22"/>
        </w:rPr>
        <w:t xml:space="preserve">[Izvod iz Centralnog registra privrednih subjekata za Koncesiono društvo] </w:t>
      </w:r>
    </w:p>
    <w:p w:rsidR="000761D3" w:rsidRPr="000761D3" w:rsidRDefault="000761D3" w:rsidP="000761D3">
      <w:pPr>
        <w:pStyle w:val="ListParagraph"/>
        <w:suppressAutoHyphens/>
        <w:spacing w:after="0"/>
        <w:ind w:left="144" w:right="144"/>
        <w:rPr>
          <w:rFonts w:ascii="Arial" w:hAnsi="Arial" w:cs="Arial"/>
          <w:sz w:val="22"/>
        </w:rPr>
      </w:pPr>
    </w:p>
    <w:p w:rsidR="000761D3" w:rsidRPr="000761D3" w:rsidRDefault="000761D3" w:rsidP="00B55AEB">
      <w:pPr>
        <w:pStyle w:val="ListParagraph"/>
        <w:numPr>
          <w:ilvl w:val="0"/>
          <w:numId w:val="4"/>
        </w:numPr>
        <w:suppressAutoHyphens/>
        <w:spacing w:after="0"/>
        <w:ind w:left="144" w:right="144" w:firstLine="0"/>
        <w:rPr>
          <w:rFonts w:ascii="Arial" w:hAnsi="Arial" w:cs="Arial"/>
          <w:b/>
          <w:sz w:val="22"/>
        </w:rPr>
      </w:pPr>
      <w:r w:rsidRPr="000761D3">
        <w:rPr>
          <w:rFonts w:ascii="Arial" w:hAnsi="Arial" w:cs="Arial"/>
          <w:b/>
          <w:sz w:val="22"/>
        </w:rPr>
        <w:t>Završna odredba</w:t>
      </w:r>
    </w:p>
    <w:p w:rsidR="000761D3" w:rsidRPr="000761D3" w:rsidRDefault="000761D3" w:rsidP="000761D3">
      <w:pPr>
        <w:pStyle w:val="ListParagraph"/>
        <w:suppressAutoHyphens/>
        <w:spacing w:after="0"/>
        <w:ind w:left="144" w:right="144"/>
        <w:rPr>
          <w:rFonts w:ascii="Arial" w:hAnsi="Arial" w:cs="Arial"/>
          <w:b/>
          <w:i/>
          <w:sz w:val="22"/>
        </w:rPr>
      </w:pPr>
    </w:p>
    <w:p w:rsidR="000761D3" w:rsidRPr="000761D3" w:rsidRDefault="000761D3" w:rsidP="000761D3">
      <w:pPr>
        <w:spacing w:after="0"/>
        <w:ind w:left="144" w:right="144"/>
        <w:jc w:val="both"/>
        <w:rPr>
          <w:rFonts w:ascii="Arial" w:eastAsia="Times New Roman" w:hAnsi="Arial" w:cs="Arial"/>
        </w:rPr>
      </w:pPr>
      <w:r w:rsidRPr="000761D3">
        <w:rPr>
          <w:rFonts w:ascii="Arial" w:eastAsia="Times New Roman" w:hAnsi="Arial" w:cs="Arial"/>
        </w:rPr>
        <w:t>Ovaj Ugovor je sačinjen u 13 (trinaest) istovjetnih</w:t>
      </w:r>
      <w:r w:rsidRPr="000761D3">
        <w:rPr>
          <w:rFonts w:ascii="Arial" w:eastAsia="Times New Roman" w:hAnsi="Arial" w:cs="Arial"/>
          <w:i/>
        </w:rPr>
        <w:t xml:space="preserve"> </w:t>
      </w:r>
      <w:r w:rsidRPr="000761D3">
        <w:rPr>
          <w:rFonts w:ascii="Arial" w:eastAsia="Times New Roman" w:hAnsi="Arial" w:cs="Arial"/>
        </w:rPr>
        <w:t>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w:t>
      </w:r>
      <w:r w:rsidR="00950EE2">
        <w:rPr>
          <w:rFonts w:ascii="Arial" w:eastAsia="Times New Roman" w:hAnsi="Arial" w:cs="Arial"/>
        </w:rPr>
        <w:t xml:space="preserve">rne Gore, Upravi za nekretnine - </w:t>
      </w:r>
      <w:r w:rsidRPr="000761D3">
        <w:rPr>
          <w:rFonts w:ascii="Arial" w:eastAsia="Times New Roman" w:hAnsi="Arial" w:cs="Arial"/>
        </w:rPr>
        <w:t xml:space="preserve">Područna </w:t>
      </w:r>
      <w:r w:rsidR="00950EE2">
        <w:rPr>
          <w:rFonts w:ascii="Arial" w:eastAsia="Times New Roman" w:hAnsi="Arial" w:cs="Arial"/>
        </w:rPr>
        <w:t>jedinica Rožaje i Opštini Rožaje.</w:t>
      </w:r>
      <w:r w:rsidRPr="000761D3">
        <w:rPr>
          <w:rFonts w:ascii="Arial" w:eastAsia="Times New Roman" w:hAnsi="Arial" w:cs="Arial"/>
        </w:rPr>
        <w:t>.</w:t>
      </w:r>
    </w:p>
    <w:p w:rsidR="000761D3" w:rsidRPr="000761D3" w:rsidRDefault="000761D3" w:rsidP="000761D3">
      <w:pPr>
        <w:spacing w:after="0"/>
        <w:ind w:left="144" w:right="144"/>
        <w:jc w:val="both"/>
        <w:rPr>
          <w:rFonts w:ascii="Arial" w:eastAsia="Times New Roman" w:hAnsi="Arial" w:cs="Arial"/>
        </w:rPr>
      </w:pPr>
    </w:p>
    <w:p w:rsidR="000761D3" w:rsidRPr="000761D3" w:rsidRDefault="000761D3" w:rsidP="000761D3">
      <w:pPr>
        <w:autoSpaceDE w:val="0"/>
        <w:autoSpaceDN w:val="0"/>
        <w:adjustRightInd w:val="0"/>
        <w:spacing w:after="0"/>
        <w:ind w:left="144" w:right="144"/>
        <w:jc w:val="both"/>
        <w:rPr>
          <w:rFonts w:ascii="Arial" w:hAnsi="Arial" w:cs="Arial"/>
          <w:b/>
        </w:rPr>
      </w:pP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ZA KONCEDENTA                                                                     </w:t>
      </w:r>
      <w:r w:rsidR="00950EE2">
        <w:rPr>
          <w:rFonts w:ascii="Arial" w:hAnsi="Arial" w:cs="Arial"/>
          <w:b/>
        </w:rPr>
        <w:t xml:space="preserve">        </w:t>
      </w:r>
      <w:r w:rsidRPr="000761D3">
        <w:rPr>
          <w:rFonts w:ascii="Arial" w:hAnsi="Arial" w:cs="Arial"/>
          <w:b/>
        </w:rPr>
        <w:t xml:space="preserve">  ZA KONCESIONARA</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w:t>
      </w:r>
    </w:p>
    <w:p w:rsidR="000761D3" w:rsidRPr="000761D3" w:rsidRDefault="000761D3" w:rsidP="000761D3">
      <w:pPr>
        <w:autoSpaceDE w:val="0"/>
        <w:autoSpaceDN w:val="0"/>
        <w:adjustRightInd w:val="0"/>
        <w:spacing w:after="0"/>
        <w:ind w:left="144" w:right="144"/>
        <w:jc w:val="both"/>
        <w:rPr>
          <w:rFonts w:ascii="Arial" w:hAnsi="Arial" w:cs="Arial"/>
          <w:b/>
        </w:rPr>
      </w:pPr>
      <w:r w:rsidRPr="000761D3">
        <w:rPr>
          <w:rFonts w:ascii="Arial" w:hAnsi="Arial" w:cs="Arial"/>
          <w:b/>
        </w:rPr>
        <w:t xml:space="preserve">  M I N I S T A R K A                                                                    </w:t>
      </w:r>
      <w:r w:rsidR="00950EE2">
        <w:rPr>
          <w:rFonts w:ascii="Arial" w:hAnsi="Arial" w:cs="Arial"/>
          <w:b/>
        </w:rPr>
        <w:t xml:space="preserve">         </w:t>
      </w:r>
      <w:r w:rsidRPr="000761D3">
        <w:rPr>
          <w:rFonts w:ascii="Arial" w:hAnsi="Arial" w:cs="Arial"/>
          <w:b/>
        </w:rPr>
        <w:t xml:space="preserve">  IZVRŠNI DIREKTOR</w:t>
      </w:r>
    </w:p>
    <w:p w:rsidR="000761D3" w:rsidRPr="00950EE2" w:rsidRDefault="000761D3" w:rsidP="000761D3">
      <w:pPr>
        <w:autoSpaceDE w:val="0"/>
        <w:autoSpaceDN w:val="0"/>
        <w:adjustRightInd w:val="0"/>
        <w:spacing w:after="0"/>
        <w:ind w:left="144" w:right="144"/>
        <w:jc w:val="both"/>
        <w:rPr>
          <w:rFonts w:ascii="Arial" w:hAnsi="Arial" w:cs="Arial"/>
        </w:rPr>
      </w:pPr>
    </w:p>
    <w:p w:rsidR="00950EE2" w:rsidRPr="00950EE2" w:rsidRDefault="00950EE2" w:rsidP="000761D3">
      <w:pPr>
        <w:autoSpaceDE w:val="0"/>
        <w:autoSpaceDN w:val="0"/>
        <w:adjustRightInd w:val="0"/>
        <w:spacing w:after="0"/>
        <w:ind w:left="144" w:right="144"/>
        <w:jc w:val="both"/>
        <w:rPr>
          <w:rFonts w:ascii="Arial" w:hAnsi="Arial" w:cs="Arial"/>
        </w:rPr>
      </w:pPr>
      <w:r>
        <w:rPr>
          <w:rFonts w:ascii="Arial" w:hAnsi="Arial" w:cs="Arial"/>
        </w:rPr>
        <w:t xml:space="preserve">   </w:t>
      </w:r>
      <w:r w:rsidRPr="00950EE2">
        <w:rPr>
          <w:rFonts w:ascii="Arial" w:hAnsi="Arial" w:cs="Arial"/>
        </w:rPr>
        <w:t>Dragica Sekulić</w:t>
      </w:r>
      <w:r>
        <w:rPr>
          <w:rFonts w:ascii="Arial" w:hAnsi="Arial" w:cs="Arial"/>
        </w:rPr>
        <w:t xml:space="preserve">                                                                                    __________________</w:t>
      </w:r>
    </w:p>
    <w:sectPr w:rsidR="00950EE2" w:rsidRPr="00950EE2"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52B" w:rsidRDefault="0056452B" w:rsidP="00775E10">
      <w:pPr>
        <w:spacing w:after="0" w:line="240" w:lineRule="auto"/>
      </w:pPr>
      <w:r>
        <w:separator/>
      </w:r>
    </w:p>
  </w:endnote>
  <w:endnote w:type="continuationSeparator" w:id="0">
    <w:p w:rsidR="0056452B" w:rsidRDefault="0056452B"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05298"/>
      <w:docPartObj>
        <w:docPartGallery w:val="Page Numbers (Bottom of Page)"/>
        <w:docPartUnique/>
      </w:docPartObj>
    </w:sdtPr>
    <w:sdtContent>
      <w:p w:rsidR="00F936FD" w:rsidRDefault="000C03ED">
        <w:pPr>
          <w:pStyle w:val="Footer"/>
          <w:jc w:val="center"/>
        </w:pPr>
        <w:fldSimple w:instr=" PAGE   \* MERGEFORMAT ">
          <w:r w:rsidR="0044046F">
            <w:rPr>
              <w:noProof/>
            </w:rPr>
            <w:t>19</w:t>
          </w:r>
        </w:fldSimple>
      </w:p>
    </w:sdtContent>
  </w:sdt>
  <w:p w:rsidR="00F936FD" w:rsidRDefault="00F936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52B" w:rsidRDefault="0056452B" w:rsidP="00775E10">
      <w:pPr>
        <w:spacing w:after="0" w:line="240" w:lineRule="auto"/>
      </w:pPr>
      <w:r>
        <w:separator/>
      </w:r>
    </w:p>
  </w:footnote>
  <w:footnote w:type="continuationSeparator" w:id="0">
    <w:p w:rsidR="0056452B" w:rsidRDefault="0056452B"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4">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6">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1">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5">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6">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8">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2">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34">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1"/>
  </w:num>
  <w:num w:numId="3">
    <w:abstractNumId w:val="29"/>
  </w:num>
  <w:num w:numId="4">
    <w:abstractNumId w:val="3"/>
  </w:num>
  <w:num w:numId="5">
    <w:abstractNumId w:val="23"/>
  </w:num>
  <w:num w:numId="6">
    <w:abstractNumId w:val="25"/>
  </w:num>
  <w:num w:numId="7">
    <w:abstractNumId w:val="18"/>
  </w:num>
  <w:num w:numId="8">
    <w:abstractNumId w:val="33"/>
  </w:num>
  <w:num w:numId="9">
    <w:abstractNumId w:val="13"/>
  </w:num>
  <w:num w:numId="10">
    <w:abstractNumId w:val="27"/>
  </w:num>
  <w:num w:numId="11">
    <w:abstractNumId w:val="34"/>
  </w:num>
  <w:num w:numId="12">
    <w:abstractNumId w:val="8"/>
  </w:num>
  <w:num w:numId="13">
    <w:abstractNumId w:val="5"/>
  </w:num>
  <w:num w:numId="14">
    <w:abstractNumId w:val="2"/>
  </w:num>
  <w:num w:numId="15">
    <w:abstractNumId w:val="7"/>
  </w:num>
  <w:num w:numId="16">
    <w:abstractNumId w:val="10"/>
  </w:num>
  <w:num w:numId="17">
    <w:abstractNumId w:val="35"/>
  </w:num>
  <w:num w:numId="18">
    <w:abstractNumId w:val="16"/>
  </w:num>
  <w:num w:numId="19">
    <w:abstractNumId w:val="20"/>
  </w:num>
  <w:num w:numId="20">
    <w:abstractNumId w:val="9"/>
  </w:num>
  <w:num w:numId="21">
    <w:abstractNumId w:val="22"/>
  </w:num>
  <w:num w:numId="22">
    <w:abstractNumId w:val="6"/>
  </w:num>
  <w:num w:numId="23">
    <w:abstractNumId w:val="4"/>
  </w:num>
  <w:num w:numId="24">
    <w:abstractNumId w:val="14"/>
  </w:num>
  <w:num w:numId="25">
    <w:abstractNumId w:val="28"/>
  </w:num>
  <w:num w:numId="26">
    <w:abstractNumId w:val="12"/>
  </w:num>
  <w:num w:numId="27">
    <w:abstractNumId w:val="19"/>
  </w:num>
  <w:num w:numId="28">
    <w:abstractNumId w:val="26"/>
  </w:num>
  <w:num w:numId="29">
    <w:abstractNumId w:val="30"/>
  </w:num>
  <w:num w:numId="30">
    <w:abstractNumId w:val="24"/>
  </w:num>
  <w:num w:numId="31">
    <w:abstractNumId w:val="32"/>
  </w:num>
  <w:num w:numId="32">
    <w:abstractNumId w:val="15"/>
  </w:num>
  <w:num w:numId="33">
    <w:abstractNumId w:val="21"/>
  </w:num>
  <w:num w:numId="34">
    <w:abstractNumId w:val="11"/>
  </w:num>
  <w:num w:numId="35">
    <w:abstractNumId w:val="36"/>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hyphenationZone w:val="425"/>
  <w:drawingGridHorizontalSpacing w:val="110"/>
  <w:displayHorizontalDrawingGridEvery w:val="2"/>
  <w:characterSpacingControl w:val="doNotCompress"/>
  <w:hdrShapeDefaults>
    <o:shapedefaults v:ext="edit" spidmax="75778"/>
  </w:hdrShapeDefaults>
  <w:footnotePr>
    <w:footnote w:id="-1"/>
    <w:footnote w:id="0"/>
  </w:footnotePr>
  <w:endnotePr>
    <w:endnote w:id="-1"/>
    <w:endnote w:id="0"/>
  </w:endnotePr>
  <w:compat>
    <w:useFELayout/>
  </w:compat>
  <w:rsids>
    <w:rsidRoot w:val="008273BB"/>
    <w:rsid w:val="00001E16"/>
    <w:rsid w:val="00006258"/>
    <w:rsid w:val="00006336"/>
    <w:rsid w:val="0000671F"/>
    <w:rsid w:val="000124F5"/>
    <w:rsid w:val="00024213"/>
    <w:rsid w:val="00052E84"/>
    <w:rsid w:val="0005796A"/>
    <w:rsid w:val="00060393"/>
    <w:rsid w:val="00064901"/>
    <w:rsid w:val="000656AB"/>
    <w:rsid w:val="00066EB6"/>
    <w:rsid w:val="0007308D"/>
    <w:rsid w:val="000761D3"/>
    <w:rsid w:val="00083E11"/>
    <w:rsid w:val="000900E2"/>
    <w:rsid w:val="000904E8"/>
    <w:rsid w:val="000925A7"/>
    <w:rsid w:val="000A5B12"/>
    <w:rsid w:val="000B2519"/>
    <w:rsid w:val="000C03ED"/>
    <w:rsid w:val="000C1F81"/>
    <w:rsid w:val="000C78B7"/>
    <w:rsid w:val="000D1136"/>
    <w:rsid w:val="000D206D"/>
    <w:rsid w:val="000D2233"/>
    <w:rsid w:val="000D41CE"/>
    <w:rsid w:val="000D6DA1"/>
    <w:rsid w:val="000E02F6"/>
    <w:rsid w:val="00100D2F"/>
    <w:rsid w:val="00102EA7"/>
    <w:rsid w:val="0010336F"/>
    <w:rsid w:val="00103EC1"/>
    <w:rsid w:val="00104020"/>
    <w:rsid w:val="001059DE"/>
    <w:rsid w:val="00106C5B"/>
    <w:rsid w:val="00116E03"/>
    <w:rsid w:val="001176B0"/>
    <w:rsid w:val="00117F91"/>
    <w:rsid w:val="00120B4B"/>
    <w:rsid w:val="001311DD"/>
    <w:rsid w:val="001430F4"/>
    <w:rsid w:val="00143A6D"/>
    <w:rsid w:val="00145746"/>
    <w:rsid w:val="00154BF9"/>
    <w:rsid w:val="001609A2"/>
    <w:rsid w:val="00161AD8"/>
    <w:rsid w:val="0016713A"/>
    <w:rsid w:val="00170AB9"/>
    <w:rsid w:val="00174201"/>
    <w:rsid w:val="00177F9A"/>
    <w:rsid w:val="00183648"/>
    <w:rsid w:val="00186A06"/>
    <w:rsid w:val="0019449E"/>
    <w:rsid w:val="0019637D"/>
    <w:rsid w:val="001A0B40"/>
    <w:rsid w:val="001A177E"/>
    <w:rsid w:val="001A636E"/>
    <w:rsid w:val="001B47D1"/>
    <w:rsid w:val="001B5EE4"/>
    <w:rsid w:val="001B7C66"/>
    <w:rsid w:val="001C3EA4"/>
    <w:rsid w:val="001C52E4"/>
    <w:rsid w:val="001D194C"/>
    <w:rsid w:val="001D1AB5"/>
    <w:rsid w:val="001D1E15"/>
    <w:rsid w:val="001D3F3E"/>
    <w:rsid w:val="001D43AD"/>
    <w:rsid w:val="001D617C"/>
    <w:rsid w:val="001E4197"/>
    <w:rsid w:val="001F0F5A"/>
    <w:rsid w:val="001F2C98"/>
    <w:rsid w:val="001F492F"/>
    <w:rsid w:val="00200511"/>
    <w:rsid w:val="002040B2"/>
    <w:rsid w:val="00211D83"/>
    <w:rsid w:val="00212792"/>
    <w:rsid w:val="00217AF1"/>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70F16"/>
    <w:rsid w:val="002725B6"/>
    <w:rsid w:val="0027328C"/>
    <w:rsid w:val="00273E5A"/>
    <w:rsid w:val="002813CA"/>
    <w:rsid w:val="00281512"/>
    <w:rsid w:val="00284A49"/>
    <w:rsid w:val="0028614A"/>
    <w:rsid w:val="0028710A"/>
    <w:rsid w:val="00287F89"/>
    <w:rsid w:val="002923F4"/>
    <w:rsid w:val="00292FB3"/>
    <w:rsid w:val="002A4987"/>
    <w:rsid w:val="002A5090"/>
    <w:rsid w:val="002B4925"/>
    <w:rsid w:val="002B51A8"/>
    <w:rsid w:val="002B5E60"/>
    <w:rsid w:val="002C2DD8"/>
    <w:rsid w:val="002C30F0"/>
    <w:rsid w:val="002C3C67"/>
    <w:rsid w:val="002D0CE5"/>
    <w:rsid w:val="002D3D78"/>
    <w:rsid w:val="002D6024"/>
    <w:rsid w:val="002E21BD"/>
    <w:rsid w:val="002E7D3D"/>
    <w:rsid w:val="002F11B5"/>
    <w:rsid w:val="002F14E9"/>
    <w:rsid w:val="002F26F0"/>
    <w:rsid w:val="003045E3"/>
    <w:rsid w:val="00313672"/>
    <w:rsid w:val="00313C8E"/>
    <w:rsid w:val="00314654"/>
    <w:rsid w:val="003148BC"/>
    <w:rsid w:val="00320A12"/>
    <w:rsid w:val="003274EC"/>
    <w:rsid w:val="00327710"/>
    <w:rsid w:val="00331319"/>
    <w:rsid w:val="00332C12"/>
    <w:rsid w:val="00345C96"/>
    <w:rsid w:val="00345FC8"/>
    <w:rsid w:val="0034713A"/>
    <w:rsid w:val="00354473"/>
    <w:rsid w:val="00355B17"/>
    <w:rsid w:val="00360060"/>
    <w:rsid w:val="00361016"/>
    <w:rsid w:val="00363ED3"/>
    <w:rsid w:val="00366A30"/>
    <w:rsid w:val="00366B6D"/>
    <w:rsid w:val="0037055C"/>
    <w:rsid w:val="003755E5"/>
    <w:rsid w:val="0037675F"/>
    <w:rsid w:val="003918D8"/>
    <w:rsid w:val="00391DC1"/>
    <w:rsid w:val="003A08FE"/>
    <w:rsid w:val="003A1929"/>
    <w:rsid w:val="003A2513"/>
    <w:rsid w:val="003A6AC7"/>
    <w:rsid w:val="003A75B3"/>
    <w:rsid w:val="003A7CEE"/>
    <w:rsid w:val="003B11A2"/>
    <w:rsid w:val="003B7419"/>
    <w:rsid w:val="003C4E9D"/>
    <w:rsid w:val="003D0568"/>
    <w:rsid w:val="003D7B18"/>
    <w:rsid w:val="003E0AFD"/>
    <w:rsid w:val="003E30CD"/>
    <w:rsid w:val="003E3F01"/>
    <w:rsid w:val="003E4992"/>
    <w:rsid w:val="003E7D8A"/>
    <w:rsid w:val="003F4273"/>
    <w:rsid w:val="003F4C7B"/>
    <w:rsid w:val="00411520"/>
    <w:rsid w:val="004170ED"/>
    <w:rsid w:val="00421D3C"/>
    <w:rsid w:val="0042339B"/>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9121C"/>
    <w:rsid w:val="004925A7"/>
    <w:rsid w:val="00496AC0"/>
    <w:rsid w:val="004A0598"/>
    <w:rsid w:val="004A696A"/>
    <w:rsid w:val="004C0A52"/>
    <w:rsid w:val="004C0C42"/>
    <w:rsid w:val="004C1340"/>
    <w:rsid w:val="004C2AF7"/>
    <w:rsid w:val="004C6989"/>
    <w:rsid w:val="004C719C"/>
    <w:rsid w:val="004C7968"/>
    <w:rsid w:val="004D2ED8"/>
    <w:rsid w:val="004D3B3D"/>
    <w:rsid w:val="004D763F"/>
    <w:rsid w:val="004E3A3A"/>
    <w:rsid w:val="004E3C7D"/>
    <w:rsid w:val="004E5452"/>
    <w:rsid w:val="00500064"/>
    <w:rsid w:val="0050237B"/>
    <w:rsid w:val="005047EA"/>
    <w:rsid w:val="005055F5"/>
    <w:rsid w:val="00506F47"/>
    <w:rsid w:val="00510ED3"/>
    <w:rsid w:val="00513440"/>
    <w:rsid w:val="00521886"/>
    <w:rsid w:val="00522921"/>
    <w:rsid w:val="00526ACC"/>
    <w:rsid w:val="00527F89"/>
    <w:rsid w:val="005359D8"/>
    <w:rsid w:val="00542790"/>
    <w:rsid w:val="00542A05"/>
    <w:rsid w:val="00542B89"/>
    <w:rsid w:val="0054418C"/>
    <w:rsid w:val="005455F0"/>
    <w:rsid w:val="005457C1"/>
    <w:rsid w:val="005528E3"/>
    <w:rsid w:val="00553391"/>
    <w:rsid w:val="005546DC"/>
    <w:rsid w:val="005607BB"/>
    <w:rsid w:val="005619B6"/>
    <w:rsid w:val="0056452B"/>
    <w:rsid w:val="005669E8"/>
    <w:rsid w:val="00571A53"/>
    <w:rsid w:val="00574C28"/>
    <w:rsid w:val="00576E51"/>
    <w:rsid w:val="0058397E"/>
    <w:rsid w:val="00585097"/>
    <w:rsid w:val="0059603D"/>
    <w:rsid w:val="005A450F"/>
    <w:rsid w:val="005A544B"/>
    <w:rsid w:val="005B234A"/>
    <w:rsid w:val="005B274F"/>
    <w:rsid w:val="005B36E2"/>
    <w:rsid w:val="005C0DCC"/>
    <w:rsid w:val="005C5CF6"/>
    <w:rsid w:val="005C6CDC"/>
    <w:rsid w:val="005D06C0"/>
    <w:rsid w:val="005D2201"/>
    <w:rsid w:val="005D3263"/>
    <w:rsid w:val="005D4570"/>
    <w:rsid w:val="005D5D47"/>
    <w:rsid w:val="005D6AAE"/>
    <w:rsid w:val="005D77FE"/>
    <w:rsid w:val="005E5D6A"/>
    <w:rsid w:val="005E5DC0"/>
    <w:rsid w:val="005F3237"/>
    <w:rsid w:val="005F41F4"/>
    <w:rsid w:val="005F5BFF"/>
    <w:rsid w:val="0060029D"/>
    <w:rsid w:val="00602F3C"/>
    <w:rsid w:val="0060571B"/>
    <w:rsid w:val="00607286"/>
    <w:rsid w:val="00607E4A"/>
    <w:rsid w:val="00612A34"/>
    <w:rsid w:val="006134F2"/>
    <w:rsid w:val="0061520E"/>
    <w:rsid w:val="0061674D"/>
    <w:rsid w:val="006220C0"/>
    <w:rsid w:val="006221EA"/>
    <w:rsid w:val="0062534B"/>
    <w:rsid w:val="006303A4"/>
    <w:rsid w:val="0063467D"/>
    <w:rsid w:val="00636CA8"/>
    <w:rsid w:val="00640F57"/>
    <w:rsid w:val="00645885"/>
    <w:rsid w:val="006471B8"/>
    <w:rsid w:val="0064730A"/>
    <w:rsid w:val="00650E6C"/>
    <w:rsid w:val="00652266"/>
    <w:rsid w:val="006552F3"/>
    <w:rsid w:val="00662808"/>
    <w:rsid w:val="00663C28"/>
    <w:rsid w:val="00666E46"/>
    <w:rsid w:val="0067729A"/>
    <w:rsid w:val="00681A1E"/>
    <w:rsid w:val="00686F46"/>
    <w:rsid w:val="00687928"/>
    <w:rsid w:val="00690838"/>
    <w:rsid w:val="00694A2E"/>
    <w:rsid w:val="00695773"/>
    <w:rsid w:val="00697761"/>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68A5"/>
    <w:rsid w:val="007B7E15"/>
    <w:rsid w:val="007C03DA"/>
    <w:rsid w:val="007C30AD"/>
    <w:rsid w:val="007D0C6B"/>
    <w:rsid w:val="007D49DA"/>
    <w:rsid w:val="007E13E7"/>
    <w:rsid w:val="007E187D"/>
    <w:rsid w:val="007F07E7"/>
    <w:rsid w:val="007F09B8"/>
    <w:rsid w:val="007F0BD9"/>
    <w:rsid w:val="007F4D84"/>
    <w:rsid w:val="007F4DFA"/>
    <w:rsid w:val="00801FE4"/>
    <w:rsid w:val="0080255A"/>
    <w:rsid w:val="00811360"/>
    <w:rsid w:val="00811867"/>
    <w:rsid w:val="0081337A"/>
    <w:rsid w:val="00813C46"/>
    <w:rsid w:val="0082646C"/>
    <w:rsid w:val="008273BB"/>
    <w:rsid w:val="0083022D"/>
    <w:rsid w:val="00837E3D"/>
    <w:rsid w:val="008434E2"/>
    <w:rsid w:val="0084591D"/>
    <w:rsid w:val="00847C66"/>
    <w:rsid w:val="008503A2"/>
    <w:rsid w:val="00883A20"/>
    <w:rsid w:val="00884F46"/>
    <w:rsid w:val="00887236"/>
    <w:rsid w:val="00897986"/>
    <w:rsid w:val="00897AB3"/>
    <w:rsid w:val="008A1FF8"/>
    <w:rsid w:val="008A5ED0"/>
    <w:rsid w:val="008A6CBB"/>
    <w:rsid w:val="008B1E3C"/>
    <w:rsid w:val="008B4FB5"/>
    <w:rsid w:val="008B5539"/>
    <w:rsid w:val="008B64E8"/>
    <w:rsid w:val="008B7BF7"/>
    <w:rsid w:val="008C19EA"/>
    <w:rsid w:val="008C24A6"/>
    <w:rsid w:val="008C286A"/>
    <w:rsid w:val="008C65ED"/>
    <w:rsid w:val="008D2A00"/>
    <w:rsid w:val="008D7659"/>
    <w:rsid w:val="008E49C4"/>
    <w:rsid w:val="008F38FD"/>
    <w:rsid w:val="008F39D3"/>
    <w:rsid w:val="00902FD0"/>
    <w:rsid w:val="009037D8"/>
    <w:rsid w:val="009117D7"/>
    <w:rsid w:val="0091213F"/>
    <w:rsid w:val="00914801"/>
    <w:rsid w:val="009165C7"/>
    <w:rsid w:val="009370F3"/>
    <w:rsid w:val="0094045F"/>
    <w:rsid w:val="00945463"/>
    <w:rsid w:val="00945B04"/>
    <w:rsid w:val="009460B6"/>
    <w:rsid w:val="00950EE2"/>
    <w:rsid w:val="00955873"/>
    <w:rsid w:val="00956564"/>
    <w:rsid w:val="00960451"/>
    <w:rsid w:val="0096698D"/>
    <w:rsid w:val="00972A68"/>
    <w:rsid w:val="009733A8"/>
    <w:rsid w:val="00974DDE"/>
    <w:rsid w:val="00976874"/>
    <w:rsid w:val="00983910"/>
    <w:rsid w:val="00985C20"/>
    <w:rsid w:val="009A13AD"/>
    <w:rsid w:val="009B1410"/>
    <w:rsid w:val="009B4770"/>
    <w:rsid w:val="009C0682"/>
    <w:rsid w:val="009C0A8B"/>
    <w:rsid w:val="009C0C1C"/>
    <w:rsid w:val="009C45EE"/>
    <w:rsid w:val="009D3F35"/>
    <w:rsid w:val="009D4332"/>
    <w:rsid w:val="009E1F73"/>
    <w:rsid w:val="009E25CF"/>
    <w:rsid w:val="009E4B0A"/>
    <w:rsid w:val="009E7F93"/>
    <w:rsid w:val="009F0B28"/>
    <w:rsid w:val="00A01593"/>
    <w:rsid w:val="00A04168"/>
    <w:rsid w:val="00A053EA"/>
    <w:rsid w:val="00A11B35"/>
    <w:rsid w:val="00A11BB4"/>
    <w:rsid w:val="00A13E8E"/>
    <w:rsid w:val="00A17E70"/>
    <w:rsid w:val="00A265DE"/>
    <w:rsid w:val="00A309B4"/>
    <w:rsid w:val="00A34723"/>
    <w:rsid w:val="00A34C70"/>
    <w:rsid w:val="00A355BD"/>
    <w:rsid w:val="00A3664E"/>
    <w:rsid w:val="00A439D1"/>
    <w:rsid w:val="00A454AD"/>
    <w:rsid w:val="00A465C4"/>
    <w:rsid w:val="00A53ECA"/>
    <w:rsid w:val="00A7653A"/>
    <w:rsid w:val="00A77814"/>
    <w:rsid w:val="00A83B76"/>
    <w:rsid w:val="00A8425A"/>
    <w:rsid w:val="00A85FE2"/>
    <w:rsid w:val="00A930FB"/>
    <w:rsid w:val="00AA4862"/>
    <w:rsid w:val="00AA49F6"/>
    <w:rsid w:val="00AA54DB"/>
    <w:rsid w:val="00AB0986"/>
    <w:rsid w:val="00AB3F3D"/>
    <w:rsid w:val="00AC0116"/>
    <w:rsid w:val="00AD7C26"/>
    <w:rsid w:val="00AE5264"/>
    <w:rsid w:val="00AF5039"/>
    <w:rsid w:val="00AF6F00"/>
    <w:rsid w:val="00B00B6D"/>
    <w:rsid w:val="00B03A89"/>
    <w:rsid w:val="00B07604"/>
    <w:rsid w:val="00B15726"/>
    <w:rsid w:val="00B17C9B"/>
    <w:rsid w:val="00B20F0E"/>
    <w:rsid w:val="00B21343"/>
    <w:rsid w:val="00B26052"/>
    <w:rsid w:val="00B27B62"/>
    <w:rsid w:val="00B32A8D"/>
    <w:rsid w:val="00B3557D"/>
    <w:rsid w:val="00B3661D"/>
    <w:rsid w:val="00B4341E"/>
    <w:rsid w:val="00B45EBB"/>
    <w:rsid w:val="00B51C7A"/>
    <w:rsid w:val="00B556F7"/>
    <w:rsid w:val="00B55AEB"/>
    <w:rsid w:val="00B57791"/>
    <w:rsid w:val="00B601EA"/>
    <w:rsid w:val="00B64A47"/>
    <w:rsid w:val="00B72CEA"/>
    <w:rsid w:val="00B964A8"/>
    <w:rsid w:val="00BA41D3"/>
    <w:rsid w:val="00BA4947"/>
    <w:rsid w:val="00BA7594"/>
    <w:rsid w:val="00BB3292"/>
    <w:rsid w:val="00BB6250"/>
    <w:rsid w:val="00BC2DFF"/>
    <w:rsid w:val="00BC5BCC"/>
    <w:rsid w:val="00BD12D2"/>
    <w:rsid w:val="00BE2769"/>
    <w:rsid w:val="00BE48D9"/>
    <w:rsid w:val="00BE5069"/>
    <w:rsid w:val="00BE7378"/>
    <w:rsid w:val="00BE7977"/>
    <w:rsid w:val="00BF15E1"/>
    <w:rsid w:val="00BF432E"/>
    <w:rsid w:val="00BF64E5"/>
    <w:rsid w:val="00BF7C84"/>
    <w:rsid w:val="00C0184C"/>
    <w:rsid w:val="00C0203F"/>
    <w:rsid w:val="00C0250D"/>
    <w:rsid w:val="00C047D7"/>
    <w:rsid w:val="00C04CD1"/>
    <w:rsid w:val="00C05A63"/>
    <w:rsid w:val="00C20130"/>
    <w:rsid w:val="00C23302"/>
    <w:rsid w:val="00C236DC"/>
    <w:rsid w:val="00C23E4B"/>
    <w:rsid w:val="00C26C06"/>
    <w:rsid w:val="00C3157B"/>
    <w:rsid w:val="00C33135"/>
    <w:rsid w:val="00C332DB"/>
    <w:rsid w:val="00C35579"/>
    <w:rsid w:val="00C36B34"/>
    <w:rsid w:val="00C410EA"/>
    <w:rsid w:val="00C4227C"/>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3B66"/>
    <w:rsid w:val="00CC41FF"/>
    <w:rsid w:val="00CD0CB0"/>
    <w:rsid w:val="00CD3293"/>
    <w:rsid w:val="00CD3633"/>
    <w:rsid w:val="00CD64B8"/>
    <w:rsid w:val="00CE23F0"/>
    <w:rsid w:val="00CE5F10"/>
    <w:rsid w:val="00CE7101"/>
    <w:rsid w:val="00CF1B02"/>
    <w:rsid w:val="00CF5238"/>
    <w:rsid w:val="00D06955"/>
    <w:rsid w:val="00D06A3B"/>
    <w:rsid w:val="00D07540"/>
    <w:rsid w:val="00D110F9"/>
    <w:rsid w:val="00D15EED"/>
    <w:rsid w:val="00D163D5"/>
    <w:rsid w:val="00D171BA"/>
    <w:rsid w:val="00D234B9"/>
    <w:rsid w:val="00D30221"/>
    <w:rsid w:val="00D306B7"/>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64D2"/>
    <w:rsid w:val="00E166D3"/>
    <w:rsid w:val="00E2021C"/>
    <w:rsid w:val="00E24E71"/>
    <w:rsid w:val="00E3261D"/>
    <w:rsid w:val="00E335D0"/>
    <w:rsid w:val="00E3504F"/>
    <w:rsid w:val="00E359E0"/>
    <w:rsid w:val="00E410D0"/>
    <w:rsid w:val="00E420D9"/>
    <w:rsid w:val="00E470F5"/>
    <w:rsid w:val="00E51188"/>
    <w:rsid w:val="00E52FCB"/>
    <w:rsid w:val="00E53A61"/>
    <w:rsid w:val="00E57B6D"/>
    <w:rsid w:val="00E659AD"/>
    <w:rsid w:val="00E66F92"/>
    <w:rsid w:val="00E72CC9"/>
    <w:rsid w:val="00E76750"/>
    <w:rsid w:val="00E76BD1"/>
    <w:rsid w:val="00E8145E"/>
    <w:rsid w:val="00E82CEE"/>
    <w:rsid w:val="00E93860"/>
    <w:rsid w:val="00E96F3B"/>
    <w:rsid w:val="00EA060D"/>
    <w:rsid w:val="00EA3A7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7610"/>
    <w:rsid w:val="00F51599"/>
    <w:rsid w:val="00F51988"/>
    <w:rsid w:val="00F54E40"/>
    <w:rsid w:val="00F5534F"/>
    <w:rsid w:val="00F55CCA"/>
    <w:rsid w:val="00F604AE"/>
    <w:rsid w:val="00F61D95"/>
    <w:rsid w:val="00F7023F"/>
    <w:rsid w:val="00F72F95"/>
    <w:rsid w:val="00F779DD"/>
    <w:rsid w:val="00F808FF"/>
    <w:rsid w:val="00F80913"/>
    <w:rsid w:val="00F81E48"/>
    <w:rsid w:val="00F86D1F"/>
    <w:rsid w:val="00F87D48"/>
    <w:rsid w:val="00F91EF4"/>
    <w:rsid w:val="00F936FD"/>
    <w:rsid w:val="00F93E97"/>
    <w:rsid w:val="00F96634"/>
    <w:rsid w:val="00FA034E"/>
    <w:rsid w:val="00FA0549"/>
    <w:rsid w:val="00FA0B45"/>
    <w:rsid w:val="00FA474B"/>
    <w:rsid w:val="00FA55DB"/>
    <w:rsid w:val="00FB1D1F"/>
    <w:rsid w:val="00FB5D55"/>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FAB4F-59EC-4A48-876E-170F5BB70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19</Pages>
  <Words>5640</Words>
  <Characters>32148</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vesna.vujacic</cp:lastModifiedBy>
  <cp:revision>63</cp:revision>
  <cp:lastPrinted>2017-03-01T12:48:00Z</cp:lastPrinted>
  <dcterms:created xsi:type="dcterms:W3CDTF">2015-11-18T15:09:00Z</dcterms:created>
  <dcterms:modified xsi:type="dcterms:W3CDTF">2018-11-05T12:31:00Z</dcterms:modified>
</cp:coreProperties>
</file>