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B4" w:rsidRDefault="00133EB4" w:rsidP="00133EB4">
      <w:pPr>
        <w:pStyle w:val="NormalWeb"/>
        <w:jc w:val="both"/>
        <w:rPr>
          <w:rFonts w:ascii="Arial" w:hAnsi="Arial" w:cs="Arial"/>
          <w:b/>
          <w:color w:val="000000"/>
          <w:lang w:val="hr-BA" w:eastAsia="hr-BA"/>
        </w:rPr>
      </w:pPr>
      <w:r>
        <w:rPr>
          <w:noProof/>
          <w:lang w:val="sr-Latn-ME" w:eastAsia="sr-Latn-ME"/>
        </w:rPr>
        <w:drawing>
          <wp:anchor distT="0" distB="0" distL="114300" distR="114300" simplePos="0" relativeHeight="251659264" behindDoc="0" locked="0" layoutInCell="1" allowOverlap="1" wp14:anchorId="3C5F464D" wp14:editId="2E18D230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884555" cy="10077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EB4" w:rsidRDefault="00133EB4" w:rsidP="00133EB4">
      <w:pPr>
        <w:pStyle w:val="NormalWeb"/>
        <w:jc w:val="both"/>
        <w:rPr>
          <w:rFonts w:ascii="Arial" w:hAnsi="Arial" w:cs="Arial"/>
          <w:b/>
          <w:color w:val="000000"/>
          <w:lang w:val="hr-BA" w:eastAsia="hr-BA"/>
        </w:rPr>
      </w:pPr>
      <w:r>
        <w:rPr>
          <w:rFonts w:ascii="Arial" w:hAnsi="Arial" w:cs="Arial"/>
          <w:b/>
          <w:color w:val="000000"/>
          <w:lang w:val="hr-BA" w:eastAsia="hr-BA"/>
        </w:rPr>
        <w:t xml:space="preserve"> </w:t>
      </w: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CRNA GORA</w:t>
      </w:r>
    </w:p>
    <w:p w:rsidR="00133EB4" w:rsidRDefault="00133EB4" w:rsidP="00133E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PRAVDE, LJUDSKIH I MANJINSKIH PRAVA</w:t>
      </w: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pStyle w:val="NormalWeb"/>
        <w:jc w:val="center"/>
        <w:rPr>
          <w:rFonts w:ascii="Arial" w:hAnsi="Arial" w:cs="Arial"/>
          <w:b/>
          <w:color w:val="000000"/>
          <w:lang w:val="hr-BA" w:eastAsia="hr-BA"/>
        </w:rPr>
      </w:pPr>
    </w:p>
    <w:p w:rsidR="00133EB4" w:rsidRDefault="00133EB4" w:rsidP="00133EB4">
      <w:pPr>
        <w:pStyle w:val="NormalWeb"/>
        <w:jc w:val="center"/>
        <w:rPr>
          <w:rFonts w:ascii="Arial" w:hAnsi="Arial" w:cs="Arial"/>
          <w:b/>
          <w:color w:val="000000"/>
          <w:lang w:val="hr-BA" w:eastAsia="hr-BA"/>
        </w:rPr>
      </w:pPr>
    </w:p>
    <w:p w:rsidR="00133EB4" w:rsidRDefault="00133EB4" w:rsidP="00133EB4">
      <w:pPr>
        <w:pStyle w:val="NormalWeb"/>
        <w:spacing w:line="360" w:lineRule="auto"/>
        <w:jc w:val="center"/>
        <w:rPr>
          <w:rFonts w:ascii="Arial" w:hAnsi="Arial" w:cs="Arial"/>
          <w:b/>
          <w:color w:val="000000"/>
          <w:lang w:val="hr-BA" w:eastAsia="hr-BA"/>
        </w:rPr>
      </w:pPr>
    </w:p>
    <w:p w:rsidR="00133EB4" w:rsidRDefault="00133EB4" w:rsidP="00133E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lang w:val="sr-Latn-ME" w:eastAsia="hr-BA"/>
        </w:rPr>
      </w:pPr>
      <w:r>
        <w:rPr>
          <w:rFonts w:ascii="Arial" w:hAnsi="Arial" w:cs="Arial"/>
          <w:b/>
          <w:color w:val="000000"/>
          <w:lang w:val="hr-BA" w:eastAsia="hr-BA"/>
        </w:rPr>
        <w:t xml:space="preserve">I </w:t>
      </w:r>
      <w:r>
        <w:rPr>
          <w:rFonts w:ascii="Arial" w:hAnsi="Arial" w:cs="Arial"/>
          <w:b/>
          <w:color w:val="000000"/>
          <w:lang w:val="sr-Latn-ME" w:eastAsia="hr-BA"/>
        </w:rPr>
        <w:t>Z V J E Š T A J</w:t>
      </w:r>
    </w:p>
    <w:p w:rsidR="00133EB4" w:rsidRPr="00133EB4" w:rsidRDefault="00133EB4" w:rsidP="00133E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lang w:val="sr-Latn-ME" w:eastAsia="hr-BA"/>
        </w:rPr>
      </w:pPr>
      <w:r>
        <w:rPr>
          <w:rFonts w:ascii="Arial" w:hAnsi="Arial" w:cs="Arial"/>
          <w:b/>
          <w:color w:val="000000"/>
          <w:lang w:val="sr-Latn-ME" w:eastAsia="hr-BA"/>
        </w:rPr>
        <w:t>O PRIMJENI ZAKONA O MEĐUNARODNOM PRIVATNOM PRAVU</w:t>
      </w:r>
    </w:p>
    <w:p w:rsidR="00133EB4" w:rsidRDefault="00133EB4" w:rsidP="00133EB4">
      <w:pPr>
        <w:pStyle w:val="NormalWeb"/>
        <w:spacing w:before="0" w:beforeAutospacing="0" w:line="360" w:lineRule="auto"/>
        <w:jc w:val="center"/>
        <w:rPr>
          <w:rFonts w:ascii="Arial" w:hAnsi="Arial" w:cs="Arial"/>
          <w:b/>
          <w:color w:val="000000"/>
          <w:lang w:val="hr-BA" w:eastAsia="hr-BA"/>
        </w:rPr>
      </w:pPr>
      <w:r>
        <w:rPr>
          <w:rFonts w:ascii="Arial" w:hAnsi="Arial" w:cs="Arial"/>
          <w:b/>
          <w:color w:val="000000"/>
          <w:lang w:val="hr-BA" w:eastAsia="hr-BA"/>
        </w:rPr>
        <w:t>(jul 2020 – jul 2021. godine)</w:t>
      </w: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rPr>
          <w:rFonts w:ascii="Arial" w:hAnsi="Arial" w:cs="Arial"/>
          <w:b/>
          <w:sz w:val="24"/>
          <w:szCs w:val="24"/>
        </w:rPr>
      </w:pP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Podgorica, septembar 2021. godine</w:t>
      </w:r>
    </w:p>
    <w:p w:rsidR="00133EB4" w:rsidRDefault="00133EB4" w:rsidP="00133EB4">
      <w:pPr>
        <w:jc w:val="center"/>
        <w:rPr>
          <w:rFonts w:ascii="Arial" w:hAnsi="Arial" w:cs="Arial"/>
          <w:b/>
          <w:sz w:val="24"/>
          <w:szCs w:val="24"/>
        </w:rPr>
      </w:pPr>
    </w:p>
    <w:p w:rsidR="00133EB4" w:rsidRPr="00133EB4" w:rsidRDefault="00133EB4" w:rsidP="00133EB4">
      <w:pPr>
        <w:jc w:val="both"/>
        <w:rPr>
          <w:rFonts w:ascii="Arial" w:hAnsi="Arial" w:cs="Arial"/>
          <w:b/>
        </w:rPr>
      </w:pPr>
      <w:r w:rsidRPr="00133EB4">
        <w:rPr>
          <w:rFonts w:ascii="Arial" w:hAnsi="Arial" w:cs="Arial"/>
          <w:b/>
        </w:rPr>
        <w:lastRenderedPageBreak/>
        <w:t>I Uvod</w:t>
      </w:r>
    </w:p>
    <w:p w:rsidR="0016178D" w:rsidRDefault="0016178D" w:rsidP="00133EB4">
      <w:pPr>
        <w:jc w:val="both"/>
        <w:rPr>
          <w:rFonts w:ascii="Arial" w:hAnsi="Arial" w:cs="Arial"/>
        </w:rPr>
      </w:pPr>
    </w:p>
    <w:p w:rsidR="00133EB4" w:rsidRDefault="00133EB4" w:rsidP="00133EB4">
      <w:pPr>
        <w:jc w:val="both"/>
        <w:rPr>
          <w:rFonts w:ascii="Arial" w:hAnsi="Arial" w:cs="Arial"/>
        </w:rPr>
      </w:pPr>
      <w:r w:rsidRPr="00133EB4">
        <w:rPr>
          <w:rFonts w:ascii="Arial" w:hAnsi="Arial" w:cs="Arial"/>
        </w:rPr>
        <w:t xml:space="preserve">Crna Gora je 2013. godine kodifikovala svoje međunarodno privatno pravo donošenjem Zakona o međunarodnom privatnom pravu, koji je </w:t>
      </w:r>
      <w:r w:rsidR="00F94465">
        <w:rPr>
          <w:rFonts w:ascii="Arial" w:hAnsi="Arial" w:cs="Arial"/>
        </w:rPr>
        <w:t xml:space="preserve"> u primjeni  od </w:t>
      </w:r>
      <w:r w:rsidRPr="00133EB4">
        <w:rPr>
          <w:rFonts w:ascii="Arial" w:hAnsi="Arial" w:cs="Arial"/>
        </w:rPr>
        <w:t>2014. godine. Ovaj zakon propisuje pravila o određivanju mjerodavnog prava u privatnopravnim odnosima sa međunarodnim elementom (kolizione norme), pravila o nadležnosti sudova</w:t>
      </w:r>
      <w:r>
        <w:rPr>
          <w:rFonts w:ascii="Arial" w:hAnsi="Arial" w:cs="Arial"/>
        </w:rPr>
        <w:t xml:space="preserve"> i drugih organa za raspravljanje tih odnosa i pravila postupka, kao i pravila za priznavanje i izvršenje stranih sudskih i arbitražnih odluka i odluka drugih organa.</w:t>
      </w:r>
    </w:p>
    <w:p w:rsidR="00133EB4" w:rsidRDefault="00133EB4" w:rsidP="00133E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Zbog značaja ovog zakona, koji uređuje vrlo kompleksnu oblast, a čije su odredbe u cjelosti ili u pretežnom dijelu usklađene sa pravilima međunarodnog prava koje nastaje u Evropskoj uniji, Ministarstvo pravde, ljudskih i manjinskih prava, u skladu sa Akcionim planom za pregovaračko poglavlje 24 – pravda, sloboda i bezbjednost – mjera 5.1.7., kontinuirano prati njegovu primjenu kroz sačinjavanje godišnjih izvještaja. U vezi sa tim, Programom rada Ministarstva pravde, ljudskih i manjinskih prava za III kvartal 2021. godine predviđena je izrada Izvještaja o primjeni Zakona o međunarodnom privatnom pravu za period jul 2020 – jul 2021. godine.</w:t>
      </w:r>
    </w:p>
    <w:p w:rsidR="00133EB4" w:rsidRDefault="00BE3E25" w:rsidP="00133E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Izvještaj sadrži podatke o broju i vrsti predmeta u kojima su u izvještajnom periodu primijenjene odredbe Zakona o međunarodnom privatnom pravu u osnovnim sudovima i Privrednom sudu Crne Gore (u daljem tekstu: Privredni sud), kao i podatke o sudskoj praksi i načelnim pravnim stavovima Vrhovnog suda Crne Gore (u daljem tekstu: Vrhovni sud) koji su zauzeti povodom primjene odredaba ovog zakona. Izvještaj, pored navedenih, sadrži podatke o broju ostavinskih predmeta u kojima su notari, kao povjerenici suda za sprovođenje ostavinskog postupka, u izvještajnom periodu primijenili odredbe navedenog zakona, kao i podatke o održanim seminarima i obukama iz oblasti međunarodnog privatnog prava i međunarodne pravosudne saradnje u građanskim stvarima, koje je u izvještajnom periodu organizovao Centar za obuku u sudstvu i državnom tužilaštvu (u daljem tekstu: Centar za obuku).</w:t>
      </w:r>
    </w:p>
    <w:p w:rsidR="00BE3E25" w:rsidRDefault="00BE3E25" w:rsidP="00133E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potrebe izrade ovog Izvještaja pribavljeni su podaci od Vrhovnog suda, Centra za obuku i Notarske komore Crne Gore (u daljem tekstu: Notarska komora).</w:t>
      </w:r>
    </w:p>
    <w:p w:rsidR="00BE3E25" w:rsidRDefault="00BE3E25" w:rsidP="00133EB4">
      <w:pPr>
        <w:jc w:val="both"/>
        <w:rPr>
          <w:rFonts w:ascii="Arial" w:hAnsi="Arial" w:cs="Arial"/>
        </w:rPr>
      </w:pPr>
    </w:p>
    <w:p w:rsidR="00BE3E25" w:rsidRDefault="00BE3E25" w:rsidP="00133EB4">
      <w:pPr>
        <w:jc w:val="both"/>
        <w:rPr>
          <w:rFonts w:ascii="Arial" w:hAnsi="Arial" w:cs="Arial"/>
        </w:rPr>
      </w:pPr>
    </w:p>
    <w:p w:rsidR="00BE3E25" w:rsidRDefault="00BE3E25" w:rsidP="00133EB4">
      <w:pPr>
        <w:jc w:val="both"/>
        <w:rPr>
          <w:rFonts w:ascii="Arial" w:hAnsi="Arial" w:cs="Arial"/>
        </w:rPr>
      </w:pPr>
    </w:p>
    <w:p w:rsidR="00BE3E25" w:rsidRDefault="00BE3E25" w:rsidP="00133EB4">
      <w:pPr>
        <w:jc w:val="both"/>
        <w:rPr>
          <w:rFonts w:ascii="Arial" w:hAnsi="Arial" w:cs="Arial"/>
        </w:rPr>
      </w:pPr>
    </w:p>
    <w:p w:rsidR="00BE3E25" w:rsidRDefault="00BE3E25" w:rsidP="00133EB4">
      <w:pPr>
        <w:jc w:val="both"/>
        <w:rPr>
          <w:rFonts w:ascii="Arial" w:hAnsi="Arial" w:cs="Arial"/>
        </w:rPr>
      </w:pPr>
    </w:p>
    <w:p w:rsidR="00BE3E25" w:rsidRDefault="00BE3E25" w:rsidP="00133EB4">
      <w:pPr>
        <w:jc w:val="both"/>
        <w:rPr>
          <w:rFonts w:ascii="Arial" w:hAnsi="Arial" w:cs="Arial"/>
        </w:rPr>
      </w:pPr>
    </w:p>
    <w:p w:rsidR="00BE3E25" w:rsidRDefault="00BE3E25" w:rsidP="00133EB4">
      <w:pPr>
        <w:jc w:val="both"/>
        <w:rPr>
          <w:rFonts w:ascii="Arial" w:hAnsi="Arial" w:cs="Arial"/>
        </w:rPr>
      </w:pPr>
    </w:p>
    <w:p w:rsidR="00BE3E25" w:rsidRDefault="00BE3E25" w:rsidP="00133EB4">
      <w:pPr>
        <w:jc w:val="both"/>
        <w:rPr>
          <w:rFonts w:ascii="Arial" w:hAnsi="Arial" w:cs="Arial"/>
        </w:rPr>
      </w:pPr>
    </w:p>
    <w:p w:rsidR="00BE3E25" w:rsidRDefault="00BE3E25" w:rsidP="00133EB4">
      <w:pPr>
        <w:jc w:val="both"/>
        <w:rPr>
          <w:rFonts w:ascii="Arial" w:hAnsi="Arial" w:cs="Arial"/>
        </w:rPr>
      </w:pPr>
    </w:p>
    <w:p w:rsidR="00BE3E25" w:rsidRDefault="00BE3E25" w:rsidP="00133EB4">
      <w:pPr>
        <w:jc w:val="both"/>
        <w:rPr>
          <w:rFonts w:ascii="Arial" w:hAnsi="Arial" w:cs="Arial"/>
        </w:rPr>
      </w:pPr>
    </w:p>
    <w:p w:rsidR="00BE3E25" w:rsidRDefault="00BE3E25" w:rsidP="00133E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Primjena Zakona o međunarodnom privatnom pravu u osnovnim sudovima i Privrednom sudu, po određenim oblastima prava</w:t>
      </w:r>
    </w:p>
    <w:p w:rsidR="0016178D" w:rsidRDefault="0016178D" w:rsidP="00133EB4">
      <w:pPr>
        <w:jc w:val="both"/>
        <w:rPr>
          <w:rFonts w:ascii="Arial" w:hAnsi="Arial" w:cs="Arial"/>
          <w:b/>
        </w:rPr>
      </w:pPr>
    </w:p>
    <w:p w:rsidR="00BE3E25" w:rsidRDefault="00BE3E25" w:rsidP="00BE3E2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Primjena Zakona o međunarodnom privatnom pravu u osnovnim sudovima</w:t>
      </w:r>
    </w:p>
    <w:p w:rsidR="0016178D" w:rsidRDefault="0016178D" w:rsidP="00BE3E25">
      <w:pPr>
        <w:jc w:val="both"/>
        <w:rPr>
          <w:rFonts w:ascii="Arial" w:hAnsi="Arial" w:cs="Arial"/>
        </w:rPr>
      </w:pPr>
    </w:p>
    <w:p w:rsidR="00BE3E25" w:rsidRDefault="00BE3E25" w:rsidP="00BE3E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Osnovni sudovi su u izvještajnom periodu primijenili odredbe Zakona o među</w:t>
      </w:r>
      <w:r w:rsidR="00C52E81">
        <w:rPr>
          <w:rFonts w:ascii="Arial" w:hAnsi="Arial" w:cs="Arial"/>
        </w:rPr>
        <w:t>narodnom privatnom pravu u 356</w:t>
      </w:r>
      <w:r>
        <w:rPr>
          <w:rFonts w:ascii="Arial" w:hAnsi="Arial" w:cs="Arial"/>
        </w:rPr>
        <w:t xml:space="preserve"> predmeta. Posmatrano po određenim oblastima prava, </w:t>
      </w:r>
      <w:r w:rsidR="00C52E81">
        <w:rPr>
          <w:rFonts w:ascii="Arial" w:hAnsi="Arial" w:cs="Arial"/>
        </w:rPr>
        <w:t xml:space="preserve">113 predmeta </w:t>
      </w:r>
      <w:r>
        <w:rPr>
          <w:rFonts w:ascii="Arial" w:hAnsi="Arial" w:cs="Arial"/>
        </w:rPr>
        <w:t xml:space="preserve">odnosi se na oblast </w:t>
      </w:r>
      <w:r w:rsidR="00C52E81">
        <w:rPr>
          <w:rFonts w:ascii="Arial" w:hAnsi="Arial" w:cs="Arial"/>
        </w:rPr>
        <w:t>porodičnog prava, 69</w:t>
      </w:r>
      <w:r>
        <w:rPr>
          <w:rFonts w:ascii="Arial" w:hAnsi="Arial" w:cs="Arial"/>
        </w:rPr>
        <w:t xml:space="preserve"> predmeta na oblast obligacionog prava, </w:t>
      </w:r>
      <w:r w:rsidR="00C52E81">
        <w:rPr>
          <w:rFonts w:ascii="Arial" w:hAnsi="Arial" w:cs="Arial"/>
        </w:rPr>
        <w:t xml:space="preserve">102 </w:t>
      </w:r>
      <w:r>
        <w:rPr>
          <w:rFonts w:ascii="Arial" w:hAnsi="Arial" w:cs="Arial"/>
        </w:rPr>
        <w:t xml:space="preserve">predmeta na oblast stvarnog prava i </w:t>
      </w:r>
      <w:r w:rsidR="00C52E81">
        <w:rPr>
          <w:rFonts w:ascii="Arial" w:hAnsi="Arial" w:cs="Arial"/>
        </w:rPr>
        <w:t xml:space="preserve">52 </w:t>
      </w:r>
      <w:r>
        <w:rPr>
          <w:rFonts w:ascii="Arial" w:hAnsi="Arial" w:cs="Arial"/>
        </w:rPr>
        <w:t>predmeta na oblast nasljednog prava.</w:t>
      </w:r>
    </w:p>
    <w:p w:rsidR="00C52E81" w:rsidRDefault="00C52E81" w:rsidP="00BE3E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Osnovni sud u Podgorici imao je najveći broj predmeta sa međunarodnim elementom u kojima su u izvještajnom periodu primijenjene odredbe Zakona o međunarodnom privatnom pravu – 58 predmeta, a nakon njega </w:t>
      </w:r>
      <w:r w:rsidR="00DE5F52">
        <w:rPr>
          <w:rFonts w:ascii="Arial" w:hAnsi="Arial" w:cs="Arial"/>
        </w:rPr>
        <w:t>Osnovni sud u Žabljaku  sa 55 predmeta, Osnovni sud u Kotoru sa 54 predmeta i Osnovni sud u Baru sa 34 predmeta. Sa druge strane, pojedini osnovni sudovi su u veoma malom broju predmeta primijenili odredbe navedenog zakona – Osnovni sud u Herceg Novom u 3 predmeta, Osnovni sud u Nikšiću u 6 predmeta i Osnovni sud u Kolašinu u 7 predmeta.</w:t>
      </w:r>
    </w:p>
    <w:p w:rsidR="00DE5F52" w:rsidRDefault="00DE5F52" w:rsidP="00BE3E25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Posmatrano po oblastima prava, najveći broj predmeta sa međunarodnim elementom u izvještajnom periodu imali su: Osnovni sud u Rožajama 22 predmeta i Osnovni sud u Ber</w:t>
      </w:r>
      <w:r w:rsidR="00970B74">
        <w:rPr>
          <w:rFonts w:ascii="Arial" w:hAnsi="Arial" w:cs="Arial"/>
        </w:rPr>
        <w:t>anama 20 predmeta iz oblasti porodi</w:t>
      </w:r>
      <w:r w:rsidR="00970B74">
        <w:rPr>
          <w:rFonts w:ascii="Arial" w:hAnsi="Arial" w:cs="Arial"/>
          <w:lang w:val="sr-Latn-ME"/>
        </w:rPr>
        <w:t xml:space="preserve">čnog prava; Osnovni sud u Podgorici 28  predmeta i Osnovni sud u Pljevljima 19 predmeta iz oblasti obligacionog prava; Osnovni sud u Kotoru 29 predmeta i Osnovni sud u Žabljaku 24 predmeta iz oblasti stvarnog prava; te Osnovni sud u Baru 22 predmeta i Osnovni sud u Žabljaku 20 predmeta iz oblasti nasljednog prava. </w:t>
      </w:r>
    </w:p>
    <w:p w:rsidR="00970B74" w:rsidRDefault="00970B74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>
        <w:rPr>
          <w:rFonts w:ascii="Arial" w:hAnsi="Arial" w:cs="Arial"/>
          <w:lang w:val="sr-Latn-ME"/>
        </w:rPr>
        <w:t xml:space="preserve">Broj predmeta u kojima su u izvještajnom periodu u osnovnim sudovima primijenjene odredbe Zakona o međunarodnom privatnom pravu – 356 manji je za 87 predmeta ili </w:t>
      </w:r>
      <w:r w:rsidR="008E6E83" w:rsidRPr="008E6E83">
        <w:rPr>
          <w:rFonts w:ascii="Arial" w:hAnsi="Arial" w:cs="Arial"/>
          <w:color w:val="000000" w:themeColor="text1"/>
          <w:lang w:val="sr-Latn-ME"/>
        </w:rPr>
        <w:t>19,64%</w:t>
      </w:r>
      <w:r w:rsidRPr="008E6E83">
        <w:rPr>
          <w:rFonts w:ascii="Arial" w:hAnsi="Arial" w:cs="Arial"/>
          <w:color w:val="000000" w:themeColor="text1"/>
          <w:lang w:val="sr-Latn-ME"/>
        </w:rPr>
        <w:t xml:space="preserve"> </w:t>
      </w:r>
      <w:r>
        <w:rPr>
          <w:rFonts w:ascii="Arial" w:hAnsi="Arial" w:cs="Arial"/>
          <w:color w:val="000000" w:themeColor="text1"/>
          <w:lang w:val="sr-Latn-ME"/>
        </w:rPr>
        <w:t>u odnosu na prethodni izvještajni period (jul 2019 – jul 2020.godine), u kojem je navedeni broj iznosio 443 predmeta.</w:t>
      </w:r>
    </w:p>
    <w:p w:rsidR="00970B74" w:rsidRDefault="00970B74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>
        <w:rPr>
          <w:rFonts w:ascii="Arial" w:hAnsi="Arial" w:cs="Arial"/>
          <w:color w:val="000000" w:themeColor="text1"/>
          <w:lang w:val="sr-Latn-ME"/>
        </w:rPr>
        <w:t xml:space="preserve">Ako izvršimo upoređivanje broja predmeta u kojima su primijenjene odredbe predmetnog zakona u izvještajnom i prethodnom periodu, po oblastima prava, dolazimo do zaključka da je ukupan broj predmeta iz oblasti porodičnog prava bio manji za 18 predmeta ili </w:t>
      </w:r>
      <w:r w:rsidR="008E6E83" w:rsidRPr="008E6E83">
        <w:rPr>
          <w:rFonts w:ascii="Arial" w:hAnsi="Arial" w:cs="Arial"/>
          <w:color w:val="000000" w:themeColor="text1"/>
          <w:lang w:val="sr-Latn-ME"/>
        </w:rPr>
        <w:t>13,75%</w:t>
      </w:r>
      <w:r w:rsidRPr="008E6E83">
        <w:rPr>
          <w:rFonts w:ascii="Arial" w:hAnsi="Arial" w:cs="Arial"/>
          <w:color w:val="000000" w:themeColor="text1"/>
          <w:lang w:val="sr-Latn-ME"/>
        </w:rPr>
        <w:t xml:space="preserve"> </w:t>
      </w:r>
      <w:r>
        <w:rPr>
          <w:rFonts w:ascii="Arial" w:hAnsi="Arial" w:cs="Arial"/>
          <w:color w:val="000000" w:themeColor="text1"/>
          <w:lang w:val="sr-Latn-ME"/>
        </w:rPr>
        <w:t xml:space="preserve">u odnosu na prethodni period u kojem je ovaj broj iznosio 131 predmet. Kada je u pitanju oblast obligacionog prava, ukupan broj predmeta u kojima su primijenjene odredbe predmetnog zakona u izvještajnom periodu veći je za 1 predmet </w:t>
      </w:r>
      <w:r w:rsidRPr="008E6E83">
        <w:rPr>
          <w:rFonts w:ascii="Arial" w:hAnsi="Arial" w:cs="Arial"/>
          <w:color w:val="000000" w:themeColor="text1"/>
          <w:lang w:val="sr-Latn-ME"/>
        </w:rPr>
        <w:t xml:space="preserve">ili </w:t>
      </w:r>
      <w:r w:rsidR="004440B7" w:rsidRPr="008E6E83">
        <w:rPr>
          <w:rFonts w:ascii="Arial" w:hAnsi="Arial" w:cs="Arial"/>
          <w:color w:val="000000" w:themeColor="text1"/>
          <w:lang w:val="sr-Latn-ME"/>
        </w:rPr>
        <w:softHyphen/>
      </w:r>
      <w:r w:rsidR="004440B7" w:rsidRPr="008E6E83">
        <w:rPr>
          <w:rFonts w:ascii="Arial" w:hAnsi="Arial" w:cs="Arial"/>
          <w:color w:val="000000" w:themeColor="text1"/>
          <w:lang w:val="sr-Latn-ME"/>
        </w:rPr>
        <w:softHyphen/>
      </w:r>
      <w:r w:rsidR="004440B7" w:rsidRPr="008E6E83">
        <w:rPr>
          <w:rFonts w:ascii="Arial" w:hAnsi="Arial" w:cs="Arial"/>
          <w:color w:val="000000" w:themeColor="text1"/>
          <w:lang w:val="sr-Latn-ME"/>
        </w:rPr>
        <w:softHyphen/>
      </w:r>
      <w:r w:rsidR="008E6E83" w:rsidRPr="008E6E83">
        <w:rPr>
          <w:rFonts w:ascii="Arial" w:hAnsi="Arial" w:cs="Arial"/>
          <w:color w:val="000000" w:themeColor="text1"/>
          <w:lang w:val="sr-Latn-ME"/>
        </w:rPr>
        <w:t>1,13</w:t>
      </w:r>
      <w:r w:rsidR="004440B7" w:rsidRPr="008E6E83">
        <w:rPr>
          <w:rFonts w:ascii="Arial" w:hAnsi="Arial" w:cs="Arial"/>
          <w:color w:val="000000" w:themeColor="text1"/>
          <w:lang w:val="sr-Latn-ME"/>
        </w:rPr>
        <w:t xml:space="preserve">% </w:t>
      </w:r>
      <w:r w:rsidR="004440B7">
        <w:rPr>
          <w:rFonts w:ascii="Arial" w:hAnsi="Arial" w:cs="Arial"/>
          <w:color w:val="000000" w:themeColor="text1"/>
          <w:lang w:val="sr-Latn-ME"/>
        </w:rPr>
        <w:t xml:space="preserve">u odnosu na prethodni period u kojem je ovaj broj iznosio 88 predmeta. Što se tiče oblasti stvarnog prava, ukupan broj predmeta u kojima su primijenjene odredbe predmetnog zakona jednak je broju predmeta iz prethodnog perioda i isti iznosi 102 predmeta. U konačnom, kada je u pitanju oblast nasljednog prava, broj predmeta u kojima su osnovni sudovi u izvještajnom periodu primijenili odredbe predmetnog zakona manji je u izvještajnom periodu za 70 predmeta ili </w:t>
      </w:r>
      <w:r w:rsidR="008E6E83" w:rsidRPr="008E6E83">
        <w:rPr>
          <w:rFonts w:ascii="Arial" w:hAnsi="Arial" w:cs="Arial"/>
          <w:color w:val="000000" w:themeColor="text1"/>
          <w:lang w:val="sr-Latn-ME"/>
        </w:rPr>
        <w:t>57,38</w:t>
      </w:r>
      <w:r w:rsidR="004440B7" w:rsidRPr="008E6E83">
        <w:rPr>
          <w:rFonts w:ascii="Arial" w:hAnsi="Arial" w:cs="Arial"/>
          <w:color w:val="000000" w:themeColor="text1"/>
          <w:lang w:val="sr-Latn-ME"/>
        </w:rPr>
        <w:t xml:space="preserve">% </w:t>
      </w:r>
      <w:r w:rsidR="004440B7">
        <w:rPr>
          <w:rFonts w:ascii="Arial" w:hAnsi="Arial" w:cs="Arial"/>
          <w:color w:val="000000" w:themeColor="text1"/>
          <w:lang w:val="sr-Latn-ME"/>
        </w:rPr>
        <w:t>u odnosu na prethodni period u kojem je ovaj broj iznosio 122 predmeta.</w:t>
      </w:r>
    </w:p>
    <w:p w:rsidR="004440B7" w:rsidRDefault="004440B7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>
        <w:rPr>
          <w:rFonts w:ascii="Arial" w:hAnsi="Arial" w:cs="Arial"/>
          <w:color w:val="000000" w:themeColor="text1"/>
          <w:lang w:val="sr-Latn-ME"/>
        </w:rPr>
        <w:t xml:space="preserve">Kada se uporede podaci o primjeni Zakona o međunarodnom privatnom pravu u izvještajnom periodu sa podacima iz prethodnog perioda pojedinačno po sudovima, zapaža se da je </w:t>
      </w:r>
      <w:r w:rsidR="00282C1C">
        <w:rPr>
          <w:rFonts w:ascii="Arial" w:hAnsi="Arial" w:cs="Arial"/>
          <w:color w:val="000000" w:themeColor="text1"/>
          <w:lang w:val="sr-Latn-ME"/>
        </w:rPr>
        <w:lastRenderedPageBreak/>
        <w:t>Osnovni sud u Rožajama u izvještajnom periodu primijenio odredbe ovog zakona u 22 predmeta, za razliku od prethodnog perioda kada je taj broj bio 45 predmeta; Osnovni sud u Žabljaku je u izvještajnom periodu primijenio odredbe ovog zakona u 55 predmeta, za razliku od prethodnog perioda kada je taj broj bio 124 predmeta; Osnovni sud u Baru je u izvještajnom period primijenio odredbe ovog zakona u 34 predmeta za razliku od prethodnog perioda kada je taj broj bio 66; Osnovni sud u Beranama je u izvještajnom periodu primijenio odredbe ovog zakona u 20 predmeta, za razliku od prethodnog perioda kada je taj broj bio 30 predmeta; te Osnovni sud u Danilovgradu je u izvještajnom periodu primijenio odredbe ovog zakona u 11 predmeta, za razliku od prethodnog perioda kada je ovaj broj bio 24 predmeta. Takođe, treba napomenuti da je Osnovni sud u Podgorici u izvještajnom periodu primijenio odredbe ovog zakona u 58 predmeta, za razliku od prethodnog perioda kada je taj broj bio 49 predmeta; Osnovni sud u Ulcinju je u izvještajnom periodu primijenio odredbe ovog zakona u 16 predmeta, za razliku od prethodnog perioda kada je taj broj bio 3 predmeta; Osnovni sud u Pljevljima je u izvještajnom periodu primijenio odredbe ovog zakona u 33 predmeta, za razliku od prethodnog perioda kada je taj broj bio 20 predmeta; Osnovni sud u Plavu je u izvještajnom periodu primijenio odredbe ovog zakona u 13 predmeta za razliku od prethodnog perioda u kojem nije bilo primjene ovog zakona; te Osnovni sud u Cetinju koji je u izvještajnom periodu primijenio odredbe ovog zakona u 11 predmeta za razliku od prethodnog perioda u kojem nije bilo primjene ovog zakona.</w:t>
      </w:r>
    </w:p>
    <w:p w:rsidR="00DC493F" w:rsidRDefault="00DC493F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>
        <w:rPr>
          <w:rFonts w:ascii="Arial" w:hAnsi="Arial" w:cs="Arial"/>
          <w:color w:val="000000" w:themeColor="text1"/>
          <w:lang w:val="sr-Latn-ME"/>
        </w:rPr>
        <w:t>U tabeli koja slijedi prikazan je broj predmeta u kojima su primijenjene odredbe Zakona o međunarodnom privatnom pravu u osnovnim sudovima u periodu jul 2020 – jul 2021. godine, pojedinačno po sudovima i određenim oblastima prava, kao i zbirni podaci.</w:t>
      </w:r>
    </w:p>
    <w:p w:rsidR="0016178D" w:rsidRDefault="0016178D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DC493F" w:rsidRDefault="00DC493F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  <w:r>
        <w:rPr>
          <w:rFonts w:ascii="Arial" w:hAnsi="Arial" w:cs="Arial"/>
          <w:b/>
          <w:color w:val="000000" w:themeColor="text1"/>
          <w:lang w:val="sr-Latn-ME"/>
        </w:rPr>
        <w:t>Tabela 1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91"/>
        <w:gridCol w:w="1502"/>
        <w:gridCol w:w="1503"/>
        <w:gridCol w:w="1503"/>
        <w:gridCol w:w="1503"/>
        <w:gridCol w:w="1503"/>
      </w:tblGrid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NAZIV SUDA</w:t>
            </w:r>
          </w:p>
        </w:tc>
        <w:tc>
          <w:tcPr>
            <w:tcW w:w="1502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Porodično pravo </w:t>
            </w: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Obligaciono pravo </w:t>
            </w: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Stvarno pravo </w:t>
            </w: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Nasljedno pravo </w:t>
            </w: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</w:p>
          <w:p w:rsid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</w:p>
          <w:p w:rsid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lang w:val="sr-Latn-ME"/>
              </w:rPr>
              <w:t>UKUPNO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Baru</w:t>
            </w:r>
          </w:p>
        </w:tc>
        <w:tc>
          <w:tcPr>
            <w:tcW w:w="1502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22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34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Beranama</w:t>
            </w:r>
          </w:p>
        </w:tc>
        <w:tc>
          <w:tcPr>
            <w:tcW w:w="1502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20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Bijelom Polju</w:t>
            </w:r>
          </w:p>
        </w:tc>
        <w:tc>
          <w:tcPr>
            <w:tcW w:w="1502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13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13</w:t>
            </w:r>
          </w:p>
        </w:tc>
      </w:tr>
      <w:tr w:rsidR="00DC493F" w:rsidTr="00C93E6D">
        <w:trPr>
          <w:trHeight w:val="274"/>
        </w:trPr>
        <w:tc>
          <w:tcPr>
            <w:tcW w:w="1791" w:type="dxa"/>
          </w:tcPr>
          <w:p w:rsidR="00DC493F" w:rsidRDefault="002F04C5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Osnovni sud u </w:t>
            </w:r>
          </w:p>
          <w:p w:rsidR="002F04C5" w:rsidRPr="00DC493F" w:rsidRDefault="002F04C5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Danilovgradu</w:t>
            </w: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502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11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Žabljaku</w:t>
            </w:r>
          </w:p>
        </w:tc>
        <w:tc>
          <w:tcPr>
            <w:tcW w:w="1502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24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55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Kolašinu</w:t>
            </w:r>
          </w:p>
        </w:tc>
        <w:tc>
          <w:tcPr>
            <w:tcW w:w="1502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7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Kotoru</w:t>
            </w:r>
          </w:p>
        </w:tc>
        <w:tc>
          <w:tcPr>
            <w:tcW w:w="1502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13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29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54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Nikšiću</w:t>
            </w:r>
          </w:p>
        </w:tc>
        <w:tc>
          <w:tcPr>
            <w:tcW w:w="1502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6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Plavu</w:t>
            </w:r>
          </w:p>
        </w:tc>
        <w:tc>
          <w:tcPr>
            <w:tcW w:w="1502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13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Pljevljima</w:t>
            </w:r>
          </w:p>
        </w:tc>
        <w:tc>
          <w:tcPr>
            <w:tcW w:w="1502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19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DC712A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lang w:val="sr-Latn-ME"/>
              </w:rPr>
              <w:t>33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Podgorici</w:t>
            </w:r>
          </w:p>
        </w:tc>
        <w:tc>
          <w:tcPr>
            <w:tcW w:w="1502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19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28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9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58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Rožajama</w:t>
            </w:r>
          </w:p>
        </w:tc>
        <w:tc>
          <w:tcPr>
            <w:tcW w:w="1502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22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22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Ulcinju</w:t>
            </w:r>
          </w:p>
        </w:tc>
        <w:tc>
          <w:tcPr>
            <w:tcW w:w="1502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9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16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Herceg Novom</w:t>
            </w:r>
          </w:p>
        </w:tc>
        <w:tc>
          <w:tcPr>
            <w:tcW w:w="1502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3</w:t>
            </w:r>
          </w:p>
        </w:tc>
      </w:tr>
      <w:tr w:rsidR="00DC493F" w:rsidTr="00C93E6D">
        <w:tc>
          <w:tcPr>
            <w:tcW w:w="1791" w:type="dxa"/>
          </w:tcPr>
          <w:p w:rsidR="00DC493F" w:rsidRPr="006613D7" w:rsidRDefault="006613D7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6613D7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Cetinju</w:t>
            </w: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502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</w:p>
          <w:p w:rsidR="00DC493F" w:rsidRPr="000738A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738AD">
              <w:rPr>
                <w:rFonts w:ascii="Arial" w:hAnsi="Arial" w:cs="Arial"/>
                <w:color w:val="000000" w:themeColor="text1"/>
                <w:lang w:val="sr-Latn-ME"/>
              </w:rPr>
              <w:t>11</w:t>
            </w:r>
          </w:p>
        </w:tc>
      </w:tr>
      <w:tr w:rsidR="00DC493F" w:rsidTr="00C93E6D">
        <w:tc>
          <w:tcPr>
            <w:tcW w:w="1791" w:type="dxa"/>
          </w:tcPr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DC493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502" w:type="dxa"/>
          </w:tcPr>
          <w:p w:rsid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DC493F" w:rsidRDefault="000738AD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113</w:t>
            </w:r>
          </w:p>
        </w:tc>
        <w:tc>
          <w:tcPr>
            <w:tcW w:w="1503" w:type="dxa"/>
          </w:tcPr>
          <w:p w:rsidR="00DC493F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DC493F" w:rsidRDefault="000738AD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89</w:t>
            </w:r>
          </w:p>
        </w:tc>
        <w:tc>
          <w:tcPr>
            <w:tcW w:w="1503" w:type="dxa"/>
          </w:tcPr>
          <w:p w:rsidR="00DC493F" w:rsidRDefault="000738AD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0738AD" w:rsidRPr="00DC493F" w:rsidRDefault="000738AD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102</w:t>
            </w:r>
          </w:p>
        </w:tc>
        <w:tc>
          <w:tcPr>
            <w:tcW w:w="1503" w:type="dxa"/>
          </w:tcPr>
          <w:p w:rsidR="00DC493F" w:rsidRDefault="00DC493F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DC493F" w:rsidRDefault="000738AD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52</w:t>
            </w:r>
          </w:p>
        </w:tc>
        <w:tc>
          <w:tcPr>
            <w:tcW w:w="1503" w:type="dxa"/>
          </w:tcPr>
          <w:p w:rsidR="00DC493F" w:rsidRDefault="00DC493F" w:rsidP="000738AD">
            <w:pPr>
              <w:jc w:val="center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</w:p>
          <w:p w:rsidR="000738AD" w:rsidRDefault="000738AD" w:rsidP="000738AD">
            <w:pPr>
              <w:jc w:val="center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lang w:val="sr-Latn-ME"/>
              </w:rPr>
              <w:t>356</w:t>
            </w:r>
          </w:p>
        </w:tc>
      </w:tr>
    </w:tbl>
    <w:p w:rsidR="00DC493F" w:rsidRDefault="00DC493F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</w:p>
    <w:p w:rsidR="00CD2F86" w:rsidRPr="00DC493F" w:rsidRDefault="00CD2F86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</w:p>
    <w:p w:rsidR="00CB7764" w:rsidRPr="00CD2F86" w:rsidRDefault="00CD2F86" w:rsidP="00CD2F86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b/>
        </w:rPr>
        <w:t xml:space="preserve">Primjena Zakona o međunarodnom privatnom pravu u Privrednom sudu </w:t>
      </w:r>
    </w:p>
    <w:p w:rsidR="0016178D" w:rsidRDefault="0016178D" w:rsidP="00CD2F86">
      <w:pPr>
        <w:jc w:val="both"/>
        <w:rPr>
          <w:rFonts w:ascii="Arial" w:hAnsi="Arial" w:cs="Arial"/>
        </w:rPr>
      </w:pPr>
    </w:p>
    <w:p w:rsidR="00CD2F86" w:rsidRDefault="00CD2F86" w:rsidP="00CD2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Privredni sud je u izvještajnom periodu u 27 predmeta primijenio odredbe Zakona o međunarodnom privatnom pravu. Dakle radi se o 18 predmeta manje nego u prethodnom izvještajnom periodu, ali o istoj oblasti prava – obligaciono pravo u kojoj su te oblasti primijenjene.</w:t>
      </w:r>
    </w:p>
    <w:p w:rsidR="00CD2F86" w:rsidRDefault="00CD2F86" w:rsidP="00CD2F86">
      <w:pPr>
        <w:jc w:val="both"/>
        <w:rPr>
          <w:rFonts w:ascii="Arial" w:hAnsi="Arial" w:cs="Arial"/>
        </w:rPr>
      </w:pPr>
    </w:p>
    <w:p w:rsidR="00CD2F86" w:rsidRDefault="00CD2F86" w:rsidP="00CD2F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 Primjena Zakona o međunarodnom privatnom pravu u ostavinskim postupcima koje sprovode notari kao povjerenici suda</w:t>
      </w:r>
    </w:p>
    <w:p w:rsidR="0016178D" w:rsidRDefault="0016178D" w:rsidP="00CD2F86">
      <w:pPr>
        <w:jc w:val="both"/>
        <w:rPr>
          <w:rFonts w:ascii="Arial" w:hAnsi="Arial" w:cs="Arial"/>
        </w:rPr>
      </w:pPr>
    </w:p>
    <w:p w:rsidR="003B61AF" w:rsidRDefault="003B61AF" w:rsidP="00CD2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Notari su u izvještajnom periodu u 127 predmeta primijenili odredbe Zakona o međunarodnom privatnom pravu. U najvećem broju ostavinskih predmeta odredbe navedenog zakona primijenili su: Rakočević Nela, notarka iz Tivta – u 23 predmeta, Milošević Marina, notarka iz Bara – u 21 predmet i Kašćelan Branka, notarka iz Kotora – u 19 predmeta. Od ukupno 56 notara koji su obavljali notarsku djelatnost u izvještajnom periodu, 36 notara nije primjenjivalo odredbe navedenog zakona ni u jednom ostavinskom predmetu.</w:t>
      </w:r>
    </w:p>
    <w:p w:rsidR="003B61AF" w:rsidRDefault="003B61AF" w:rsidP="00CD2F86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Upoređujući navedene podatke sa podacima iz prethodnog izvještajnog perioda u kojem su notari primijenili odredbe predmetnog zakona u 177 predmeta, može se konstatovati da je u izvještajnom periodu došlo do smanjenja broja ove vrste predmeta za 50 predmeta ili </w:t>
      </w:r>
      <w:r w:rsidR="008E6E83" w:rsidRPr="008E6E83">
        <w:rPr>
          <w:rFonts w:ascii="Arial" w:hAnsi="Arial" w:cs="Arial"/>
          <w:color w:val="000000" w:themeColor="text1"/>
        </w:rPr>
        <w:t>28,25</w:t>
      </w:r>
      <w:r w:rsidRPr="008E6E83">
        <w:rPr>
          <w:rFonts w:ascii="Arial" w:hAnsi="Arial" w:cs="Arial"/>
          <w:color w:val="000000" w:themeColor="text1"/>
        </w:rPr>
        <w:t>%.</w:t>
      </w:r>
    </w:p>
    <w:p w:rsidR="003B61AF" w:rsidRDefault="003B61AF" w:rsidP="00CD2F8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tabeli koja slijedi prikazan je broj ostavinskih predmeta u kojima su notari, kao povjerenici suda za sprovođenje ostavinskog postupka, primijenili odredbe Zakona o međunarodnom privatnom pravu, u periodu jul 2020 – jul 2021. godine, pojedinačno za svakog notara, kao i zbirni podaci.</w:t>
      </w:r>
    </w:p>
    <w:p w:rsidR="0016178D" w:rsidRDefault="0016178D" w:rsidP="00CD2F86">
      <w:pPr>
        <w:jc w:val="both"/>
        <w:rPr>
          <w:rFonts w:ascii="Arial" w:hAnsi="Arial" w:cs="Arial"/>
          <w:color w:val="000000" w:themeColor="text1"/>
        </w:rPr>
      </w:pPr>
    </w:p>
    <w:p w:rsidR="003B61AF" w:rsidRDefault="003B61AF" w:rsidP="00CD2F86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Tabela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743B" w:rsidTr="004703A9">
        <w:tc>
          <w:tcPr>
            <w:tcW w:w="4508" w:type="dxa"/>
          </w:tcPr>
          <w:p w:rsidR="004F743B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F743B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F743B" w:rsidRPr="004F743B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NOTAR</w:t>
            </w:r>
          </w:p>
        </w:tc>
        <w:tc>
          <w:tcPr>
            <w:tcW w:w="4508" w:type="dxa"/>
          </w:tcPr>
          <w:p w:rsidR="004F743B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F743B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Broj ostavinskih predmeta u kojima su primijenjene odredbe Zakona o međunarodnom privatnom pravu</w:t>
            </w:r>
          </w:p>
          <w:p w:rsidR="004F743B" w:rsidRPr="004F743B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F743B" w:rsidTr="004703A9">
        <w:tc>
          <w:tcPr>
            <w:tcW w:w="4508" w:type="dxa"/>
          </w:tcPr>
          <w:p w:rsidR="004F743B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Adrović Harun, Berane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Adžić Jadranka,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F743B" w:rsidTr="004703A9">
        <w:tc>
          <w:tcPr>
            <w:tcW w:w="4508" w:type="dxa"/>
          </w:tcPr>
          <w:p w:rsidR="004F743B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Antunović Ljubica, Herceg Novi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Bjeković Danko, Pljevlja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Bogavac Svetozar, Bijelo Polje</w:t>
            </w:r>
          </w:p>
        </w:tc>
        <w:tc>
          <w:tcPr>
            <w:tcW w:w="4508" w:type="dxa"/>
          </w:tcPr>
          <w:p w:rsidR="004F743B" w:rsidRDefault="004703A9" w:rsidP="004703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Bogić Mira,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Božović Senja, Cetinje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Bošnjak Slavica,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Čepić Tanja,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Čović Biljana. Bijelo Polje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Ćurić Darko,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Đurasović Maja,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Ismailaga Ilirijana, Ulcinj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Janjušević Nataša, Nikšić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Jovanović Danilo, Tivat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Jovanović Rade, Tivat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Kalabrezi Gzim, Ulcinj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Kardović </w:t>
            </w:r>
            <w:r w:rsidR="004703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Musić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Maida, Rožaje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Kašćelan Branka, Kotor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Klikovac Lidija,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Klikovac Radmila,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Dalibor, Budva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Irena, Cetinje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Verica, Kotor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Konatar Biljana, Bijelo Polje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Kostić Lela, Nikšić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Kovačević Irena, Kotor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Kožar Feho, Rožaje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Krivokapić Kuhar Aleksandra, Herceg Novi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Lekić Pake, Bar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Lekić Šućo,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Magdelinić Miladin, Berane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Marić Tamara, Herceg Novi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Marković Ljubiša, Nikšić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Marković Veselinka, Kolašin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Milošević Marina, Bar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Moštrokol Milica, Kotor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Pavlović Svetlana, Bar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Pantović Lidija, Tuzi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Perović Marinko, Nikšić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Perišić Marija, Nikšić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Radović Sonja,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Rakočević Nela, Tivat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Redžepagić Senad, Bar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Sekulić Vuksan, Bijelo Polje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Stijović Igor,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Stojković Anka,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Strugar Dragoljub,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Škopelja Zoran, Bar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Veljić Milonja, Berane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F743B" w:rsidTr="004703A9">
        <w:tc>
          <w:tcPr>
            <w:tcW w:w="4508" w:type="dxa"/>
          </w:tcPr>
          <w:p w:rsidR="004F743B" w:rsidRDefault="0087469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Vujović Ranka, Danilovgrad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Vukčević Andrijana,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Vukčević Slavka, Budva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Vuk</w:t>
            </w:r>
            <w:r w:rsidR="00A32CE8">
              <w:rPr>
                <w:rFonts w:ascii="Arial" w:hAnsi="Arial" w:cs="Arial"/>
                <w:color w:val="000000" w:themeColor="text1"/>
                <w:sz w:val="20"/>
                <w:szCs w:val="20"/>
              </w:rPr>
              <w:t>ić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ević Branislav, Podgorica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4F743B" w:rsidTr="004703A9"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Vuksanović Branka, Budva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F743B" w:rsidTr="004703A9"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Živaljević Milena, Danilovgrad</w:t>
            </w:r>
          </w:p>
        </w:tc>
        <w:tc>
          <w:tcPr>
            <w:tcW w:w="4508" w:type="dxa"/>
          </w:tcPr>
          <w:p w:rsidR="004F743B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703A9" w:rsidTr="004703A9">
        <w:tc>
          <w:tcPr>
            <w:tcW w:w="4508" w:type="dxa"/>
          </w:tcPr>
          <w:p w:rsidR="004703A9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703A9" w:rsidRPr="004703A9" w:rsidRDefault="004703A9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UKUPNO </w:t>
            </w:r>
          </w:p>
        </w:tc>
        <w:tc>
          <w:tcPr>
            <w:tcW w:w="4508" w:type="dxa"/>
          </w:tcPr>
          <w:p w:rsidR="004703A9" w:rsidRDefault="004703A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7696" w:rsidRPr="005C7696" w:rsidRDefault="005C7696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127</w:t>
            </w:r>
          </w:p>
        </w:tc>
      </w:tr>
    </w:tbl>
    <w:p w:rsidR="003B61AF" w:rsidRDefault="003B61AF" w:rsidP="004F743B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FD7315" w:rsidRDefault="00FD7315" w:rsidP="00B95CAE">
      <w:pPr>
        <w:jc w:val="both"/>
        <w:rPr>
          <w:rFonts w:ascii="Arial" w:hAnsi="Arial" w:cs="Arial"/>
          <w:b/>
          <w:color w:val="000000" w:themeColor="text1"/>
        </w:rPr>
      </w:pPr>
    </w:p>
    <w:p w:rsidR="0016178D" w:rsidRPr="00280F97" w:rsidRDefault="00B95CAE" w:rsidP="00B95CAE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IV Načelni pravni stavovi Vrhovnog suda</w:t>
      </w:r>
    </w:p>
    <w:p w:rsidR="00FD7315" w:rsidRPr="00280F97" w:rsidRDefault="00B95CAE" w:rsidP="00B95CA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Vrhovni sud u izvještajnom periodu nije zauzimao načelne pravne stavove povodom primjene Zakona o m</w:t>
      </w:r>
      <w:r w:rsidR="00B37E3C">
        <w:rPr>
          <w:rFonts w:ascii="Arial" w:hAnsi="Arial" w:cs="Arial"/>
          <w:color w:val="000000" w:themeColor="text1"/>
        </w:rPr>
        <w:t>eđunarodnom privatnom pravu, već</w:t>
      </w:r>
      <w:r>
        <w:rPr>
          <w:rFonts w:ascii="Arial" w:hAnsi="Arial" w:cs="Arial"/>
          <w:color w:val="000000" w:themeColor="text1"/>
        </w:rPr>
        <w:t xml:space="preserve"> je </w:t>
      </w:r>
      <w:r w:rsidR="00B37E3C">
        <w:rPr>
          <w:rFonts w:ascii="Arial" w:hAnsi="Arial" w:cs="Arial"/>
          <w:color w:val="000000" w:themeColor="text1"/>
        </w:rPr>
        <w:t>stavove</w:t>
      </w:r>
      <w:r>
        <w:rPr>
          <w:rFonts w:ascii="Arial" w:hAnsi="Arial" w:cs="Arial"/>
          <w:color w:val="000000" w:themeColor="text1"/>
        </w:rPr>
        <w:t xml:space="preserve"> u vezi sa ovim zakonom izražavao kroz svoje odluke.</w:t>
      </w:r>
    </w:p>
    <w:p w:rsidR="0016178D" w:rsidRPr="00280F97" w:rsidRDefault="00B95CAE" w:rsidP="00B95CAE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 Obuke i seminari koje je organizovao Centar za obuku u periodu jul 2020 – jul 2021. godine iz oblasti međunaronog privatnog prava</w:t>
      </w:r>
    </w:p>
    <w:p w:rsidR="00B95CAE" w:rsidRDefault="00B95CAE" w:rsidP="00B95CA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Centar za obuku je u izvještajnom periodu organizovao kontinuirane obuke iz oblasti međunarodnog privatnog prava u građanskim i privrednim stvarima, i to:</w:t>
      </w:r>
    </w:p>
    <w:p w:rsidR="00B95CAE" w:rsidRPr="009464C4" w:rsidRDefault="00B95CAE" w:rsidP="00B95CA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13.</w:t>
      </w:r>
      <w:r>
        <w:rPr>
          <w:rFonts w:ascii="Arial" w:hAnsi="Arial" w:cs="Arial"/>
          <w:b/>
        </w:rPr>
        <w:t xml:space="preserve"> mart 2020. godine – </w:t>
      </w:r>
      <w:r>
        <w:rPr>
          <w:rFonts w:ascii="Arial" w:hAnsi="Arial" w:cs="Arial"/>
        </w:rPr>
        <w:t>održan je seminar na temu „Međunarodno privatno pravo – mjerodavno pravo“</w:t>
      </w:r>
      <w:r w:rsidR="009464C4">
        <w:rPr>
          <w:rFonts w:ascii="Arial" w:hAnsi="Arial" w:cs="Arial"/>
        </w:rPr>
        <w:t xml:space="preserve"> kojem je prisustvovalo ukupno 17 učesnika među kojim je bilo 14 sudija i 3 savjetnika.</w:t>
      </w:r>
    </w:p>
    <w:p w:rsidR="00795D17" w:rsidRPr="00795D17" w:rsidRDefault="00795D17" w:rsidP="00B95CA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09.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jul 2020. godine – </w:t>
      </w:r>
      <w:r>
        <w:rPr>
          <w:rFonts w:ascii="Arial" w:hAnsi="Arial" w:cs="Arial"/>
        </w:rPr>
        <w:t>održana je obuka na temu: „Priznanje stranih presuda“ kojoj je prisustvovalo 9 kandidata za sudije osnovnih sudova</w:t>
      </w:r>
      <w:r w:rsidR="0091735B">
        <w:rPr>
          <w:rFonts w:ascii="Arial" w:hAnsi="Arial" w:cs="Arial"/>
        </w:rPr>
        <w:t>.</w:t>
      </w:r>
    </w:p>
    <w:p w:rsidR="00795D17" w:rsidRPr="00273769" w:rsidRDefault="00795D17" w:rsidP="00B95CA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oktobar 2020. godine i 21. oktobar 2020. godine – </w:t>
      </w:r>
      <w:r>
        <w:rPr>
          <w:rFonts w:ascii="Arial" w:hAnsi="Arial" w:cs="Arial"/>
        </w:rPr>
        <w:t>održane su obuke na teme: Nadležnost suda u sporovima sa međunarodnim elementom i Mjerodavno pravo u sporovima sa međunarodnim elementom kojima je prisustvovalo 10 kandidata za sudije osnovnih sudova.</w:t>
      </w:r>
    </w:p>
    <w:p w:rsidR="00273769" w:rsidRPr="00FD7315" w:rsidRDefault="00273769" w:rsidP="00B95CA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april 2021. godine – </w:t>
      </w:r>
      <w:r>
        <w:rPr>
          <w:rFonts w:ascii="Arial" w:hAnsi="Arial" w:cs="Arial"/>
        </w:rPr>
        <w:t>Centar za obuku u sudstvu i državnom tužilaštvu organizovao je u saradnji sa Njemačkom fondacijom za međunarodnu saradnju (IRZ) online seminar na temu: „Međunarodno privatno pravo – mjerodavno pravo“, kom je prisustvovalo 27 učesnika (10 sudija, 16 notara i 1 javni izvršitelj).</w:t>
      </w:r>
    </w:p>
    <w:p w:rsidR="00FD7315" w:rsidRPr="00FD7315" w:rsidRDefault="00FD7315" w:rsidP="00B95CA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08.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april 2021. godine – </w:t>
      </w:r>
      <w:r>
        <w:rPr>
          <w:rFonts w:ascii="Arial" w:hAnsi="Arial" w:cs="Arial"/>
        </w:rPr>
        <w:t>Evropska mreža za obuku u pravosuđu (EJTN) organizovala je jednočasovni online seminar iz oblasti građanskog prava na temu: „Digitalizacija u oblasti pravosudne saradnje u građanskim stvarima“, koji je pohađalo 8 učesnika (6 sudija, 1 državna tužiteljka i 1 savjetnik u sudu).</w:t>
      </w:r>
    </w:p>
    <w:p w:rsidR="00F74F1A" w:rsidRDefault="00F74F1A" w:rsidP="00F74F1A">
      <w:pPr>
        <w:jc w:val="both"/>
        <w:rPr>
          <w:rFonts w:ascii="Arial" w:hAnsi="Arial" w:cs="Arial"/>
        </w:rPr>
      </w:pPr>
    </w:p>
    <w:p w:rsidR="00F74F1A" w:rsidRDefault="00F74F1A" w:rsidP="00F74F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 Ocjena stanja</w:t>
      </w:r>
    </w:p>
    <w:p w:rsidR="0016178D" w:rsidRDefault="0016178D" w:rsidP="00F74F1A">
      <w:pPr>
        <w:jc w:val="both"/>
        <w:rPr>
          <w:rFonts w:ascii="Arial" w:hAnsi="Arial" w:cs="Arial"/>
        </w:rPr>
      </w:pPr>
    </w:p>
    <w:p w:rsidR="00F74F1A" w:rsidRDefault="006238BA" w:rsidP="00F74F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analize pribavljenih podataka može se konstatovati da je Zakon o međunarodnom privatnom pravu u izvještajnom periodu primjenjivan u nešto manjem broju predmeta u odnosu na prethodni izvještajni period i da nije bilo problema u njegovoj primjeni.</w:t>
      </w:r>
    </w:p>
    <w:p w:rsidR="006238BA" w:rsidRDefault="006238BA" w:rsidP="00F74F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Naime, osnovni sudovi su u izvještajnom periodu primijenili odredbe navedenog zakona u 356 predmeta, što zajedno sa brojem predmeta u kojima je Privredni sud primijenio odredbe istog zakona – 27, iznosi 383 predmeta. Posmatrano po određenim oblastima prava, </w:t>
      </w:r>
      <w:r w:rsidR="00DB0B80">
        <w:rPr>
          <w:rFonts w:ascii="Arial" w:hAnsi="Arial" w:cs="Arial"/>
        </w:rPr>
        <w:t>113 predmet odnosni se na oblast porodičnog prava, 89 predmeta na oblast obligacionog prava, što uvećano za 27 predmeta Privrednog suda iznosi 116 predmeta, 102 predmeta na oblast stvarnog prava i 52 predmeta na oblast nasljednog prava.</w:t>
      </w:r>
    </w:p>
    <w:p w:rsidR="00DA1263" w:rsidRDefault="00DA1263" w:rsidP="00DA12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Osnovni sud u Podgorici imao je najveći broj predmeta sa međunarodnim elementom u kojima su u izvještajnom periodu primijenjene odredbe Zakona o međunarodnom privatnom pravu – </w:t>
      </w:r>
      <w:r>
        <w:rPr>
          <w:rFonts w:ascii="Arial" w:hAnsi="Arial" w:cs="Arial"/>
        </w:rPr>
        <w:lastRenderedPageBreak/>
        <w:t>58 predmeta, a nakon njega Osnovni sud u Žabljaku  sa 55 predmeta, Osnovni sud u Kotoru sa 54 predmeta i Osnovni sud u Baru sa 34 predmeta. Sa druge strane, pojedini osnovni sudovi su u veoma malom broju predmeta primijenili odredbe navedenog zakona – Osnovni sud u Herceg Novom u 3 predmeta, Osnovni sud u Nikšiću u 6 predmeta i Osnovni sud u Kolašinu u 7 predmeta.</w:t>
      </w:r>
    </w:p>
    <w:p w:rsidR="00DA1263" w:rsidRDefault="00DA1263" w:rsidP="00DA1263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Posmatrano po oblastima prava, najveći broj predmeta sa međunarodnim elementom u izvještajnom periodu imali su: Osnovni sud u Rožajama 22 predmeta i Osnovni sud u Beranama 20 predmeta iz oblasti porodi</w:t>
      </w:r>
      <w:r>
        <w:rPr>
          <w:rFonts w:ascii="Arial" w:hAnsi="Arial" w:cs="Arial"/>
          <w:lang w:val="sr-Latn-ME"/>
        </w:rPr>
        <w:t xml:space="preserve">čnog prava; Osnovni sud u Podgorici 28  predmeta i Osnovni sud u Pljevljima 19 predmeta iz oblasti obligacionog prava; Osnovni sud u Kotoru 29 predmeta i Osnovni sud u Žabljaku 24 predmeta iz oblasti stvarnog prava; te Osnovni sud u Baru 22 predmeta i Osnovni sud u Žabljaku 20 predmeta iz oblasti nasljednog prava. </w:t>
      </w:r>
    </w:p>
    <w:p w:rsidR="00DB0B80" w:rsidRDefault="003B38B2" w:rsidP="00F74F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Dakle, broj predmeta u kojima su u izvještajnom periodu u osnovnim sudovima primijenjene odredbe Zakona o međunarodnom privatnom pravu, a koji iznosi 356 predmeta, manji je za 87 predmeta ili </w:t>
      </w:r>
      <w:r w:rsidR="007120E0" w:rsidRPr="007120E0">
        <w:rPr>
          <w:rFonts w:ascii="Arial" w:hAnsi="Arial" w:cs="Arial"/>
          <w:color w:val="000000" w:themeColor="text1"/>
        </w:rPr>
        <w:t>19,64%</w:t>
      </w:r>
      <w:r w:rsidRPr="007120E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u odnosu na prethodni izvještajni period (jul 2019 – jul 2020. godine) u kojem je taj broj iznosio 443 predmeta, a i broj predmeta u kojima je Privredni sud primijenio odredbe predmetnog zakona manji je nego u prethodnom izvještajnom periodu i iznosi 27 predmeta.</w:t>
      </w:r>
    </w:p>
    <w:p w:rsidR="003B38B2" w:rsidRDefault="003B38B2" w:rsidP="00F74F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Takođe, </w:t>
      </w:r>
      <w:r w:rsidR="00A523E9">
        <w:rPr>
          <w:rFonts w:ascii="Arial" w:hAnsi="Arial" w:cs="Arial"/>
          <w:color w:val="000000" w:themeColor="text1"/>
        </w:rPr>
        <w:t>u izvještajnom periodu došlo je do smanjenja broja ostavinskih predmeta u kojima su notari, kao povjerenici suda, primijenili odredbe predmetnog zakona, jer su njegove odredbe primijenjene u 127 predmeta, za razliku od prethodnog izvještajnog perioda u kojem su odredbe ovog zakona primijenjene u 177 predmeta.</w:t>
      </w:r>
    </w:p>
    <w:p w:rsidR="002D3F12" w:rsidRPr="00F27BC8" w:rsidRDefault="002D3F12" w:rsidP="00F74F1A">
      <w:pPr>
        <w:jc w:val="both"/>
        <w:rPr>
          <w:rFonts w:ascii="Arial" w:hAnsi="Arial" w:cs="Arial"/>
          <w:color w:val="000000" w:themeColor="text1"/>
        </w:rPr>
      </w:pPr>
      <w:r w:rsidRPr="00F27BC8">
        <w:rPr>
          <w:rFonts w:ascii="Arial" w:hAnsi="Arial" w:cs="Arial"/>
          <w:color w:val="000000" w:themeColor="text1"/>
        </w:rPr>
        <w:t xml:space="preserve">Od izuzetne važnosti za pouzdanu evidenciju predmeta sa elementom inostranosti u kojima se primjenjuju odredbe Zakona o </w:t>
      </w:r>
      <w:r w:rsidR="00114842" w:rsidRPr="00F27BC8">
        <w:rPr>
          <w:rFonts w:ascii="Arial" w:hAnsi="Arial" w:cs="Arial"/>
          <w:color w:val="000000" w:themeColor="text1"/>
        </w:rPr>
        <w:t>međunarodnom privatnom pravu bi</w:t>
      </w:r>
      <w:r w:rsidR="00114842" w:rsidRPr="00F27BC8">
        <w:rPr>
          <w:rFonts w:ascii="Arial" w:hAnsi="Arial" w:cs="Arial"/>
          <w:color w:val="000000" w:themeColor="text1"/>
          <w:lang w:val="sr-Latn-ME"/>
        </w:rPr>
        <w:t>ć</w:t>
      </w:r>
      <w:r w:rsidRPr="00F27BC8">
        <w:rPr>
          <w:rFonts w:ascii="Arial" w:hAnsi="Arial" w:cs="Arial"/>
          <w:color w:val="000000" w:themeColor="text1"/>
        </w:rPr>
        <w:t>e novi informacioni sistem pravosuđa, koji je u pripremi, a koji će sadržati sve relevantne podatke o ovoj vrsti predmeta.</w:t>
      </w:r>
    </w:p>
    <w:p w:rsidR="00B64DB4" w:rsidRDefault="00B64DB4" w:rsidP="00F74F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 pravilno tumačenje i primjenu Zakona o međunarodnom privatnom pravu posebno je značajna uloga Vrhovnog suda koji je, iako u izvještajnom periodu nije zauzimao načelne pravne stavove</w:t>
      </w:r>
      <w:r w:rsidR="00576C74">
        <w:rPr>
          <w:rFonts w:ascii="Arial" w:hAnsi="Arial" w:cs="Arial"/>
          <w:color w:val="000000" w:themeColor="text1"/>
        </w:rPr>
        <w:t xml:space="preserve"> u pogledu njegove primjene, kroz svoje odluke izrazio pravne stavove u pogledu njegovog tumačenja u konkretnim slučajevima.</w:t>
      </w:r>
    </w:p>
    <w:p w:rsidR="00576C74" w:rsidRDefault="00576C74" w:rsidP="00F74F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 uspješnu primjenu predmetnog zakona posebno su važne aktivnosti Centra za obuku, koji je u izvještajnom periodu nastavio sa organizovanjem kontinuiranih i inicijalnih obuka iz oblasti međunarodnog privatnog prava u građanskim stvarima za sudije, kandidate za sudije i sudske savjetnike. Značaj ovih obuka je izuzetno veliki, jer predmetni zakon uređuje vrlo složenu materiju, za čije je pravilno razumijevanje, kada su u pitanju pojedine norme, neophodno pojašnjenje eksperata sa odgovarajućim stručnim znanjem.</w:t>
      </w:r>
    </w:p>
    <w:p w:rsidR="0016178D" w:rsidRPr="009D1792" w:rsidRDefault="009D1792" w:rsidP="00F74F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</w:p>
    <w:p w:rsidR="0016178D" w:rsidRPr="000138E8" w:rsidRDefault="00576C74" w:rsidP="00F74F1A">
      <w:pPr>
        <w:jc w:val="both"/>
        <w:rPr>
          <w:rFonts w:ascii="Arial" w:hAnsi="Arial" w:cs="Arial"/>
          <w:b/>
          <w:color w:val="000000" w:themeColor="text1"/>
        </w:rPr>
      </w:pPr>
      <w:r w:rsidRPr="00576C74">
        <w:rPr>
          <w:rFonts w:ascii="Arial" w:hAnsi="Arial" w:cs="Arial"/>
          <w:b/>
          <w:color w:val="000000" w:themeColor="text1"/>
        </w:rPr>
        <w:t>VII Realizacija preporuka iz prethodnog perioda</w:t>
      </w:r>
    </w:p>
    <w:p w:rsidR="004B20B9" w:rsidRPr="00176519" w:rsidRDefault="00576C74" w:rsidP="00F74F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Ministarstvo pravde, ljudskih i manjinskih prava je u izvještajnom periodu, a u cilju realizacije preporuka iz prethodnog perioda, nastavilo sa kontinuiranim praćenjem primjene Zakona o međunarodnom privatnom pravu, kako kroz komunikaciju sa subjektima koji ga primjenjuju i organizuju obuke iz oblasti koju isti uređuje, tako i kroz izradu predmetnog Izvještaja i praćenje </w:t>
      </w:r>
      <w:r>
        <w:rPr>
          <w:rFonts w:ascii="Arial" w:hAnsi="Arial" w:cs="Arial"/>
          <w:color w:val="000000" w:themeColor="text1"/>
        </w:rPr>
        <w:lastRenderedPageBreak/>
        <w:t>relevantne pravne tekovine Evropske unije za oblast međunarodnog privatnog prava</w:t>
      </w:r>
      <w:r w:rsidRPr="00176519">
        <w:rPr>
          <w:rFonts w:ascii="Arial" w:hAnsi="Arial" w:cs="Arial"/>
          <w:color w:val="000000" w:themeColor="text1"/>
        </w:rPr>
        <w:t>. S tim u vezi, Ministarstvo pravde, ljudskih i manjinskih prava je</w:t>
      </w:r>
      <w:r w:rsidR="004B20B9" w:rsidRPr="00176519">
        <w:rPr>
          <w:rFonts w:ascii="Arial" w:hAnsi="Arial" w:cs="Arial"/>
          <w:color w:val="000000" w:themeColor="text1"/>
        </w:rPr>
        <w:t xml:space="preserve"> u 2020 godini uz </w:t>
      </w:r>
      <w:r w:rsidRPr="00176519">
        <w:rPr>
          <w:rFonts w:ascii="Arial" w:hAnsi="Arial" w:cs="Arial"/>
          <w:color w:val="000000" w:themeColor="text1"/>
        </w:rPr>
        <w:t xml:space="preserve"> </w:t>
      </w:r>
      <w:r w:rsidR="004B20B9" w:rsidRPr="00176519">
        <w:rPr>
          <w:rFonts w:ascii="Arial" w:hAnsi="Arial" w:cs="Arial"/>
          <w:color w:val="000000" w:themeColor="text1"/>
        </w:rPr>
        <w:t xml:space="preserve">kspertsku podršku TAIEX-a </w:t>
      </w:r>
      <w:r w:rsidRPr="00176519">
        <w:rPr>
          <w:rFonts w:ascii="Arial" w:hAnsi="Arial" w:cs="Arial"/>
          <w:color w:val="000000" w:themeColor="text1"/>
        </w:rPr>
        <w:t>izradi</w:t>
      </w:r>
      <w:r w:rsidR="004B20B9" w:rsidRPr="00176519">
        <w:rPr>
          <w:rFonts w:ascii="Arial" w:hAnsi="Arial" w:cs="Arial"/>
          <w:color w:val="000000" w:themeColor="text1"/>
        </w:rPr>
        <w:t>lo je  Analizu</w:t>
      </w:r>
      <w:r w:rsidRPr="00176519">
        <w:rPr>
          <w:rFonts w:ascii="Arial" w:hAnsi="Arial" w:cs="Arial"/>
          <w:color w:val="000000" w:themeColor="text1"/>
        </w:rPr>
        <w:t xml:space="preserve"> usklađenosti parničnog i izvršnog zakonodavstva Crne Gore sa pravnom tekovinom Evropske unije. </w:t>
      </w:r>
    </w:p>
    <w:p w:rsidR="00576C74" w:rsidRDefault="008B3235" w:rsidP="00F74F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Centar za obuku je u izvještajnom periodu nastavio sa kontinuiranim i inicijalnim obukama sudija i državnih tužilaca, kandidata za sudije i državne tužioce, kao i sudskih savjetnika iz oblasti međunarodnog privatnog prava, što je, takođe, bila jedna od preporuka iz prethodnog Izvještaja.</w:t>
      </w:r>
    </w:p>
    <w:p w:rsidR="008B3235" w:rsidRDefault="008B3235" w:rsidP="00F74F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Dakle, može se konstatovati da su sve preporuke iz prethodnog perioda uspješno realizovane.</w:t>
      </w:r>
    </w:p>
    <w:p w:rsidR="0016178D" w:rsidRDefault="0016178D" w:rsidP="00F74F1A">
      <w:pPr>
        <w:jc w:val="both"/>
        <w:rPr>
          <w:rFonts w:ascii="Arial" w:hAnsi="Arial" w:cs="Arial"/>
          <w:b/>
          <w:color w:val="000000" w:themeColor="text1"/>
        </w:rPr>
      </w:pPr>
    </w:p>
    <w:p w:rsidR="008B3235" w:rsidRDefault="0016178D" w:rsidP="00F74F1A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VIII Preporuke za naredni period</w:t>
      </w:r>
    </w:p>
    <w:p w:rsidR="0016178D" w:rsidRDefault="0016178D" w:rsidP="00F74F1A">
      <w:pPr>
        <w:jc w:val="both"/>
        <w:rPr>
          <w:rFonts w:ascii="Arial" w:hAnsi="Arial" w:cs="Arial"/>
          <w:color w:val="000000" w:themeColor="text1"/>
        </w:rPr>
      </w:pPr>
    </w:p>
    <w:p w:rsidR="0016178D" w:rsidRDefault="0016178D" w:rsidP="00F74F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Polazeći od nesumnjivog značaja Zakona o međunarodnom privatnom pravu i, s tim u vezi, potrebe njegovog pravilnog tumačenja i praćenja primjene, u narednom periodu potrebno je:</w:t>
      </w:r>
    </w:p>
    <w:p w:rsidR="0016178D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Nastaviti sa praćenjem primjene Zakona o međunarodnom privatnom pravu kroz izradu godišnjih izvještaja o njegovoj primjeni</w:t>
      </w:r>
    </w:p>
    <w:p w:rsidR="0016178D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Nastaviti sa kontinuiranim organizovanjem seminara i obuka iz oblasti međunarodnog privatnog prava</w:t>
      </w:r>
    </w:p>
    <w:p w:rsidR="0016178D" w:rsidRPr="0016178D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Pratiti promjene relevantne pravne tekovine Evropske unije za oblast međunarodnog privatnog prava i, s tim u vezi, preduzimati odgovarajuće aktivnosti u pravcu usaglašavanje domaćeg zakonodavstva sa tim promjenama.</w:t>
      </w:r>
    </w:p>
    <w:sectPr w:rsidR="0016178D" w:rsidRPr="0016178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6E" w:rsidRDefault="004B796E" w:rsidP="00133EB4">
      <w:pPr>
        <w:spacing w:after="0" w:line="240" w:lineRule="auto"/>
      </w:pPr>
      <w:r>
        <w:separator/>
      </w:r>
    </w:p>
  </w:endnote>
  <w:endnote w:type="continuationSeparator" w:id="0">
    <w:p w:rsidR="004B796E" w:rsidRDefault="004B796E" w:rsidP="0013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542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135E" w:rsidRDefault="001A13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79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A135E" w:rsidRDefault="001A1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6E" w:rsidRDefault="004B796E" w:rsidP="00133EB4">
      <w:pPr>
        <w:spacing w:after="0" w:line="240" w:lineRule="auto"/>
      </w:pPr>
      <w:r>
        <w:separator/>
      </w:r>
    </w:p>
  </w:footnote>
  <w:footnote w:type="continuationSeparator" w:id="0">
    <w:p w:rsidR="004B796E" w:rsidRDefault="004B796E" w:rsidP="00133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64772"/>
    <w:multiLevelType w:val="hybridMultilevel"/>
    <w:tmpl w:val="908CEDFC"/>
    <w:lvl w:ilvl="0" w:tplc="668442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50D97"/>
    <w:multiLevelType w:val="hybridMultilevel"/>
    <w:tmpl w:val="2C4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3486E"/>
    <w:multiLevelType w:val="hybridMultilevel"/>
    <w:tmpl w:val="E2A2DC94"/>
    <w:lvl w:ilvl="0" w:tplc="8E968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B4"/>
    <w:rsid w:val="000138E8"/>
    <w:rsid w:val="0007306B"/>
    <w:rsid w:val="000738AD"/>
    <w:rsid w:val="00114842"/>
    <w:rsid w:val="00132152"/>
    <w:rsid w:val="00133EB4"/>
    <w:rsid w:val="0016178D"/>
    <w:rsid w:val="00176519"/>
    <w:rsid w:val="001A135E"/>
    <w:rsid w:val="002261A6"/>
    <w:rsid w:val="00273769"/>
    <w:rsid w:val="00280F97"/>
    <w:rsid w:val="00282C1C"/>
    <w:rsid w:val="002D3F12"/>
    <w:rsid w:val="002F04C5"/>
    <w:rsid w:val="002F6C22"/>
    <w:rsid w:val="00382B42"/>
    <w:rsid w:val="00397895"/>
    <w:rsid w:val="003B38B2"/>
    <w:rsid w:val="003B61AF"/>
    <w:rsid w:val="004440B7"/>
    <w:rsid w:val="004703A9"/>
    <w:rsid w:val="004B20B9"/>
    <w:rsid w:val="004B796E"/>
    <w:rsid w:val="004E1DD3"/>
    <w:rsid w:val="004F743B"/>
    <w:rsid w:val="005034CA"/>
    <w:rsid w:val="00576C74"/>
    <w:rsid w:val="005C7696"/>
    <w:rsid w:val="005D1D64"/>
    <w:rsid w:val="006238BA"/>
    <w:rsid w:val="006613D7"/>
    <w:rsid w:val="006B1DF5"/>
    <w:rsid w:val="0070479C"/>
    <w:rsid w:val="007120E0"/>
    <w:rsid w:val="00741BDD"/>
    <w:rsid w:val="00761FA4"/>
    <w:rsid w:val="00795D17"/>
    <w:rsid w:val="00834A15"/>
    <w:rsid w:val="00874693"/>
    <w:rsid w:val="008B3235"/>
    <w:rsid w:val="008E6E83"/>
    <w:rsid w:val="0091735B"/>
    <w:rsid w:val="009464C4"/>
    <w:rsid w:val="00946847"/>
    <w:rsid w:val="00970B74"/>
    <w:rsid w:val="009D1792"/>
    <w:rsid w:val="00A32CE8"/>
    <w:rsid w:val="00A523E9"/>
    <w:rsid w:val="00A578AB"/>
    <w:rsid w:val="00B35376"/>
    <w:rsid w:val="00B37BBA"/>
    <w:rsid w:val="00B37E3C"/>
    <w:rsid w:val="00B64DB4"/>
    <w:rsid w:val="00B95CAE"/>
    <w:rsid w:val="00BE3E25"/>
    <w:rsid w:val="00BF746D"/>
    <w:rsid w:val="00C374DC"/>
    <w:rsid w:val="00C52E81"/>
    <w:rsid w:val="00C90D40"/>
    <w:rsid w:val="00C93E6D"/>
    <w:rsid w:val="00CB7764"/>
    <w:rsid w:val="00CD2F86"/>
    <w:rsid w:val="00CF7102"/>
    <w:rsid w:val="00D05592"/>
    <w:rsid w:val="00DA1263"/>
    <w:rsid w:val="00DB0B80"/>
    <w:rsid w:val="00DC493F"/>
    <w:rsid w:val="00DC51E0"/>
    <w:rsid w:val="00DC712A"/>
    <w:rsid w:val="00DE5F52"/>
    <w:rsid w:val="00EF4D51"/>
    <w:rsid w:val="00F27BC8"/>
    <w:rsid w:val="00F74F1A"/>
    <w:rsid w:val="00F94465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6D55"/>
  <w15:chartTrackingRefBased/>
  <w15:docId w15:val="{E84A7A04-F5DB-4B3B-9E5E-4749EB00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B4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3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13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B4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3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B4"/>
    <w:rPr>
      <w:lang w:val="sr-Latn-RS"/>
    </w:rPr>
  </w:style>
  <w:style w:type="paragraph" w:styleId="ListParagraph">
    <w:name w:val="List Paragraph"/>
    <w:basedOn w:val="Normal"/>
    <w:uiPriority w:val="34"/>
    <w:qFormat/>
    <w:rsid w:val="00BE3E25"/>
    <w:pPr>
      <w:ind w:left="720"/>
      <w:contextualSpacing/>
    </w:pPr>
  </w:style>
  <w:style w:type="table" w:styleId="TableGrid">
    <w:name w:val="Table Grid"/>
    <w:basedOn w:val="TableNormal"/>
    <w:uiPriority w:val="39"/>
    <w:rsid w:val="00DC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F7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102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CF71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D3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50D8-20C0-4F4C-93B6-13002523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11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Natasa Novakovic</cp:lastModifiedBy>
  <cp:revision>48</cp:revision>
  <cp:lastPrinted>2021-08-31T10:12:00Z</cp:lastPrinted>
  <dcterms:created xsi:type="dcterms:W3CDTF">2021-07-26T11:55:00Z</dcterms:created>
  <dcterms:modified xsi:type="dcterms:W3CDTF">2021-09-01T06:54:00Z</dcterms:modified>
</cp:coreProperties>
</file>