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C45B95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Januar 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2D4C71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2D4C71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7728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216C6D" w:rsidRDefault="00216C6D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216C6D" w:rsidRDefault="00216C6D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ECB je početkom 2015. najavila program kvantitativne podrške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Godišnja stopa inflacije u decembru 2014 iznosila -0,3%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Naplata prihoda u periodu januar-decembar 2014. godine viša  za 8,7% g-n-g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U decembru usporen pad kreditne aktivnosti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noProof/>
                      <w:sz w:val="24"/>
                    </w:rPr>
                    <w:t>Neto priliv SDI u 2014. bilježi rast od 9,3% g-n-g</w:t>
                  </w:r>
                  <w:r>
                    <w:rPr>
                      <w:noProof/>
                      <w:sz w:val="24"/>
                    </w:rPr>
                    <w:t>.</w:t>
                  </w:r>
                </w:p>
                <w:p w:rsidR="00216C6D" w:rsidRDefault="00216C6D"/>
                <w:p w:rsidR="00216C6D" w:rsidRDefault="00216C6D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9869F0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9869F0">
        <w:rPr>
          <w:bCs/>
          <w:noProof/>
          <w:color w:val="000000"/>
          <w:sz w:val="16"/>
          <w:szCs w:val="16"/>
        </w:rPr>
        <w:t xml:space="preserve"> </w:t>
      </w:r>
      <w:r w:rsidR="002167C4">
        <w:rPr>
          <w:bCs/>
          <w:noProof/>
          <w:color w:val="000000"/>
          <w:sz w:val="16"/>
          <w:szCs w:val="16"/>
        </w:rPr>
        <w:t xml:space="preserve">Miloš Popović,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</w:p>
    <w:tbl>
      <w:tblPr>
        <w:tblStyle w:val="TableGrid"/>
        <w:tblpPr w:leftFromText="141" w:rightFromText="141" w:horzAnchor="margin" w:tblpY="420"/>
        <w:tblW w:w="5011" w:type="pct"/>
        <w:tblBorders>
          <w:top w:val="threeDEmboss" w:sz="12" w:space="0" w:color="auto"/>
          <w:left w:val="none" w:sz="0" w:space="0" w:color="auto"/>
          <w:bottom w:val="threeDEmboss" w:sz="12" w:space="0" w:color="auto"/>
          <w:right w:val="none" w:sz="0" w:space="0" w:color="auto"/>
          <w:insideH w:val="threeDEmboss" w:sz="12" w:space="0" w:color="auto"/>
          <w:insideV w:val="none" w:sz="0" w:space="0" w:color="auto"/>
        </w:tblBorders>
        <w:tblLook w:val="04A0"/>
      </w:tblPr>
      <w:tblGrid>
        <w:gridCol w:w="6759"/>
        <w:gridCol w:w="4196"/>
      </w:tblGrid>
      <w:tr w:rsidR="00C45B95" w:rsidTr="003D49BD">
        <w:trPr>
          <w:trHeight w:hRule="exact" w:val="3749"/>
        </w:trPr>
        <w:tc>
          <w:tcPr>
            <w:tcW w:w="3155" w:type="pct"/>
          </w:tcPr>
          <w:p w:rsidR="001B7C2A" w:rsidRPr="001B7C2A" w:rsidRDefault="001B7C2A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1B7C2A">
              <w:rPr>
                <w:b/>
              </w:rPr>
              <w:t>Međunarodno okruženje</w:t>
            </w:r>
          </w:p>
          <w:p w:rsidR="001B7C2A" w:rsidRPr="00137346" w:rsidRDefault="001B7C2A" w:rsidP="00000106">
            <w:pPr>
              <w:pBdr>
                <w:top w:val="single" w:sz="4" w:space="1" w:color="auto"/>
              </w:pBdr>
              <w:spacing w:after="0"/>
              <w:jc w:val="both"/>
            </w:pPr>
            <w:r w:rsidRPr="00AF7E83">
              <w:rPr>
                <w:b/>
              </w:rPr>
              <w:t>ECB je 22. januara 2015. objavila početak programa kvantitativne podrške (QE-quantitative easing),</w:t>
            </w:r>
            <w:r>
              <w:t xml:space="preserve"> kojim će od marta otkupljivati suverene obveznice u vrijednosti od 60 mlrd.€ mjesečno, a program će trajati najmanje do septembra 2016 godine. Obveznice će biti kupovane u srazmjeri s učešćem članica </w:t>
            </w:r>
            <w:r w:rsidR="00A459FF">
              <w:t xml:space="preserve">eurozone </w:t>
            </w:r>
            <w:r>
              <w:t>u BDP-u. Ovim programom se pokušavaju postići tri cilja. Prvi cilj: Smanjiti stope na suvereno zaduživanje, što se već desilo dan nakon objave programa. Drugi cilj je jačanje inflatornih očekivanja, jer u situ</w:t>
            </w:r>
            <w:r w:rsidR="00882703">
              <w:t>a</w:t>
            </w:r>
            <w:r>
              <w:t>ciji kad rastu ova očekivanja potrošači i kompanije troše i investiraju više, a to podstiče ekonomsku aktivnost. Treći cilj je uticaj na kurs eura. Više eura u opticaju proizvodi višu ponudu, a ona obara vrijednost valute. Ta situacija pogoduje izvoznicima i poskupljuje uvoz</w:t>
            </w:r>
            <w:r w:rsidR="002B210C">
              <w:t>,</w:t>
            </w:r>
            <w:r>
              <w:t xml:space="preserve"> što uzrokuje rast izvoza i supstituciju uvoza</w:t>
            </w:r>
            <w:r w:rsidR="003D49BD">
              <w:t xml:space="preserve">, </w:t>
            </w:r>
            <w:r w:rsidR="002B210C">
              <w:t>i</w:t>
            </w:r>
            <w:r>
              <w:t xml:space="preserve"> na kraju podstiče ekonomsku aktivnost i postiče inflatorna očekivanja.</w:t>
            </w:r>
          </w:p>
          <w:p w:rsidR="00C45B95" w:rsidRDefault="00C45B95" w:rsidP="00A90070"/>
          <w:p w:rsidR="00C45B95" w:rsidRDefault="00C45B95" w:rsidP="00A90070"/>
        </w:tc>
        <w:tc>
          <w:tcPr>
            <w:tcW w:w="1845" w:type="pct"/>
            <w:vAlign w:val="center"/>
          </w:tcPr>
          <w:p w:rsidR="00C45B95" w:rsidRDefault="00882703" w:rsidP="00A90070">
            <w:pPr>
              <w:jc w:val="center"/>
            </w:pPr>
            <w:r w:rsidRPr="00882703">
              <w:rPr>
                <w:noProof/>
              </w:rPr>
              <w:drawing>
                <wp:inline distT="0" distB="0" distL="0" distR="0">
                  <wp:extent cx="2052000" cy="21082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Tr="00A451B1">
        <w:trPr>
          <w:trHeight w:hRule="exact" w:val="3546"/>
        </w:trPr>
        <w:tc>
          <w:tcPr>
            <w:tcW w:w="3155" w:type="pct"/>
          </w:tcPr>
          <w:p w:rsidR="00000106" w:rsidRPr="00000106" w:rsidRDefault="003D49BD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>
              <w:rPr>
                <w:b/>
              </w:rPr>
              <w:t>Realni sek</w:t>
            </w:r>
            <w:r w:rsidR="00000106" w:rsidRPr="00000106">
              <w:rPr>
                <w:b/>
              </w:rPr>
              <w:t>tor</w:t>
            </w:r>
          </w:p>
          <w:p w:rsidR="00C45B95" w:rsidRDefault="00000106" w:rsidP="003D49BD">
            <w:pPr>
              <w:pBdr>
                <w:top w:val="single" w:sz="4" w:space="1" w:color="auto"/>
              </w:pBdr>
              <w:jc w:val="both"/>
            </w:pPr>
            <w:r w:rsidRPr="009513CE">
              <w:rPr>
                <w:b/>
              </w:rPr>
              <w:t xml:space="preserve">Industrijska proizvodnja u decembru bilježi visok rast u odnosu na prethodni mjesec. </w:t>
            </w:r>
            <w:r w:rsidRPr="009513CE">
              <w:t>Rast industrije u decembru iznosio je 26,2% m-n-m, dok je istovremeno ostvaren pad od 7,0% g-n-g i pad od 11,4% u periodu januar-decembar g-n-g. Mjesečni rast od 26,2% rezultat je rasta svih sektora (vađenje rude i kamena 11,1%; prerađivačka industrija 11,9% i proizvodnja el.energije 50,1%), dok je godišnji pad od 7,0% opredijeljen padom sektora „prerađivačka industrija“ (20,5%). Pad je ublažen rastom sektora „vađenje rude i kamena“ (30,4%) i rastom sektora „snabdijevanje el.energ., gasom i parom“ (8,7%)</w:t>
            </w:r>
            <w:r w:rsidR="00A451B1">
              <w:t xml:space="preserve">. </w:t>
            </w:r>
            <w:r w:rsidRPr="009513CE">
              <w:t xml:space="preserve">Pad prerađivačke industrije (20,5%) rezultat je, prvenstveno, pada proizvodnje prehrambenih proizvoda (12,3%), farmaceutskih proizvoda (58,3%) i osnovnih metala (4,7%). </w:t>
            </w:r>
          </w:p>
        </w:tc>
        <w:tc>
          <w:tcPr>
            <w:tcW w:w="1845" w:type="pct"/>
            <w:vAlign w:val="center"/>
          </w:tcPr>
          <w:p w:rsidR="00000106" w:rsidRDefault="00000106" w:rsidP="00000106">
            <w:pPr>
              <w:jc w:val="center"/>
            </w:pPr>
            <w:r w:rsidRPr="00000106">
              <w:rPr>
                <w:noProof/>
              </w:rPr>
              <w:drawing>
                <wp:inline distT="0" distB="0" distL="0" distR="0">
                  <wp:extent cx="2268000" cy="226800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Tr="000525B8">
        <w:trPr>
          <w:trHeight w:hRule="exact" w:val="3792"/>
        </w:trPr>
        <w:tc>
          <w:tcPr>
            <w:tcW w:w="3155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Inflacija</w:t>
            </w:r>
          </w:p>
          <w:p w:rsidR="00C45B95" w:rsidRDefault="00000106" w:rsidP="000525B8">
            <w:pPr>
              <w:pBdr>
                <w:top w:val="single" w:sz="4" w:space="1" w:color="auto"/>
              </w:pBdr>
              <w:spacing w:after="0"/>
              <w:jc w:val="both"/>
            </w:pPr>
            <w:r w:rsidRPr="005F7F82">
              <w:rPr>
                <w:b/>
              </w:rPr>
              <w:t xml:space="preserve">Pad cijena u decembru 2014. dominantno je opredijeljen padom cijena goriva. </w:t>
            </w:r>
            <w:r w:rsidRPr="005F7F82">
              <w:t xml:space="preserve">Godišnja stopa inflacije (CPI) iznosila je -0,3%, mjesečna -0,4%, dok je za period januar-decembar zabilježen pad od 0,7% g-n-g. Kretanje glavnih kategorija CPI tokom 2014. godine (hrana, gorivo, el.energija) pokazuje godišnji pad cijena hrane od početka godine do oktobra, pad cijena goriva u </w:t>
            </w:r>
            <w:r w:rsidR="000525B8">
              <w:t>I</w:t>
            </w:r>
            <w:r w:rsidRPr="005F7F82">
              <w:t xml:space="preserve">, </w:t>
            </w:r>
            <w:r w:rsidR="000525B8">
              <w:t>III</w:t>
            </w:r>
            <w:r w:rsidRPr="005F7F82">
              <w:t xml:space="preserve"> i </w:t>
            </w:r>
            <w:r w:rsidR="000525B8">
              <w:t>IV</w:t>
            </w:r>
            <w:r w:rsidRPr="005F7F82">
              <w:t xml:space="preserve"> kvartalu i pad cijena električne energije u </w:t>
            </w:r>
            <w:r w:rsidR="000525B8">
              <w:t>III</w:t>
            </w:r>
            <w:r w:rsidRPr="005F7F82">
              <w:t xml:space="preserve"> i </w:t>
            </w:r>
            <w:r w:rsidR="000525B8">
              <w:t>IV</w:t>
            </w:r>
            <w:r w:rsidRPr="005F7F82">
              <w:t xml:space="preserve"> kvartalu. Najveći uticaj na godišnju stopu inflacije u decembru imale su cijene  u oblasti „prevoz“ (-0,47 p.p) usljed pada cijena goriva i maziva (-11,1%), dok je rast cijena u oblasti „hrana i bezalkoholna pića“ (0,8%, uz uticaj od 0,29 p.p) ublažio ukupan pad cijena na godišnjem nivou. Godišnja stopa</w:t>
            </w:r>
            <w:r w:rsidRPr="005F7F82">
              <w:rPr>
                <w:b/>
              </w:rPr>
              <w:t xml:space="preserve"> i</w:t>
            </w:r>
            <w:r w:rsidRPr="005F7F82">
              <w:t>nflacija (HIC</w:t>
            </w:r>
            <w:r w:rsidR="00507FBA">
              <w:t xml:space="preserve">P) u decembru je iznosila -0,6%. </w:t>
            </w:r>
            <w:r w:rsidRPr="005F7F82">
              <w:t>Cijene proizvođača industrijskih proizvoda u decembru 2014. bilježe rast od 0,9 % g-n-g, pri čemu je najveći rast cijena zabilježen u sektoru „vađenje rude i kamena“</w:t>
            </w:r>
            <w:r w:rsidR="003D49BD">
              <w:t>.</w:t>
            </w:r>
            <w:r w:rsidRPr="005F7F82">
              <w:t xml:space="preserve"> (4,3%). </w:t>
            </w:r>
          </w:p>
        </w:tc>
        <w:tc>
          <w:tcPr>
            <w:tcW w:w="1845" w:type="pct"/>
            <w:vAlign w:val="center"/>
          </w:tcPr>
          <w:p w:rsidR="00C45B95" w:rsidRDefault="00000106" w:rsidP="00A90070">
            <w:pPr>
              <w:jc w:val="center"/>
            </w:pPr>
            <w:r w:rsidRPr="00000106">
              <w:rPr>
                <w:noProof/>
              </w:rPr>
              <w:drawing>
                <wp:inline distT="0" distB="0" distL="0" distR="0">
                  <wp:extent cx="2266950" cy="2286000"/>
                  <wp:effectExtent l="0" t="0" r="0" b="0"/>
                  <wp:docPr id="1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Tr="0055411D">
        <w:trPr>
          <w:trHeight w:hRule="exact" w:val="4316"/>
        </w:trPr>
        <w:tc>
          <w:tcPr>
            <w:tcW w:w="3155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Zaposlenost i zarade</w:t>
            </w:r>
          </w:p>
          <w:p w:rsidR="00000106" w:rsidRDefault="00000106" w:rsidP="00000106">
            <w:pPr>
              <w:pBdr>
                <w:top w:val="single" w:sz="4" w:space="1" w:color="auto"/>
              </w:pBdr>
              <w:spacing w:after="0"/>
              <w:jc w:val="both"/>
            </w:pPr>
            <w:r w:rsidRPr="00785BD5">
              <w:rPr>
                <w:b/>
              </w:rPr>
              <w:t xml:space="preserve">Na tržištu rada u decembru 2014. </w:t>
            </w:r>
            <w:r w:rsidR="006E7A12">
              <w:rPr>
                <w:b/>
              </w:rPr>
              <w:t xml:space="preserve">je došlo </w:t>
            </w:r>
            <w:r w:rsidR="003D49BD">
              <w:rPr>
                <w:b/>
              </w:rPr>
              <w:t xml:space="preserve">do </w:t>
            </w:r>
            <w:r w:rsidRPr="00785BD5">
              <w:rPr>
                <w:b/>
              </w:rPr>
              <w:t>povećanja broja zaposlenih</w:t>
            </w:r>
            <w:r w:rsidR="006E7A12">
              <w:rPr>
                <w:b/>
              </w:rPr>
              <w:t xml:space="preserve"> </w:t>
            </w:r>
            <w:r w:rsidRPr="00785BD5">
              <w:rPr>
                <w:b/>
              </w:rPr>
              <w:t>(2,4%) i blagog povećanja broja lica koja traže zaposlenje (0,5%).</w:t>
            </w:r>
            <w:r>
              <w:t xml:space="preserve"> Broj zaposlenih je iznosio 171.158, </w:t>
            </w:r>
            <w:r w:rsidR="006E7A12">
              <w:t>i</w:t>
            </w:r>
            <w:r>
              <w:t xml:space="preserve"> povećan </w:t>
            </w:r>
            <w:r w:rsidR="003D49BD">
              <w:t xml:space="preserve">je za </w:t>
            </w:r>
            <w:r>
              <w:t>1,2%</w:t>
            </w:r>
            <w:r w:rsidR="00AF7E83">
              <w:t xml:space="preserve">  g-n-g</w:t>
            </w:r>
            <w:r>
              <w:t>, a smanjen za 0,6%</w:t>
            </w:r>
            <w:r w:rsidR="0055411D">
              <w:t xml:space="preserve"> m-n-m</w:t>
            </w:r>
            <w:r>
              <w:t>. Broj nezaposlenih je iznosio 34.687, a povećan je na godišnjem nivou 3,4</w:t>
            </w:r>
            <w:r w:rsidR="0055411D">
              <w:t>%. Stopa</w:t>
            </w:r>
            <w:r>
              <w:t xml:space="preserve"> nezaposlenosti je u decembru 2014. iznosi</w:t>
            </w:r>
            <w:r w:rsidR="0055411D">
              <w:t>la</w:t>
            </w:r>
            <w:r>
              <w:t xml:space="preserve"> 14,9%, kao i u decembru 2013. Broj lica koja prvi put traže zaposlenje u dece</w:t>
            </w:r>
            <w:r w:rsidR="003D49BD">
              <w:t xml:space="preserve">mbru 2014. je iznosio 10.659 i </w:t>
            </w:r>
            <w:r>
              <w:t xml:space="preserve">značajno je </w:t>
            </w:r>
            <w:r w:rsidRPr="00BF2D81">
              <w:t>povećan (7,</w:t>
            </w:r>
            <w:r w:rsidR="00BF2D81" w:rsidRPr="00BF2D81">
              <w:t>2% g-n-g)</w:t>
            </w:r>
            <w:r w:rsidRPr="00BF2D81">
              <w:t>.</w:t>
            </w:r>
            <w:r>
              <w:t xml:space="preserve"> Broj nezaposlenih v</w:t>
            </w:r>
            <w:r w:rsidR="006E7A12">
              <w:t>isokoškolaca je u decembru 2014,</w:t>
            </w:r>
            <w:r>
              <w:t xml:space="preserve"> smanjen za 0,5%</w:t>
            </w:r>
            <w:r w:rsidR="0055411D">
              <w:t xml:space="preserve"> g</w:t>
            </w:r>
            <w:r w:rsidR="006E7A12">
              <w:t>-n-g</w:t>
            </w:r>
            <w:r>
              <w:t>, dok je broj visokoškolaca koji prvi put traže zaposlenje povećan 4,3%. Broj oglašenih slobodnih radnih mjesta za cijelu godinu je iznosio 37.401, dok su na godišnjem nivou izdate 23.184  radne dozvole. Prosječna zarada u decembru je iznosila 738€, a u odnosu na novembar povećana je 1,5%, dok je na godišnjem nivou smanjena 0,4%. Neto zarada je u decembru iznosila 484€, a u odnosu na novembar povećana je 1,5%, na godišnjem nivou je manja za 0,4%, a realno je veća 0,3%.</w:t>
            </w:r>
          </w:p>
          <w:p w:rsidR="00C45B95" w:rsidRDefault="00C45B95" w:rsidP="00A90070"/>
          <w:p w:rsidR="00C45B95" w:rsidRDefault="00C45B95" w:rsidP="00A90070">
            <w:pPr>
              <w:pStyle w:val="Caption"/>
              <w:keepNext/>
            </w:pPr>
          </w:p>
        </w:tc>
        <w:tc>
          <w:tcPr>
            <w:tcW w:w="1845" w:type="pct"/>
            <w:vAlign w:val="center"/>
          </w:tcPr>
          <w:p w:rsidR="00C45B95" w:rsidRDefault="00000106" w:rsidP="00A9007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39370</wp:posOffset>
                  </wp:positionH>
                  <wp:positionV relativeFrom="paragraph">
                    <wp:posOffset>-48260</wp:posOffset>
                  </wp:positionV>
                  <wp:extent cx="2425700" cy="2197100"/>
                  <wp:effectExtent l="0" t="0" r="0" b="0"/>
                  <wp:wrapNone/>
                  <wp:docPr id="9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</w:tc>
      </w:tr>
      <w:tr w:rsidR="00C45B95" w:rsidTr="0055411D">
        <w:trPr>
          <w:trHeight w:hRule="exact" w:val="3399"/>
        </w:trPr>
        <w:tc>
          <w:tcPr>
            <w:tcW w:w="3155" w:type="pct"/>
          </w:tcPr>
          <w:p w:rsidR="00FF2790" w:rsidRDefault="00ED19D2" w:rsidP="00000106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eastAsia="Times New Roman"/>
                <w:b/>
                <w:noProof/>
                <w:color w:val="000000"/>
              </w:rPr>
            </w:pPr>
            <w:r>
              <w:rPr>
                <w:rFonts w:eastAsia="Times New Roman"/>
                <w:b/>
                <w:noProof/>
                <w:color w:val="000000"/>
              </w:rPr>
              <w:t xml:space="preserve"> </w:t>
            </w:r>
            <w:r w:rsidR="00FF2790" w:rsidRPr="00ED19D2">
              <w:rPr>
                <w:b/>
              </w:rPr>
              <w:t>Javne finansije</w:t>
            </w:r>
          </w:p>
          <w:p w:rsidR="00FF2790" w:rsidRDefault="00FF2790" w:rsidP="00000106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</w:pPr>
            <w:r w:rsidRPr="00BE4635">
              <w:rPr>
                <w:b/>
              </w:rPr>
              <w:t xml:space="preserve">Izvorni prihodi budžeta Crne Gore </w:t>
            </w:r>
            <w:r w:rsidRPr="00BE4635">
              <w:t xml:space="preserve">u decembru 2014. ostvareni su u iznosu od 155,3 mil.€ što je za 70 % više </w:t>
            </w:r>
            <w:r w:rsidR="0055411D">
              <w:t xml:space="preserve"> g-n-g</w:t>
            </w:r>
            <w:r w:rsidR="0055411D" w:rsidRPr="00BE4635">
              <w:t xml:space="preserve"> </w:t>
            </w:r>
            <w:r w:rsidR="0055411D">
              <w:t>, dok je n</w:t>
            </w:r>
            <w:r w:rsidRPr="00BE4635">
              <w:t>aplata prihoda u periodu ja</w:t>
            </w:r>
            <w:r w:rsidR="0055411D">
              <w:t xml:space="preserve">nuar-decembar </w:t>
            </w:r>
            <w:r w:rsidR="00AF7E83">
              <w:t>2014.</w:t>
            </w:r>
            <w:r w:rsidR="0055411D">
              <w:t xml:space="preserve"> godine viša </w:t>
            </w:r>
            <w:r w:rsidRPr="00BE4635">
              <w:t xml:space="preserve"> za 8,7</w:t>
            </w:r>
            <w:r w:rsidR="0055411D">
              <w:t xml:space="preserve"> g-n-g</w:t>
            </w:r>
            <w:r w:rsidRPr="00BE4635">
              <w:t xml:space="preserve">. Prihodi po osnovu PDV-a bilježe rast od 15,9%, porez na dobit pravnih lica za 10,8%, kao i porezi i doprinosi na zarade za 11,0% </w:t>
            </w:r>
            <w:r w:rsidR="0055411D">
              <w:t xml:space="preserve"> g-n-g</w:t>
            </w:r>
            <w:r w:rsidRPr="00BE4635">
              <w:t xml:space="preserve">. </w:t>
            </w:r>
            <w:r w:rsidRPr="00BE4635">
              <w:rPr>
                <w:b/>
              </w:rPr>
              <w:t>Izdaci budžeta</w:t>
            </w:r>
            <w:r w:rsidRPr="00BE4635">
              <w:t xml:space="preserve"> u decembru 2014. iznosili su 173,9 mil. € i viši za 14,7%</w:t>
            </w:r>
            <w:r w:rsidR="0055411D">
              <w:t xml:space="preserve">  g-n-g</w:t>
            </w:r>
            <w:r w:rsidRPr="00BE4635">
              <w:t xml:space="preserve">. </w:t>
            </w:r>
            <w:r w:rsidRPr="00FF2790">
              <w:t>Deficit budžeta u decembru 2014. iznosio je 18,7 mil €. U periodu januar-decembar 2014. ostvaren je budžetski deficit od 102,6 mil. €. U odnosu na isti period 2013. kumulativni deficit je niži za 93,5 mil.€, što je posljedica visoke baze iz prošle godine</w:t>
            </w:r>
            <w:r w:rsidRPr="00BE4635">
              <w:t>. Državni dug na kraju novembra 2014. iznosio je 1.961,9 mil.€, što predstavlja 57,8 % procijenjenog BDP-a, od čega se na spoljni dug odnosi oko 80% ukupnog državnog duga.</w:t>
            </w:r>
          </w:p>
          <w:p w:rsidR="00C45B95" w:rsidRDefault="00C45B95" w:rsidP="00A90070"/>
        </w:tc>
        <w:tc>
          <w:tcPr>
            <w:tcW w:w="1845" w:type="pct"/>
            <w:vAlign w:val="center"/>
          </w:tcPr>
          <w:p w:rsidR="00C45B95" w:rsidRDefault="001C6817" w:rsidP="00A90070">
            <w:pPr>
              <w:jc w:val="center"/>
            </w:pPr>
            <w:r w:rsidRPr="001C6817">
              <w:rPr>
                <w:noProof/>
              </w:rPr>
              <w:drawing>
                <wp:inline distT="0" distB="0" distL="0" distR="0">
                  <wp:extent cx="2527300" cy="197485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Tr="00361309">
        <w:trPr>
          <w:trHeight w:hRule="exact" w:val="4525"/>
        </w:trPr>
        <w:tc>
          <w:tcPr>
            <w:tcW w:w="3155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</w:rPr>
            </w:pPr>
            <w:r w:rsidRPr="006E7A12">
              <w:rPr>
                <w:b/>
                <w:noProof/>
              </w:rPr>
              <w:t>Monetarni sektor</w:t>
            </w:r>
          </w:p>
          <w:p w:rsidR="006E7A12" w:rsidRPr="003C543D" w:rsidRDefault="006E7A12" w:rsidP="006E7A1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</w:rPr>
            </w:pPr>
            <w:r w:rsidRPr="00561C7E">
              <w:rPr>
                <w:b/>
                <w:noProof/>
              </w:rPr>
              <w:t>Monetarna kretanja</w:t>
            </w:r>
            <w:r>
              <w:rPr>
                <w:b/>
                <w:noProof/>
              </w:rPr>
              <w:t xml:space="preserve"> u decembru bilježe dalji rast ukupnih depozita, povoljnu likvidnost banaka i </w:t>
            </w:r>
            <w:r w:rsidR="0055411D">
              <w:rPr>
                <w:b/>
                <w:noProof/>
              </w:rPr>
              <w:t>blaži trend</w:t>
            </w:r>
            <w:r>
              <w:rPr>
                <w:b/>
                <w:noProof/>
              </w:rPr>
              <w:t xml:space="preserve"> pada kreditnih aktivnosti.</w:t>
            </w:r>
            <w:r w:rsidR="0055411D"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Sredstva </w:t>
            </w:r>
            <w:r w:rsidRPr="0095514D">
              <w:rPr>
                <w:b/>
                <w:noProof/>
              </w:rPr>
              <w:t>deponovana</w:t>
            </w:r>
            <w:r>
              <w:rPr>
                <w:noProof/>
              </w:rPr>
              <w:t xml:space="preserve"> u bankama su zadržala trend rasta tako da su ukupni depoziti iznosili</w:t>
            </w:r>
            <w:r w:rsidRPr="003C543D">
              <w:rPr>
                <w:noProof/>
              </w:rPr>
              <w:t xml:space="preserve"> </w:t>
            </w:r>
            <w:r>
              <w:rPr>
                <w:noProof/>
              </w:rPr>
              <w:t>2.308,1</w:t>
            </w:r>
            <w:r w:rsidRPr="003C543D">
              <w:rPr>
                <w:noProof/>
              </w:rPr>
              <w:t xml:space="preserve"> mil. €</w:t>
            </w:r>
            <w:r>
              <w:rPr>
                <w:noProof/>
              </w:rPr>
              <w:t>,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>što predstavlja rast na mjesečnom nivou od 1,5 %, a na godišnjem</w:t>
            </w:r>
            <w:r w:rsidRPr="003C543D">
              <w:rPr>
                <w:noProof/>
              </w:rPr>
              <w:t xml:space="preserve"> </w:t>
            </w:r>
            <w:r>
              <w:rPr>
                <w:noProof/>
              </w:rPr>
              <w:t>10,0</w:t>
            </w:r>
            <w:r w:rsidRPr="003C543D">
              <w:rPr>
                <w:noProof/>
              </w:rPr>
              <w:t>%</w:t>
            </w:r>
            <w:r>
              <w:rPr>
                <w:noProof/>
              </w:rPr>
              <w:t>. Najveći deponenti u bankarskom sistemu su sektori stanovništva i privrede. Pri tome se na depozite stanovništva odnosilo 57,7%,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>dok su depoziti privrede činili 27,8% ukupnih depozita.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 xml:space="preserve">U decembru je zabilježen usporeniji pad </w:t>
            </w:r>
            <w:r w:rsidRPr="00607C97">
              <w:rPr>
                <w:b/>
                <w:noProof/>
              </w:rPr>
              <w:t>kreditnih</w:t>
            </w:r>
            <w:r>
              <w:rPr>
                <w:noProof/>
              </w:rPr>
              <w:t xml:space="preserve"> aktivnosti, tako da na mjesečnom nivou iznosi 2,4% ili 59,3 mil.€, odnosno 1,9% ili 46,8mil.€ na godišnjem nivou. Ukupni n</w:t>
            </w:r>
            <w:r w:rsidRPr="003C543D">
              <w:rPr>
                <w:noProof/>
              </w:rPr>
              <w:t xml:space="preserve">ovoodobreni krediti </w:t>
            </w:r>
            <w:r>
              <w:rPr>
                <w:noProof/>
              </w:rPr>
              <w:t>tokom 2014.g. iznose 801,5</w:t>
            </w:r>
            <w:r w:rsidRPr="003C543D">
              <w:rPr>
                <w:noProof/>
              </w:rPr>
              <w:t xml:space="preserve"> mil.€,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 xml:space="preserve">što je za 0,8% manje u odnosu na prethodnu godinu. Iako je učešće </w:t>
            </w:r>
            <w:r w:rsidRPr="0001319D">
              <w:rPr>
                <w:b/>
                <w:noProof/>
              </w:rPr>
              <w:t>nekvalitetnih</w:t>
            </w:r>
            <w:r>
              <w:rPr>
                <w:noProof/>
              </w:rPr>
              <w:t xml:space="preserve"> kredita smanjeno sa 17,53%, kol</w:t>
            </w:r>
            <w:r w:rsidR="0055411D">
              <w:rPr>
                <w:noProof/>
              </w:rPr>
              <w:t>iko je iznosilo  na kraju 2013</w:t>
            </w:r>
            <w:r w:rsidR="00136C72">
              <w:rPr>
                <w:noProof/>
              </w:rPr>
              <w:t>.</w:t>
            </w:r>
            <w:r w:rsidR="0055411D">
              <w:rPr>
                <w:noProof/>
              </w:rPr>
              <w:t>g</w:t>
            </w:r>
            <w:r>
              <w:rPr>
                <w:noProof/>
              </w:rPr>
              <w:t>, na 15,</w:t>
            </w:r>
            <w:r w:rsidR="0055411D">
              <w:rPr>
                <w:noProof/>
              </w:rPr>
              <w:t>87% u decembru ove godine, oni i</w:t>
            </w:r>
            <w:r>
              <w:rPr>
                <w:noProof/>
              </w:rPr>
              <w:t xml:space="preserve"> dalje, sa rastućom </w:t>
            </w:r>
            <w:r w:rsidRPr="0001319D">
              <w:rPr>
                <w:b/>
                <w:noProof/>
              </w:rPr>
              <w:t>nelikvidno</w:t>
            </w:r>
            <w:r w:rsidR="0055411D">
              <w:rPr>
                <w:b/>
                <w:noProof/>
              </w:rPr>
              <w:t>šću</w:t>
            </w:r>
            <w:r>
              <w:rPr>
                <w:noProof/>
              </w:rPr>
              <w:t xml:space="preserve"> realnog sektora, predstavljaju rizik za finansijsku stabilnost. U decembru 2014</w:t>
            </w:r>
            <w:r w:rsidR="0055411D">
              <w:rPr>
                <w:noProof/>
              </w:rPr>
              <w:t>. godine</w:t>
            </w:r>
            <w:r>
              <w:rPr>
                <w:noProof/>
              </w:rPr>
              <w:t xml:space="preserve"> u blokadi su bila 14.160 izvršna dužnika,</w:t>
            </w:r>
            <w:r w:rsidRPr="003C543D">
              <w:rPr>
                <w:noProof/>
              </w:rPr>
              <w:t xml:space="preserve"> što u odnosu na stanje iz prethodnog mjeseca predstavlja povećanje od </w:t>
            </w:r>
            <w:r>
              <w:rPr>
                <w:noProof/>
              </w:rPr>
              <w:t>1,48</w:t>
            </w:r>
            <w:r w:rsidRPr="003C543D">
              <w:rPr>
                <w:noProof/>
              </w:rPr>
              <w:t>%</w:t>
            </w:r>
            <w:r>
              <w:rPr>
                <w:noProof/>
              </w:rPr>
              <w:t xml:space="preserve">. Pri tome, </w:t>
            </w:r>
            <w:r w:rsidRPr="003C543D">
              <w:rPr>
                <w:noProof/>
              </w:rPr>
              <w:t xml:space="preserve">ukupan iznos duga, po osnovu koga je izvršeno blokiranje računa, je iznosio </w:t>
            </w:r>
            <w:r>
              <w:rPr>
                <w:noProof/>
              </w:rPr>
              <w:t>496,1</w:t>
            </w:r>
            <w:r w:rsidRPr="003C543D">
              <w:rPr>
                <w:noProof/>
              </w:rPr>
              <w:t xml:space="preserve"> mil.€ i povećan je za </w:t>
            </w:r>
            <w:r>
              <w:rPr>
                <w:noProof/>
              </w:rPr>
              <w:t>1,93</w:t>
            </w:r>
            <w:r w:rsidRPr="003C543D">
              <w:rPr>
                <w:noProof/>
              </w:rPr>
              <w:t>%</w:t>
            </w:r>
            <w:r>
              <w:rPr>
                <w:noProof/>
              </w:rPr>
              <w:t xml:space="preserve"> </w:t>
            </w:r>
            <w:r w:rsidR="005B2F26">
              <w:rPr>
                <w:noProof/>
              </w:rPr>
              <w:t>m-n-m</w:t>
            </w:r>
            <w:r>
              <w:rPr>
                <w:noProof/>
              </w:rPr>
              <w:t xml:space="preserve"> i 13,5% </w:t>
            </w:r>
            <w:r w:rsidRPr="003C543D">
              <w:rPr>
                <w:noProof/>
              </w:rPr>
              <w:t xml:space="preserve">% na godišnjem nivou. </w:t>
            </w:r>
          </w:p>
          <w:p w:rsidR="00C45B95" w:rsidRDefault="00C45B95" w:rsidP="00A90070"/>
        </w:tc>
        <w:tc>
          <w:tcPr>
            <w:tcW w:w="1845" w:type="pct"/>
            <w:vAlign w:val="center"/>
          </w:tcPr>
          <w:p w:rsidR="00C45B95" w:rsidRDefault="006E7A12" w:rsidP="00A90070">
            <w:pPr>
              <w:jc w:val="center"/>
            </w:pPr>
            <w:r w:rsidRPr="006E7A12">
              <w:rPr>
                <w:noProof/>
              </w:rPr>
              <w:drawing>
                <wp:inline distT="0" distB="0" distL="0" distR="0">
                  <wp:extent cx="2268000" cy="2268000"/>
                  <wp:effectExtent l="0" t="0" r="0" b="0"/>
                  <wp:docPr id="1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45B95" w:rsidTr="002010F0">
        <w:trPr>
          <w:trHeight w:hRule="exact" w:val="7292"/>
        </w:trPr>
        <w:tc>
          <w:tcPr>
            <w:tcW w:w="3155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  <w:color w:val="000000"/>
              </w:rPr>
            </w:pPr>
            <w:r w:rsidRPr="006E7A12">
              <w:rPr>
                <w:b/>
                <w:noProof/>
                <w:color w:val="000000"/>
              </w:rPr>
              <w:t>Spoljnotrgovinska razmjena</w:t>
            </w:r>
          </w:p>
          <w:p w:rsidR="00136C72" w:rsidRDefault="006E7A12" w:rsidP="00136C72">
            <w:pPr>
              <w:pBdr>
                <w:top w:val="single" w:sz="4" w:space="1" w:color="auto"/>
              </w:pBdr>
              <w:jc w:val="both"/>
            </w:pPr>
            <w:r w:rsidRPr="00C25DC3">
              <w:rPr>
                <w:b/>
                <w:noProof/>
                <w:color w:val="000000"/>
              </w:rPr>
              <w:t>Kretanja u eksternom sektoru u 2014. ukazuju na pad ukupne robne razmjene i izvoza,</w:t>
            </w:r>
            <w:r>
              <w:rPr>
                <w:b/>
                <w:noProof/>
                <w:color w:val="000000"/>
              </w:rPr>
              <w:t xml:space="preserve"> i </w:t>
            </w:r>
            <w:r w:rsidRPr="00C25DC3">
              <w:rPr>
                <w:b/>
                <w:noProof/>
                <w:color w:val="000000"/>
              </w:rPr>
              <w:t xml:space="preserve">dalje prisutnu  spoljnotrgovinsku neravnotežu, što je posljedica  ekonomskih problema u sektoru crne i obojene metalurgije i negativnih promjena u energetskom sektoru.  </w:t>
            </w:r>
            <w:r w:rsidRPr="00C25DC3">
              <w:rPr>
                <w:rFonts w:cstheme="minorHAnsi"/>
                <w:b/>
                <w:color w:val="000000" w:themeColor="text1"/>
              </w:rPr>
              <w:t xml:space="preserve">Ukupna robna razmjena sa inostranstvom  </w:t>
            </w:r>
            <w:r w:rsidRPr="00C25DC3">
              <w:rPr>
                <w:rFonts w:cstheme="minorHAnsi"/>
                <w:color w:val="000000" w:themeColor="text1"/>
              </w:rPr>
              <w:t>iznosila je 2.121,7 mil.€, što je za 1,3% manje g-n-g.</w:t>
            </w:r>
            <w:r w:rsidRPr="00C25DC3">
              <w:rPr>
                <w:noProof/>
                <w:color w:val="000000"/>
              </w:rPr>
              <w:t xml:space="preserve"> </w:t>
            </w:r>
            <w:r w:rsidRPr="00C25DC3">
              <w:t xml:space="preserve"> Deficit robne razmjene iznosio je  1.445,7 mil.€ i bilježi rast od 3,4%, dok je pokrivenost  uvoza izvozom robe smanjena za 2,2 p</w:t>
            </w:r>
            <w:r w:rsidR="002010F0">
              <w:t>.</w:t>
            </w:r>
            <w:r w:rsidRPr="00C25DC3">
              <w:t xml:space="preserve"> p g-n-g. </w:t>
            </w:r>
            <w:r w:rsidRPr="00C25DC3">
              <w:rPr>
                <w:b/>
                <w:noProof/>
                <w:color w:val="000000"/>
              </w:rPr>
              <w:t>I</w:t>
            </w:r>
            <w:r w:rsidRPr="00C25DC3">
              <w:rPr>
                <w:b/>
              </w:rPr>
              <w:t>zvoz roba</w:t>
            </w:r>
            <w:r w:rsidRPr="00C25DC3">
              <w:t xml:space="preserve">  vrijedio</w:t>
            </w:r>
            <w:r>
              <w:t xml:space="preserve"> je</w:t>
            </w:r>
            <w:r w:rsidRPr="00C25DC3">
              <w:t xml:space="preserve"> 338,0 mil.€, što je za 10,0% manje</w:t>
            </w:r>
            <w:r>
              <w:t xml:space="preserve"> g-n-g. </w:t>
            </w:r>
            <w:r w:rsidRPr="00C25DC3">
              <w:t xml:space="preserve"> Izvoz električne energije je smanjen  za 57,8 mil.€ (60,0%), usljed pada proizvodnje električne energije </w:t>
            </w:r>
            <w:r>
              <w:t>(</w:t>
            </w:r>
            <w:r w:rsidRPr="00C25DC3">
              <w:t>20,2%</w:t>
            </w:r>
            <w:r>
              <w:t>)</w:t>
            </w:r>
            <w:r w:rsidRPr="00C25DC3">
              <w:t xml:space="preserve">. Smanjenje izvoza  aluminijuma od  10,0% </w:t>
            </w:r>
            <w:r w:rsidRPr="00C25DC3">
              <w:rPr>
                <w:rFonts w:cstheme="minorHAnsi"/>
              </w:rPr>
              <w:t>posljedica je manjeg obima proizvodnje</w:t>
            </w:r>
            <w:r w:rsidR="0055411D">
              <w:rPr>
                <w:rFonts w:cstheme="minorHAnsi"/>
              </w:rPr>
              <w:t>.</w:t>
            </w:r>
            <w:r w:rsidRPr="00C25DC3">
              <w:t xml:space="preserve"> </w:t>
            </w:r>
            <w:r w:rsidRPr="00C25DC3">
              <w:rPr>
                <w:rFonts w:cstheme="minorHAnsi"/>
              </w:rPr>
              <w:t>Izvoz gvožđa i čelika je smanjen za 63,0%, jer u skladu sa planom realizacije investicija u Željezari Nikšić nije bilo proizvodnje za prvih osam mjeseci 2014. U ukupnom izvozu Crne Gore, učešće izvoza hrane i živih životinja povećano je sa 7,7% na 18,3%, usljed rasta vrijednosti izvoza mesa i prerada mesa za 32,8 mil.€ (reeksport mesa i mesnih prerada u Bjelorusiju).</w:t>
            </w:r>
            <w:r w:rsidRPr="00C25DC3">
              <w:t xml:space="preserve"> </w:t>
            </w:r>
            <w:r w:rsidRPr="00C25DC3">
              <w:rPr>
                <w:b/>
              </w:rPr>
              <w:t>Uvoz roba</w:t>
            </w:r>
            <w:r>
              <w:t xml:space="preserve"> iznosio je </w:t>
            </w:r>
            <w:r w:rsidRPr="00C25DC3">
              <w:t>1.783,7 mil. € ili 0,6</w:t>
            </w:r>
            <w:r>
              <w:t>%</w:t>
            </w:r>
            <w:r w:rsidRPr="00C25DC3">
              <w:t xml:space="preserve"> više g-n-g. </w:t>
            </w:r>
            <w:r w:rsidRPr="00C25DC3">
              <w:rPr>
                <w:rFonts w:cstheme="minorHAnsi"/>
                <w:color w:val="000000" w:themeColor="text1"/>
              </w:rPr>
              <w:t xml:space="preserve">U strukturi uvoza najviše su zastupljeni proizvodi kategorije hrana i žive životinje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C25DC3">
              <w:rPr>
                <w:rFonts w:cstheme="minorHAnsi"/>
                <w:color w:val="000000" w:themeColor="text1"/>
              </w:rPr>
              <w:t>397,7mil.€</w:t>
            </w:r>
            <w:r>
              <w:rPr>
                <w:rFonts w:cstheme="minorHAnsi"/>
                <w:color w:val="000000" w:themeColor="text1"/>
              </w:rPr>
              <w:t>)</w:t>
            </w:r>
            <w:r w:rsidRPr="00C25DC3">
              <w:rPr>
                <w:rFonts w:cstheme="minorHAnsi"/>
                <w:color w:val="000000" w:themeColor="text1"/>
              </w:rPr>
              <w:t xml:space="preserve">, mašine i transportni uređaji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C25DC3">
              <w:rPr>
                <w:rFonts w:cstheme="minorHAnsi"/>
                <w:color w:val="000000" w:themeColor="text1"/>
              </w:rPr>
              <w:t xml:space="preserve"> 338,9 mil.€</w:t>
            </w:r>
            <w:r>
              <w:rPr>
                <w:rFonts w:cstheme="minorHAnsi"/>
                <w:color w:val="000000" w:themeColor="text1"/>
              </w:rPr>
              <w:t>)</w:t>
            </w:r>
            <w:r w:rsidRPr="00C25DC3">
              <w:rPr>
                <w:rFonts w:cstheme="minorHAnsi"/>
                <w:color w:val="000000" w:themeColor="text1"/>
              </w:rPr>
              <w:t xml:space="preserve"> i proizvodi svrstani po materijalu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C25DC3">
              <w:rPr>
                <w:rFonts w:cstheme="minorHAnsi"/>
                <w:color w:val="000000" w:themeColor="text1"/>
              </w:rPr>
              <w:t>270,4mil.€</w:t>
            </w:r>
            <w:r>
              <w:rPr>
                <w:rFonts w:cstheme="minorHAnsi"/>
                <w:color w:val="000000" w:themeColor="text1"/>
              </w:rPr>
              <w:t>)</w:t>
            </w:r>
            <w:r w:rsidRPr="00C25DC3">
              <w:rPr>
                <w:rFonts w:cstheme="minorHAnsi"/>
                <w:color w:val="000000" w:themeColor="text1"/>
              </w:rPr>
              <w:t xml:space="preserve">. </w:t>
            </w:r>
            <w:r w:rsidR="00136C72">
              <w:rPr>
                <w:b/>
                <w:noProof/>
              </w:rPr>
              <w:t xml:space="preserve"> Neto priliv SDI u 2014. iznosio je  353,9 mil.€, čime je ostvaren rast od 9,3% g-n-g.</w:t>
            </w:r>
            <w:r w:rsidR="00136C72">
              <w:rPr>
                <w:noProof/>
              </w:rPr>
              <w:t xml:space="preserve"> Ukupan priliv SDI iznosio je 498,1 mil.€, ( 3,9% više </w:t>
            </w:r>
            <w:r w:rsidR="00136C72" w:rsidRPr="00B27F06">
              <w:rPr>
                <w:noProof/>
              </w:rPr>
              <w:t>g-n-g</w:t>
            </w:r>
            <w:r w:rsidR="00136C72">
              <w:rPr>
                <w:noProof/>
              </w:rPr>
              <w:t>). U 2014, ostvaren je manji  priliv po osnovu vlasničkih ulaganja ( 261,3 mil.€ ili pad od 6,1%). Struktura ukupnog priliva SDI:  investicije u preduzeća i banke 16,1%, ( 5,4% više) i investicije u nekretnine 36,3% (10,4% manje). Istovremeno, ostvaren je rast priliva po osnovu  interkompanijskog duga sa učešćem od 46,2%, ili 22,0% g-n-g. Ukupan odliv SDI iznosio je 144,1 mil.€  što je za 7,2%  manje g-n-g.</w:t>
            </w:r>
          </w:p>
          <w:p w:rsidR="00C45B95" w:rsidRDefault="00C45B95" w:rsidP="0055411D">
            <w:pPr>
              <w:pBdr>
                <w:top w:val="single" w:sz="4" w:space="1" w:color="auto"/>
              </w:pBdr>
              <w:spacing w:after="0" w:line="240" w:lineRule="auto"/>
              <w:jc w:val="both"/>
            </w:pPr>
          </w:p>
        </w:tc>
        <w:tc>
          <w:tcPr>
            <w:tcW w:w="1845" w:type="pct"/>
            <w:vAlign w:val="center"/>
          </w:tcPr>
          <w:p w:rsidR="00C45B95" w:rsidRDefault="00361309" w:rsidP="00A90070">
            <w:pPr>
              <w:jc w:val="center"/>
            </w:pPr>
            <w:r w:rsidRPr="00361309">
              <w:rPr>
                <w:noProof/>
              </w:rPr>
              <w:drawing>
                <wp:inline distT="0" distB="0" distL="0" distR="0">
                  <wp:extent cx="2276475" cy="2057400"/>
                  <wp:effectExtent l="0" t="0" r="0" b="0"/>
                  <wp:docPr id="1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C45B95" w:rsidRDefault="00C45B95" w:rsidP="00C45B95">
      <w:pPr>
        <w:sectPr w:rsidR="00C45B95" w:rsidSect="00A90070">
          <w:pgSz w:w="11906" w:h="16838"/>
          <w:pgMar w:top="567" w:right="624" w:bottom="624" w:left="567" w:header="708" w:footer="708" w:gutter="0"/>
          <w:cols w:space="708"/>
          <w:docGrid w:linePitch="360"/>
        </w:sect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>
        <w:rPr>
          <w:noProof/>
          <w:sz w:val="17"/>
          <w:szCs w:val="16"/>
        </w:rPr>
        <w:t>decembar 2014</w:t>
      </w:r>
      <w:r w:rsidRPr="0020440D">
        <w:rPr>
          <w:noProof/>
          <w:sz w:val="17"/>
          <w:szCs w:val="16"/>
        </w:rPr>
        <w:t>.</w:t>
      </w: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tbl>
      <w:tblPr>
        <w:tblW w:w="16200" w:type="dxa"/>
        <w:tblCellMar>
          <w:left w:w="0" w:type="dxa"/>
          <w:right w:w="0" w:type="dxa"/>
        </w:tblCellMar>
        <w:tblLook w:val="04A0"/>
      </w:tblPr>
      <w:tblGrid>
        <w:gridCol w:w="4680"/>
        <w:gridCol w:w="680"/>
        <w:gridCol w:w="72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860"/>
        <w:gridCol w:w="800"/>
        <w:gridCol w:w="980"/>
      </w:tblGrid>
      <w:tr w:rsidR="00BF2D81" w:rsidRPr="00BF2D81" w:rsidTr="00BF2D81">
        <w:trPr>
          <w:divId w:val="1691106249"/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dec '14 / dec '13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- dec '14 / jan - dec '13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-7,0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-11,4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-6,7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27,9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167.173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167.616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2,8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85,7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141,1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BF2D81" w:rsidRPr="00BF2D81" w:rsidTr="006D6A98">
        <w:trPr>
          <w:divId w:val="1691106249"/>
          <w:trHeight w:hRule="exact" w:val="34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35,3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-17,9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-8,9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83,1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171,9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-114,5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-60,5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-143,6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-152,6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-119,3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-124,6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29,0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26,8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9,3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-46,2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-9,4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1.740,8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-0,07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</w:tr>
    </w:tbl>
    <w:p w:rsidR="00BF2D81" w:rsidRPr="0020440D" w:rsidRDefault="00BF2D81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C45B95" w:rsidRDefault="00C45B95">
      <w:pPr>
        <w:spacing w:after="0" w:line="240" w:lineRule="auto"/>
        <w:rPr>
          <w:noProof/>
          <w:sz w:val="17"/>
          <w:szCs w:val="16"/>
        </w:rPr>
      </w:pPr>
    </w:p>
    <w:p w:rsidR="00C45B95" w:rsidRDefault="00C45B95" w:rsidP="00C45B95"/>
    <w:p w:rsidR="00A90070" w:rsidRDefault="00A90070" w:rsidP="00C45B95"/>
    <w:p w:rsidR="00A90070" w:rsidRDefault="00A90070" w:rsidP="00A90070">
      <w:pPr>
        <w:pStyle w:val="Caption"/>
        <w:keepNext/>
        <w:jc w:val="center"/>
      </w:pPr>
      <w:r>
        <w:t xml:space="preserve">Tabela </w:t>
      </w:r>
      <w:fldSimple w:instr=" SEQ Tabela \* ARABIC ">
        <w:r>
          <w:t>2</w:t>
        </w:r>
      </w:fldSimple>
      <w:r w:rsidR="006D6A98">
        <w:t xml:space="preserve"> Fiskalni indikatori</w:t>
      </w:r>
      <w:r w:rsidR="006D6A98" w:rsidRPr="006D6A98">
        <w:rPr>
          <w:sz w:val="18"/>
        </w:rPr>
        <w:t>–</w:t>
      </w:r>
      <w:r w:rsidR="006D6A98" w:rsidRPr="006D6A98">
        <w:rPr>
          <w:b w:val="0"/>
          <w:sz w:val="18"/>
        </w:rPr>
        <w:t>decembar 2014.</w:t>
      </w:r>
      <w:r w:rsidR="006D6A98" w:rsidRPr="006D6A98">
        <w:rPr>
          <w:sz w:val="18"/>
        </w:rPr>
        <w:t xml:space="preserve"> </w:t>
      </w:r>
    </w:p>
    <w:p w:rsidR="00A90070" w:rsidRDefault="00A90070" w:rsidP="00C45B9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37"/>
        <w:gridCol w:w="751"/>
        <w:gridCol w:w="771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71"/>
        <w:gridCol w:w="612"/>
        <w:gridCol w:w="829"/>
        <w:gridCol w:w="696"/>
        <w:gridCol w:w="829"/>
        <w:gridCol w:w="715"/>
      </w:tblGrid>
      <w:tr w:rsidR="00A90070" w:rsidRPr="00A90070" w:rsidTr="00A90070">
        <w:trPr>
          <w:divId w:val="629364512"/>
          <w:trHeight w:val="300"/>
        </w:trPr>
        <w:tc>
          <w:tcPr>
            <w:tcW w:w="1031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BUDŽET CRNE GORE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2013</w:t>
            </w:r>
          </w:p>
        </w:tc>
        <w:tc>
          <w:tcPr>
            <w:tcW w:w="2789" w:type="pct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plan 2014</w:t>
            </w:r>
          </w:p>
        </w:tc>
        <w:tc>
          <w:tcPr>
            <w:tcW w:w="69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Analitika-Decembar</w:t>
            </w:r>
          </w:p>
        </w:tc>
      </w:tr>
      <w:tr w:rsidR="00A90070" w:rsidRPr="00A90070" w:rsidTr="00A90070">
        <w:trPr>
          <w:divId w:val="629364512"/>
          <w:trHeight w:val="580"/>
        </w:trPr>
        <w:tc>
          <w:tcPr>
            <w:tcW w:w="103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XII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IV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VIII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IX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</w:t>
            </w:r>
          </w:p>
        </w:tc>
        <w:tc>
          <w:tcPr>
            <w:tcW w:w="18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XII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XII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dec 2014 / dec 2013 (%)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jan-dec 2014 / jan-dec 2013 (%)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dec 2014 / dec 2014 plan (%)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IZVORNI PRIHODI, od čega: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145,12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70,78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82,13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100,71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109,08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102,08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109,93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120,72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126,56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117,90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158,21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98,50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155,25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146,45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6,98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8,73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6,01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Porezi i doprinosi na  zarade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75,77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21,23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34,36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37,91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40,21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45,74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44,52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45,43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59,14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43,27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90,80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75,71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19,83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11,05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19,92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 na dobit pravnih lica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1,04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1,54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12,11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2,49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2,38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5,92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2,52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2,05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1,76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0,50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1,48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1,14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42,60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10,78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30,53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 na dodatu vrijednost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40,19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32,17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31,16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34,92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39,01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37,06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45,61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49,64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49,31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74,54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33,89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37,18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41,63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-7,49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15,94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-10,68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Akcize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13,19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9,74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8,37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10,78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12,29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14,55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15,75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19,49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17,28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13,40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12,18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13,10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16,21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-0,69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-3,08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-19,21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 na medj trgovinu i transak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1,69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1,64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1,83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1,87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2,14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2,58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2,35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2,00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1,43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1,97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16,21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0,00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9,03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IZDACI BUDŽETA, od čega :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151,66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97,86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90,55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117,73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124,04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107,60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115,30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118,22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116,09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122,09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159,65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111,38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173,92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111,29</w:t>
            </w:r>
          </w:p>
        </w:tc>
        <w:tc>
          <w:tcPr>
            <w:tcW w:w="215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14,68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6,35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56,28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Bruto zarade i doprinosi na teret poslodavca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29,83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31,75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31,99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28,95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33,99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29,16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31,64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33,57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32,19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28,62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36,53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35,56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32,21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19,22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4,77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10,42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Rashodi za materijal i usluge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15,37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6,41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5,25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6,28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6,62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5,94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8,69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6,36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16,15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5,83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5,11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-4,61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176,98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Kamate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5,61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1,11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4,62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24,66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4,72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5,61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6,41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1,25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17,46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0,59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5,68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6,11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1,14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10,43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-7,10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Transferi za socijalnu zaštitu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43,05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39,56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41,43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41,91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40,51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40,39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42,65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41,82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39,29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40,46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40,89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42,84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41,52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-0,49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1,90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3,19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Transferi instit, pojed i NVO sektoru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17,85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4,73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3,67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11,94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8,80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7,34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8,85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7,11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13,73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4,71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8,42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-35,58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5,03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36,58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Kapitalni izdaci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22,14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1,67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1,07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6,63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3,85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6,72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6,75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6,63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5,21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56,13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10,75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24,72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9,36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11,66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88,53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164,07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Suficit / Deficit budžeta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-6,54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-27,08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-8,42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-17,02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-14,96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-5,52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-5,36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10,46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-4,19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-1,44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-12,89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-18,67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35,16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185,63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-17,42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-153,10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Primarni deficit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-0,92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-24,77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-7,31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-12,40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9,70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-0,79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0,25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8,91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13,27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-0,85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-12,33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-12,99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41,27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1305,52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-51,00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-131,49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Otplata dugova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71,64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3,00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3,34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7,98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37,33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9,65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51,08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4,55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14,57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10,15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5,47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31,22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14,29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-56,43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-13,25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118,52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Državni dug (stanje duga)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1.873,15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1.950,10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1.950,70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2.006,00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1.990,30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2.180,50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2.022,10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1.985,20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1.982,50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1.969,53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1.964,90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1.961,90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A90070" w:rsidRPr="00A90070" w:rsidTr="006D6A98">
        <w:trPr>
          <w:divId w:val="629364512"/>
          <w:trHeight w:val="30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Domaći dug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440,13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517,60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513,40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572,60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588,10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583,30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438,30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412,10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406,90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394,93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392,20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389,80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A90070" w:rsidRPr="00A90070" w:rsidTr="006D6A98">
        <w:trPr>
          <w:divId w:val="629364512"/>
          <w:trHeight w:val="30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Inostrani dug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1.433,02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1.432,50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1.437,30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1.433,40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1.402,20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1.597,20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1.583,80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1.573,10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1.575,60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1.574,60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1.572,70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1.572,10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A90070" w:rsidRPr="00A90070" w:rsidTr="00A90070">
        <w:trPr>
          <w:divId w:val="629364512"/>
          <w:trHeight w:val="300"/>
        </w:trPr>
        <w:tc>
          <w:tcPr>
            <w:tcW w:w="1031" w:type="pc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i/>
                <w:iCs/>
                <w:sz w:val="16"/>
                <w:szCs w:val="16"/>
                <w:lang w:val="sr-Latn-CS" w:eastAsia="sr-Latn-CS"/>
              </w:rPr>
              <w:t>Izvor: Ministarstvo finansija Crne Gore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89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lang w:val="sr-Latn-CS" w:eastAsia="sr-Latn-CS"/>
              </w:rPr>
            </w:pPr>
            <w:r w:rsidRPr="00A90070">
              <w:rPr>
                <w:rFonts w:cs="Calibri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lang w:val="sr-Latn-CS" w:eastAsia="sr-Latn-CS"/>
              </w:rPr>
            </w:pPr>
            <w:r w:rsidRPr="00A90070">
              <w:rPr>
                <w:rFonts w:cs="Calibri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lang w:val="sr-Latn-CS" w:eastAsia="sr-Latn-CS"/>
              </w:rPr>
            </w:pPr>
            <w:r w:rsidRPr="00A90070">
              <w:rPr>
                <w:rFonts w:cs="Calibri"/>
                <w:lang w:val="sr-Latn-CS" w:eastAsia="sr-Latn-CS"/>
              </w:rPr>
              <w:t> </w:t>
            </w:r>
          </w:p>
        </w:tc>
      </w:tr>
    </w:tbl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sectPr w:rsidR="00C45B95" w:rsidSect="00A90070">
      <w:pgSz w:w="16839" w:h="11907" w:orient="landscape" w:code="9"/>
      <w:pgMar w:top="284" w:right="426" w:bottom="284" w:left="25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AEF" w:rsidRDefault="00105AEF" w:rsidP="00965FCD">
      <w:pPr>
        <w:spacing w:after="0" w:line="240" w:lineRule="auto"/>
      </w:pPr>
      <w:r>
        <w:separator/>
      </w:r>
    </w:p>
  </w:endnote>
  <w:endnote w:type="continuationSeparator" w:id="1">
    <w:p w:rsidR="00105AEF" w:rsidRDefault="00105AEF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AEF" w:rsidRDefault="00105AEF" w:rsidP="00965FCD">
      <w:pPr>
        <w:spacing w:after="0" w:line="240" w:lineRule="auto"/>
      </w:pPr>
      <w:r>
        <w:separator/>
      </w:r>
    </w:p>
  </w:footnote>
  <w:footnote w:type="continuationSeparator" w:id="1">
    <w:p w:rsidR="00105AEF" w:rsidRDefault="00105AEF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0F0C99"/>
    <w:multiLevelType w:val="hybridMultilevel"/>
    <w:tmpl w:val="3C02798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F76453A"/>
    <w:multiLevelType w:val="hybridMultilevel"/>
    <w:tmpl w:val="08AC1C9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7"/>
  </w:num>
  <w:num w:numId="3">
    <w:abstractNumId w:val="35"/>
  </w:num>
  <w:num w:numId="4">
    <w:abstractNumId w:val="2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6"/>
  </w:num>
  <w:num w:numId="8">
    <w:abstractNumId w:val="2"/>
  </w:num>
  <w:num w:numId="9">
    <w:abstractNumId w:val="0"/>
  </w:num>
  <w:num w:numId="10">
    <w:abstractNumId w:val="33"/>
  </w:num>
  <w:num w:numId="11">
    <w:abstractNumId w:val="1"/>
  </w:num>
  <w:num w:numId="12">
    <w:abstractNumId w:val="32"/>
  </w:num>
  <w:num w:numId="13">
    <w:abstractNumId w:val="28"/>
  </w:num>
  <w:num w:numId="14">
    <w:abstractNumId w:val="8"/>
  </w:num>
  <w:num w:numId="15">
    <w:abstractNumId w:val="6"/>
  </w:num>
  <w:num w:numId="16">
    <w:abstractNumId w:val="19"/>
  </w:num>
  <w:num w:numId="17">
    <w:abstractNumId w:val="10"/>
  </w:num>
  <w:num w:numId="18">
    <w:abstractNumId w:val="23"/>
  </w:num>
  <w:num w:numId="19">
    <w:abstractNumId w:val="9"/>
  </w:num>
  <w:num w:numId="20">
    <w:abstractNumId w:val="20"/>
  </w:num>
  <w:num w:numId="21">
    <w:abstractNumId w:val="22"/>
  </w:num>
  <w:num w:numId="22">
    <w:abstractNumId w:val="15"/>
  </w:num>
  <w:num w:numId="23">
    <w:abstractNumId w:val="14"/>
  </w:num>
  <w:num w:numId="24">
    <w:abstractNumId w:val="30"/>
  </w:num>
  <w:num w:numId="25">
    <w:abstractNumId w:val="4"/>
  </w:num>
  <w:num w:numId="26">
    <w:abstractNumId w:val="11"/>
  </w:num>
  <w:num w:numId="27">
    <w:abstractNumId w:val="27"/>
  </w:num>
  <w:num w:numId="28">
    <w:abstractNumId w:val="3"/>
  </w:num>
  <w:num w:numId="29">
    <w:abstractNumId w:val="5"/>
  </w:num>
  <w:num w:numId="30">
    <w:abstractNumId w:val="21"/>
  </w:num>
  <w:num w:numId="31">
    <w:abstractNumId w:val="31"/>
  </w:num>
  <w:num w:numId="32">
    <w:abstractNumId w:val="17"/>
  </w:num>
  <w:num w:numId="33">
    <w:abstractNumId w:val="34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 w:numId="37">
    <w:abstractNumId w:val="25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D5E"/>
    <w:rsid w:val="000300F0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1EE"/>
    <w:rsid w:val="00083320"/>
    <w:rsid w:val="00084C03"/>
    <w:rsid w:val="00085B67"/>
    <w:rsid w:val="0008654B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B19D0"/>
    <w:rsid w:val="000B1DD7"/>
    <w:rsid w:val="000B28FC"/>
    <w:rsid w:val="000B2B16"/>
    <w:rsid w:val="000B34E4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FAD"/>
    <w:rsid w:val="000C3655"/>
    <w:rsid w:val="000C36DB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1AA8"/>
    <w:rsid w:val="000D2DFE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6096"/>
    <w:rsid w:val="000E77A4"/>
    <w:rsid w:val="000E7A16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52C"/>
    <w:rsid w:val="00105AEF"/>
    <w:rsid w:val="00106446"/>
    <w:rsid w:val="0010656B"/>
    <w:rsid w:val="00107128"/>
    <w:rsid w:val="00107647"/>
    <w:rsid w:val="00107A07"/>
    <w:rsid w:val="00111C8A"/>
    <w:rsid w:val="001124C4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9D0"/>
    <w:rsid w:val="00120A3A"/>
    <w:rsid w:val="00123BF5"/>
    <w:rsid w:val="00123CBD"/>
    <w:rsid w:val="00124730"/>
    <w:rsid w:val="001251D5"/>
    <w:rsid w:val="0012708A"/>
    <w:rsid w:val="0012719F"/>
    <w:rsid w:val="001276C7"/>
    <w:rsid w:val="00127B5A"/>
    <w:rsid w:val="00131185"/>
    <w:rsid w:val="001321AB"/>
    <w:rsid w:val="001326B7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40F"/>
    <w:rsid w:val="001754F5"/>
    <w:rsid w:val="0017563A"/>
    <w:rsid w:val="00175718"/>
    <w:rsid w:val="00177AD9"/>
    <w:rsid w:val="00181309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1D1D"/>
    <w:rsid w:val="001B25FF"/>
    <w:rsid w:val="001B3267"/>
    <w:rsid w:val="001B3BE3"/>
    <w:rsid w:val="001B4CB9"/>
    <w:rsid w:val="001B4F99"/>
    <w:rsid w:val="001B6D24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6817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8EC"/>
    <w:rsid w:val="0021614C"/>
    <w:rsid w:val="002167C4"/>
    <w:rsid w:val="00216C6D"/>
    <w:rsid w:val="00220834"/>
    <w:rsid w:val="00220B59"/>
    <w:rsid w:val="002210E9"/>
    <w:rsid w:val="00222175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75D"/>
    <w:rsid w:val="00280105"/>
    <w:rsid w:val="0028233F"/>
    <w:rsid w:val="00282488"/>
    <w:rsid w:val="00282B2B"/>
    <w:rsid w:val="00282DBE"/>
    <w:rsid w:val="00283704"/>
    <w:rsid w:val="00283DB5"/>
    <w:rsid w:val="002843B8"/>
    <w:rsid w:val="00284B2C"/>
    <w:rsid w:val="00285B0F"/>
    <w:rsid w:val="00287A18"/>
    <w:rsid w:val="00290CF1"/>
    <w:rsid w:val="002916F7"/>
    <w:rsid w:val="00292EC3"/>
    <w:rsid w:val="00294586"/>
    <w:rsid w:val="00294DE0"/>
    <w:rsid w:val="00296127"/>
    <w:rsid w:val="00296B08"/>
    <w:rsid w:val="002977E4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1A52"/>
    <w:rsid w:val="002C1FBF"/>
    <w:rsid w:val="002C25C6"/>
    <w:rsid w:val="002C2DFD"/>
    <w:rsid w:val="002C454A"/>
    <w:rsid w:val="002C4737"/>
    <w:rsid w:val="002C47B8"/>
    <w:rsid w:val="002C4845"/>
    <w:rsid w:val="002C4A81"/>
    <w:rsid w:val="002C6888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1"/>
    <w:rsid w:val="002D4C76"/>
    <w:rsid w:val="002D4CDE"/>
    <w:rsid w:val="002D5187"/>
    <w:rsid w:val="002D5865"/>
    <w:rsid w:val="002D6027"/>
    <w:rsid w:val="002D6F60"/>
    <w:rsid w:val="002D77A7"/>
    <w:rsid w:val="002D7BA6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EEC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7512"/>
    <w:rsid w:val="00307F4D"/>
    <w:rsid w:val="0031098B"/>
    <w:rsid w:val="00311A9D"/>
    <w:rsid w:val="00312994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655C"/>
    <w:rsid w:val="00346A8A"/>
    <w:rsid w:val="00346FFA"/>
    <w:rsid w:val="00347594"/>
    <w:rsid w:val="00350496"/>
    <w:rsid w:val="00350CFE"/>
    <w:rsid w:val="0035139C"/>
    <w:rsid w:val="003524FD"/>
    <w:rsid w:val="00354DDA"/>
    <w:rsid w:val="003561B8"/>
    <w:rsid w:val="003568F4"/>
    <w:rsid w:val="00357182"/>
    <w:rsid w:val="00357B8D"/>
    <w:rsid w:val="00357E66"/>
    <w:rsid w:val="00360100"/>
    <w:rsid w:val="00360197"/>
    <w:rsid w:val="00361309"/>
    <w:rsid w:val="00361C27"/>
    <w:rsid w:val="003625F1"/>
    <w:rsid w:val="003634DC"/>
    <w:rsid w:val="003638CF"/>
    <w:rsid w:val="00363C84"/>
    <w:rsid w:val="00364D14"/>
    <w:rsid w:val="00365311"/>
    <w:rsid w:val="003655B6"/>
    <w:rsid w:val="00365E46"/>
    <w:rsid w:val="00366100"/>
    <w:rsid w:val="003667BB"/>
    <w:rsid w:val="00366F41"/>
    <w:rsid w:val="00375E12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DC2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50F"/>
    <w:rsid w:val="003B48D5"/>
    <w:rsid w:val="003B4F8C"/>
    <w:rsid w:val="003B5512"/>
    <w:rsid w:val="003B62EC"/>
    <w:rsid w:val="003B6749"/>
    <w:rsid w:val="003B6844"/>
    <w:rsid w:val="003B75FC"/>
    <w:rsid w:val="003B7F5E"/>
    <w:rsid w:val="003C0B90"/>
    <w:rsid w:val="003C1215"/>
    <w:rsid w:val="003C14C9"/>
    <w:rsid w:val="003C15EF"/>
    <w:rsid w:val="003C1D23"/>
    <w:rsid w:val="003C3A57"/>
    <w:rsid w:val="003C4817"/>
    <w:rsid w:val="003C5E7B"/>
    <w:rsid w:val="003C6A22"/>
    <w:rsid w:val="003C7870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2066"/>
    <w:rsid w:val="00435D37"/>
    <w:rsid w:val="00436469"/>
    <w:rsid w:val="00436FB4"/>
    <w:rsid w:val="004379FA"/>
    <w:rsid w:val="0044041E"/>
    <w:rsid w:val="00442E20"/>
    <w:rsid w:val="0044465C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3225"/>
    <w:rsid w:val="004634E4"/>
    <w:rsid w:val="00463506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9A0"/>
    <w:rsid w:val="004D4E0F"/>
    <w:rsid w:val="004D6472"/>
    <w:rsid w:val="004D7775"/>
    <w:rsid w:val="004E02D3"/>
    <w:rsid w:val="004E0DE7"/>
    <w:rsid w:val="004E12DB"/>
    <w:rsid w:val="004E28B9"/>
    <w:rsid w:val="004E4063"/>
    <w:rsid w:val="004E40DA"/>
    <w:rsid w:val="004E475F"/>
    <w:rsid w:val="004E5F03"/>
    <w:rsid w:val="004E6169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4587"/>
    <w:rsid w:val="0052511E"/>
    <w:rsid w:val="0052531F"/>
    <w:rsid w:val="005253D1"/>
    <w:rsid w:val="005264EC"/>
    <w:rsid w:val="00526611"/>
    <w:rsid w:val="00526AFB"/>
    <w:rsid w:val="0053016A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6C0"/>
    <w:rsid w:val="005429A2"/>
    <w:rsid w:val="005436E2"/>
    <w:rsid w:val="00543A1F"/>
    <w:rsid w:val="00543F14"/>
    <w:rsid w:val="00543F2D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992"/>
    <w:rsid w:val="00562086"/>
    <w:rsid w:val="005636A8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47F5"/>
    <w:rsid w:val="005A4AB8"/>
    <w:rsid w:val="005A5064"/>
    <w:rsid w:val="005A5229"/>
    <w:rsid w:val="005B0DB1"/>
    <w:rsid w:val="005B18F4"/>
    <w:rsid w:val="005B25F8"/>
    <w:rsid w:val="005B2BF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66B5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A53"/>
    <w:rsid w:val="00612A74"/>
    <w:rsid w:val="00612DDA"/>
    <w:rsid w:val="00612F5E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1339"/>
    <w:rsid w:val="00661C7E"/>
    <w:rsid w:val="00661E40"/>
    <w:rsid w:val="00662030"/>
    <w:rsid w:val="0066369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9B2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A0B4A"/>
    <w:rsid w:val="006A144B"/>
    <w:rsid w:val="006A174E"/>
    <w:rsid w:val="006A1C8D"/>
    <w:rsid w:val="006A290B"/>
    <w:rsid w:val="006A469E"/>
    <w:rsid w:val="006A478E"/>
    <w:rsid w:val="006A4801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4656"/>
    <w:rsid w:val="006B4777"/>
    <w:rsid w:val="006B48BD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11AC"/>
    <w:rsid w:val="006E11E0"/>
    <w:rsid w:val="006E4128"/>
    <w:rsid w:val="006E4746"/>
    <w:rsid w:val="006E4A03"/>
    <w:rsid w:val="006E4B91"/>
    <w:rsid w:val="006E563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3D19"/>
    <w:rsid w:val="00705089"/>
    <w:rsid w:val="007055C9"/>
    <w:rsid w:val="00705D44"/>
    <w:rsid w:val="007067B2"/>
    <w:rsid w:val="00706A33"/>
    <w:rsid w:val="00706CF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BCE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F4"/>
    <w:rsid w:val="00757A6C"/>
    <w:rsid w:val="00760D2A"/>
    <w:rsid w:val="0076100C"/>
    <w:rsid w:val="00761287"/>
    <w:rsid w:val="0076182F"/>
    <w:rsid w:val="007618B8"/>
    <w:rsid w:val="00762622"/>
    <w:rsid w:val="0076413B"/>
    <w:rsid w:val="00764D09"/>
    <w:rsid w:val="007652FD"/>
    <w:rsid w:val="0076645A"/>
    <w:rsid w:val="007675AF"/>
    <w:rsid w:val="00770772"/>
    <w:rsid w:val="00770DAB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DC2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41C4"/>
    <w:rsid w:val="007B5A1B"/>
    <w:rsid w:val="007B5C2E"/>
    <w:rsid w:val="007B7DBE"/>
    <w:rsid w:val="007B7EED"/>
    <w:rsid w:val="007C0AE4"/>
    <w:rsid w:val="007C1EE8"/>
    <w:rsid w:val="007C2107"/>
    <w:rsid w:val="007C2827"/>
    <w:rsid w:val="007C2B1C"/>
    <w:rsid w:val="007C43BE"/>
    <w:rsid w:val="007C49FF"/>
    <w:rsid w:val="007C5F96"/>
    <w:rsid w:val="007C601C"/>
    <w:rsid w:val="007C650B"/>
    <w:rsid w:val="007C7AE8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7DDD"/>
    <w:rsid w:val="007F182C"/>
    <w:rsid w:val="007F2376"/>
    <w:rsid w:val="007F33E9"/>
    <w:rsid w:val="007F388B"/>
    <w:rsid w:val="007F4571"/>
    <w:rsid w:val="007F4D55"/>
    <w:rsid w:val="007F589D"/>
    <w:rsid w:val="007F5FD8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AF2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5ED0"/>
    <w:rsid w:val="00856102"/>
    <w:rsid w:val="0085673A"/>
    <w:rsid w:val="00856B6A"/>
    <w:rsid w:val="00856DE2"/>
    <w:rsid w:val="008573C7"/>
    <w:rsid w:val="00857B59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A93"/>
    <w:rsid w:val="0089194A"/>
    <w:rsid w:val="0089243B"/>
    <w:rsid w:val="00892AFB"/>
    <w:rsid w:val="0089368B"/>
    <w:rsid w:val="00893A0A"/>
    <w:rsid w:val="0089561D"/>
    <w:rsid w:val="0089702D"/>
    <w:rsid w:val="00897403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CD3"/>
    <w:rsid w:val="008C34B7"/>
    <w:rsid w:val="008C3941"/>
    <w:rsid w:val="008C4151"/>
    <w:rsid w:val="008C5163"/>
    <w:rsid w:val="008C5984"/>
    <w:rsid w:val="008C5E67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FF2"/>
    <w:rsid w:val="009271A2"/>
    <w:rsid w:val="009309A2"/>
    <w:rsid w:val="009329C9"/>
    <w:rsid w:val="00933305"/>
    <w:rsid w:val="0093378D"/>
    <w:rsid w:val="0093484E"/>
    <w:rsid w:val="00935A48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72A1"/>
    <w:rsid w:val="00947A04"/>
    <w:rsid w:val="00947B02"/>
    <w:rsid w:val="00947E4E"/>
    <w:rsid w:val="009508FA"/>
    <w:rsid w:val="009519B0"/>
    <w:rsid w:val="00951A56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707F3"/>
    <w:rsid w:val="00970817"/>
    <w:rsid w:val="009729C4"/>
    <w:rsid w:val="00972CD2"/>
    <w:rsid w:val="00972F5D"/>
    <w:rsid w:val="00973022"/>
    <w:rsid w:val="0097377E"/>
    <w:rsid w:val="00974320"/>
    <w:rsid w:val="00974AD2"/>
    <w:rsid w:val="00974F42"/>
    <w:rsid w:val="00975511"/>
    <w:rsid w:val="00976263"/>
    <w:rsid w:val="00980D4F"/>
    <w:rsid w:val="0098296F"/>
    <w:rsid w:val="00982E62"/>
    <w:rsid w:val="009836D7"/>
    <w:rsid w:val="0098375C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897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A0736"/>
    <w:rsid w:val="009A1376"/>
    <w:rsid w:val="009A24E1"/>
    <w:rsid w:val="009A2EA5"/>
    <w:rsid w:val="009A4C61"/>
    <w:rsid w:val="009A4CA6"/>
    <w:rsid w:val="009A5015"/>
    <w:rsid w:val="009A5640"/>
    <w:rsid w:val="009A63D0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D32"/>
    <w:rsid w:val="009C4EAF"/>
    <w:rsid w:val="009C5011"/>
    <w:rsid w:val="009C5462"/>
    <w:rsid w:val="009C62C0"/>
    <w:rsid w:val="009C6D28"/>
    <w:rsid w:val="009C6DF3"/>
    <w:rsid w:val="009C7459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E29"/>
    <w:rsid w:val="009F74C6"/>
    <w:rsid w:val="00A00218"/>
    <w:rsid w:val="00A0022E"/>
    <w:rsid w:val="00A0035B"/>
    <w:rsid w:val="00A01261"/>
    <w:rsid w:val="00A0226B"/>
    <w:rsid w:val="00A040F6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45D0"/>
    <w:rsid w:val="00A14996"/>
    <w:rsid w:val="00A16685"/>
    <w:rsid w:val="00A16C9B"/>
    <w:rsid w:val="00A17447"/>
    <w:rsid w:val="00A178C8"/>
    <w:rsid w:val="00A20571"/>
    <w:rsid w:val="00A2097F"/>
    <w:rsid w:val="00A209F6"/>
    <w:rsid w:val="00A20D1B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24F2"/>
    <w:rsid w:val="00A32588"/>
    <w:rsid w:val="00A33860"/>
    <w:rsid w:val="00A34BB6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F39"/>
    <w:rsid w:val="00A37526"/>
    <w:rsid w:val="00A3777A"/>
    <w:rsid w:val="00A40D24"/>
    <w:rsid w:val="00A4133A"/>
    <w:rsid w:val="00A419CE"/>
    <w:rsid w:val="00A423C3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6119A"/>
    <w:rsid w:val="00A6220E"/>
    <w:rsid w:val="00A62711"/>
    <w:rsid w:val="00A63167"/>
    <w:rsid w:val="00A63DB2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F8B"/>
    <w:rsid w:val="00A74590"/>
    <w:rsid w:val="00A75004"/>
    <w:rsid w:val="00A76BD3"/>
    <w:rsid w:val="00A80523"/>
    <w:rsid w:val="00A8105B"/>
    <w:rsid w:val="00A8196A"/>
    <w:rsid w:val="00A81A72"/>
    <w:rsid w:val="00A81DD8"/>
    <w:rsid w:val="00A82E03"/>
    <w:rsid w:val="00A84EF6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B29"/>
    <w:rsid w:val="00AE3EC8"/>
    <w:rsid w:val="00AE46D2"/>
    <w:rsid w:val="00AE745C"/>
    <w:rsid w:val="00AF16EF"/>
    <w:rsid w:val="00AF29C0"/>
    <w:rsid w:val="00AF2A35"/>
    <w:rsid w:val="00AF39C0"/>
    <w:rsid w:val="00AF3F13"/>
    <w:rsid w:val="00AF62DF"/>
    <w:rsid w:val="00AF6471"/>
    <w:rsid w:val="00AF71DC"/>
    <w:rsid w:val="00AF7CF3"/>
    <w:rsid w:val="00AF7E83"/>
    <w:rsid w:val="00B012FF"/>
    <w:rsid w:val="00B022B2"/>
    <w:rsid w:val="00B02D66"/>
    <w:rsid w:val="00B03435"/>
    <w:rsid w:val="00B039A4"/>
    <w:rsid w:val="00B0449D"/>
    <w:rsid w:val="00B063C0"/>
    <w:rsid w:val="00B06824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16A6B"/>
    <w:rsid w:val="00B1724F"/>
    <w:rsid w:val="00B20DEE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132A"/>
    <w:rsid w:val="00B31F68"/>
    <w:rsid w:val="00B336D1"/>
    <w:rsid w:val="00B355D6"/>
    <w:rsid w:val="00B36D48"/>
    <w:rsid w:val="00B40133"/>
    <w:rsid w:val="00B41E7A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FD4"/>
    <w:rsid w:val="00B74693"/>
    <w:rsid w:val="00B74947"/>
    <w:rsid w:val="00B7591E"/>
    <w:rsid w:val="00B75991"/>
    <w:rsid w:val="00B76838"/>
    <w:rsid w:val="00B77D13"/>
    <w:rsid w:val="00B801BF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C9A"/>
    <w:rsid w:val="00BD0F4E"/>
    <w:rsid w:val="00BD18F0"/>
    <w:rsid w:val="00BD2B67"/>
    <w:rsid w:val="00BD30D2"/>
    <w:rsid w:val="00BE1624"/>
    <w:rsid w:val="00BE20AC"/>
    <w:rsid w:val="00BE2ABD"/>
    <w:rsid w:val="00BE2E1E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6AAD"/>
    <w:rsid w:val="00BF7150"/>
    <w:rsid w:val="00BF72CE"/>
    <w:rsid w:val="00C00142"/>
    <w:rsid w:val="00C00FED"/>
    <w:rsid w:val="00C0135E"/>
    <w:rsid w:val="00C01F4F"/>
    <w:rsid w:val="00C025D3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844"/>
    <w:rsid w:val="00C2734A"/>
    <w:rsid w:val="00C309B8"/>
    <w:rsid w:val="00C31ABA"/>
    <w:rsid w:val="00C31D0E"/>
    <w:rsid w:val="00C321B7"/>
    <w:rsid w:val="00C32335"/>
    <w:rsid w:val="00C32B54"/>
    <w:rsid w:val="00C32DED"/>
    <w:rsid w:val="00C34184"/>
    <w:rsid w:val="00C34787"/>
    <w:rsid w:val="00C34A4A"/>
    <w:rsid w:val="00C34AC1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F3"/>
    <w:rsid w:val="00C81007"/>
    <w:rsid w:val="00C810AD"/>
    <w:rsid w:val="00C83BDD"/>
    <w:rsid w:val="00C83E8F"/>
    <w:rsid w:val="00C84A12"/>
    <w:rsid w:val="00C84D6D"/>
    <w:rsid w:val="00C85EA2"/>
    <w:rsid w:val="00C86D6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16C7"/>
    <w:rsid w:val="00CC199B"/>
    <w:rsid w:val="00CC2AAE"/>
    <w:rsid w:val="00CC504A"/>
    <w:rsid w:val="00CC51BF"/>
    <w:rsid w:val="00CC53C4"/>
    <w:rsid w:val="00CC577F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D75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336D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3CE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D61"/>
    <w:rsid w:val="00DB2EE2"/>
    <w:rsid w:val="00DB3E5E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4F9D"/>
    <w:rsid w:val="00DF5B2A"/>
    <w:rsid w:val="00DF698C"/>
    <w:rsid w:val="00DF6B9D"/>
    <w:rsid w:val="00E00EA3"/>
    <w:rsid w:val="00E00EAA"/>
    <w:rsid w:val="00E01B04"/>
    <w:rsid w:val="00E01F45"/>
    <w:rsid w:val="00E0269D"/>
    <w:rsid w:val="00E0276A"/>
    <w:rsid w:val="00E02E82"/>
    <w:rsid w:val="00E03367"/>
    <w:rsid w:val="00E03F48"/>
    <w:rsid w:val="00E04E50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390E"/>
    <w:rsid w:val="00E139E6"/>
    <w:rsid w:val="00E143F2"/>
    <w:rsid w:val="00E146CB"/>
    <w:rsid w:val="00E14901"/>
    <w:rsid w:val="00E157D0"/>
    <w:rsid w:val="00E16763"/>
    <w:rsid w:val="00E20800"/>
    <w:rsid w:val="00E2133B"/>
    <w:rsid w:val="00E22571"/>
    <w:rsid w:val="00E2307A"/>
    <w:rsid w:val="00E2362B"/>
    <w:rsid w:val="00E237D9"/>
    <w:rsid w:val="00E249A9"/>
    <w:rsid w:val="00E25472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71BD"/>
    <w:rsid w:val="00E72541"/>
    <w:rsid w:val="00E72808"/>
    <w:rsid w:val="00E72ABE"/>
    <w:rsid w:val="00E72F93"/>
    <w:rsid w:val="00E734B7"/>
    <w:rsid w:val="00E73E27"/>
    <w:rsid w:val="00E75796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6FF2"/>
    <w:rsid w:val="00E87BA7"/>
    <w:rsid w:val="00E9031B"/>
    <w:rsid w:val="00E9050A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C0C1D"/>
    <w:rsid w:val="00EC0D33"/>
    <w:rsid w:val="00EC1003"/>
    <w:rsid w:val="00EC128A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00A"/>
    <w:rsid w:val="00EE4F3A"/>
    <w:rsid w:val="00EE5F9C"/>
    <w:rsid w:val="00EE725A"/>
    <w:rsid w:val="00EE7773"/>
    <w:rsid w:val="00EF0EF4"/>
    <w:rsid w:val="00EF10E3"/>
    <w:rsid w:val="00EF3CD5"/>
    <w:rsid w:val="00EF4511"/>
    <w:rsid w:val="00EF490F"/>
    <w:rsid w:val="00EF5EA4"/>
    <w:rsid w:val="00EF668F"/>
    <w:rsid w:val="00EF6766"/>
    <w:rsid w:val="00EF6D1A"/>
    <w:rsid w:val="00EF737D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63AE"/>
    <w:rsid w:val="00F064DC"/>
    <w:rsid w:val="00F076BD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51EA"/>
    <w:rsid w:val="00F36375"/>
    <w:rsid w:val="00F37681"/>
    <w:rsid w:val="00F37E59"/>
    <w:rsid w:val="00F37F75"/>
    <w:rsid w:val="00F40003"/>
    <w:rsid w:val="00F409E5"/>
    <w:rsid w:val="00F41321"/>
    <w:rsid w:val="00F4195C"/>
    <w:rsid w:val="00F41ABF"/>
    <w:rsid w:val="00F43051"/>
    <w:rsid w:val="00F44108"/>
    <w:rsid w:val="00F45FFE"/>
    <w:rsid w:val="00F4794F"/>
    <w:rsid w:val="00F500C1"/>
    <w:rsid w:val="00F52271"/>
    <w:rsid w:val="00F52987"/>
    <w:rsid w:val="00F54342"/>
    <w:rsid w:val="00F54BF8"/>
    <w:rsid w:val="00F54EEB"/>
    <w:rsid w:val="00F550CB"/>
    <w:rsid w:val="00F55573"/>
    <w:rsid w:val="00F55921"/>
    <w:rsid w:val="00F5720E"/>
    <w:rsid w:val="00F5737B"/>
    <w:rsid w:val="00F61509"/>
    <w:rsid w:val="00F619FF"/>
    <w:rsid w:val="00F6365F"/>
    <w:rsid w:val="00F63D6B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76762"/>
    <w:rsid w:val="00F80192"/>
    <w:rsid w:val="00F8076B"/>
    <w:rsid w:val="00F8107E"/>
    <w:rsid w:val="00F81AF7"/>
    <w:rsid w:val="00F81F17"/>
    <w:rsid w:val="00F8300B"/>
    <w:rsid w:val="00F838C5"/>
    <w:rsid w:val="00F83B3C"/>
    <w:rsid w:val="00F84966"/>
    <w:rsid w:val="00F84CEA"/>
    <w:rsid w:val="00F86085"/>
    <w:rsid w:val="00F868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C7"/>
    <w:rsid w:val="00FB33D1"/>
    <w:rsid w:val="00FB3CC6"/>
    <w:rsid w:val="00FB495F"/>
    <w:rsid w:val="00FB54D1"/>
    <w:rsid w:val="00FB55B2"/>
    <w:rsid w:val="00FB6971"/>
    <w:rsid w:val="00FB6B92"/>
    <w:rsid w:val="00FB73F7"/>
    <w:rsid w:val="00FC02E2"/>
    <w:rsid w:val="00FC1555"/>
    <w:rsid w:val="00FC1EDA"/>
    <w:rsid w:val="00FC2E1D"/>
    <w:rsid w:val="00FC39C8"/>
    <w:rsid w:val="00FC3AFD"/>
    <w:rsid w:val="00FC4259"/>
    <w:rsid w:val="00FC6E75"/>
    <w:rsid w:val="00FD004E"/>
    <w:rsid w:val="00FD0116"/>
    <w:rsid w:val="00FD0297"/>
    <w:rsid w:val="00FD06B2"/>
    <w:rsid w:val="00FD0AB9"/>
    <w:rsid w:val="00FD1DE9"/>
    <w:rsid w:val="00FD2C51"/>
    <w:rsid w:val="00FD2F04"/>
    <w:rsid w:val="00FD40CE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1471"/>
    <w:rsid w:val="00FF2790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_2015_01\mmi%202015-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5_01\mmi%202015-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analiza%20pr\statistika_kamatnih_stopa_banaka_decembar_2014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5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Učešće izabranih zemalja u BDP-u eurozone  u %</a:t>
            </a:r>
          </a:p>
        </c:rich>
      </c:tx>
      <c:layout>
        <c:manualLayout>
          <c:xMode val="edge"/>
          <c:yMode val="edge"/>
          <c:x val="0.10795224171540001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6.4000000000000265E-2"/>
          <c:y val="0.14774462365591398"/>
          <c:w val="0.91110721247563364"/>
          <c:h val="0.86620609318996422"/>
        </c:manualLayout>
      </c:layout>
      <c:pieChart>
        <c:varyColors val="1"/>
        <c:ser>
          <c:idx val="1"/>
          <c:order val="1"/>
          <c:explosion val="24"/>
          <c:dLbls>
            <c:dLbl>
              <c:idx val="0"/>
              <c:dLblPos val="bestFit"/>
              <c:showVal val="1"/>
              <c:showCatName val="1"/>
              <c:separator>
</c:separator>
            </c:dLbl>
            <c:dLbl>
              <c:idx val="1"/>
              <c:dLblPos val="bestFit"/>
              <c:showVal val="1"/>
              <c:showCatName val="1"/>
              <c:separator>
</c:separator>
            </c:dLbl>
            <c:dLbl>
              <c:idx val="2"/>
              <c:dLblPos val="bestFit"/>
              <c:showVal val="1"/>
              <c:showCatName val="1"/>
              <c:separator>
</c:separator>
            </c:dLbl>
            <c:dLbl>
              <c:idx val="3"/>
              <c:dLblPos val="bestFit"/>
              <c:showVal val="1"/>
              <c:showCatName val="1"/>
              <c:separator>
</c:separator>
            </c:dLbl>
            <c:dLbl>
              <c:idx val="4"/>
              <c:dLblPos val="bestFit"/>
              <c:showVal val="1"/>
              <c:showCatName val="1"/>
              <c:separator>
</c:separator>
            </c:dLbl>
            <c:dLbl>
              <c:idx val="5"/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lang="sr-Latn-CS" sz="600"/>
                </a:pPr>
                <a:endParaRPr lang="en-US"/>
              </a:p>
            </c:txPr>
            <c:dLblPos val="bestFit"/>
            <c:showVal val="1"/>
            <c:separator>
</c:separator>
            <c:showLeaderLines val="1"/>
          </c:dLbls>
          <c:cat>
            <c:strRef>
              <c:f>Sheet1!$B$4:$B$9</c:f>
              <c:strCache>
                <c:ptCount val="6"/>
                <c:pt idx="0">
                  <c:v>Njemačka</c:v>
                </c:pt>
                <c:pt idx="1">
                  <c:v>Francuska</c:v>
                </c:pt>
                <c:pt idx="2">
                  <c:v>Italija</c:v>
                </c:pt>
                <c:pt idx="3">
                  <c:v>Španija</c:v>
                </c:pt>
                <c:pt idx="4">
                  <c:v>Holandija</c:v>
                </c:pt>
                <c:pt idx="5">
                  <c:v>Ostali</c:v>
                </c:pt>
              </c:strCache>
            </c:strRef>
          </c:cat>
          <c:val>
            <c:numRef>
              <c:f>Sheet1!$D$4:$D$9</c:f>
              <c:numCache>
                <c:formatCode>0.0</c:formatCode>
                <c:ptCount val="6"/>
                <c:pt idx="0">
                  <c:v>23.540735490374402</c:v>
                </c:pt>
                <c:pt idx="1">
                  <c:v>17.710660540898317</c:v>
                </c:pt>
                <c:pt idx="2">
                  <c:v>13.564855720029714</c:v>
                </c:pt>
                <c:pt idx="3">
                  <c:v>8.7911259032014382</c:v>
                </c:pt>
                <c:pt idx="4">
                  <c:v>5.3864719986341534</c:v>
                </c:pt>
                <c:pt idx="5">
                  <c:v>15.503075173430968</c:v>
                </c:pt>
              </c:numCache>
            </c:numRef>
          </c:val>
        </c:ser>
        <c:ser>
          <c:idx val="0"/>
          <c:order val="0"/>
          <c:cat>
            <c:strRef>
              <c:f>Sheet1!$B$4:$B$9</c:f>
              <c:strCache>
                <c:ptCount val="6"/>
                <c:pt idx="0">
                  <c:v>Njemačka</c:v>
                </c:pt>
                <c:pt idx="1">
                  <c:v>Francuska</c:v>
                </c:pt>
                <c:pt idx="2">
                  <c:v>Italija</c:v>
                </c:pt>
                <c:pt idx="3">
                  <c:v>Španija</c:v>
                </c:pt>
                <c:pt idx="4">
                  <c:v>Holandija</c:v>
                </c:pt>
                <c:pt idx="5">
                  <c:v>Ostali</c:v>
                </c:pt>
              </c:strCache>
            </c:strRef>
          </c:cat>
          <c:val>
            <c:numRef>
              <c:f>Sheet1!$C$4:$C$9</c:f>
            </c:numRef>
          </c:val>
        </c:ser>
        <c:firstSliceAng val="0"/>
      </c:pieChart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900"/>
            </a:pPr>
            <a:r>
              <a:rPr lang="en-US" sz="900"/>
              <a:t>Industrija</a:t>
            </a:r>
          </a:p>
        </c:rich>
      </c:tx>
      <c:layout>
        <c:manualLayout>
          <c:xMode val="edge"/>
          <c:yMode val="edge"/>
          <c:x val="0.38880511463845202"/>
          <c:y val="5.5996472663139762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060229276895938"/>
          <c:y val="0.11759259259259261"/>
          <c:w val="0.77900088183421468"/>
          <c:h val="0.69527336860670252"/>
        </c:manualLayout>
      </c:layout>
      <c:lineChart>
        <c:grouping val="standard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Industrija-godišnji rast</c:v>
                </c:pt>
              </c:strCache>
            </c:strRef>
          </c:tx>
          <c:spPr>
            <a:ln w="34925">
              <a:solidFill>
                <a:srgbClr val="EB21E1"/>
              </a:solidFill>
            </a:ln>
          </c:spPr>
          <c:marker>
            <c:symbol val="none"/>
          </c:marker>
          <c:cat>
            <c:strRef>
              <c:f>'Makroekonomski indikatori'!$AO$36:$AZ$36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indikatori'!$AO$12:$AZ$12</c:f>
              <c:numCache>
                <c:formatCode>General</c:formatCode>
                <c:ptCount val="12"/>
                <c:pt idx="0">
                  <c:v>7.4</c:v>
                </c:pt>
                <c:pt idx="1">
                  <c:v>5.7</c:v>
                </c:pt>
                <c:pt idx="2">
                  <c:v>-20.6</c:v>
                </c:pt>
                <c:pt idx="3">
                  <c:v>-27.9</c:v>
                </c:pt>
                <c:pt idx="4">
                  <c:v>-23.4</c:v>
                </c:pt>
                <c:pt idx="5">
                  <c:v>-26.4</c:v>
                </c:pt>
                <c:pt idx="6">
                  <c:v>-16.5</c:v>
                </c:pt>
                <c:pt idx="7">
                  <c:v>-12.7</c:v>
                </c:pt>
                <c:pt idx="8">
                  <c:v>7.5</c:v>
                </c:pt>
                <c:pt idx="9">
                  <c:v>8.2000000000000011</c:v>
                </c:pt>
                <c:pt idx="10">
                  <c:v>-19.8</c:v>
                </c:pt>
                <c:pt idx="11" formatCode="0.0">
                  <c:v>-7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indikatori'!$C$22</c:f>
              <c:strCache>
                <c:ptCount val="1"/>
                <c:pt idx="0">
                  <c:v>industrija-mjesečni rast</c:v>
                </c:pt>
              </c:strCache>
            </c:strRef>
          </c:tx>
          <c:spPr>
            <a:ln>
              <a:solidFill>
                <a:srgbClr val="5E31DB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indikatori'!$AO$36:$AZ$36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indikatori'!$AO$22:$AZ$22</c:f>
              <c:numCache>
                <c:formatCode>General</c:formatCode>
                <c:ptCount val="12"/>
                <c:pt idx="0">
                  <c:v>-22.3</c:v>
                </c:pt>
                <c:pt idx="1">
                  <c:v>0.5</c:v>
                </c:pt>
                <c:pt idx="2">
                  <c:v>-6.5</c:v>
                </c:pt>
                <c:pt idx="3">
                  <c:v>0.5</c:v>
                </c:pt>
                <c:pt idx="4">
                  <c:v>-15.7</c:v>
                </c:pt>
                <c:pt idx="5">
                  <c:v>-15.9</c:v>
                </c:pt>
                <c:pt idx="6">
                  <c:v>29.2</c:v>
                </c:pt>
                <c:pt idx="7">
                  <c:v>5.3</c:v>
                </c:pt>
                <c:pt idx="8">
                  <c:v>10.6</c:v>
                </c:pt>
                <c:pt idx="9">
                  <c:v>-0.30000000000000032</c:v>
                </c:pt>
                <c:pt idx="10">
                  <c:v>-5.5</c:v>
                </c:pt>
                <c:pt idx="11">
                  <c:v>26.2</c:v>
                </c:pt>
              </c:numCache>
            </c:numRef>
          </c:val>
          <c:smooth val="1"/>
        </c:ser>
        <c:marker val="1"/>
        <c:axId val="172928000"/>
        <c:axId val="172942080"/>
      </c:lineChart>
      <c:catAx>
        <c:axId val="17292800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500"/>
            </a:pPr>
            <a:endParaRPr lang="en-US"/>
          </a:p>
        </c:txPr>
        <c:crossAx val="172942080"/>
        <c:crosses val="autoZero"/>
        <c:auto val="1"/>
        <c:lblAlgn val="ctr"/>
        <c:lblOffset val="100"/>
      </c:catAx>
      <c:valAx>
        <c:axId val="17294208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72928000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900"/>
            </a:pPr>
            <a:r>
              <a:rPr lang="x-none" sz="900"/>
              <a:t>I</a:t>
            </a:r>
            <a:r>
              <a:rPr lang="en-US" sz="900"/>
              <a:t>nflacija</a:t>
            </a:r>
          </a:p>
        </c:rich>
      </c:tx>
      <c:layout>
        <c:manualLayout>
          <c:xMode val="edge"/>
          <c:yMode val="edge"/>
          <c:x val="0.39002292768960278"/>
          <c:y val="5.59964726631394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905335097001771"/>
          <c:y val="0.10079365079365274"/>
          <c:w val="0.74935052910052913"/>
          <c:h val="0.62804276895943567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8100"/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indikatori'!$AO$23:$AZ$23</c:f>
              <c:numCache>
                <c:formatCode>General</c:formatCode>
                <c:ptCount val="12"/>
                <c:pt idx="0">
                  <c:v>-0.4</c:v>
                </c:pt>
                <c:pt idx="1">
                  <c:v>-0.60000000000000064</c:v>
                </c:pt>
                <c:pt idx="2">
                  <c:v>-0.9</c:v>
                </c:pt>
                <c:pt idx="3">
                  <c:v>-1.4</c:v>
                </c:pt>
                <c:pt idx="4">
                  <c:v>-1.3</c:v>
                </c:pt>
                <c:pt idx="5">
                  <c:v>-0.1</c:v>
                </c:pt>
                <c:pt idx="6">
                  <c:v>-1.2</c:v>
                </c:pt>
                <c:pt idx="7">
                  <c:v>-1.1000000000000001</c:v>
                </c:pt>
                <c:pt idx="8">
                  <c:v>-0.70000000000000062</c:v>
                </c:pt>
                <c:pt idx="9">
                  <c:v>-0.5</c:v>
                </c:pt>
                <c:pt idx="10" formatCode="0.0">
                  <c:v>0</c:v>
                </c:pt>
                <c:pt idx="11">
                  <c:v>-0.30000000000000032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indikatori'!$C$25</c:f>
              <c:strCache>
                <c:ptCount val="1"/>
                <c:pt idx="0">
                  <c:v>hrana 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indikatori'!$AO$25:$AZ$25</c:f>
              <c:numCache>
                <c:formatCode>General</c:formatCode>
                <c:ptCount val="12"/>
                <c:pt idx="0">
                  <c:v>-0.9</c:v>
                </c:pt>
                <c:pt idx="1">
                  <c:v>-0.9</c:v>
                </c:pt>
                <c:pt idx="2">
                  <c:v>-1.2</c:v>
                </c:pt>
                <c:pt idx="3">
                  <c:v>-3.4</c:v>
                </c:pt>
                <c:pt idx="4">
                  <c:v>-3.6</c:v>
                </c:pt>
                <c:pt idx="5">
                  <c:v>-1.6</c:v>
                </c:pt>
                <c:pt idx="6">
                  <c:v>-3.2</c:v>
                </c:pt>
                <c:pt idx="7">
                  <c:v>-2.2999999999999998</c:v>
                </c:pt>
                <c:pt idx="8" formatCode="0.0">
                  <c:v>-1</c:v>
                </c:pt>
                <c:pt idx="9">
                  <c:v>-0.2</c:v>
                </c:pt>
                <c:pt idx="10" formatCode="0.0">
                  <c:v>1</c:v>
                </c:pt>
                <c:pt idx="11">
                  <c:v>0.8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indikatori'!$C$26</c:f>
              <c:strCache>
                <c:ptCount val="1"/>
                <c:pt idx="0">
                  <c:v>gorivo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indikatori'!$AO$26:$AZ$26</c:f>
              <c:numCache>
                <c:formatCode>General</c:formatCode>
                <c:ptCount val="12"/>
                <c:pt idx="0">
                  <c:v>-2.1</c:v>
                </c:pt>
                <c:pt idx="1">
                  <c:v>-3.2</c:v>
                </c:pt>
                <c:pt idx="2">
                  <c:v>-2.7</c:v>
                </c:pt>
                <c:pt idx="3">
                  <c:v>3.4</c:v>
                </c:pt>
                <c:pt idx="4">
                  <c:v>3.4</c:v>
                </c:pt>
                <c:pt idx="5">
                  <c:v>2.9</c:v>
                </c:pt>
                <c:pt idx="6">
                  <c:v>-0.8</c:v>
                </c:pt>
                <c:pt idx="7">
                  <c:v>-1.3</c:v>
                </c:pt>
                <c:pt idx="8" formatCode="0.0">
                  <c:v>-5</c:v>
                </c:pt>
                <c:pt idx="9">
                  <c:v>-5.0999999999999996</c:v>
                </c:pt>
                <c:pt idx="10" formatCode="0.0">
                  <c:v>-5.9</c:v>
                </c:pt>
                <c:pt idx="11">
                  <c:v>-11.1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'Makroekonomski indikatori'!$C$27</c:f>
              <c:strCache>
                <c:ptCount val="1"/>
                <c:pt idx="0">
                  <c:v>električna energija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indikatori'!$AO$27:$AZ$27</c:f>
              <c:numCache>
                <c:formatCode>General</c:formatCode>
                <c:ptCount val="12"/>
                <c:pt idx="0">
                  <c:v>1.1000000000000001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1.1000000000000001</c:v>
                </c:pt>
                <c:pt idx="6">
                  <c:v>-0.60000000000000064</c:v>
                </c:pt>
                <c:pt idx="7">
                  <c:v>-2.2999999999999998</c:v>
                </c:pt>
                <c:pt idx="8" formatCode="0.0">
                  <c:v>-2.2999999999999998</c:v>
                </c:pt>
                <c:pt idx="9">
                  <c:v>-2.2999999999999998</c:v>
                </c:pt>
                <c:pt idx="10" formatCode="0.0">
                  <c:v>-2.2999999999999998</c:v>
                </c:pt>
                <c:pt idx="11">
                  <c:v>-2.2999999999999998</c:v>
                </c:pt>
              </c:numCache>
            </c:numRef>
          </c:val>
          <c:smooth val="1"/>
        </c:ser>
        <c:marker val="1"/>
        <c:axId val="172960384"/>
        <c:axId val="172970368"/>
      </c:lineChart>
      <c:catAx>
        <c:axId val="172960384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700"/>
            </a:pPr>
            <a:endParaRPr lang="en-US"/>
          </a:p>
        </c:txPr>
        <c:crossAx val="172970368"/>
        <c:crosses val="autoZero"/>
        <c:auto val="1"/>
        <c:lblAlgn val="ctr"/>
        <c:lblOffset val="100"/>
      </c:catAx>
      <c:valAx>
        <c:axId val="172970368"/>
        <c:scaling>
          <c:orientation val="minMax"/>
        </c:scaling>
        <c:axPos val="l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72960384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Tržište rada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8165652266439666"/>
          <c:y val="7.5757452510597692E-2"/>
          <c:w val="0.6744694615875737"/>
          <c:h val="0.7051294357018969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indikatori'!$AM$9:$AY$9</c:f>
              <c:strCache>
                <c:ptCount val="13"/>
                <c:pt idx="0">
                  <c:v>XII</c:v>
                </c:pt>
                <c:pt idx="1">
                  <c:v>2014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indikatori'!$AM$21:$AY$21</c:f>
              <c:numCache>
                <c:formatCode>#,##0</c:formatCode>
                <c:ptCount val="13"/>
                <c:pt idx="0">
                  <c:v>167173</c:v>
                </c:pt>
                <c:pt idx="1">
                  <c:v>167616</c:v>
                </c:pt>
                <c:pt idx="2">
                  <c:v>168805</c:v>
                </c:pt>
                <c:pt idx="3">
                  <c:v>170177</c:v>
                </c:pt>
                <c:pt idx="4">
                  <c:v>172202</c:v>
                </c:pt>
                <c:pt idx="5">
                  <c:v>174917</c:v>
                </c:pt>
                <c:pt idx="6">
                  <c:v>179774</c:v>
                </c:pt>
                <c:pt idx="7">
                  <c:v>181408</c:v>
                </c:pt>
                <c:pt idx="8">
                  <c:v>178558</c:v>
                </c:pt>
                <c:pt idx="9">
                  <c:v>173942</c:v>
                </c:pt>
                <c:pt idx="10">
                  <c:v>172306</c:v>
                </c:pt>
                <c:pt idx="11">
                  <c:v>172273</c:v>
                </c:pt>
                <c:pt idx="12">
                  <c:v>171158</c:v>
                </c:pt>
              </c:numCache>
            </c:numRef>
          </c:val>
        </c:ser>
        <c:marker val="1"/>
        <c:axId val="179451776"/>
        <c:axId val="179453312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indikatori'!$AM$9:$AY$9</c:f>
              <c:strCache>
                <c:ptCount val="13"/>
                <c:pt idx="0">
                  <c:v>XII</c:v>
                </c:pt>
                <c:pt idx="1">
                  <c:v>2014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indikatori'!$AM$22:$AY$22</c:f>
              <c:numCache>
                <c:formatCode>#,##0</c:formatCode>
                <c:ptCount val="13"/>
                <c:pt idx="0">
                  <c:v>34514</c:v>
                </c:pt>
                <c:pt idx="1">
                  <c:v>34804</c:v>
                </c:pt>
                <c:pt idx="2">
                  <c:v>34664</c:v>
                </c:pt>
                <c:pt idx="3">
                  <c:v>34671</c:v>
                </c:pt>
                <c:pt idx="4">
                  <c:v>33906</c:v>
                </c:pt>
                <c:pt idx="5">
                  <c:v>32763</c:v>
                </c:pt>
                <c:pt idx="6">
                  <c:v>31548</c:v>
                </c:pt>
                <c:pt idx="7">
                  <c:v>31115</c:v>
                </c:pt>
                <c:pt idx="8">
                  <c:v>31163</c:v>
                </c:pt>
                <c:pt idx="9">
                  <c:v>31548</c:v>
                </c:pt>
                <c:pt idx="10">
                  <c:v>33744</c:v>
                </c:pt>
                <c:pt idx="11">
                  <c:v>34733</c:v>
                </c:pt>
                <c:pt idx="12">
                  <c:v>34687</c:v>
                </c:pt>
              </c:numCache>
            </c:numRef>
          </c:val>
        </c:ser>
        <c:marker val="1"/>
        <c:axId val="179473792"/>
        <c:axId val="179471872"/>
      </c:lineChart>
      <c:catAx>
        <c:axId val="1794517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79453312"/>
        <c:crosses val="autoZero"/>
        <c:auto val="1"/>
        <c:lblAlgn val="ctr"/>
        <c:lblOffset val="100"/>
      </c:catAx>
      <c:valAx>
        <c:axId val="179453312"/>
        <c:scaling>
          <c:orientation val="minMax"/>
          <c:min val="164000"/>
        </c:scaling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79451776"/>
        <c:crosses val="autoZero"/>
        <c:crossBetween val="between"/>
        <c:dispUnits>
          <c:builtInUnit val="thousands"/>
        </c:dispUnits>
      </c:valAx>
      <c:valAx>
        <c:axId val="179471872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79473792"/>
        <c:crosses val="max"/>
        <c:crossBetween val="between"/>
        <c:dispUnits>
          <c:builtInUnit val="thousands"/>
        </c:dispUnits>
      </c:valAx>
      <c:catAx>
        <c:axId val="179473792"/>
        <c:scaling>
          <c:orientation val="minMax"/>
        </c:scaling>
        <c:delete val="1"/>
        <c:axPos val="t"/>
        <c:numFmt formatCode="General" sourceLinked="1"/>
        <c:tickLblPos val="none"/>
        <c:crossAx val="179471872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Izvršenje budžeta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2116885389326336"/>
          <c:y val="5.1400554097404488E-2"/>
          <c:w val="0.77713429571303583"/>
          <c:h val="0.68233483635058634"/>
        </c:manualLayout>
      </c:layout>
      <c:barChart>
        <c:barDir val="col"/>
        <c:grouping val="clustered"/>
        <c:ser>
          <c:idx val="2"/>
          <c:order val="2"/>
          <c:tx>
            <c:v>Deficit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indikatori'!$Z$3:$AL$3</c:f>
              <c:strCache>
                <c:ptCount val="12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</c:strCache>
            </c:strRef>
          </c:cat>
          <c:val>
            <c:numRef>
              <c:f>'Fiskalni indikatori'!$AA$17:$AM$17</c:f>
              <c:numCache>
                <c:formatCode>0.00,,</c:formatCode>
                <c:ptCount val="13"/>
                <c:pt idx="0">
                  <c:v>-6536324.8500000192</c:v>
                </c:pt>
                <c:pt idx="1">
                  <c:v>-27077261.679999981</c:v>
                </c:pt>
                <c:pt idx="2">
                  <c:v>-8422888.4900000095</c:v>
                </c:pt>
                <c:pt idx="3">
                  <c:v>-17021409.079999968</c:v>
                </c:pt>
                <c:pt idx="4">
                  <c:v>-14958813.710000005</c:v>
                </c:pt>
                <c:pt idx="5">
                  <c:v>-5517055.7200000286</c:v>
                </c:pt>
                <c:pt idx="6">
                  <c:v>-5364283.7200000435</c:v>
                </c:pt>
                <c:pt idx="7">
                  <c:v>2502365.0199999809</c:v>
                </c:pt>
                <c:pt idx="8">
                  <c:v>10463853.719999975</c:v>
                </c:pt>
                <c:pt idx="9">
                  <c:v>-4187715.1499999911</c:v>
                </c:pt>
                <c:pt idx="10">
                  <c:v>-1436809.9499999583</c:v>
                </c:pt>
                <c:pt idx="11">
                  <c:v>-12887782.269999981</c:v>
                </c:pt>
                <c:pt idx="12">
                  <c:v>-18669590.289999932</c:v>
                </c:pt>
              </c:numCache>
            </c:numRef>
          </c:val>
        </c:ser>
        <c:axId val="180599040"/>
        <c:axId val="180597504"/>
      </c:barChart>
      <c:lineChart>
        <c:grouping val="standard"/>
        <c:ser>
          <c:idx val="0"/>
          <c:order val="0"/>
          <c:tx>
            <c:v>Prihodi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indikatori'!$AA$3:$AM$3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indikatori'!$AA$4:$AM$4</c:f>
              <c:numCache>
                <c:formatCode>0.00,,</c:formatCode>
                <c:ptCount val="13"/>
                <c:pt idx="0">
                  <c:v>145120002.57999998</c:v>
                </c:pt>
                <c:pt idx="1">
                  <c:v>70782033.379999921</c:v>
                </c:pt>
                <c:pt idx="2">
                  <c:v>82127760.799999997</c:v>
                </c:pt>
                <c:pt idx="3">
                  <c:v>100708163.93000002</c:v>
                </c:pt>
                <c:pt idx="4">
                  <c:v>109084385.14999999</c:v>
                </c:pt>
                <c:pt idx="5">
                  <c:v>102078548.78</c:v>
                </c:pt>
                <c:pt idx="6">
                  <c:v>109931818.73999999</c:v>
                </c:pt>
                <c:pt idx="7">
                  <c:v>120720236.03</c:v>
                </c:pt>
                <c:pt idx="8">
                  <c:v>126556297.33</c:v>
                </c:pt>
                <c:pt idx="9">
                  <c:v>117901924.08</c:v>
                </c:pt>
                <c:pt idx="10">
                  <c:v>158210534.23999998</c:v>
                </c:pt>
                <c:pt idx="11">
                  <c:v>98496460.13000001</c:v>
                </c:pt>
                <c:pt idx="12">
                  <c:v>155249038.93000001</c:v>
                </c:pt>
              </c:numCache>
            </c:numRef>
          </c:val>
          <c:smooth val="1"/>
        </c:ser>
        <c:ser>
          <c:idx val="1"/>
          <c:order val="1"/>
          <c:tx>
            <c:v>Izdaci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indikatori'!$AA$3:$AM$3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indikatori'!$AA$10:$AM$10</c:f>
              <c:numCache>
                <c:formatCode>0.00,,</c:formatCode>
                <c:ptCount val="13"/>
                <c:pt idx="0">
                  <c:v>151656327.43000001</c:v>
                </c:pt>
                <c:pt idx="1">
                  <c:v>97859295.059999973</c:v>
                </c:pt>
                <c:pt idx="2">
                  <c:v>90550649.290000007</c:v>
                </c:pt>
                <c:pt idx="3">
                  <c:v>117729573.00999999</c:v>
                </c:pt>
                <c:pt idx="4">
                  <c:v>124043198.86</c:v>
                </c:pt>
                <c:pt idx="5">
                  <c:v>107595604.50000003</c:v>
                </c:pt>
                <c:pt idx="6">
                  <c:v>115296102.46000005</c:v>
                </c:pt>
                <c:pt idx="7">
                  <c:v>118217871.01000002</c:v>
                </c:pt>
                <c:pt idx="8">
                  <c:v>116092443.61000001</c:v>
                </c:pt>
                <c:pt idx="9">
                  <c:v>122089639.22999999</c:v>
                </c:pt>
                <c:pt idx="10">
                  <c:v>159647344.19</c:v>
                </c:pt>
                <c:pt idx="11">
                  <c:v>111384242.39999999</c:v>
                </c:pt>
                <c:pt idx="12">
                  <c:v>173918629.21999988</c:v>
                </c:pt>
              </c:numCache>
            </c:numRef>
          </c:val>
          <c:smooth val="1"/>
        </c:ser>
        <c:marker val="1"/>
        <c:axId val="180577792"/>
        <c:axId val="180579328"/>
      </c:lineChart>
      <c:catAx>
        <c:axId val="1805777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80579328"/>
        <c:crosses val="autoZero"/>
        <c:auto val="1"/>
        <c:lblAlgn val="ctr"/>
        <c:lblOffset val="100"/>
        <c:tickLblSkip val="3"/>
      </c:catAx>
      <c:valAx>
        <c:axId val="180579328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80577792"/>
        <c:crosses val="autoZero"/>
        <c:crossBetween val="between"/>
        <c:majorUnit val="30000000"/>
      </c:valAx>
      <c:valAx>
        <c:axId val="180597504"/>
        <c:scaling>
          <c:orientation val="minMax"/>
          <c:max val="60000000"/>
          <c:min val="-3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80599040"/>
        <c:crosses val="max"/>
        <c:crossBetween val="between"/>
        <c:majorUnit val="20000000"/>
      </c:valAx>
      <c:catAx>
        <c:axId val="180599040"/>
        <c:scaling>
          <c:orientation val="minMax"/>
        </c:scaling>
        <c:delete val="1"/>
        <c:axPos val="b"/>
        <c:numFmt formatCode="General" sourceLinked="1"/>
        <c:tickLblPos val="none"/>
        <c:crossAx val="18059750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09E-2"/>
          <c:y val="0.92534984409000165"/>
          <c:w val="0.97443747833407712"/>
          <c:h val="7.0596047288960684E-2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50"/>
            </a:pPr>
            <a:r>
              <a:rPr lang="x-none" sz="1050"/>
              <a:t> </a:t>
            </a:r>
            <a:r>
              <a:rPr lang="x-none" sz="900"/>
              <a:t>Novoodobreni krediti</a:t>
            </a:r>
            <a:endParaRPr lang="en-US" sz="900"/>
          </a:p>
        </c:rich>
      </c:tx>
      <c:layout>
        <c:manualLayout>
          <c:xMode val="edge"/>
          <c:yMode val="edge"/>
          <c:x val="0.26095105820105813"/>
          <c:y val="4.2207231040564432E-2"/>
        </c:manualLayout>
      </c:layout>
      <c:overlay val="1"/>
    </c:title>
    <c:plotArea>
      <c:layout/>
      <c:barChart>
        <c:barDir val="col"/>
        <c:grouping val="clustered"/>
        <c:ser>
          <c:idx val="1"/>
          <c:order val="1"/>
          <c:tx>
            <c:v>privreda</c:v>
          </c:tx>
          <c:cat>
            <c:strRef>
              <c:f>'Iznosi kredita po sektorima'!$B$19:$B$42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sektorima'!$H$19:$H$42</c:f>
              <c:numCache>
                <c:formatCode>#,##0</c:formatCode>
                <c:ptCount val="24"/>
                <c:pt idx="0">
                  <c:v>12880</c:v>
                </c:pt>
                <c:pt idx="1">
                  <c:v>37851</c:v>
                </c:pt>
                <c:pt idx="2">
                  <c:v>32337</c:v>
                </c:pt>
                <c:pt idx="3">
                  <c:v>27554</c:v>
                </c:pt>
                <c:pt idx="4">
                  <c:v>18794</c:v>
                </c:pt>
                <c:pt idx="5">
                  <c:v>18914</c:v>
                </c:pt>
                <c:pt idx="6">
                  <c:v>25579</c:v>
                </c:pt>
                <c:pt idx="7">
                  <c:v>20781</c:v>
                </c:pt>
                <c:pt idx="8">
                  <c:v>30730</c:v>
                </c:pt>
                <c:pt idx="9" formatCode="#,##0_ ">
                  <c:v>29951</c:v>
                </c:pt>
                <c:pt idx="10">
                  <c:v>38490</c:v>
                </c:pt>
                <c:pt idx="11">
                  <c:v>61165</c:v>
                </c:pt>
                <c:pt idx="12">
                  <c:v>26090</c:v>
                </c:pt>
                <c:pt idx="13">
                  <c:v>31407</c:v>
                </c:pt>
                <c:pt idx="14" formatCode="#,##0_ ">
                  <c:v>38750</c:v>
                </c:pt>
                <c:pt idx="15">
                  <c:v>41053</c:v>
                </c:pt>
                <c:pt idx="16">
                  <c:v>25154</c:v>
                </c:pt>
                <c:pt idx="17" formatCode="#,##0_ ">
                  <c:v>28358</c:v>
                </c:pt>
                <c:pt idx="18" formatCode="#,##0_ ">
                  <c:v>29617</c:v>
                </c:pt>
                <c:pt idx="19" formatCode="#,##0_ ">
                  <c:v>24682</c:v>
                </c:pt>
                <c:pt idx="20" formatCode="#,##0_ ">
                  <c:v>27244</c:v>
                </c:pt>
                <c:pt idx="21" formatCode="#,##0_ ">
                  <c:v>45587</c:v>
                </c:pt>
                <c:pt idx="22" formatCode="#,##0_ ">
                  <c:v>40109</c:v>
                </c:pt>
                <c:pt idx="23" formatCode="#,##0_ ">
                  <c:v>96368</c:v>
                </c:pt>
              </c:numCache>
            </c:numRef>
          </c:val>
        </c:ser>
        <c:ser>
          <c:idx val="2"/>
          <c:order val="2"/>
          <c:tx>
            <c:v>stanovništvo</c:v>
          </c:tx>
          <c:cat>
            <c:strRef>
              <c:f>'Iznosi kredita po sektorima'!$B$19:$B$42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sektorima'!$T$19:$T$42</c:f>
              <c:numCache>
                <c:formatCode>#,##0</c:formatCode>
                <c:ptCount val="24"/>
                <c:pt idx="0">
                  <c:v>15370</c:v>
                </c:pt>
                <c:pt idx="1">
                  <c:v>23558</c:v>
                </c:pt>
                <c:pt idx="2">
                  <c:v>24902</c:v>
                </c:pt>
                <c:pt idx="3">
                  <c:v>28709</c:v>
                </c:pt>
                <c:pt idx="4">
                  <c:v>21287</c:v>
                </c:pt>
                <c:pt idx="5">
                  <c:v>26420</c:v>
                </c:pt>
                <c:pt idx="6">
                  <c:v>22283</c:v>
                </c:pt>
                <c:pt idx="7">
                  <c:v>20784</c:v>
                </c:pt>
                <c:pt idx="8">
                  <c:v>26157</c:v>
                </c:pt>
                <c:pt idx="9">
                  <c:v>23714</c:v>
                </c:pt>
                <c:pt idx="10">
                  <c:v>21776</c:v>
                </c:pt>
                <c:pt idx="11">
                  <c:v>24529</c:v>
                </c:pt>
                <c:pt idx="12">
                  <c:v>13930</c:v>
                </c:pt>
                <c:pt idx="13">
                  <c:v>21119</c:v>
                </c:pt>
                <c:pt idx="14" formatCode="#,##0_ ">
                  <c:v>25542</c:v>
                </c:pt>
                <c:pt idx="15">
                  <c:v>24849</c:v>
                </c:pt>
                <c:pt idx="16">
                  <c:v>20447</c:v>
                </c:pt>
                <c:pt idx="17" formatCode="#,##0_ ">
                  <c:v>21614</c:v>
                </c:pt>
                <c:pt idx="18" formatCode="#,##0_ ">
                  <c:v>20811</c:v>
                </c:pt>
                <c:pt idx="19" formatCode="#,##0_ ">
                  <c:v>21026</c:v>
                </c:pt>
                <c:pt idx="20" formatCode="#,##0_ ">
                  <c:v>22617</c:v>
                </c:pt>
                <c:pt idx="21" formatCode="#,##0_ ">
                  <c:v>24971</c:v>
                </c:pt>
                <c:pt idx="22" formatCode="#,##0_ ">
                  <c:v>23531</c:v>
                </c:pt>
                <c:pt idx="23" formatCode="#,##0_ ">
                  <c:v>29237</c:v>
                </c:pt>
              </c:numCache>
            </c:numRef>
          </c:val>
        </c:ser>
        <c:gapWidth val="62"/>
        <c:axId val="180630656"/>
        <c:axId val="180632192"/>
      </c:barChart>
      <c:lineChart>
        <c:grouping val="standard"/>
        <c:ser>
          <c:idx val="0"/>
          <c:order val="0"/>
          <c:tx>
            <c:v>ukupno</c:v>
          </c:tx>
          <c:marker>
            <c:symbol val="none"/>
          </c:marker>
          <c:cat>
            <c:strRef>
              <c:f>'Iznosi kredita po sektorima'!$B$19:$B$42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sektorima'!$W$19:$W$42</c:f>
              <c:numCache>
                <c:formatCode>#,##0_ </c:formatCode>
                <c:ptCount val="24"/>
                <c:pt idx="0">
                  <c:v>32980</c:v>
                </c:pt>
                <c:pt idx="1">
                  <c:v>64205</c:v>
                </c:pt>
                <c:pt idx="2">
                  <c:v>75026</c:v>
                </c:pt>
                <c:pt idx="3">
                  <c:v>65027</c:v>
                </c:pt>
                <c:pt idx="4">
                  <c:v>47495</c:v>
                </c:pt>
                <c:pt idx="5">
                  <c:v>58304</c:v>
                </c:pt>
                <c:pt idx="6" formatCode="#,##0">
                  <c:v>57212</c:v>
                </c:pt>
                <c:pt idx="7" formatCode="#,##0">
                  <c:v>84652</c:v>
                </c:pt>
                <c:pt idx="8" formatCode="#,##0">
                  <c:v>78848</c:v>
                </c:pt>
                <c:pt idx="9" formatCode="#,##0">
                  <c:v>59291</c:v>
                </c:pt>
                <c:pt idx="10" formatCode="#,##0">
                  <c:v>69562</c:v>
                </c:pt>
                <c:pt idx="11" formatCode="#,##0">
                  <c:v>115020</c:v>
                </c:pt>
                <c:pt idx="12" formatCode="#,##0">
                  <c:v>51860</c:v>
                </c:pt>
                <c:pt idx="13" formatCode="#,##0">
                  <c:v>54050</c:v>
                </c:pt>
                <c:pt idx="14" formatCode="#,##0">
                  <c:v>72193</c:v>
                </c:pt>
                <c:pt idx="15" formatCode="#,##0">
                  <c:v>76276</c:v>
                </c:pt>
                <c:pt idx="16" formatCode="#,##0">
                  <c:v>48054</c:v>
                </c:pt>
                <c:pt idx="17" formatCode="#,##0">
                  <c:v>56157</c:v>
                </c:pt>
                <c:pt idx="18" formatCode="#,##0">
                  <c:v>57153</c:v>
                </c:pt>
                <c:pt idx="19" formatCode="#,##0">
                  <c:v>48530</c:v>
                </c:pt>
                <c:pt idx="20" formatCode="#,##0">
                  <c:v>51344</c:v>
                </c:pt>
                <c:pt idx="21" formatCode="#,##0">
                  <c:v>80973</c:v>
                </c:pt>
                <c:pt idx="22" formatCode="#,##0">
                  <c:v>64382</c:v>
                </c:pt>
                <c:pt idx="23" formatCode="#,##0">
                  <c:v>140487</c:v>
                </c:pt>
              </c:numCache>
            </c:numRef>
          </c:val>
        </c:ser>
        <c:marker val="1"/>
        <c:axId val="180630656"/>
        <c:axId val="180632192"/>
      </c:lineChart>
      <c:catAx>
        <c:axId val="1806306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80632192"/>
        <c:crosses val="autoZero"/>
        <c:auto val="1"/>
        <c:lblAlgn val="ctr"/>
        <c:lblOffset val="100"/>
        <c:tickLblSkip val="3"/>
      </c:catAx>
      <c:valAx>
        <c:axId val="180632192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80630656"/>
        <c:crosses val="autoZero"/>
        <c:crossBetween val="between"/>
        <c:dispUnits>
          <c:builtInUnit val="thousands"/>
        </c:dispUnits>
      </c:valAx>
      <c:spPr>
        <a:ln>
          <a:noFill/>
        </a:ln>
      </c:spPr>
    </c:plotArea>
    <c:legend>
      <c:legendPos val="b"/>
      <c:txPr>
        <a:bodyPr/>
        <a:lstStyle/>
        <a:p>
          <a:pPr>
            <a:defRPr lang="sr-Latn-CS" sz="6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Spoljnotrgovinska razmjena</a:t>
            </a:r>
            <a:r>
              <a:rPr lang="en-US" sz="900"/>
              <a:t>                 Crne Gore</a:t>
            </a:r>
            <a:r>
              <a:rPr lang="sr-Latn-CS" sz="900"/>
              <a:t>  </a:t>
            </a:r>
            <a:r>
              <a:rPr lang="en-US" sz="900"/>
              <a:t>u  2014 </a:t>
            </a:r>
            <a:r>
              <a:rPr lang="sr-Latn-CS" sz="900"/>
              <a:t>(mil.€)</a:t>
            </a:r>
            <a:endParaRPr lang="en-US" sz="9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indikatori'!$BC$113</c:f>
              <c:strCache>
                <c:ptCount val="1"/>
                <c:pt idx="0">
                  <c:v>Izvoz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en-US"/>
              </a:p>
            </c:txPr>
            <c:showVal val="1"/>
          </c:dLbls>
          <c:cat>
            <c:numRef>
              <c:f>'Makroekonomski indikatori'!$BD$112:$BE$112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'Makroekonomski indikatori'!$BD$113:$BE$113</c:f>
              <c:numCache>
                <c:formatCode>#,##0.00</c:formatCode>
                <c:ptCount val="2"/>
                <c:pt idx="0">
                  <c:v>375.58499999999964</c:v>
                </c:pt>
                <c:pt idx="1">
                  <c:v>338.03599999999869</c:v>
                </c:pt>
              </c:numCache>
            </c:numRef>
          </c:val>
        </c:ser>
        <c:ser>
          <c:idx val="1"/>
          <c:order val="1"/>
          <c:tx>
            <c:strRef>
              <c:f>'Makroekonomski indikatori'!$BC$114</c:f>
              <c:strCache>
                <c:ptCount val="1"/>
                <c:pt idx="0">
                  <c:v>Uvoz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en-US"/>
              </a:p>
            </c:txPr>
            <c:showVal val="1"/>
          </c:dLbls>
          <c:cat>
            <c:numRef>
              <c:f>'Makroekonomski indikatori'!$BD$112:$BE$112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'Makroekonomski indikatori'!$BD$114:$BE$114</c:f>
              <c:numCache>
                <c:formatCode>#,##0.00</c:formatCode>
                <c:ptCount val="2"/>
                <c:pt idx="0">
                  <c:v>1773.3519999999999</c:v>
                </c:pt>
                <c:pt idx="1">
                  <c:v>1783.711</c:v>
                </c:pt>
              </c:numCache>
            </c:numRef>
          </c:val>
        </c:ser>
        <c:ser>
          <c:idx val="2"/>
          <c:order val="2"/>
          <c:tx>
            <c:strRef>
              <c:f>'Makroekonomski indikatori'!$BC$116</c:f>
              <c:strCache>
                <c:ptCount val="1"/>
                <c:pt idx="0">
                  <c:v>Trgovinski bilans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</c:spPr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en-US"/>
              </a:p>
            </c:txPr>
            <c:showVal val="1"/>
          </c:dLbls>
          <c:cat>
            <c:numRef>
              <c:f>'Makroekonomski indikatori'!$BD$112:$BE$112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'Makroekonomski indikatori'!$BD$116:$BE$116</c:f>
              <c:numCache>
                <c:formatCode>#,##0.00</c:formatCode>
                <c:ptCount val="2"/>
                <c:pt idx="0">
                  <c:v>-1397.7670000000001</c:v>
                </c:pt>
                <c:pt idx="1">
                  <c:v>-1445.675</c:v>
                </c:pt>
              </c:numCache>
            </c:numRef>
          </c:val>
        </c:ser>
        <c:dLbls>
          <c:showVal val="1"/>
        </c:dLbls>
        <c:gapWidth val="75"/>
        <c:axId val="180752768"/>
        <c:axId val="180754304"/>
      </c:barChart>
      <c:catAx>
        <c:axId val="1807527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800" b="1"/>
            </a:pPr>
            <a:endParaRPr lang="en-US"/>
          </a:p>
        </c:txPr>
        <c:crossAx val="180754304"/>
        <c:crosses val="autoZero"/>
        <c:lblAlgn val="ctr"/>
        <c:lblOffset val="100"/>
      </c:catAx>
      <c:valAx>
        <c:axId val="180754304"/>
        <c:scaling>
          <c:orientation val="minMax"/>
        </c:scaling>
        <c:axPos val="l"/>
        <c:numFmt formatCode="0.0" sourceLinked="0"/>
        <c:majorTickMark val="none"/>
        <c:tickLblPos val="nextTo"/>
        <c:txPr>
          <a:bodyPr/>
          <a:lstStyle/>
          <a:p>
            <a:pPr>
              <a:defRPr lang="x-none" sz="600"/>
            </a:pPr>
            <a:endParaRPr lang="en-US"/>
          </a:p>
        </c:txPr>
        <c:crossAx val="180752768"/>
        <c:crosses val="autoZero"/>
        <c:crossBetween val="between"/>
      </c:valAx>
    </c:plotArea>
    <c:legend>
      <c:legendPos val="b"/>
      <c:txPr>
        <a:bodyPr/>
        <a:lstStyle/>
        <a:p>
          <a:pPr>
            <a:defRPr lang="x-none" sz="800"/>
          </a:pPr>
          <a:endParaRPr lang="en-US"/>
        </a:p>
      </c:txPr>
    </c:legend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0.10545</cdr:x>
      <cdr:y>0.33289</cdr:y>
    </cdr:from>
    <cdr:to>
      <cdr:x>0.30545</cdr:x>
      <cdr:y>0.43264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5785" y="731385"/>
          <a:ext cx="485140" cy="2191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0.60069</cdr:x>
      <cdr:y>0.60301</cdr:y>
    </cdr:from>
    <cdr:to>
      <cdr:x>1</cdr:x>
      <cdr:y>0.67919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457103" y="1324867"/>
          <a:ext cx="968597" cy="167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</a:t>
          </a:r>
          <a:r>
            <a:rPr lang="sr-Latn-CS" sz="800" baseline="0"/>
            <a:t>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0E981-A8DC-4939-9B1A-7DA4DF89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iva.vukovic</cp:lastModifiedBy>
  <cp:revision>2</cp:revision>
  <cp:lastPrinted>2015-01-22T09:17:00Z</cp:lastPrinted>
  <dcterms:created xsi:type="dcterms:W3CDTF">2015-02-06T14:46:00Z</dcterms:created>
  <dcterms:modified xsi:type="dcterms:W3CDTF">2015-02-06T14:46:00Z</dcterms:modified>
</cp:coreProperties>
</file>