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28" w:rsidRPr="004105B4" w:rsidRDefault="00DF0E28" w:rsidP="00DF0E28">
      <w:pPr>
        <w:jc w:val="center"/>
        <w:rPr>
          <w:rFonts w:asciiTheme="minorHAnsi" w:hAnsiTheme="minorHAnsi"/>
          <w:b/>
        </w:rPr>
      </w:pPr>
      <w:r w:rsidRPr="004105B4">
        <w:rPr>
          <w:rFonts w:asciiTheme="minorHAnsi" w:hAnsiTheme="minorHAnsi"/>
          <w:b/>
        </w:rPr>
        <w:t>TRŽIŠTE LIZINGA U CRNOJ GORI</w:t>
      </w:r>
    </w:p>
    <w:p w:rsidR="00DF0E28" w:rsidRPr="004105B4" w:rsidRDefault="003B52D4" w:rsidP="00DF0E28">
      <w:pPr>
        <w:jc w:val="center"/>
        <w:rPr>
          <w:rFonts w:asciiTheme="minorHAnsi" w:hAnsiTheme="minorHAnsi"/>
          <w:b/>
        </w:rPr>
      </w:pPr>
      <w:r w:rsidRPr="004105B4">
        <w:rPr>
          <w:rFonts w:asciiTheme="minorHAnsi" w:hAnsiTheme="minorHAnsi"/>
          <w:b/>
        </w:rPr>
        <w:t>-Izvještaj za period 30</w:t>
      </w:r>
      <w:r w:rsidR="00DF0E28" w:rsidRPr="004105B4">
        <w:rPr>
          <w:rFonts w:asciiTheme="minorHAnsi" w:hAnsiTheme="minorHAnsi"/>
          <w:b/>
        </w:rPr>
        <w:t>. j</w:t>
      </w:r>
      <w:r w:rsidRPr="004105B4">
        <w:rPr>
          <w:rFonts w:asciiTheme="minorHAnsi" w:hAnsiTheme="minorHAnsi"/>
          <w:b/>
        </w:rPr>
        <w:t>un</w:t>
      </w:r>
      <w:r w:rsidR="000B75FD" w:rsidRPr="004105B4">
        <w:rPr>
          <w:rFonts w:asciiTheme="minorHAnsi" w:hAnsiTheme="minorHAnsi"/>
          <w:b/>
        </w:rPr>
        <w:t xml:space="preserve"> – 30. septembra</w:t>
      </w:r>
      <w:r w:rsidR="00DF0E28" w:rsidRPr="004105B4">
        <w:rPr>
          <w:rFonts w:asciiTheme="minorHAnsi" w:hAnsiTheme="minorHAnsi"/>
          <w:b/>
        </w:rPr>
        <w:t xml:space="preserve"> 201</w:t>
      </w:r>
      <w:r w:rsidRPr="004105B4">
        <w:rPr>
          <w:rFonts w:asciiTheme="minorHAnsi" w:hAnsiTheme="minorHAnsi"/>
          <w:b/>
        </w:rPr>
        <w:t>6</w:t>
      </w:r>
      <w:r w:rsidR="00DF0E28" w:rsidRPr="004105B4">
        <w:rPr>
          <w:rFonts w:asciiTheme="minorHAnsi" w:hAnsiTheme="minorHAnsi"/>
          <w:b/>
        </w:rPr>
        <w:t>. godine-</w:t>
      </w:r>
    </w:p>
    <w:p w:rsidR="00DF0E28" w:rsidRPr="004105B4" w:rsidRDefault="00DF0E28" w:rsidP="00DF0E28">
      <w:pPr>
        <w:jc w:val="center"/>
        <w:rPr>
          <w:rFonts w:asciiTheme="minorHAnsi" w:hAnsiTheme="minorHAnsi"/>
          <w:b/>
        </w:rPr>
      </w:pPr>
    </w:p>
    <w:p w:rsidR="00DF0E28" w:rsidRPr="004105B4" w:rsidRDefault="00DF0E28" w:rsidP="004105B4">
      <w:pPr>
        <w:spacing w:after="120" w:line="276" w:lineRule="auto"/>
        <w:rPr>
          <w:rFonts w:asciiTheme="minorHAnsi" w:hAnsiTheme="minorHAnsi" w:cs="Arial"/>
        </w:rPr>
      </w:pPr>
    </w:p>
    <w:p w:rsidR="00DF0E28" w:rsidRPr="004105B4" w:rsidRDefault="00DF0E28" w:rsidP="004105B4">
      <w:pPr>
        <w:pBdr>
          <w:bottom w:val="single" w:sz="4" w:space="1" w:color="auto"/>
        </w:pBdr>
        <w:spacing w:after="120" w:line="276" w:lineRule="auto"/>
        <w:rPr>
          <w:rFonts w:asciiTheme="minorHAnsi" w:hAnsiTheme="minorHAnsi" w:cs="Arial"/>
          <w:b/>
        </w:rPr>
      </w:pPr>
      <w:proofErr w:type="spellStart"/>
      <w:r w:rsidRPr="004105B4">
        <w:rPr>
          <w:rFonts w:asciiTheme="minorHAnsi" w:hAnsiTheme="minorHAnsi" w:cs="Arial"/>
          <w:b/>
          <w:lang w:val="es-ES"/>
        </w:rPr>
        <w:t>Učesnici</w:t>
      </w:r>
      <w:proofErr w:type="spellEnd"/>
      <w:r w:rsidRPr="004105B4">
        <w:rPr>
          <w:rFonts w:asciiTheme="minorHAnsi" w:hAnsiTheme="minorHAnsi" w:cs="Arial"/>
          <w:b/>
          <w:lang w:val="es-ES"/>
        </w:rPr>
        <w:t xml:space="preserve"> </w:t>
      </w:r>
      <w:proofErr w:type="spellStart"/>
      <w:r w:rsidRPr="004105B4">
        <w:rPr>
          <w:rFonts w:asciiTheme="minorHAnsi" w:hAnsiTheme="minorHAnsi" w:cs="Arial"/>
          <w:b/>
          <w:lang w:val="es-ES"/>
        </w:rPr>
        <w:t>na</w:t>
      </w:r>
      <w:proofErr w:type="spellEnd"/>
      <w:r w:rsidRPr="004105B4">
        <w:rPr>
          <w:rFonts w:asciiTheme="minorHAnsi" w:hAnsiTheme="minorHAnsi" w:cs="Arial"/>
          <w:b/>
          <w:lang w:val="es-ES"/>
        </w:rPr>
        <w:t xml:space="preserve"> </w:t>
      </w:r>
      <w:proofErr w:type="spellStart"/>
      <w:r w:rsidRPr="004105B4">
        <w:rPr>
          <w:rFonts w:asciiTheme="minorHAnsi" w:hAnsiTheme="minorHAnsi" w:cs="Arial"/>
          <w:b/>
          <w:lang w:val="es-ES"/>
        </w:rPr>
        <w:t>tržištu</w:t>
      </w:r>
      <w:proofErr w:type="spellEnd"/>
      <w:r w:rsidR="004105B4">
        <w:rPr>
          <w:rFonts w:asciiTheme="minorHAnsi" w:hAnsiTheme="minorHAnsi" w:cs="Arial"/>
          <w:b/>
        </w:rPr>
        <w:t xml:space="preserve"> </w:t>
      </w:r>
    </w:p>
    <w:p w:rsidR="00DF0E28" w:rsidRPr="004105B4" w:rsidRDefault="00EB28DE" w:rsidP="004105B4">
      <w:pPr>
        <w:autoSpaceDE w:val="0"/>
        <w:spacing w:after="120" w:line="276" w:lineRule="auto"/>
        <w:jc w:val="both"/>
        <w:rPr>
          <w:rFonts w:asciiTheme="minorHAnsi" w:eastAsia="FranklinGothic-Book" w:hAnsiTheme="minorHAnsi" w:cs="Arial"/>
          <w:lang w:val="en-US"/>
        </w:rPr>
      </w:pPr>
      <w:proofErr w:type="gramStart"/>
      <w:r>
        <w:rPr>
          <w:rFonts w:asciiTheme="minorHAnsi" w:eastAsia="FranklinGothic-Book" w:hAnsiTheme="minorHAnsi" w:cs="Arial"/>
          <w:lang w:val="en-US" w:eastAsia="en-US"/>
        </w:rPr>
        <w:t>U</w:t>
      </w:r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>
        <w:rPr>
          <w:rFonts w:asciiTheme="minorHAnsi" w:eastAsia="FranklinGothic-Book" w:hAnsiTheme="minorHAnsi" w:cs="Arial"/>
          <w:lang w:val="en-US" w:eastAsia="en-US"/>
        </w:rPr>
        <w:t>drugom</w:t>
      </w:r>
      <w:proofErr w:type="spellEnd"/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 w:eastAsia="en-US"/>
        </w:rPr>
        <w:t>kvartalu</w:t>
      </w:r>
      <w:proofErr w:type="spellEnd"/>
      <w:r w:rsidR="003B52D4" w:rsidRPr="004105B4">
        <w:rPr>
          <w:rFonts w:asciiTheme="minorHAnsi" w:eastAsia="FranklinGothic-Book" w:hAnsiTheme="minorHAnsi" w:cs="Arial"/>
          <w:lang w:val="es-ES" w:eastAsia="en-US"/>
        </w:rPr>
        <w:t xml:space="preserve"> 2016</w:t>
      </w:r>
      <w:r w:rsidR="00DF0E28" w:rsidRPr="004105B4">
        <w:rPr>
          <w:rFonts w:asciiTheme="minorHAnsi" w:eastAsia="FranklinGothic-Book" w:hAnsiTheme="minorHAnsi" w:cs="Arial"/>
          <w:lang w:val="es-ES" w:eastAsia="en-US"/>
        </w:rPr>
        <w:t>.</w:t>
      </w:r>
      <w:proofErr w:type="gramEnd"/>
      <w:r w:rsidR="00DF0E28" w:rsidRPr="004105B4">
        <w:rPr>
          <w:rFonts w:asciiTheme="minorHAnsi" w:eastAsia="FranklinGothic-Book" w:hAnsiTheme="minorHAnsi" w:cs="Arial"/>
          <w:lang w:val="es-ES" w:eastAsia="en-US"/>
        </w:rPr>
        <w:t xml:space="preserve"> </w:t>
      </w:r>
      <w:proofErr w:type="spellStart"/>
      <w:proofErr w:type="gramStart"/>
      <w:r w:rsidR="00DF0E28" w:rsidRPr="004105B4">
        <w:rPr>
          <w:rFonts w:asciiTheme="minorHAnsi" w:eastAsia="FranklinGothic-Book" w:hAnsiTheme="minorHAnsi" w:cs="Arial"/>
          <w:lang w:val="es-ES" w:eastAsia="en-US"/>
        </w:rPr>
        <w:t>godine</w:t>
      </w:r>
      <w:proofErr w:type="spellEnd"/>
      <w:proofErr w:type="gramEnd"/>
      <w:r w:rsidR="00DF0E28" w:rsidRPr="004105B4">
        <w:rPr>
          <w:rFonts w:asciiTheme="minorHAnsi" w:eastAsia="FranklinGothic-Book" w:hAnsiTheme="minorHAnsi" w:cs="Arial"/>
          <w:lang w:val="es-E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na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tržištu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lizinga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u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Crnoj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Gori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poslovalo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je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šest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pružalaca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lizing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usluga</w:t>
      </w:r>
      <w:proofErr w:type="spellEnd"/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-</w:t>
      </w:r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r w:rsidR="00DF0E28" w:rsidRPr="004105B4">
        <w:rPr>
          <w:rFonts w:asciiTheme="minorHAnsi" w:eastAsia="FranklinGothic-Book" w:hAnsiTheme="minorHAnsi" w:cs="Arial"/>
          <w:lang w:eastAsia="en-US"/>
        </w:rPr>
        <w:t>č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etiri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lizing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kuće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sa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 w:eastAsia="en-US"/>
        </w:rPr>
        <w:t>svojstvom</w:t>
      </w:r>
      <w:proofErr w:type="spellEnd"/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 w:eastAsia="en-US"/>
        </w:rPr>
        <w:t>pravnog</w:t>
      </w:r>
      <w:proofErr w:type="spellEnd"/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 w:eastAsia="en-US"/>
        </w:rPr>
        <w:t>lica</w:t>
      </w:r>
      <w:proofErr w:type="spellEnd"/>
      <w:r w:rsidR="003B52D4" w:rsidRPr="004105B4">
        <w:rPr>
          <w:rFonts w:asciiTheme="minorHAnsi" w:eastAsia="FranklinGothic-Book" w:hAnsiTheme="minorHAnsi" w:cs="Arial"/>
          <w:lang w:val="en-US" w:eastAsia="en-US"/>
        </w:rPr>
        <w:t xml:space="preserve"> i </w:t>
      </w:r>
      <w:proofErr w:type="spellStart"/>
      <w:r w:rsidR="003B52D4" w:rsidRPr="004105B4">
        <w:rPr>
          <w:rFonts w:asciiTheme="minorHAnsi" w:eastAsia="FranklinGothic-Book" w:hAnsiTheme="minorHAnsi" w:cs="Arial"/>
          <w:lang w:val="en-US" w:eastAsia="en-US"/>
        </w:rPr>
        <w:t>dvije</w:t>
      </w:r>
      <w:proofErr w:type="spellEnd"/>
      <w:r w:rsidR="003B52D4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3B52D4" w:rsidRPr="004105B4">
        <w:rPr>
          <w:rFonts w:asciiTheme="minorHAnsi" w:eastAsia="FranklinGothic-Book" w:hAnsiTheme="minorHAnsi" w:cs="Arial"/>
          <w:lang w:val="en-US" w:eastAsia="en-US"/>
        </w:rPr>
        <w:t>banke</w:t>
      </w:r>
      <w:proofErr w:type="spellEnd"/>
      <w:r w:rsidR="003B52D4" w:rsidRPr="004105B4">
        <w:rPr>
          <w:rFonts w:asciiTheme="minorHAnsi" w:eastAsia="FranklinGothic-Book" w:hAnsiTheme="minorHAnsi" w:cs="Arial"/>
          <w:lang w:val="en-US" w:eastAsia="en-US"/>
        </w:rPr>
        <w:t>:</w:t>
      </w:r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S-Leasing, Porsche Leasing, NLB Leasing, </w:t>
      </w:r>
      <w:r>
        <w:rPr>
          <w:rFonts w:asciiTheme="minorHAnsi" w:eastAsia="FranklinGothic-Book" w:hAnsiTheme="minorHAnsi" w:cs="Arial"/>
          <w:lang w:val="en-US" w:eastAsia="en-US"/>
        </w:rPr>
        <w:t xml:space="preserve">HETA, </w:t>
      </w:r>
      <w:proofErr w:type="spellStart"/>
      <w:r w:rsidR="003B52D4" w:rsidRPr="004105B4">
        <w:rPr>
          <w:rFonts w:asciiTheme="minorHAnsi" w:eastAsia="FranklinGothic-Book" w:hAnsiTheme="minorHAnsi" w:cs="Arial"/>
          <w:lang w:val="en-US" w:eastAsia="en-US"/>
        </w:rPr>
        <w:t>Addiko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 w:eastAsia="en-US"/>
        </w:rPr>
        <w:t>banka</w:t>
      </w:r>
      <w:proofErr w:type="spellEnd"/>
      <w:r w:rsidR="00DF0E28" w:rsidRPr="004105B4">
        <w:rPr>
          <w:rFonts w:asciiTheme="minorHAnsi" w:eastAsia="FranklinGothic-Book" w:hAnsiTheme="minorHAnsi" w:cs="Arial"/>
          <w:lang w:val="en-US" w:eastAsia="en-US"/>
        </w:rPr>
        <w:t xml:space="preserve"> i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Prva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banka</w:t>
      </w:r>
      <w:proofErr w:type="spellEnd"/>
      <w:r w:rsidR="003B52D4" w:rsidRPr="004105B4">
        <w:rPr>
          <w:rFonts w:asciiTheme="minorHAnsi" w:eastAsia="FranklinGothic-Book" w:hAnsiTheme="minorHAnsi" w:cs="Arial"/>
          <w:lang w:val="en-US"/>
        </w:rPr>
        <w:t xml:space="preserve"> Crne Gore </w:t>
      </w:r>
      <w:proofErr w:type="spellStart"/>
      <w:r w:rsidR="003B52D4" w:rsidRPr="004105B4">
        <w:rPr>
          <w:rFonts w:asciiTheme="minorHAnsi" w:eastAsia="FranklinGothic-Book" w:hAnsiTheme="minorHAnsi" w:cs="Arial"/>
          <w:lang w:val="en-US"/>
        </w:rPr>
        <w:t>osnovana</w:t>
      </w:r>
      <w:proofErr w:type="spellEnd"/>
      <w:r w:rsidR="003B52D4" w:rsidRPr="004105B4">
        <w:rPr>
          <w:rFonts w:asciiTheme="minorHAnsi" w:eastAsia="FranklinGothic-Book" w:hAnsiTheme="minorHAnsi" w:cs="Arial"/>
          <w:lang w:val="en-US"/>
        </w:rPr>
        <w:t xml:space="preserve"> 1901. </w:t>
      </w:r>
      <w:proofErr w:type="spellStart"/>
      <w:proofErr w:type="gramStart"/>
      <w:r w:rsidR="003B52D4" w:rsidRPr="004105B4">
        <w:rPr>
          <w:rFonts w:asciiTheme="minorHAnsi" w:eastAsia="FranklinGothic-Book" w:hAnsiTheme="minorHAnsi" w:cs="Arial"/>
          <w:lang w:val="en-US"/>
        </w:rPr>
        <w:t>godine</w:t>
      </w:r>
      <w:proofErr w:type="spellEnd"/>
      <w:proofErr w:type="gramEnd"/>
      <w:r w:rsidR="003B52D4" w:rsidRPr="004105B4">
        <w:rPr>
          <w:rStyle w:val="FootnoteReference"/>
          <w:rFonts w:asciiTheme="minorHAnsi" w:eastAsia="FranklinGothic-Book" w:hAnsiTheme="minorHAnsi" w:cs="Arial"/>
          <w:color w:val="1A1A1A"/>
          <w:lang w:val="en-US" w:eastAsia="en-US"/>
        </w:rPr>
        <w:footnoteReference w:id="1"/>
      </w:r>
      <w:r w:rsidR="00DF0E28" w:rsidRPr="004105B4">
        <w:rPr>
          <w:rFonts w:asciiTheme="minorHAnsi" w:eastAsia="FranklinGothic-Book" w:hAnsiTheme="minorHAnsi" w:cs="Arial"/>
          <w:lang w:val="en-US"/>
        </w:rPr>
        <w:t xml:space="preserve">. </w:t>
      </w:r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 w:eastAsia="en-US"/>
        </w:rPr>
        <w:t>Prva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proofErr w:type="gramStart"/>
      <w:r w:rsidR="00DF0E28" w:rsidRPr="004105B4">
        <w:rPr>
          <w:rFonts w:asciiTheme="minorHAnsi" w:eastAsia="FranklinGothic-Book" w:hAnsiTheme="minorHAnsi" w:cs="Arial"/>
          <w:lang w:val="en-US"/>
        </w:rPr>
        <w:t>banka</w:t>
      </w:r>
      <w:proofErr w:type="spellEnd"/>
      <w:proofErr w:type="gram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Crne Gore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osnovana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1901. </w:t>
      </w:r>
      <w:proofErr w:type="spellStart"/>
      <w:proofErr w:type="gramStart"/>
      <w:r w:rsidR="00DF0E28" w:rsidRPr="004105B4">
        <w:rPr>
          <w:rFonts w:asciiTheme="minorHAnsi" w:eastAsia="FranklinGothic-Book" w:hAnsiTheme="minorHAnsi" w:cs="Arial"/>
          <w:lang w:val="en-US"/>
        </w:rPr>
        <w:t>godine</w:t>
      </w:r>
      <w:proofErr w:type="spellEnd"/>
      <w:proofErr w:type="gramEnd"/>
      <w:r w:rsidR="000B75FD" w:rsidRPr="004105B4">
        <w:rPr>
          <w:rFonts w:asciiTheme="minorHAnsi" w:eastAsia="FranklinGothic-Book" w:hAnsiTheme="minorHAnsi" w:cs="Arial"/>
          <w:lang w:val="en-US"/>
        </w:rPr>
        <w:t xml:space="preserve">, </w:t>
      </w:r>
      <w:r w:rsidR="000B75FD" w:rsidRPr="004105B4">
        <w:rPr>
          <w:rFonts w:asciiTheme="minorHAnsi" w:eastAsia="FranklinGothic-Book" w:hAnsiTheme="minorHAnsi" w:cs="Arial"/>
          <w:lang w:val="en-US" w:eastAsia="en-US"/>
        </w:rPr>
        <w:t>NLB Leasing</w:t>
      </w:r>
      <w:r>
        <w:rPr>
          <w:rFonts w:asciiTheme="minorHAnsi" w:eastAsia="FranklinGothic-Book" w:hAnsiTheme="minorHAnsi" w:cs="Arial"/>
          <w:lang w:val="en-US" w:eastAsia="en-US"/>
        </w:rPr>
        <w:t>, HETA</w:t>
      </w:r>
      <w:r w:rsidR="000B75FD" w:rsidRPr="004105B4">
        <w:rPr>
          <w:rFonts w:asciiTheme="minorHAnsi" w:eastAsia="FranklinGothic-Book" w:hAnsiTheme="minorHAnsi" w:cs="Arial"/>
          <w:lang w:val="en-US" w:eastAsia="en-US"/>
        </w:rPr>
        <w:t xml:space="preserve"> i </w:t>
      </w:r>
      <w:proofErr w:type="spellStart"/>
      <w:r>
        <w:rPr>
          <w:rFonts w:asciiTheme="minorHAnsi" w:eastAsia="FranklinGothic-Book" w:hAnsiTheme="minorHAnsi" w:cs="Arial"/>
          <w:lang w:val="en-US" w:eastAsia="en-US"/>
        </w:rPr>
        <w:t>Addiko</w:t>
      </w:r>
      <w:proofErr w:type="spellEnd"/>
      <w:r>
        <w:rPr>
          <w:rFonts w:asciiTheme="minorHAnsi" w:eastAsia="FranklinGothic-Book" w:hAnsiTheme="minorHAnsi" w:cs="Arial"/>
          <w:lang w:val="en-US" w:eastAsia="en-US"/>
        </w:rPr>
        <w:t xml:space="preserve"> Banka</w:t>
      </w:r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nisu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bil</w:t>
      </w:r>
      <w:r w:rsidR="000B75FD" w:rsidRPr="004105B4">
        <w:rPr>
          <w:rFonts w:asciiTheme="minorHAnsi" w:eastAsia="Calibri" w:hAnsiTheme="minorHAnsi" w:cs="Arial"/>
          <w:lang w:val="en-US"/>
        </w:rPr>
        <w:t>i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aktivn</w:t>
      </w:r>
      <w:r w:rsidR="000B75FD" w:rsidRPr="004105B4">
        <w:rPr>
          <w:rFonts w:asciiTheme="minorHAnsi" w:eastAsia="Calibri" w:hAnsiTheme="minorHAnsi" w:cs="Arial"/>
          <w:lang w:val="en-US"/>
        </w:rPr>
        <w:t>i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na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tržištu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lizinga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u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smislu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odobravanja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novih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plasmana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Calibri" w:hAnsiTheme="minorHAnsi" w:cs="Arial"/>
          <w:lang w:val="en-US"/>
        </w:rPr>
        <w:t>tokom</w:t>
      </w:r>
      <w:proofErr w:type="spellEnd"/>
      <w:r w:rsidR="00DF0E28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0B75FD" w:rsidRPr="004105B4">
        <w:rPr>
          <w:rFonts w:asciiTheme="minorHAnsi" w:eastAsia="Calibri" w:hAnsiTheme="minorHAnsi" w:cs="Arial"/>
          <w:lang w:val="en-US"/>
        </w:rPr>
        <w:t>trećeg</w:t>
      </w:r>
      <w:proofErr w:type="spellEnd"/>
      <w:r w:rsidR="003B52D4" w:rsidRPr="004105B4">
        <w:rPr>
          <w:rFonts w:asciiTheme="minorHAnsi" w:eastAsia="Calibri" w:hAnsiTheme="minorHAnsi" w:cs="Arial"/>
          <w:lang w:val="en-US"/>
        </w:rPr>
        <w:t xml:space="preserve"> </w:t>
      </w:r>
      <w:proofErr w:type="spellStart"/>
      <w:r w:rsidR="003B52D4" w:rsidRPr="004105B4">
        <w:rPr>
          <w:rFonts w:asciiTheme="minorHAnsi" w:eastAsia="Calibri" w:hAnsiTheme="minorHAnsi" w:cs="Arial"/>
          <w:lang w:val="en-US"/>
        </w:rPr>
        <w:t>kvartala</w:t>
      </w:r>
      <w:proofErr w:type="spellEnd"/>
      <w:r w:rsidR="003B52D4" w:rsidRPr="004105B4">
        <w:rPr>
          <w:rFonts w:asciiTheme="minorHAnsi" w:eastAsia="Calibri" w:hAnsiTheme="minorHAnsi" w:cs="Arial"/>
          <w:lang w:val="en-US"/>
        </w:rPr>
        <w:t xml:space="preserve"> 201</w:t>
      </w:r>
      <w:r>
        <w:rPr>
          <w:rFonts w:asciiTheme="minorHAnsi" w:eastAsia="Calibri" w:hAnsiTheme="minorHAnsi" w:cs="Arial"/>
          <w:lang w:val="en-US"/>
        </w:rPr>
        <w:t>7</w:t>
      </w:r>
      <w:r w:rsidR="00DF0E28" w:rsidRPr="004105B4">
        <w:rPr>
          <w:rFonts w:asciiTheme="minorHAnsi" w:eastAsia="Calibri" w:hAnsiTheme="minorHAnsi" w:cs="Arial"/>
          <w:lang w:val="en-US"/>
        </w:rPr>
        <w:t xml:space="preserve">. </w:t>
      </w:r>
      <w:proofErr w:type="spellStart"/>
      <w:proofErr w:type="gramStart"/>
      <w:r w:rsidR="00DF0E28" w:rsidRPr="004105B4">
        <w:rPr>
          <w:rFonts w:asciiTheme="minorHAnsi" w:eastAsia="Calibri" w:hAnsiTheme="minorHAnsi" w:cs="Arial"/>
          <w:lang w:val="en-US"/>
        </w:rPr>
        <w:t>godine</w:t>
      </w:r>
      <w:proofErr w:type="spellEnd"/>
      <w:proofErr w:type="gramEnd"/>
      <w:r w:rsidR="00DF0E28" w:rsidRPr="004105B4">
        <w:rPr>
          <w:rFonts w:asciiTheme="minorHAnsi" w:eastAsia="Calibri" w:hAnsiTheme="minorHAnsi" w:cs="Arial"/>
          <w:lang w:val="en-US"/>
        </w:rPr>
        <w:t>.</w:t>
      </w:r>
      <w:r w:rsidR="004105B4">
        <w:rPr>
          <w:rFonts w:asciiTheme="minorHAnsi" w:eastAsia="FranklinGothic-Book" w:hAnsiTheme="minorHAnsi" w:cs="Arial"/>
          <w:lang w:val="en-US"/>
        </w:rPr>
        <w:t xml:space="preserve"> </w:t>
      </w:r>
    </w:p>
    <w:p w:rsidR="00DF0E28" w:rsidRPr="004105B4" w:rsidRDefault="003B52D4" w:rsidP="004105B4">
      <w:pPr>
        <w:autoSpaceDE w:val="0"/>
        <w:spacing w:after="120" w:line="276" w:lineRule="auto"/>
        <w:jc w:val="both"/>
        <w:rPr>
          <w:rFonts w:asciiTheme="minorHAnsi" w:eastAsia="FranklinGothic-Book" w:hAnsiTheme="minorHAnsi" w:cs="Arial"/>
          <w:lang w:val="en-US"/>
        </w:rPr>
      </w:pPr>
      <w:proofErr w:type="spellStart"/>
      <w:r w:rsidRPr="004105B4">
        <w:rPr>
          <w:rFonts w:asciiTheme="minorHAnsi" w:eastAsia="FranklinGothic-Book" w:hAnsiTheme="minorHAnsi" w:cs="Arial"/>
          <w:lang w:val="en-US"/>
        </w:rPr>
        <w:t>Tokom</w:t>
      </w:r>
      <w:proofErr w:type="spellEnd"/>
      <w:r w:rsidRPr="004105B4">
        <w:rPr>
          <w:rFonts w:asciiTheme="minorHAnsi" w:eastAsia="FranklinGothic-Book" w:hAnsiTheme="minorHAnsi" w:cs="Arial"/>
          <w:lang w:val="en-US"/>
        </w:rPr>
        <w:t xml:space="preserve"> III</w:t>
      </w:r>
      <w:r w:rsidR="000B75FD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/>
        </w:rPr>
        <w:t>kvartal</w:t>
      </w:r>
      <w:r w:rsidRPr="004105B4">
        <w:rPr>
          <w:rFonts w:asciiTheme="minorHAnsi" w:eastAsia="FranklinGothic-Book" w:hAnsiTheme="minorHAnsi" w:cs="Arial"/>
          <w:lang w:val="en-US"/>
        </w:rPr>
        <w:t>a</w:t>
      </w:r>
      <w:proofErr w:type="spellEnd"/>
      <w:r w:rsidR="000B75FD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0B75FD" w:rsidRPr="004105B4">
        <w:rPr>
          <w:rFonts w:asciiTheme="minorHAnsi" w:eastAsia="FranklinGothic-Book" w:hAnsiTheme="minorHAnsi" w:cs="Arial"/>
          <w:lang w:val="en-US"/>
        </w:rPr>
        <w:t>nije</w:t>
      </w:r>
      <w:r w:rsidRPr="004105B4">
        <w:rPr>
          <w:rFonts w:asciiTheme="minorHAnsi" w:eastAsia="FranklinGothic-Book" w:hAnsiTheme="minorHAnsi" w:cs="Arial"/>
          <w:lang w:val="en-US"/>
        </w:rPr>
        <w:t>su</w:t>
      </w:r>
      <w:proofErr w:type="spellEnd"/>
      <w:r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Pr="004105B4">
        <w:rPr>
          <w:rFonts w:asciiTheme="minorHAnsi" w:eastAsia="FranklinGothic-Book" w:hAnsiTheme="minorHAnsi" w:cs="Arial"/>
          <w:lang w:val="en-US"/>
        </w:rPr>
        <w:t>inicirane</w:t>
      </w:r>
      <w:proofErr w:type="spellEnd"/>
      <w:r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Pr="004105B4">
        <w:rPr>
          <w:rFonts w:asciiTheme="minorHAnsi" w:eastAsia="FranklinGothic-Book" w:hAnsiTheme="minorHAnsi" w:cs="Arial"/>
          <w:lang w:val="en-US"/>
        </w:rPr>
        <w:t>izmjene</w:t>
      </w:r>
      <w:proofErr w:type="spellEnd"/>
      <w:r w:rsidR="000B75FD" w:rsidRPr="004105B4">
        <w:rPr>
          <w:rFonts w:asciiTheme="minorHAnsi" w:eastAsia="FranklinGothic-Book" w:hAnsiTheme="minorHAnsi" w:cs="Arial"/>
          <w:lang w:val="en-US"/>
        </w:rPr>
        <w:t xml:space="preserve"> u</w:t>
      </w:r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pogledu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regulative u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vezi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gramStart"/>
      <w:r w:rsidR="00DF0E28" w:rsidRPr="004105B4">
        <w:rPr>
          <w:rFonts w:asciiTheme="minorHAnsi" w:eastAsia="FranklinGothic-Book" w:hAnsiTheme="minorHAnsi" w:cs="Arial"/>
          <w:lang w:val="en-US"/>
        </w:rPr>
        <w:t>sa</w:t>
      </w:r>
      <w:proofErr w:type="gram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tržištem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lizinga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u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Crnoj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 xml:space="preserve"> </w:t>
      </w:r>
      <w:proofErr w:type="spellStart"/>
      <w:r w:rsidR="00DF0E28" w:rsidRPr="004105B4">
        <w:rPr>
          <w:rFonts w:asciiTheme="minorHAnsi" w:eastAsia="FranklinGothic-Book" w:hAnsiTheme="minorHAnsi" w:cs="Arial"/>
          <w:lang w:val="en-US"/>
        </w:rPr>
        <w:t>Gori</w:t>
      </w:r>
      <w:proofErr w:type="spellEnd"/>
      <w:r w:rsidR="00DF0E28" w:rsidRPr="004105B4">
        <w:rPr>
          <w:rFonts w:asciiTheme="minorHAnsi" w:eastAsia="FranklinGothic-Book" w:hAnsiTheme="minorHAnsi" w:cs="Arial"/>
          <w:lang w:val="en-US"/>
        </w:rPr>
        <w:t>.</w:t>
      </w:r>
    </w:p>
    <w:p w:rsidR="00DF0E28" w:rsidRPr="004105B4" w:rsidRDefault="00DF0E28" w:rsidP="004105B4">
      <w:pPr>
        <w:autoSpaceDE w:val="0"/>
        <w:spacing w:after="120" w:line="276" w:lineRule="auto"/>
        <w:jc w:val="both"/>
        <w:rPr>
          <w:rFonts w:asciiTheme="minorHAnsi" w:eastAsia="FranklinGothic-Book" w:hAnsiTheme="minorHAnsi" w:cs="Arial"/>
          <w:lang w:val="en-US"/>
        </w:rPr>
      </w:pPr>
    </w:p>
    <w:p w:rsidR="00DF0E28" w:rsidRPr="004105B4" w:rsidRDefault="00DF0E28" w:rsidP="004105B4">
      <w:pPr>
        <w:pBdr>
          <w:bottom w:val="single" w:sz="4" w:space="1" w:color="auto"/>
        </w:pBdr>
        <w:autoSpaceDE w:val="0"/>
        <w:spacing w:after="120" w:line="276" w:lineRule="auto"/>
        <w:jc w:val="both"/>
        <w:rPr>
          <w:rFonts w:asciiTheme="minorHAnsi" w:hAnsiTheme="minorHAnsi"/>
          <w:b/>
        </w:rPr>
      </w:pPr>
      <w:r w:rsidRPr="004105B4">
        <w:rPr>
          <w:rFonts w:asciiTheme="minorHAnsi" w:hAnsiTheme="minorHAnsi"/>
          <w:b/>
        </w:rPr>
        <w:t>Struktura plasmana</w:t>
      </w:r>
    </w:p>
    <w:p w:rsidR="006630FD" w:rsidRPr="00EB28DE" w:rsidRDefault="00DF0E28" w:rsidP="004105B4">
      <w:pPr>
        <w:spacing w:after="120" w:line="276" w:lineRule="auto"/>
        <w:jc w:val="both"/>
        <w:rPr>
          <w:rFonts w:asciiTheme="minorHAnsi" w:hAnsiTheme="minorHAnsi"/>
          <w:bCs/>
          <w:lang w:val="en-US" w:eastAsia="en-US"/>
        </w:rPr>
      </w:pPr>
      <w:r w:rsidRPr="00EB28DE">
        <w:rPr>
          <w:rFonts w:asciiTheme="minorHAnsi" w:hAnsiTheme="minorHAnsi" w:cs="Calibri"/>
        </w:rPr>
        <w:t xml:space="preserve">Zaključno sa 30. </w:t>
      </w:r>
      <w:r w:rsidR="00EB28DE" w:rsidRPr="00EB28DE">
        <w:rPr>
          <w:rFonts w:asciiTheme="minorHAnsi" w:hAnsiTheme="minorHAnsi" w:cs="Calibri"/>
        </w:rPr>
        <w:t>juno</w:t>
      </w:r>
      <w:r w:rsidR="000B75FD" w:rsidRPr="00EB28DE">
        <w:rPr>
          <w:rFonts w:asciiTheme="minorHAnsi" w:hAnsiTheme="minorHAnsi" w:cs="Calibri"/>
        </w:rPr>
        <w:t>m</w:t>
      </w:r>
      <w:r w:rsidR="003B52D4" w:rsidRPr="00EB28DE">
        <w:rPr>
          <w:rFonts w:asciiTheme="minorHAnsi" w:hAnsiTheme="minorHAnsi" w:cs="Calibri"/>
        </w:rPr>
        <w:t xml:space="preserve"> 201</w:t>
      </w:r>
      <w:r w:rsidR="00EB28DE" w:rsidRPr="00EB28DE">
        <w:rPr>
          <w:rFonts w:asciiTheme="minorHAnsi" w:hAnsiTheme="minorHAnsi" w:cs="Calibri"/>
        </w:rPr>
        <w:t>7</w:t>
      </w:r>
      <w:r w:rsidRPr="00EB28DE">
        <w:rPr>
          <w:rFonts w:asciiTheme="minorHAnsi" w:hAnsiTheme="minorHAnsi" w:cs="Calibri"/>
        </w:rPr>
        <w:t>. godine, na tržištu lizinga</w:t>
      </w:r>
      <w:r w:rsidR="006630FD" w:rsidRPr="00EB28DE">
        <w:rPr>
          <w:rFonts w:asciiTheme="minorHAnsi" w:hAnsiTheme="minorHAnsi" w:cs="Calibri"/>
        </w:rPr>
        <w:t xml:space="preserve"> </w:t>
      </w:r>
      <w:r w:rsidR="00EB28DE" w:rsidRPr="00EB28DE">
        <w:rPr>
          <w:rFonts w:asciiTheme="minorHAnsi" w:hAnsiTheme="minorHAnsi" w:cs="Calibri"/>
        </w:rPr>
        <w:t>su</w:t>
      </w:r>
      <w:r w:rsidR="00DC1B0A" w:rsidRPr="00EB28DE">
        <w:rPr>
          <w:rFonts w:asciiTheme="minorHAnsi" w:hAnsiTheme="minorHAnsi" w:cs="Calibri"/>
        </w:rPr>
        <w:t xml:space="preserve"> za </w:t>
      </w:r>
      <w:r w:rsidR="000B75FD" w:rsidRPr="00EB28DE">
        <w:rPr>
          <w:rFonts w:asciiTheme="minorHAnsi" w:hAnsiTheme="minorHAnsi" w:cs="Calibri"/>
        </w:rPr>
        <w:t>3</w:t>
      </w:r>
      <w:r w:rsidR="00DC1B0A" w:rsidRPr="00EB28DE">
        <w:rPr>
          <w:rFonts w:asciiTheme="minorHAnsi" w:hAnsiTheme="minorHAnsi" w:cs="Calibri"/>
        </w:rPr>
        <w:t xml:space="preserve"> mjesec</w:t>
      </w:r>
      <w:r w:rsidR="000B75FD" w:rsidRPr="00EB28DE">
        <w:rPr>
          <w:rFonts w:asciiTheme="minorHAnsi" w:hAnsiTheme="minorHAnsi" w:cs="Calibri"/>
        </w:rPr>
        <w:t>a</w:t>
      </w:r>
      <w:r w:rsidRPr="00EB28DE">
        <w:rPr>
          <w:rFonts w:asciiTheme="minorHAnsi" w:hAnsiTheme="minorHAnsi" w:cs="Calibri"/>
        </w:rPr>
        <w:t xml:space="preserve"> zaključen</w:t>
      </w:r>
      <w:r w:rsidR="00EB28DE" w:rsidRPr="00EB28DE">
        <w:rPr>
          <w:rFonts w:asciiTheme="minorHAnsi" w:hAnsiTheme="minorHAnsi" w:cs="Calibri"/>
        </w:rPr>
        <w:t>a</w:t>
      </w:r>
      <w:r w:rsidR="003B52D4" w:rsidRPr="00EB28DE">
        <w:rPr>
          <w:rFonts w:asciiTheme="minorHAnsi" w:hAnsiTheme="minorHAnsi" w:cs="Calibri"/>
        </w:rPr>
        <w:t xml:space="preserve"> </w:t>
      </w:r>
      <w:r w:rsidR="00EB28DE" w:rsidRPr="00EB28DE">
        <w:rPr>
          <w:rFonts w:asciiTheme="minorHAnsi" w:hAnsiTheme="minorHAnsi" w:cs="Calibri"/>
        </w:rPr>
        <w:t>503</w:t>
      </w:r>
      <w:r w:rsidRPr="00EB28DE">
        <w:rPr>
          <w:rFonts w:asciiTheme="minorHAnsi" w:hAnsiTheme="minorHAnsi" w:cs="Calibri"/>
        </w:rPr>
        <w:t xml:space="preserve"> </w:t>
      </w:r>
      <w:r w:rsidR="003B52D4" w:rsidRPr="00EB28DE">
        <w:rPr>
          <w:rFonts w:asciiTheme="minorHAnsi" w:hAnsiTheme="minorHAnsi" w:cs="Calibri"/>
          <w:i/>
        </w:rPr>
        <w:t>nov</w:t>
      </w:r>
      <w:r w:rsidR="00EB28DE" w:rsidRPr="00EB28DE">
        <w:rPr>
          <w:rFonts w:asciiTheme="minorHAnsi" w:hAnsiTheme="minorHAnsi" w:cs="Calibri"/>
          <w:i/>
        </w:rPr>
        <w:t>a</w:t>
      </w:r>
      <w:r w:rsidRPr="00EB28DE">
        <w:rPr>
          <w:rFonts w:asciiTheme="minorHAnsi" w:hAnsiTheme="minorHAnsi" w:cs="Calibri"/>
          <w:i/>
        </w:rPr>
        <w:t xml:space="preserve"> ugovor</w:t>
      </w:r>
      <w:r w:rsidR="00126C3B" w:rsidRPr="00EB28DE">
        <w:rPr>
          <w:rFonts w:asciiTheme="minorHAnsi" w:hAnsiTheme="minorHAnsi" w:cs="Calibri"/>
          <w:i/>
        </w:rPr>
        <w:t>a</w:t>
      </w:r>
      <w:r w:rsidRPr="00EB28DE">
        <w:rPr>
          <w:rFonts w:asciiTheme="minorHAnsi" w:hAnsiTheme="minorHAnsi" w:cs="Calibri"/>
        </w:rPr>
        <w:t xml:space="preserve"> ukupne neto vrijednost</w:t>
      </w:r>
      <w:r w:rsidR="003B52D4" w:rsidRPr="00EB28DE">
        <w:rPr>
          <w:rFonts w:asciiTheme="minorHAnsi" w:hAnsiTheme="minorHAnsi" w:cs="Calibri"/>
        </w:rPr>
        <w:t xml:space="preserve">i </w:t>
      </w:r>
      <w:r w:rsidR="00EB28DE" w:rsidRPr="00EB28DE">
        <w:rPr>
          <w:rFonts w:asciiTheme="minorHAnsi" w:hAnsiTheme="minorHAnsi"/>
          <w:bCs/>
          <w:lang w:val="en-US" w:eastAsia="en-US"/>
        </w:rPr>
        <w:t>8.247.373</w:t>
      </w:r>
      <w:r w:rsidR="00EB28DE">
        <w:rPr>
          <w:rFonts w:asciiTheme="minorHAnsi" w:hAnsiTheme="minorHAnsi"/>
          <w:bCs/>
          <w:lang w:val="en-US" w:eastAsia="en-US"/>
        </w:rPr>
        <w:t>,12</w:t>
      </w:r>
      <w:r w:rsidRPr="00EB28DE">
        <w:rPr>
          <w:rFonts w:asciiTheme="minorHAnsi" w:hAnsiTheme="minorHAnsi" w:cs="Arial"/>
        </w:rPr>
        <w:t>€</w:t>
      </w:r>
      <w:r w:rsidR="006630FD" w:rsidRPr="00EB28DE">
        <w:rPr>
          <w:rFonts w:asciiTheme="minorHAnsi" w:hAnsiTheme="minorHAnsi" w:cs="Arial"/>
        </w:rPr>
        <w:t xml:space="preserve">. </w:t>
      </w:r>
      <w:r w:rsidR="003B52D4" w:rsidRPr="00EB28DE">
        <w:rPr>
          <w:rFonts w:asciiTheme="minorHAnsi" w:hAnsiTheme="minorHAnsi" w:cs="Arial"/>
        </w:rPr>
        <w:t>U odnosu na isti period 201</w:t>
      </w:r>
      <w:r w:rsidR="00EB28DE" w:rsidRPr="00EB28DE">
        <w:rPr>
          <w:rFonts w:asciiTheme="minorHAnsi" w:hAnsiTheme="minorHAnsi" w:cs="Arial"/>
        </w:rPr>
        <w:t>6</w:t>
      </w:r>
      <w:r w:rsidRPr="00EB28DE">
        <w:rPr>
          <w:rFonts w:asciiTheme="minorHAnsi" w:hAnsiTheme="minorHAnsi" w:cs="Arial"/>
        </w:rPr>
        <w:t xml:space="preserve">. godine </w:t>
      </w:r>
      <w:r w:rsidR="003B52D4" w:rsidRPr="00EB28DE">
        <w:rPr>
          <w:rFonts w:asciiTheme="minorHAnsi" w:hAnsiTheme="minorHAnsi" w:cs="Arial"/>
        </w:rPr>
        <w:t>(30.0</w:t>
      </w:r>
      <w:r w:rsidR="00EB28DE" w:rsidRPr="00EB28DE">
        <w:rPr>
          <w:rFonts w:asciiTheme="minorHAnsi" w:hAnsiTheme="minorHAnsi" w:cs="Arial"/>
        </w:rPr>
        <w:t>3</w:t>
      </w:r>
      <w:r w:rsidR="006630FD" w:rsidRPr="00EB28DE">
        <w:rPr>
          <w:rFonts w:asciiTheme="minorHAnsi" w:hAnsiTheme="minorHAnsi" w:cs="Arial"/>
        </w:rPr>
        <w:t>.</w:t>
      </w:r>
      <w:r w:rsidR="00126C3B" w:rsidRPr="00EB28DE">
        <w:rPr>
          <w:rFonts w:asciiTheme="minorHAnsi" w:hAnsiTheme="minorHAnsi" w:cs="Arial"/>
        </w:rPr>
        <w:t xml:space="preserve"> – 30.0</w:t>
      </w:r>
      <w:r w:rsidR="00EB28DE" w:rsidRPr="00EB28DE">
        <w:rPr>
          <w:rFonts w:asciiTheme="minorHAnsi" w:hAnsiTheme="minorHAnsi" w:cs="Arial"/>
        </w:rPr>
        <w:t>6</w:t>
      </w:r>
      <w:r w:rsidR="00126C3B" w:rsidRPr="00EB28DE">
        <w:rPr>
          <w:rFonts w:asciiTheme="minorHAnsi" w:hAnsiTheme="minorHAnsi" w:cs="Arial"/>
        </w:rPr>
        <w:t xml:space="preserve">) </w:t>
      </w:r>
      <w:r w:rsidR="00EB28DE" w:rsidRPr="00EB28DE">
        <w:rPr>
          <w:rFonts w:asciiTheme="minorHAnsi" w:hAnsiTheme="minorHAnsi" w:cs="Arial"/>
        </w:rPr>
        <w:t>smanjen</w:t>
      </w:r>
      <w:r w:rsidR="003B52D4" w:rsidRPr="00EB28DE">
        <w:rPr>
          <w:rFonts w:asciiTheme="minorHAnsi" w:hAnsiTheme="minorHAnsi" w:cs="Arial"/>
        </w:rPr>
        <w:t xml:space="preserve"> j</w:t>
      </w:r>
      <w:r w:rsidRPr="00EB28DE">
        <w:rPr>
          <w:rFonts w:asciiTheme="minorHAnsi" w:hAnsiTheme="minorHAnsi" w:cs="Arial"/>
        </w:rPr>
        <w:t>e broj novozaključenih ugovora i to za</w:t>
      </w:r>
      <w:r w:rsidR="003B52D4" w:rsidRPr="00EB28DE">
        <w:rPr>
          <w:rFonts w:asciiTheme="minorHAnsi" w:hAnsiTheme="minorHAnsi" w:cs="Arial"/>
        </w:rPr>
        <w:t xml:space="preserve"> 1</w:t>
      </w:r>
      <w:r w:rsidR="00EB28DE" w:rsidRPr="00EB28DE">
        <w:rPr>
          <w:rFonts w:asciiTheme="minorHAnsi" w:hAnsiTheme="minorHAnsi" w:cs="Arial"/>
        </w:rPr>
        <w:t>14</w:t>
      </w:r>
      <w:r w:rsidR="003B52D4" w:rsidRPr="00EB28DE">
        <w:rPr>
          <w:rFonts w:asciiTheme="minorHAnsi" w:hAnsiTheme="minorHAnsi" w:cs="Arial"/>
        </w:rPr>
        <w:t xml:space="preserve"> ugovor</w:t>
      </w:r>
      <w:r w:rsidR="00EB28DE" w:rsidRPr="00EB28DE">
        <w:rPr>
          <w:rFonts w:asciiTheme="minorHAnsi" w:hAnsiTheme="minorHAnsi" w:cs="Arial"/>
        </w:rPr>
        <w:t>a</w:t>
      </w:r>
      <w:r w:rsidRPr="00EB28DE">
        <w:rPr>
          <w:rFonts w:asciiTheme="minorHAnsi" w:hAnsiTheme="minorHAnsi" w:cs="Arial"/>
        </w:rPr>
        <w:t xml:space="preserve">. </w:t>
      </w:r>
      <w:r w:rsidR="00457B65" w:rsidRPr="00EB28DE">
        <w:rPr>
          <w:rFonts w:asciiTheme="minorHAnsi" w:hAnsiTheme="minorHAnsi" w:cs="Arial"/>
        </w:rPr>
        <w:t xml:space="preserve">Prosječna vrijednost ugovora zaključenih u </w:t>
      </w:r>
      <w:r w:rsidR="00E03EE4" w:rsidRPr="00EB28DE">
        <w:rPr>
          <w:rFonts w:asciiTheme="minorHAnsi" w:hAnsiTheme="minorHAnsi" w:cs="Arial"/>
        </w:rPr>
        <w:t>trećem</w:t>
      </w:r>
      <w:r w:rsidR="00457B65" w:rsidRPr="00EB28DE">
        <w:rPr>
          <w:rFonts w:asciiTheme="minorHAnsi" w:hAnsiTheme="minorHAnsi" w:cs="Arial"/>
        </w:rPr>
        <w:t xml:space="preserve"> kvartalu je</w:t>
      </w:r>
      <w:r w:rsidR="00E03EE4" w:rsidRPr="00EB28DE">
        <w:rPr>
          <w:rFonts w:asciiTheme="minorHAnsi" w:hAnsiTheme="minorHAnsi" w:cs="Arial"/>
        </w:rPr>
        <w:t xml:space="preserve"> iznosila 1</w:t>
      </w:r>
      <w:r w:rsidR="00EB28DE" w:rsidRPr="00EB28DE">
        <w:rPr>
          <w:rFonts w:asciiTheme="minorHAnsi" w:hAnsiTheme="minorHAnsi" w:cs="Arial"/>
        </w:rPr>
        <w:t>6</w:t>
      </w:r>
      <w:r w:rsidR="001B5B72" w:rsidRPr="00EB28DE">
        <w:rPr>
          <w:rFonts w:asciiTheme="minorHAnsi" w:hAnsiTheme="minorHAnsi" w:cs="Arial"/>
        </w:rPr>
        <w:t>.</w:t>
      </w:r>
      <w:r w:rsidR="00EB28DE" w:rsidRPr="00EB28DE">
        <w:rPr>
          <w:rFonts w:asciiTheme="minorHAnsi" w:hAnsiTheme="minorHAnsi" w:cs="Arial"/>
        </w:rPr>
        <w:t>396,4</w:t>
      </w:r>
      <w:r w:rsidR="00E03EE4" w:rsidRPr="00EB28DE">
        <w:rPr>
          <w:rFonts w:asciiTheme="minorHAnsi" w:hAnsiTheme="minorHAnsi" w:cs="Arial"/>
        </w:rPr>
        <w:t>€.</w:t>
      </w:r>
    </w:p>
    <w:p w:rsidR="00AE77B1" w:rsidRPr="004105B4" w:rsidRDefault="00AE77B1" w:rsidP="004105B4">
      <w:pPr>
        <w:spacing w:after="120" w:line="276" w:lineRule="auto"/>
        <w:jc w:val="both"/>
        <w:rPr>
          <w:rFonts w:asciiTheme="minorHAnsi" w:hAnsiTheme="minorHAnsi" w:cs="Arial"/>
        </w:rPr>
      </w:pPr>
    </w:p>
    <w:p w:rsidR="00126C3B" w:rsidRPr="004105B4" w:rsidRDefault="00AE77B1" w:rsidP="004105B4">
      <w:pPr>
        <w:spacing w:after="120" w:line="276" w:lineRule="auto"/>
        <w:jc w:val="both"/>
        <w:rPr>
          <w:rFonts w:asciiTheme="minorHAnsi" w:hAnsiTheme="minorHAnsi" w:cs="Arial"/>
          <w:i/>
        </w:rPr>
      </w:pPr>
      <w:r w:rsidRPr="004105B4">
        <w:rPr>
          <w:rFonts w:asciiTheme="minorHAnsi" w:hAnsiTheme="minorHAnsi" w:cs="Arial"/>
          <w:i/>
        </w:rPr>
        <w:t>Tabela</w:t>
      </w:r>
      <w:r w:rsidR="0096282B" w:rsidRPr="004105B4">
        <w:rPr>
          <w:rFonts w:asciiTheme="minorHAnsi" w:hAnsiTheme="minorHAnsi" w:cs="Arial"/>
          <w:i/>
        </w:rPr>
        <w:t xml:space="preserve"> 1</w:t>
      </w:r>
      <w:r w:rsidRPr="004105B4">
        <w:rPr>
          <w:rFonts w:asciiTheme="minorHAnsi" w:hAnsiTheme="minorHAnsi" w:cs="Arial"/>
          <w:i/>
        </w:rPr>
        <w:t>: Pregled broja</w:t>
      </w:r>
      <w:r w:rsidR="003B52D4" w:rsidRPr="004105B4">
        <w:rPr>
          <w:rFonts w:asciiTheme="minorHAnsi" w:hAnsiTheme="minorHAnsi" w:cs="Arial"/>
          <w:i/>
        </w:rPr>
        <w:t xml:space="preserve"> i vrijednosti novozaključenih i aktivnih u</w:t>
      </w:r>
      <w:r w:rsidR="001B5B72" w:rsidRPr="004105B4">
        <w:rPr>
          <w:rFonts w:asciiTheme="minorHAnsi" w:hAnsiTheme="minorHAnsi" w:cs="Arial"/>
          <w:i/>
        </w:rPr>
        <w:t>govora</w:t>
      </w:r>
    </w:p>
    <w:tbl>
      <w:tblPr>
        <w:tblW w:w="8380" w:type="dxa"/>
        <w:jc w:val="center"/>
        <w:tblInd w:w="85" w:type="dxa"/>
        <w:tblLook w:val="04A0"/>
      </w:tblPr>
      <w:tblGrid>
        <w:gridCol w:w="2640"/>
        <w:gridCol w:w="927"/>
        <w:gridCol w:w="1713"/>
        <w:gridCol w:w="1126"/>
        <w:gridCol w:w="1974"/>
      </w:tblGrid>
      <w:tr w:rsidR="00EB28DE" w:rsidRPr="00DF7FF8" w:rsidTr="005E3876">
        <w:trPr>
          <w:trHeight w:val="510"/>
          <w:jc w:val="center"/>
        </w:trPr>
        <w:tc>
          <w:tcPr>
            <w:tcW w:w="26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4BACC6"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Aktivni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novozaključeni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ugovori</w:t>
            </w:r>
            <w:proofErr w:type="spellEnd"/>
          </w:p>
        </w:tc>
        <w:tc>
          <w:tcPr>
            <w:tcW w:w="264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BACC6"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Novozaključeni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ugovori</w:t>
            </w:r>
            <w:proofErr w:type="spellEnd"/>
          </w:p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Period Q2 2016</w:t>
            </w:r>
          </w:p>
        </w:tc>
        <w:tc>
          <w:tcPr>
            <w:tcW w:w="31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4BACC6"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Aktivni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ugovori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na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dan</w:t>
            </w:r>
            <w:proofErr w:type="spellEnd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 30. mart 2016</w:t>
            </w:r>
          </w:p>
        </w:tc>
      </w:tr>
      <w:tr w:rsidR="00EB28DE" w:rsidRPr="00DF7FF8" w:rsidTr="005E3876">
        <w:trPr>
          <w:trHeight w:val="270"/>
          <w:jc w:val="center"/>
        </w:trPr>
        <w:tc>
          <w:tcPr>
            <w:tcW w:w="26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4BACC6"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Broj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Vrijednost</w:t>
            </w:r>
            <w:proofErr w:type="spellEnd"/>
          </w:p>
        </w:tc>
        <w:tc>
          <w:tcPr>
            <w:tcW w:w="1126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Broj</w:t>
            </w:r>
            <w:proofErr w:type="spellEnd"/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Vrijednost</w:t>
            </w:r>
            <w:proofErr w:type="spellEnd"/>
          </w:p>
        </w:tc>
      </w:tr>
      <w:tr w:rsidR="00EB28DE" w:rsidRPr="00DF7FF8" w:rsidTr="005E3876">
        <w:trPr>
          <w:trHeight w:val="567"/>
          <w:jc w:val="center"/>
        </w:trPr>
        <w:tc>
          <w:tcPr>
            <w:tcW w:w="26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28DE" w:rsidRPr="00DF7FF8" w:rsidRDefault="00EB28DE" w:rsidP="005E387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UKUPNO</w:t>
            </w:r>
          </w:p>
        </w:tc>
        <w:tc>
          <w:tcPr>
            <w:tcW w:w="92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28DE" w:rsidRPr="00EB28DE" w:rsidRDefault="00EB28DE" w:rsidP="005E3876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EB28DE">
              <w:rPr>
                <w:rFonts w:ascii="Calibri" w:hAnsi="Calibri" w:cs="Arial"/>
                <w:bCs/>
                <w:sz w:val="20"/>
                <w:szCs w:val="20"/>
              </w:rPr>
              <w:t>503</w:t>
            </w:r>
          </w:p>
        </w:tc>
        <w:tc>
          <w:tcPr>
            <w:tcW w:w="17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28DE" w:rsidRPr="00EB28DE" w:rsidRDefault="00EB28DE" w:rsidP="005E387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B28DE">
              <w:rPr>
                <w:rFonts w:asciiTheme="minorHAnsi" w:hAnsiTheme="minorHAnsi"/>
                <w:bCs/>
                <w:sz w:val="20"/>
                <w:szCs w:val="20"/>
                <w:lang w:val="en-US" w:eastAsia="en-US"/>
              </w:rPr>
              <w:t>8.247.373,12</w:t>
            </w:r>
          </w:p>
        </w:tc>
        <w:tc>
          <w:tcPr>
            <w:tcW w:w="1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28DE" w:rsidRPr="00EB28DE" w:rsidRDefault="00EB28DE" w:rsidP="005E387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B28DE">
              <w:rPr>
                <w:rFonts w:ascii="Calibri" w:hAnsi="Calibri"/>
                <w:sz w:val="20"/>
                <w:szCs w:val="20"/>
              </w:rPr>
              <w:t xml:space="preserve">3.852 </w:t>
            </w:r>
          </w:p>
        </w:tc>
        <w:tc>
          <w:tcPr>
            <w:tcW w:w="197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28DE" w:rsidRPr="00EB28DE" w:rsidRDefault="00EB28DE" w:rsidP="00EB28D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B28DE">
              <w:rPr>
                <w:rFonts w:ascii="Calibri" w:hAnsi="Calibri"/>
                <w:sz w:val="20"/>
                <w:szCs w:val="20"/>
              </w:rPr>
              <w:t xml:space="preserve">      61.554.232,33 </w:t>
            </w:r>
          </w:p>
        </w:tc>
      </w:tr>
    </w:tbl>
    <w:p w:rsidR="001B5B72" w:rsidRDefault="001B5B72" w:rsidP="004105B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6282B" w:rsidRPr="00EA6D7F" w:rsidRDefault="0096282B" w:rsidP="004105B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3B52D4" w:rsidRDefault="00B07F77" w:rsidP="004105B4">
      <w:pPr>
        <w:spacing w:line="276" w:lineRule="auto"/>
        <w:jc w:val="both"/>
        <w:rPr>
          <w:rFonts w:ascii="Calibri" w:hAnsi="Calibri"/>
          <w:sz w:val="20"/>
          <w:szCs w:val="20"/>
          <w:lang w:val="en-US" w:eastAsia="en-US"/>
        </w:rPr>
      </w:pPr>
      <w:r>
        <w:rPr>
          <w:rFonts w:ascii="Calibri" w:hAnsi="Calibri" w:cs="Arial"/>
        </w:rPr>
        <w:t>U</w:t>
      </w:r>
      <w:proofErr w:type="spellStart"/>
      <w:r w:rsidR="003B52D4" w:rsidRPr="00DF7FF8">
        <w:rPr>
          <w:rFonts w:ascii="Calibri" w:eastAsia="FranklinGothic-Book" w:hAnsi="Calibri" w:cs="Arial"/>
          <w:color w:val="1A1A1A"/>
          <w:lang w:val="en-US"/>
        </w:rPr>
        <w:t>kupan</w:t>
      </w:r>
      <w:proofErr w:type="spellEnd"/>
      <w:r w:rsidR="003B52D4" w:rsidRPr="00DF7FF8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3B52D4" w:rsidRPr="00DF7FF8">
        <w:rPr>
          <w:rFonts w:ascii="Calibri" w:eastAsia="FranklinGothic-Book" w:hAnsi="Calibri" w:cs="Arial"/>
          <w:color w:val="1A1A1A"/>
          <w:lang w:val="en-US"/>
        </w:rPr>
        <w:t>broj</w:t>
      </w:r>
      <w:proofErr w:type="spellEnd"/>
      <w:r w:rsidR="003B52D4" w:rsidRPr="00DF7FF8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3B52D4" w:rsidRPr="00EB28DE">
        <w:rPr>
          <w:rFonts w:ascii="Calibri" w:eastAsia="FranklinGothic-Book" w:hAnsi="Calibri" w:cs="Arial"/>
          <w:color w:val="1A1A1A"/>
          <w:lang w:val="en-US"/>
        </w:rPr>
        <w:t>aktivnih</w:t>
      </w:r>
      <w:proofErr w:type="spellEnd"/>
      <w:r w:rsidR="003B52D4"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3B52D4" w:rsidRPr="00EB28DE">
        <w:rPr>
          <w:rFonts w:ascii="Calibri" w:eastAsia="FranklinGothic-Book" w:hAnsi="Calibri" w:cs="Arial"/>
          <w:color w:val="1A1A1A"/>
          <w:lang w:val="en-US"/>
        </w:rPr>
        <w:t>ugovora</w:t>
      </w:r>
      <w:proofErr w:type="spellEnd"/>
      <w:r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Pr="00EB28DE">
        <w:rPr>
          <w:rFonts w:ascii="Calibri" w:eastAsia="FranklinGothic-Book" w:hAnsi="Calibri" w:cs="Arial"/>
          <w:color w:val="1A1A1A"/>
          <w:lang w:val="en-US"/>
        </w:rPr>
        <w:t>na</w:t>
      </w:r>
      <w:proofErr w:type="spellEnd"/>
      <w:r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Pr="00EB28DE">
        <w:rPr>
          <w:rFonts w:ascii="Calibri" w:eastAsia="FranklinGothic-Book" w:hAnsi="Calibri" w:cs="Arial"/>
          <w:color w:val="1A1A1A"/>
          <w:lang w:val="en-US"/>
        </w:rPr>
        <w:t>tržištu</w:t>
      </w:r>
      <w:proofErr w:type="spellEnd"/>
      <w:r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Pr="00EB28DE">
        <w:rPr>
          <w:rFonts w:ascii="Calibri" w:eastAsia="FranklinGothic-Book" w:hAnsi="Calibri" w:cs="Arial"/>
          <w:color w:val="1A1A1A"/>
          <w:lang w:val="en-US"/>
        </w:rPr>
        <w:t>l</w:t>
      </w:r>
      <w:r w:rsidR="00EB28DE" w:rsidRPr="00EB28DE">
        <w:rPr>
          <w:rFonts w:ascii="Calibri" w:eastAsia="FranklinGothic-Book" w:hAnsi="Calibri" w:cs="Arial"/>
          <w:color w:val="1A1A1A"/>
          <w:lang w:val="en-US"/>
        </w:rPr>
        <w:t>izinga</w:t>
      </w:r>
      <w:proofErr w:type="spellEnd"/>
      <w:r w:rsidR="00EB28DE" w:rsidRPr="00EB28DE">
        <w:rPr>
          <w:rFonts w:ascii="Calibri" w:eastAsia="FranklinGothic-Book" w:hAnsi="Calibri" w:cs="Arial"/>
          <w:color w:val="1A1A1A"/>
          <w:lang w:val="en-US"/>
        </w:rPr>
        <w:t xml:space="preserve"> u </w:t>
      </w:r>
      <w:proofErr w:type="spellStart"/>
      <w:r w:rsidR="00EB28DE" w:rsidRPr="00EB28DE">
        <w:rPr>
          <w:rFonts w:ascii="Calibri" w:eastAsia="FranklinGothic-Book" w:hAnsi="Calibri" w:cs="Arial"/>
          <w:color w:val="1A1A1A"/>
          <w:lang w:val="en-US"/>
        </w:rPr>
        <w:t>Crnoj</w:t>
      </w:r>
      <w:proofErr w:type="spellEnd"/>
      <w:r w:rsidR="00EB28DE"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EB28DE" w:rsidRPr="00EB28DE">
        <w:rPr>
          <w:rFonts w:ascii="Calibri" w:eastAsia="FranklinGothic-Book" w:hAnsi="Calibri" w:cs="Arial"/>
          <w:color w:val="1A1A1A"/>
          <w:lang w:val="en-US"/>
        </w:rPr>
        <w:t>Gori</w:t>
      </w:r>
      <w:proofErr w:type="spellEnd"/>
      <w:r w:rsidR="00EB28DE"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EB28DE" w:rsidRPr="00EB28DE">
        <w:rPr>
          <w:rFonts w:ascii="Calibri" w:eastAsia="FranklinGothic-Book" w:hAnsi="Calibri" w:cs="Arial"/>
          <w:color w:val="1A1A1A"/>
          <w:lang w:val="en-US"/>
        </w:rPr>
        <w:t>na</w:t>
      </w:r>
      <w:proofErr w:type="spellEnd"/>
      <w:r w:rsidR="00EB28DE"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EB28DE" w:rsidRPr="00EB28DE">
        <w:rPr>
          <w:rFonts w:ascii="Calibri" w:eastAsia="FranklinGothic-Book" w:hAnsi="Calibri" w:cs="Arial"/>
          <w:color w:val="1A1A1A"/>
          <w:lang w:val="en-US"/>
        </w:rPr>
        <w:t>dan</w:t>
      </w:r>
      <w:proofErr w:type="spellEnd"/>
      <w:r w:rsidR="00EB28DE" w:rsidRPr="00EB28DE">
        <w:rPr>
          <w:rFonts w:ascii="Calibri" w:eastAsia="FranklinGothic-Book" w:hAnsi="Calibri" w:cs="Arial"/>
          <w:color w:val="1A1A1A"/>
          <w:lang w:val="en-US"/>
        </w:rPr>
        <w:t xml:space="preserve"> 30. </w:t>
      </w:r>
      <w:proofErr w:type="spellStart"/>
      <w:proofErr w:type="gramStart"/>
      <w:r w:rsidR="00EB28DE" w:rsidRPr="00EB28DE">
        <w:rPr>
          <w:rFonts w:ascii="Calibri" w:eastAsia="FranklinGothic-Book" w:hAnsi="Calibri" w:cs="Arial"/>
          <w:color w:val="1A1A1A"/>
          <w:lang w:val="en-US"/>
        </w:rPr>
        <w:t>jun</w:t>
      </w:r>
      <w:proofErr w:type="spellEnd"/>
      <w:proofErr w:type="gramEnd"/>
      <w:r w:rsidRPr="00EB28DE">
        <w:rPr>
          <w:rFonts w:ascii="Calibri" w:eastAsia="FranklinGothic-Book" w:hAnsi="Calibri" w:cs="Arial"/>
          <w:color w:val="1A1A1A"/>
          <w:lang w:val="en-US"/>
        </w:rPr>
        <w:t xml:space="preserve"> 201</w:t>
      </w:r>
      <w:r w:rsidR="00EB28DE" w:rsidRPr="00EB28DE">
        <w:rPr>
          <w:rFonts w:ascii="Calibri" w:eastAsia="FranklinGothic-Book" w:hAnsi="Calibri" w:cs="Arial"/>
          <w:color w:val="1A1A1A"/>
          <w:lang w:val="en-US"/>
        </w:rPr>
        <w:t>7</w:t>
      </w:r>
      <w:r w:rsidRPr="00EB28DE">
        <w:rPr>
          <w:rFonts w:ascii="Calibri" w:eastAsia="FranklinGothic-Book" w:hAnsi="Calibri" w:cs="Arial"/>
          <w:color w:val="1A1A1A"/>
          <w:lang w:val="en-US"/>
        </w:rPr>
        <w:t xml:space="preserve">. </w:t>
      </w:r>
      <w:proofErr w:type="spellStart"/>
      <w:proofErr w:type="gramStart"/>
      <w:r w:rsidRPr="00EB28DE">
        <w:rPr>
          <w:rFonts w:ascii="Calibri" w:eastAsia="FranklinGothic-Book" w:hAnsi="Calibri" w:cs="Arial"/>
          <w:color w:val="1A1A1A"/>
          <w:lang w:val="en-US"/>
        </w:rPr>
        <w:t>godine</w:t>
      </w:r>
      <w:proofErr w:type="spellEnd"/>
      <w:proofErr w:type="gramEnd"/>
      <w:r w:rsidR="003B52D4" w:rsidRPr="00EB28DE">
        <w:rPr>
          <w:rFonts w:ascii="Calibri" w:eastAsia="FranklinGothic-Book" w:hAnsi="Calibri" w:cs="Arial"/>
          <w:color w:val="1A1A1A"/>
          <w:lang w:val="en-US"/>
        </w:rPr>
        <w:t xml:space="preserve"> bio je</w:t>
      </w:r>
      <w:r w:rsidRPr="00EB28DE">
        <w:rPr>
          <w:rFonts w:ascii="Calibri" w:hAnsi="Calibri"/>
          <w:lang w:val="en-US" w:eastAsia="en-US"/>
        </w:rPr>
        <w:t xml:space="preserve"> </w:t>
      </w:r>
      <w:r w:rsidR="00EB28DE" w:rsidRPr="00EB28DE">
        <w:rPr>
          <w:rFonts w:ascii="Calibri" w:hAnsi="Calibri"/>
          <w:lang w:val="en-US" w:eastAsia="en-US"/>
        </w:rPr>
        <w:t>3.852</w:t>
      </w:r>
      <w:r w:rsidRPr="00EB28DE">
        <w:rPr>
          <w:rFonts w:ascii="Calibri" w:hAnsi="Calibri"/>
          <w:lang w:val="en-US" w:eastAsia="en-US"/>
        </w:rPr>
        <w:t>,</w:t>
      </w:r>
      <w:r w:rsidR="003B52D4"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proofErr w:type="spellStart"/>
      <w:r w:rsidR="003B52D4" w:rsidRPr="00EB28DE">
        <w:rPr>
          <w:rFonts w:ascii="Calibri" w:eastAsia="FranklinGothic-Book" w:hAnsi="Calibri" w:cs="Arial"/>
          <w:color w:val="1A1A1A"/>
          <w:lang w:val="en-US"/>
        </w:rPr>
        <w:t>čija</w:t>
      </w:r>
      <w:proofErr w:type="spellEnd"/>
      <w:r w:rsidR="003B52D4" w:rsidRPr="00EB28DE">
        <w:rPr>
          <w:rFonts w:ascii="Calibri" w:eastAsia="FranklinGothic-Book" w:hAnsi="Calibri" w:cs="Arial"/>
          <w:color w:val="1A1A1A"/>
          <w:lang w:val="en-US"/>
        </w:rPr>
        <w:t xml:space="preserve"> je </w:t>
      </w:r>
      <w:proofErr w:type="spellStart"/>
      <w:r w:rsidR="003B52D4" w:rsidRPr="00EB28DE">
        <w:rPr>
          <w:rFonts w:ascii="Calibri" w:eastAsia="FranklinGothic-Book" w:hAnsi="Calibri" w:cs="Arial"/>
          <w:color w:val="1A1A1A"/>
          <w:lang w:val="en-US"/>
        </w:rPr>
        <w:t>vrijednost</w:t>
      </w:r>
      <w:proofErr w:type="spellEnd"/>
      <w:r w:rsidRPr="00EB28DE">
        <w:rPr>
          <w:rFonts w:ascii="Calibri" w:eastAsia="FranklinGothic-Book" w:hAnsi="Calibri" w:cs="Arial"/>
          <w:color w:val="1A1A1A"/>
          <w:lang w:val="en-US"/>
        </w:rPr>
        <w:t xml:space="preserve"> </w:t>
      </w:r>
      <w:r w:rsidR="00EB28DE" w:rsidRPr="00EB28DE">
        <w:rPr>
          <w:rFonts w:ascii="Calibri" w:hAnsi="Calibri"/>
        </w:rPr>
        <w:t xml:space="preserve">61.554.232,33 </w:t>
      </w:r>
      <w:proofErr w:type="spellStart"/>
      <w:r w:rsidRPr="00EB28DE">
        <w:rPr>
          <w:rFonts w:ascii="Calibri" w:eastAsia="FranklinGothic-Book" w:hAnsi="Calibri" w:cs="Arial"/>
          <w:color w:val="1A1A1A"/>
          <w:lang w:val="en-US"/>
        </w:rPr>
        <w:t>eura</w:t>
      </w:r>
      <w:proofErr w:type="spellEnd"/>
      <w:r w:rsidR="003B52D4" w:rsidRPr="00EB28DE">
        <w:rPr>
          <w:rFonts w:ascii="Calibri" w:eastAsia="FranklinGothic-Book" w:hAnsi="Calibri" w:cs="Arial"/>
          <w:color w:val="1A1A1A"/>
          <w:lang w:val="en-US"/>
        </w:rPr>
        <w:t>.</w:t>
      </w:r>
    </w:p>
    <w:p w:rsidR="00B07F77" w:rsidRDefault="00B07F77" w:rsidP="004105B4">
      <w:pPr>
        <w:spacing w:line="276" w:lineRule="auto"/>
        <w:jc w:val="both"/>
        <w:rPr>
          <w:rFonts w:ascii="Calibri" w:hAnsi="Calibri"/>
          <w:sz w:val="20"/>
          <w:szCs w:val="20"/>
          <w:lang w:val="en-US" w:eastAsia="en-US"/>
        </w:rPr>
      </w:pPr>
    </w:p>
    <w:p w:rsidR="00B07F77" w:rsidRPr="00B07F77" w:rsidRDefault="00B07F77" w:rsidP="004105B4">
      <w:pPr>
        <w:spacing w:line="276" w:lineRule="auto"/>
        <w:jc w:val="both"/>
        <w:rPr>
          <w:rFonts w:ascii="Calibri" w:hAnsi="Calibri"/>
          <w:sz w:val="20"/>
          <w:szCs w:val="20"/>
          <w:lang w:val="en-US" w:eastAsia="en-US"/>
        </w:rPr>
      </w:pPr>
    </w:p>
    <w:p w:rsidR="002E3FE8" w:rsidRDefault="002E3FE8" w:rsidP="004105B4">
      <w:pPr>
        <w:spacing w:before="120" w:line="276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DF0E28" w:rsidRPr="00BB4229" w:rsidRDefault="00DF0E28" w:rsidP="00F60B8A">
      <w:pPr>
        <w:pBdr>
          <w:bottom w:val="single" w:sz="4" w:space="1" w:color="auto"/>
        </w:pBdr>
        <w:rPr>
          <w:rFonts w:ascii="Calibri" w:hAnsi="Calibri"/>
          <w:b/>
        </w:rPr>
      </w:pPr>
      <w:r w:rsidRPr="00BB4229">
        <w:rPr>
          <w:rFonts w:ascii="Calibri" w:hAnsi="Calibri"/>
          <w:b/>
        </w:rPr>
        <w:lastRenderedPageBreak/>
        <w:t>Primaoci lizinga</w:t>
      </w:r>
    </w:p>
    <w:p w:rsidR="00DF0E28" w:rsidRDefault="00DF0E28" w:rsidP="00AE77B1">
      <w:pPr>
        <w:spacing w:line="276" w:lineRule="auto"/>
        <w:rPr>
          <w:rFonts w:ascii="Arial" w:hAnsi="Arial" w:cs="Arial"/>
          <w:i/>
          <w:lang w:val="pl-PL"/>
        </w:rPr>
      </w:pPr>
    </w:p>
    <w:p w:rsidR="00B07F77" w:rsidRDefault="00DF0E28" w:rsidP="00D32F13">
      <w:pPr>
        <w:autoSpaceDE w:val="0"/>
        <w:spacing w:line="276" w:lineRule="auto"/>
        <w:jc w:val="both"/>
        <w:rPr>
          <w:rFonts w:ascii="Calibri" w:hAnsi="Calibri" w:cs="Arial"/>
          <w:lang w:val="es-ES"/>
        </w:rPr>
      </w:pPr>
      <w:r w:rsidRPr="009E3E78">
        <w:rPr>
          <w:rFonts w:ascii="Calibri" w:hAnsi="Calibri" w:cs="Arial"/>
        </w:rPr>
        <w:t>U</w:t>
      </w:r>
      <w:r w:rsidRPr="009E3E7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pogledu </w:t>
      </w:r>
      <w:r w:rsidRPr="009E3E78">
        <w:rPr>
          <w:rFonts w:ascii="Calibri" w:hAnsi="Calibri"/>
        </w:rPr>
        <w:t>struktur</w:t>
      </w:r>
      <w:r>
        <w:rPr>
          <w:rFonts w:ascii="Calibri" w:hAnsi="Calibri"/>
        </w:rPr>
        <w:t>e</w:t>
      </w:r>
      <w:r w:rsidR="00EF614B">
        <w:rPr>
          <w:rFonts w:ascii="Calibri" w:hAnsi="Calibri"/>
        </w:rPr>
        <w:t xml:space="preserve"> korisnika lizinga, novozaključeni ugovori sa pravnim licima su činili </w:t>
      </w:r>
      <w:r w:rsidR="00B07F77">
        <w:rPr>
          <w:rFonts w:ascii="Calibri" w:hAnsi="Calibri"/>
        </w:rPr>
        <w:t xml:space="preserve">oko </w:t>
      </w:r>
      <w:r w:rsidR="00D32F13">
        <w:rPr>
          <w:rFonts w:ascii="Calibri" w:hAnsi="Calibri"/>
        </w:rPr>
        <w:t>82,1</w:t>
      </w:r>
      <w:r w:rsidR="00EF614B">
        <w:rPr>
          <w:rFonts w:ascii="Calibri" w:hAnsi="Calibri"/>
        </w:rPr>
        <w:t xml:space="preserve">% ukupnih ugovora, </w:t>
      </w:r>
      <w:r w:rsidR="008033A9">
        <w:rPr>
          <w:rFonts w:ascii="Calibri" w:hAnsi="Calibri"/>
        </w:rPr>
        <w:t>dok su</w:t>
      </w:r>
      <w:r w:rsidR="00EF614B">
        <w:rPr>
          <w:rFonts w:ascii="Calibri" w:hAnsi="Calibri"/>
        </w:rPr>
        <w:t xml:space="preserve"> ugovori sa fizičkim licima</w:t>
      </w:r>
      <w:r w:rsidR="008033A9">
        <w:rPr>
          <w:rFonts w:ascii="Calibri" w:hAnsi="Calibri"/>
        </w:rPr>
        <w:t xml:space="preserve"> činili </w:t>
      </w:r>
      <w:r w:rsidR="00D32F13">
        <w:rPr>
          <w:rFonts w:ascii="Calibri" w:hAnsi="Calibri"/>
        </w:rPr>
        <w:t>17,3</w:t>
      </w:r>
      <w:r w:rsidR="008033A9">
        <w:rPr>
          <w:rFonts w:ascii="Calibri" w:hAnsi="Calibri"/>
        </w:rPr>
        <w:t xml:space="preserve">%. Sa </w:t>
      </w:r>
      <w:r w:rsidR="00EF614B">
        <w:rPr>
          <w:rFonts w:ascii="Calibri" w:hAnsi="Calibri"/>
        </w:rPr>
        <w:t xml:space="preserve">preduzetnicima </w:t>
      </w:r>
      <w:r w:rsidR="00D32F13">
        <w:rPr>
          <w:rFonts w:ascii="Calibri" w:hAnsi="Calibri"/>
        </w:rPr>
        <w:t xml:space="preserve">su </w:t>
      </w:r>
      <w:r w:rsidR="00B07F77">
        <w:rPr>
          <w:rFonts w:ascii="Calibri" w:hAnsi="Calibri"/>
        </w:rPr>
        <w:t>sklopljen</w:t>
      </w:r>
      <w:r w:rsidR="00D32F13">
        <w:rPr>
          <w:rFonts w:ascii="Calibri" w:hAnsi="Calibri"/>
        </w:rPr>
        <w:t>a svega 3</w:t>
      </w:r>
      <w:r w:rsidR="00B07F77">
        <w:rPr>
          <w:rFonts w:ascii="Calibri" w:hAnsi="Calibri"/>
        </w:rPr>
        <w:t xml:space="preserve"> nov</w:t>
      </w:r>
      <w:r w:rsidR="00D32F13">
        <w:rPr>
          <w:rFonts w:ascii="Calibri" w:hAnsi="Calibri"/>
        </w:rPr>
        <w:t>a ugovora</w:t>
      </w:r>
      <w:r w:rsidR="00B07F77">
        <w:rPr>
          <w:rFonts w:ascii="Calibri" w:hAnsi="Calibri"/>
        </w:rPr>
        <w:t>.</w:t>
      </w:r>
      <w:r w:rsidR="00933A2D">
        <w:rPr>
          <w:rFonts w:ascii="Calibri" w:hAnsi="Calibri"/>
        </w:rPr>
        <w:t xml:space="preserve"> </w:t>
      </w:r>
      <w:r w:rsidR="00933A2D" w:rsidRPr="00CE66C0">
        <w:rPr>
          <w:rFonts w:ascii="Calibri" w:hAnsi="Calibri"/>
        </w:rPr>
        <w:t>U odnosu na prethodni kvartal tekuće godine</w:t>
      </w:r>
      <w:r w:rsidR="00AE77B1" w:rsidRPr="00CE66C0">
        <w:rPr>
          <w:rFonts w:ascii="Calibri" w:hAnsi="Calibri"/>
        </w:rPr>
        <w:t xml:space="preserve"> evidentan je značajan </w:t>
      </w:r>
      <w:r w:rsidR="00D32F13">
        <w:rPr>
          <w:rFonts w:ascii="Calibri" w:hAnsi="Calibri"/>
        </w:rPr>
        <w:t>rast</w:t>
      </w:r>
      <w:r w:rsidR="00AE77B1" w:rsidRPr="00CE66C0">
        <w:rPr>
          <w:rFonts w:ascii="Calibri" w:hAnsi="Calibri"/>
        </w:rPr>
        <w:t xml:space="preserve"> u zaključivanju </w:t>
      </w:r>
      <w:r w:rsidR="00CE66C0">
        <w:rPr>
          <w:rFonts w:ascii="Calibri" w:hAnsi="Calibri"/>
        </w:rPr>
        <w:t xml:space="preserve">novih </w:t>
      </w:r>
      <w:r w:rsidR="00AE77B1" w:rsidRPr="00CE66C0">
        <w:rPr>
          <w:rFonts w:ascii="Calibri" w:hAnsi="Calibri"/>
        </w:rPr>
        <w:t xml:space="preserve">ugovora </w:t>
      </w:r>
      <w:r w:rsidR="00CE66C0">
        <w:rPr>
          <w:rFonts w:ascii="Calibri" w:hAnsi="Calibri"/>
        </w:rPr>
        <w:t>i sa</w:t>
      </w:r>
      <w:r w:rsidR="00AE77B1" w:rsidRPr="00CE66C0">
        <w:rPr>
          <w:rFonts w:ascii="Calibri" w:hAnsi="Calibri"/>
        </w:rPr>
        <w:t xml:space="preserve"> pravnim</w:t>
      </w:r>
      <w:r w:rsidR="00D32F13">
        <w:rPr>
          <w:rFonts w:ascii="Calibri" w:hAnsi="Calibri"/>
        </w:rPr>
        <w:t xml:space="preserve"> (147,3%)</w:t>
      </w:r>
      <w:r w:rsidR="00AE77B1" w:rsidRPr="00CE66C0">
        <w:rPr>
          <w:rFonts w:ascii="Calibri" w:hAnsi="Calibri"/>
        </w:rPr>
        <w:t xml:space="preserve"> </w:t>
      </w:r>
      <w:r w:rsidR="00CE66C0">
        <w:rPr>
          <w:rFonts w:ascii="Calibri" w:hAnsi="Calibri"/>
        </w:rPr>
        <w:t xml:space="preserve">i sa fizičkim </w:t>
      </w:r>
      <w:r w:rsidR="00AE77B1" w:rsidRPr="00CE66C0">
        <w:rPr>
          <w:rFonts w:ascii="Calibri" w:hAnsi="Calibri"/>
        </w:rPr>
        <w:t>licima</w:t>
      </w:r>
      <w:r w:rsidR="00D32F13">
        <w:rPr>
          <w:rFonts w:ascii="Calibri" w:hAnsi="Calibri"/>
        </w:rPr>
        <w:t xml:space="preserve"> (67,3%)</w:t>
      </w:r>
      <w:r w:rsidR="00AE77B1" w:rsidRPr="00CE66C0">
        <w:rPr>
          <w:rFonts w:ascii="Calibri" w:hAnsi="Calibri"/>
        </w:rPr>
        <w:t xml:space="preserve">. </w:t>
      </w:r>
    </w:p>
    <w:p w:rsidR="00D32F13" w:rsidRDefault="00D32F13" w:rsidP="00D32F13">
      <w:pPr>
        <w:autoSpaceDE w:val="0"/>
        <w:spacing w:line="276" w:lineRule="auto"/>
        <w:jc w:val="both"/>
        <w:rPr>
          <w:rFonts w:ascii="Calibri" w:hAnsi="Calibri" w:cs="Arial"/>
          <w:i/>
          <w:lang w:val="pl-PL"/>
        </w:rPr>
      </w:pPr>
    </w:p>
    <w:p w:rsidR="00B07F77" w:rsidRPr="00DF7FF8" w:rsidRDefault="00B07F77" w:rsidP="00B07F77">
      <w:pPr>
        <w:rPr>
          <w:rFonts w:ascii="Calibri" w:hAnsi="Calibri" w:cs="Arial"/>
          <w:i/>
          <w:lang w:val="pl-PL"/>
        </w:rPr>
      </w:pPr>
      <w:r w:rsidRPr="00DF7FF8">
        <w:rPr>
          <w:rFonts w:ascii="Calibri" w:hAnsi="Calibri" w:cs="Arial"/>
          <w:i/>
          <w:lang w:val="pl-PL"/>
        </w:rPr>
        <w:t>Tabela 2: Po korisnicima lizinga novozaključeni ugovori u razdoblju II kvartal 201</w:t>
      </w:r>
      <w:r w:rsidR="00D32F13">
        <w:rPr>
          <w:rFonts w:ascii="Calibri" w:hAnsi="Calibri" w:cs="Arial"/>
          <w:i/>
          <w:lang w:val="pl-PL"/>
        </w:rPr>
        <w:t>7</w:t>
      </w:r>
    </w:p>
    <w:tbl>
      <w:tblPr>
        <w:tblW w:w="9356" w:type="dxa"/>
        <w:tblInd w:w="108" w:type="dxa"/>
        <w:tblLook w:val="04A0"/>
      </w:tblPr>
      <w:tblGrid>
        <w:gridCol w:w="2187"/>
        <w:gridCol w:w="1499"/>
        <w:gridCol w:w="981"/>
        <w:gridCol w:w="1429"/>
        <w:gridCol w:w="1051"/>
        <w:gridCol w:w="2209"/>
      </w:tblGrid>
      <w:tr w:rsidR="00B07F77" w:rsidRPr="00074516" w:rsidTr="0096282B">
        <w:trPr>
          <w:trHeight w:val="675"/>
        </w:trPr>
        <w:tc>
          <w:tcPr>
            <w:tcW w:w="21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Korisnici lizinga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07F77" w:rsidRPr="00074516" w:rsidRDefault="00B07F77" w:rsidP="00D32F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Novoz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aključeni ugovori u razdoblju I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kvartal 201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07F77" w:rsidRPr="00074516" w:rsidRDefault="00B07F77" w:rsidP="00D32F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Novoz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aključeni ugovori u razdoblju II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kvartal 201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vAlign w:val="center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Stopa rasta</w:t>
            </w:r>
          </w:p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broja ugovora</w:t>
            </w:r>
          </w:p>
        </w:tc>
      </w:tr>
      <w:tr w:rsidR="00B07F77" w:rsidRPr="00074516" w:rsidTr="0096282B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07F77" w:rsidRPr="00074516" w:rsidRDefault="00B07F77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Broj ugovora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Broj ugovora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bottom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noWrap/>
            <w:vAlign w:val="bottom"/>
            <w:hideMark/>
          </w:tcPr>
          <w:p w:rsidR="00B07F77" w:rsidRPr="00074516" w:rsidRDefault="00B07F77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Pravna lica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167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76,3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413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82.1</w:t>
            </w:r>
            <w:r w:rsidRPr="00D32F13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D32F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sz w:val="20"/>
                <w:szCs w:val="20"/>
              </w:rPr>
              <w:t>147,3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Fizička lica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23,7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17.3</w:t>
            </w:r>
            <w:r w:rsidRPr="00D32F13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D32F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sz w:val="20"/>
                <w:szCs w:val="20"/>
              </w:rPr>
              <w:t>67,3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Preduzetnici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0.6</w:t>
            </w:r>
            <w:r w:rsidRPr="00D32F13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D32F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219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100,0</w:t>
            </w:r>
          </w:p>
        </w:tc>
        <w:tc>
          <w:tcPr>
            <w:tcW w:w="14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503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2F13" w:rsidRPr="00D32F13" w:rsidRDefault="00D32F13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100.0%</w:t>
            </w:r>
          </w:p>
        </w:tc>
        <w:tc>
          <w:tcPr>
            <w:tcW w:w="22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D32F13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sz w:val="20"/>
                <w:szCs w:val="20"/>
              </w:rPr>
              <w:t>129,7</w:t>
            </w:r>
          </w:p>
        </w:tc>
      </w:tr>
    </w:tbl>
    <w:p w:rsidR="00D32F13" w:rsidRPr="00AE77B1" w:rsidRDefault="00D32F13" w:rsidP="00AE77B1">
      <w:pPr>
        <w:spacing w:line="276" w:lineRule="auto"/>
        <w:jc w:val="both"/>
        <w:rPr>
          <w:rFonts w:ascii="Calibri" w:hAnsi="Calibri" w:cs="Arial"/>
          <w:lang w:val="es-ES"/>
        </w:rPr>
      </w:pPr>
    </w:p>
    <w:p w:rsidR="00AE77B1" w:rsidRDefault="00157E57" w:rsidP="00AE77B1">
      <w:pPr>
        <w:spacing w:line="276" w:lineRule="auto"/>
        <w:jc w:val="both"/>
        <w:rPr>
          <w:rFonts w:ascii="Calibri" w:hAnsi="Calibri" w:cs="Arial"/>
          <w:lang w:val="es-ES"/>
        </w:rPr>
      </w:pPr>
      <w:r w:rsidRPr="00AE77B1">
        <w:rPr>
          <w:rFonts w:ascii="Calibri" w:hAnsi="Calibri" w:cs="Arial"/>
          <w:lang w:val="es-ES"/>
        </w:rPr>
        <w:t xml:space="preserve">Od </w:t>
      </w:r>
      <w:proofErr w:type="spellStart"/>
      <w:r w:rsidRPr="00AE77B1">
        <w:rPr>
          <w:rFonts w:ascii="Calibri" w:hAnsi="Calibri" w:cs="Arial"/>
          <w:lang w:val="es-ES"/>
        </w:rPr>
        <w:t>ukupnog</w:t>
      </w:r>
      <w:proofErr w:type="spellEnd"/>
      <w:r w:rsidRPr="00AE77B1">
        <w:rPr>
          <w:rFonts w:ascii="Calibri" w:hAnsi="Calibri" w:cs="Arial"/>
          <w:lang w:val="es-ES"/>
        </w:rPr>
        <w:t xml:space="preserve"> </w:t>
      </w:r>
      <w:proofErr w:type="spellStart"/>
      <w:r w:rsidRPr="00AE77B1">
        <w:rPr>
          <w:rFonts w:ascii="Calibri" w:hAnsi="Calibri" w:cs="Arial"/>
          <w:lang w:val="es-ES"/>
        </w:rPr>
        <w:t>broja</w:t>
      </w:r>
      <w:proofErr w:type="spellEnd"/>
      <w:r w:rsidRPr="00AE77B1">
        <w:rPr>
          <w:rFonts w:ascii="Calibri" w:hAnsi="Calibri" w:cs="Arial"/>
          <w:lang w:val="es-ES"/>
        </w:rPr>
        <w:t xml:space="preserve"> </w:t>
      </w:r>
      <w:proofErr w:type="spellStart"/>
      <w:r w:rsidRPr="0063365B">
        <w:rPr>
          <w:rFonts w:ascii="Calibri" w:hAnsi="Calibri" w:cs="Arial"/>
          <w:i/>
          <w:lang w:val="es-ES"/>
        </w:rPr>
        <w:t>aktivnih</w:t>
      </w:r>
      <w:proofErr w:type="spellEnd"/>
      <w:r w:rsidRPr="00AE77B1">
        <w:rPr>
          <w:rFonts w:ascii="Calibri" w:hAnsi="Calibri" w:cs="Arial"/>
          <w:lang w:val="es-ES"/>
        </w:rPr>
        <w:t xml:space="preserve"> </w:t>
      </w:r>
      <w:proofErr w:type="spellStart"/>
      <w:r w:rsidRPr="005F2CA8">
        <w:rPr>
          <w:rFonts w:ascii="Calibri" w:hAnsi="Calibri" w:cs="Arial"/>
          <w:lang w:val="es-ES"/>
        </w:rPr>
        <w:t>ug</w:t>
      </w:r>
      <w:r w:rsidR="00F60B8A" w:rsidRPr="005F2CA8">
        <w:rPr>
          <w:rFonts w:ascii="Calibri" w:hAnsi="Calibri" w:cs="Arial"/>
          <w:lang w:val="es-ES"/>
        </w:rPr>
        <w:t>ovora</w:t>
      </w:r>
      <w:proofErr w:type="spellEnd"/>
      <w:r w:rsidR="0063365B" w:rsidRPr="005F2CA8">
        <w:rPr>
          <w:rFonts w:ascii="Calibri" w:hAnsi="Calibri" w:cs="Arial"/>
          <w:lang w:val="es-ES"/>
        </w:rPr>
        <w:t>,</w:t>
      </w:r>
      <w:r w:rsidRPr="005F2CA8">
        <w:rPr>
          <w:rFonts w:ascii="Calibri" w:hAnsi="Calibri" w:cs="Arial"/>
          <w:lang w:val="es-ES"/>
        </w:rPr>
        <w:t xml:space="preserve"> </w:t>
      </w:r>
      <w:r w:rsidR="00D32F13">
        <w:rPr>
          <w:rFonts w:ascii="Calibri" w:hAnsi="Calibri" w:cs="Arial"/>
          <w:lang w:val="es-ES"/>
        </w:rPr>
        <w:t>81,1</w:t>
      </w:r>
      <w:r w:rsidRPr="005F2CA8">
        <w:rPr>
          <w:rFonts w:ascii="Calibri" w:hAnsi="Calibri" w:cs="Arial"/>
          <w:lang w:val="es-ES"/>
        </w:rPr>
        <w:t xml:space="preserve">% </w:t>
      </w:r>
      <w:proofErr w:type="spellStart"/>
      <w:r w:rsidRPr="005F2CA8">
        <w:rPr>
          <w:rFonts w:ascii="Calibri" w:hAnsi="Calibri" w:cs="Arial"/>
          <w:lang w:val="es-ES"/>
        </w:rPr>
        <w:t>odnosi</w:t>
      </w:r>
      <w:proofErr w:type="spellEnd"/>
      <w:r w:rsidRPr="005F2CA8">
        <w:rPr>
          <w:rFonts w:ascii="Calibri" w:hAnsi="Calibri" w:cs="Arial"/>
          <w:lang w:val="es-ES"/>
        </w:rPr>
        <w:t xml:space="preserve"> se </w:t>
      </w:r>
      <w:proofErr w:type="spellStart"/>
      <w:r w:rsidRPr="005F2CA8">
        <w:rPr>
          <w:rFonts w:ascii="Calibri" w:hAnsi="Calibri" w:cs="Arial"/>
          <w:lang w:val="es-ES"/>
        </w:rPr>
        <w:t>na</w:t>
      </w:r>
      <w:proofErr w:type="spellEnd"/>
      <w:r w:rsidRPr="005F2CA8">
        <w:rPr>
          <w:rFonts w:ascii="Calibri" w:hAnsi="Calibri" w:cs="Arial"/>
          <w:lang w:val="es-ES"/>
        </w:rPr>
        <w:t xml:space="preserve"> </w:t>
      </w:r>
      <w:proofErr w:type="spellStart"/>
      <w:r w:rsidRPr="005F2CA8">
        <w:rPr>
          <w:rFonts w:ascii="Calibri" w:hAnsi="Calibri" w:cs="Arial"/>
          <w:lang w:val="es-ES"/>
        </w:rPr>
        <w:t>ugovore</w:t>
      </w:r>
      <w:proofErr w:type="spellEnd"/>
      <w:r w:rsidRPr="005F2CA8">
        <w:rPr>
          <w:rFonts w:ascii="Calibri" w:hAnsi="Calibri" w:cs="Arial"/>
          <w:lang w:val="es-ES"/>
        </w:rPr>
        <w:t xml:space="preserve"> </w:t>
      </w:r>
      <w:proofErr w:type="spellStart"/>
      <w:r w:rsidRPr="005F2CA8">
        <w:rPr>
          <w:rFonts w:ascii="Calibri" w:hAnsi="Calibri" w:cs="Arial"/>
          <w:lang w:val="es-ES"/>
        </w:rPr>
        <w:t>zaklju</w:t>
      </w:r>
      <w:r w:rsidR="003349CE" w:rsidRPr="005F2CA8">
        <w:rPr>
          <w:rFonts w:ascii="Calibri" w:hAnsi="Calibri" w:cs="Arial"/>
          <w:lang w:val="es-ES"/>
        </w:rPr>
        <w:t>čene</w:t>
      </w:r>
      <w:proofErr w:type="spellEnd"/>
      <w:r w:rsidR="003349CE" w:rsidRPr="005F2CA8">
        <w:rPr>
          <w:rFonts w:ascii="Calibri" w:hAnsi="Calibri" w:cs="Arial"/>
          <w:lang w:val="es-ES"/>
        </w:rPr>
        <w:t xml:space="preserve"> sa </w:t>
      </w:r>
      <w:proofErr w:type="spellStart"/>
      <w:r w:rsidR="003349CE" w:rsidRPr="005F2CA8">
        <w:rPr>
          <w:rFonts w:ascii="Calibri" w:hAnsi="Calibri" w:cs="Arial"/>
          <w:lang w:val="es-ES"/>
        </w:rPr>
        <w:t>pravnim</w:t>
      </w:r>
      <w:proofErr w:type="spellEnd"/>
      <w:r w:rsidR="003349CE" w:rsidRPr="005F2CA8">
        <w:rPr>
          <w:rFonts w:ascii="Calibri" w:hAnsi="Calibri" w:cs="Arial"/>
          <w:lang w:val="es-ES"/>
        </w:rPr>
        <w:t xml:space="preserve"> </w:t>
      </w:r>
      <w:proofErr w:type="spellStart"/>
      <w:r w:rsidR="003349CE" w:rsidRPr="005F2CA8">
        <w:rPr>
          <w:rFonts w:ascii="Calibri" w:hAnsi="Calibri" w:cs="Arial"/>
          <w:lang w:val="es-ES"/>
        </w:rPr>
        <w:t>licima</w:t>
      </w:r>
      <w:proofErr w:type="spellEnd"/>
      <w:r w:rsidR="003349CE" w:rsidRPr="005F2CA8">
        <w:rPr>
          <w:rFonts w:ascii="Calibri" w:hAnsi="Calibri" w:cs="Arial"/>
          <w:lang w:val="es-ES"/>
        </w:rPr>
        <w:t xml:space="preserve">, </w:t>
      </w:r>
      <w:proofErr w:type="spellStart"/>
      <w:r w:rsidR="003349CE" w:rsidRPr="005F2CA8">
        <w:rPr>
          <w:rFonts w:ascii="Calibri" w:hAnsi="Calibri" w:cs="Arial"/>
          <w:lang w:val="es-ES"/>
        </w:rPr>
        <w:t>dok</w:t>
      </w:r>
      <w:proofErr w:type="spellEnd"/>
      <w:r w:rsidR="003349CE" w:rsidRPr="005F2CA8">
        <w:rPr>
          <w:rFonts w:ascii="Calibri" w:hAnsi="Calibri" w:cs="Arial"/>
          <w:lang w:val="es-ES"/>
        </w:rPr>
        <w:t xml:space="preserve"> je </w:t>
      </w:r>
      <w:r w:rsidR="00D32F13">
        <w:rPr>
          <w:rFonts w:ascii="Calibri" w:hAnsi="Calibri" w:cs="Arial"/>
          <w:lang w:val="es-ES"/>
        </w:rPr>
        <w:t>18,3</w:t>
      </w:r>
      <w:r w:rsidRPr="005F2CA8">
        <w:rPr>
          <w:rFonts w:ascii="Calibri" w:hAnsi="Calibri" w:cs="Arial"/>
          <w:lang w:val="es-ES"/>
        </w:rPr>
        <w:t xml:space="preserve">% </w:t>
      </w:r>
      <w:proofErr w:type="spellStart"/>
      <w:r w:rsidRPr="005F2CA8">
        <w:rPr>
          <w:rFonts w:ascii="Calibri" w:hAnsi="Calibri" w:cs="Arial"/>
          <w:lang w:val="es-ES"/>
        </w:rPr>
        <w:t>ugovora</w:t>
      </w:r>
      <w:proofErr w:type="spellEnd"/>
      <w:r w:rsidRPr="005F2CA8">
        <w:rPr>
          <w:rFonts w:ascii="Calibri" w:hAnsi="Calibri" w:cs="Arial"/>
          <w:lang w:val="es-ES"/>
        </w:rPr>
        <w:t xml:space="preserve"> </w:t>
      </w:r>
      <w:proofErr w:type="spellStart"/>
      <w:r w:rsidRPr="005F2CA8">
        <w:rPr>
          <w:rFonts w:ascii="Calibri" w:hAnsi="Calibri" w:cs="Arial"/>
          <w:lang w:val="es-ES"/>
        </w:rPr>
        <w:t>zaključeno</w:t>
      </w:r>
      <w:proofErr w:type="spellEnd"/>
      <w:r w:rsidRPr="005F2CA8">
        <w:rPr>
          <w:rFonts w:ascii="Calibri" w:hAnsi="Calibri" w:cs="Arial"/>
          <w:lang w:val="es-ES"/>
        </w:rPr>
        <w:t xml:space="preserve"> sa </w:t>
      </w:r>
      <w:proofErr w:type="spellStart"/>
      <w:r w:rsidRPr="005F2CA8">
        <w:rPr>
          <w:rFonts w:ascii="Calibri" w:hAnsi="Calibri" w:cs="Arial"/>
          <w:lang w:val="es-ES"/>
        </w:rPr>
        <w:t>fizičkim</w:t>
      </w:r>
      <w:proofErr w:type="spellEnd"/>
      <w:r w:rsidRPr="005F2CA8">
        <w:rPr>
          <w:rFonts w:ascii="Calibri" w:hAnsi="Calibri" w:cs="Arial"/>
          <w:lang w:val="es-ES"/>
        </w:rPr>
        <w:t xml:space="preserve"> </w:t>
      </w:r>
      <w:proofErr w:type="spellStart"/>
      <w:r w:rsidRPr="005F2CA8">
        <w:rPr>
          <w:rFonts w:ascii="Calibri" w:hAnsi="Calibri" w:cs="Arial"/>
          <w:lang w:val="es-ES"/>
        </w:rPr>
        <w:t>licima</w:t>
      </w:r>
      <w:proofErr w:type="spellEnd"/>
      <w:r w:rsidRPr="005F2CA8">
        <w:rPr>
          <w:rFonts w:ascii="Calibri" w:hAnsi="Calibri" w:cs="Arial"/>
          <w:lang w:val="es-ES"/>
        </w:rPr>
        <w:t>.</w:t>
      </w:r>
      <w:r w:rsidRPr="00AE77B1">
        <w:rPr>
          <w:rFonts w:ascii="Calibri" w:hAnsi="Calibri" w:cs="Arial"/>
          <w:lang w:val="es-ES"/>
        </w:rPr>
        <w:t xml:space="preserve"> </w:t>
      </w:r>
      <w:proofErr w:type="spellStart"/>
      <w:r w:rsidR="00D32F13">
        <w:rPr>
          <w:rFonts w:ascii="Calibri" w:hAnsi="Calibri" w:cs="Arial"/>
          <w:lang w:val="es-ES"/>
        </w:rPr>
        <w:t>Preduzetnici</w:t>
      </w:r>
      <w:proofErr w:type="spellEnd"/>
      <w:r w:rsidR="00D32F13">
        <w:rPr>
          <w:rFonts w:ascii="Calibri" w:hAnsi="Calibri" w:cs="Arial"/>
          <w:lang w:val="es-ES"/>
        </w:rPr>
        <w:t xml:space="preserve"> </w:t>
      </w:r>
      <w:proofErr w:type="spellStart"/>
      <w:r w:rsidR="00D32F13">
        <w:rPr>
          <w:rFonts w:ascii="Calibri" w:hAnsi="Calibri" w:cs="Arial"/>
          <w:lang w:val="es-ES"/>
        </w:rPr>
        <w:t>čine</w:t>
      </w:r>
      <w:proofErr w:type="spellEnd"/>
      <w:r w:rsidR="00D32F13">
        <w:rPr>
          <w:rFonts w:ascii="Calibri" w:hAnsi="Calibri" w:cs="Arial"/>
          <w:lang w:val="es-ES"/>
        </w:rPr>
        <w:t xml:space="preserve"> 0,6% u </w:t>
      </w:r>
      <w:proofErr w:type="spellStart"/>
      <w:r w:rsidR="00D32F13">
        <w:rPr>
          <w:rFonts w:ascii="Calibri" w:hAnsi="Calibri" w:cs="Arial"/>
          <w:lang w:val="es-ES"/>
        </w:rPr>
        <w:t>strukturi</w:t>
      </w:r>
      <w:proofErr w:type="spellEnd"/>
      <w:r w:rsidR="00D32F13">
        <w:rPr>
          <w:rFonts w:ascii="Calibri" w:hAnsi="Calibri" w:cs="Arial"/>
          <w:lang w:val="es-ES"/>
        </w:rPr>
        <w:t xml:space="preserve"> </w:t>
      </w:r>
      <w:proofErr w:type="spellStart"/>
      <w:r w:rsidR="00D32F13">
        <w:rPr>
          <w:rFonts w:ascii="Calibri" w:hAnsi="Calibri" w:cs="Arial"/>
          <w:lang w:val="es-ES"/>
        </w:rPr>
        <w:t>zaključenih</w:t>
      </w:r>
      <w:proofErr w:type="spellEnd"/>
      <w:r w:rsidR="00D32F13">
        <w:rPr>
          <w:rFonts w:ascii="Calibri" w:hAnsi="Calibri" w:cs="Arial"/>
          <w:lang w:val="es-ES"/>
        </w:rPr>
        <w:t xml:space="preserve"> </w:t>
      </w:r>
      <w:proofErr w:type="spellStart"/>
      <w:r w:rsidR="00D32F13">
        <w:rPr>
          <w:rFonts w:ascii="Calibri" w:hAnsi="Calibri" w:cs="Arial"/>
          <w:lang w:val="es-ES"/>
        </w:rPr>
        <w:t>ugovora</w:t>
      </w:r>
      <w:proofErr w:type="spellEnd"/>
      <w:r w:rsidR="00D32F13">
        <w:rPr>
          <w:rFonts w:ascii="Calibri" w:hAnsi="Calibri" w:cs="Arial"/>
          <w:lang w:val="es-ES"/>
        </w:rPr>
        <w:t>.</w:t>
      </w:r>
    </w:p>
    <w:p w:rsidR="00CE66C0" w:rsidRPr="00CE66C0" w:rsidRDefault="00CE66C0" w:rsidP="00CE66C0">
      <w:pPr>
        <w:spacing w:line="276" w:lineRule="auto"/>
        <w:jc w:val="both"/>
        <w:rPr>
          <w:rFonts w:ascii="Calibri" w:hAnsi="Calibri" w:cs="Arial"/>
          <w:lang w:val="en-US" w:eastAsia="en-US"/>
        </w:rPr>
      </w:pPr>
    </w:p>
    <w:p w:rsidR="00CE66C0" w:rsidRPr="00DF7FF8" w:rsidRDefault="00CE66C0" w:rsidP="00CE66C0">
      <w:pPr>
        <w:rPr>
          <w:rFonts w:ascii="Calibri" w:hAnsi="Calibri" w:cs="Arial"/>
          <w:i/>
          <w:lang w:val="pl-PL"/>
        </w:rPr>
      </w:pPr>
      <w:r w:rsidRPr="00DF7FF8">
        <w:rPr>
          <w:rFonts w:ascii="Calibri" w:hAnsi="Calibri" w:cs="Arial"/>
          <w:i/>
          <w:lang w:val="pl-PL"/>
        </w:rPr>
        <w:t xml:space="preserve">Tabela 3: Aktivni ugovori po korisnicima lizinga </w:t>
      </w:r>
    </w:p>
    <w:tbl>
      <w:tblPr>
        <w:tblW w:w="9449" w:type="dxa"/>
        <w:tblInd w:w="108" w:type="dxa"/>
        <w:tblLook w:val="04A0"/>
      </w:tblPr>
      <w:tblGrid>
        <w:gridCol w:w="2187"/>
        <w:gridCol w:w="1499"/>
        <w:gridCol w:w="1074"/>
        <w:gridCol w:w="1336"/>
        <w:gridCol w:w="1144"/>
        <w:gridCol w:w="2209"/>
      </w:tblGrid>
      <w:tr w:rsidR="00CE66C0" w:rsidRPr="00074516" w:rsidTr="0096282B">
        <w:trPr>
          <w:trHeight w:val="675"/>
        </w:trPr>
        <w:tc>
          <w:tcPr>
            <w:tcW w:w="21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Korisnici lizinga</w:t>
            </w:r>
          </w:p>
        </w:tc>
        <w:tc>
          <w:tcPr>
            <w:tcW w:w="257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CE66C0" w:rsidRPr="00074516" w:rsidRDefault="00CE66C0" w:rsidP="00D32F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Aktivni ugovori na dan 30. 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mart 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godine</w:t>
            </w:r>
          </w:p>
        </w:tc>
        <w:tc>
          <w:tcPr>
            <w:tcW w:w="248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CE66C0" w:rsidRPr="00074516" w:rsidRDefault="00CE66C0" w:rsidP="00D32F1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Aktivni ugovori na dan 30. 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jun 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201</w:t>
            </w:r>
            <w:r w:rsid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godine</w:t>
            </w:r>
          </w:p>
        </w:tc>
        <w:tc>
          <w:tcPr>
            <w:tcW w:w="220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vAlign w:val="center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Stopa rasta</w:t>
            </w:r>
          </w:p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broja ugovora</w:t>
            </w:r>
          </w:p>
        </w:tc>
      </w:tr>
      <w:tr w:rsidR="00CE66C0" w:rsidRPr="00074516" w:rsidTr="0096282B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CE66C0" w:rsidRPr="00074516" w:rsidRDefault="00CE66C0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Broj ugovora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Broj ugovora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bottom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noWrap/>
            <w:vAlign w:val="bottom"/>
            <w:hideMark/>
          </w:tcPr>
          <w:p w:rsidR="00CE66C0" w:rsidRPr="00074516" w:rsidRDefault="00CE66C0" w:rsidP="0096282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</w:tr>
      <w:tr w:rsidR="00D32F13" w:rsidRPr="00D32F13" w:rsidTr="00D32F13">
        <w:trPr>
          <w:trHeight w:val="26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Pravna lica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2.225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60,8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2.464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63,9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96282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10,7</w:t>
            </w:r>
          </w:p>
        </w:tc>
      </w:tr>
      <w:tr w:rsidR="00D32F13" w:rsidRPr="00D32F13" w:rsidTr="00D32F13">
        <w:trPr>
          <w:trHeight w:val="281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Fizička lica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1.416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38,7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1.369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35,5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96282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-3,3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Preduzetnici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D32F13">
              <w:rPr>
                <w:rFonts w:asciiTheme="minorHAnsi" w:hAnsiTheme="minorHAnsi"/>
                <w:sz w:val="20"/>
                <w:szCs w:val="20"/>
              </w:rPr>
              <w:t>0,5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19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0,5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D32F13" w:rsidRPr="00D32F13" w:rsidRDefault="00D32F13" w:rsidP="0096282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11,8</w:t>
            </w:r>
          </w:p>
        </w:tc>
      </w:tr>
      <w:tr w:rsidR="00D32F13" w:rsidRPr="00D32F13" w:rsidTr="00D32F13">
        <w:trPr>
          <w:trHeight w:val="255"/>
        </w:trPr>
        <w:tc>
          <w:tcPr>
            <w:tcW w:w="218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32F13" w:rsidRPr="00D32F13" w:rsidRDefault="00D32F13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49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/>
                <w:b/>
                <w:bCs/>
                <w:sz w:val="20"/>
                <w:szCs w:val="20"/>
              </w:rPr>
              <w:t>3.658</w:t>
            </w:r>
          </w:p>
        </w:tc>
        <w:tc>
          <w:tcPr>
            <w:tcW w:w="107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5E3876">
            <w:pPr>
              <w:spacing w:line="276" w:lineRule="auto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D32F13">
              <w:rPr>
                <w:rFonts w:asciiTheme="minorHAnsi" w:hAnsiTheme="minorHAnsi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33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3.852 </w:t>
            </w:r>
          </w:p>
        </w:tc>
        <w:tc>
          <w:tcPr>
            <w:tcW w:w="114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32F13" w:rsidRDefault="00D32F13" w:rsidP="00D32F13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100.0</w:t>
            </w:r>
          </w:p>
        </w:tc>
        <w:tc>
          <w:tcPr>
            <w:tcW w:w="22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:rsidR="00D32F13" w:rsidRPr="00D32F13" w:rsidRDefault="00D32F13" w:rsidP="0096282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5,3</w:t>
            </w:r>
          </w:p>
        </w:tc>
      </w:tr>
    </w:tbl>
    <w:p w:rsidR="00CE66C0" w:rsidRPr="001B782B" w:rsidRDefault="00CE66C0" w:rsidP="00F60B8A">
      <w:pPr>
        <w:rPr>
          <w:rFonts w:asciiTheme="minorHAnsi" w:hAnsiTheme="minorHAnsi" w:cs="Arial"/>
          <w:i/>
          <w:lang w:val="pl-PL"/>
        </w:rPr>
      </w:pPr>
    </w:p>
    <w:p w:rsidR="005F2CA8" w:rsidRPr="001B782B" w:rsidRDefault="005F2CA8" w:rsidP="00DF0E28">
      <w:pPr>
        <w:jc w:val="both"/>
        <w:rPr>
          <w:rFonts w:asciiTheme="minorHAnsi" w:hAnsiTheme="minorHAnsi" w:cs="Arial"/>
          <w:i/>
          <w:lang w:val="pl-PL"/>
        </w:rPr>
      </w:pPr>
    </w:p>
    <w:p w:rsidR="00CE66C0" w:rsidRPr="001B782B" w:rsidRDefault="00CE66C0" w:rsidP="00DF0E28">
      <w:pPr>
        <w:jc w:val="both"/>
        <w:rPr>
          <w:rFonts w:asciiTheme="minorHAnsi" w:hAnsiTheme="minorHAnsi" w:cs="Arial"/>
          <w:i/>
          <w:lang w:val="es-ES"/>
        </w:rPr>
      </w:pPr>
    </w:p>
    <w:p w:rsidR="00DF0E28" w:rsidRPr="001B782B" w:rsidRDefault="00DF0E28" w:rsidP="00BC0011">
      <w:pPr>
        <w:pBdr>
          <w:bottom w:val="single" w:sz="6" w:space="1" w:color="auto"/>
        </w:pBdr>
        <w:spacing w:after="120"/>
        <w:outlineLvl w:val="0"/>
        <w:rPr>
          <w:rFonts w:asciiTheme="minorHAnsi" w:hAnsiTheme="minorHAnsi" w:cs="Arial"/>
          <w:b/>
          <w:lang w:val="pl-PL"/>
        </w:rPr>
      </w:pPr>
      <w:r w:rsidRPr="001B782B">
        <w:rPr>
          <w:rFonts w:asciiTheme="minorHAnsi" w:hAnsiTheme="minorHAnsi" w:cs="Arial"/>
          <w:b/>
          <w:lang w:val="pl-PL"/>
        </w:rPr>
        <w:t>Vrijednost i broj zaključenih ugovora u zavisnosti od tipa lizinga</w:t>
      </w:r>
    </w:p>
    <w:p w:rsidR="00742188" w:rsidRPr="001B782B" w:rsidRDefault="00AE77B1" w:rsidP="00742188">
      <w:pPr>
        <w:spacing w:after="120"/>
        <w:jc w:val="both"/>
        <w:rPr>
          <w:rFonts w:asciiTheme="minorHAnsi" w:hAnsiTheme="minorHAnsi" w:cs="Arial"/>
        </w:rPr>
      </w:pPr>
      <w:r w:rsidRPr="001B782B">
        <w:rPr>
          <w:rFonts w:asciiTheme="minorHAnsi" w:hAnsiTheme="minorHAnsi" w:cs="Arial"/>
          <w:lang w:val="pl-PL"/>
        </w:rPr>
        <w:t>P</w:t>
      </w:r>
      <w:r w:rsidR="00DF0E28" w:rsidRPr="001B782B">
        <w:rPr>
          <w:rFonts w:asciiTheme="minorHAnsi" w:hAnsiTheme="minorHAnsi" w:cs="Arial"/>
          <w:lang w:val="pl-PL"/>
        </w:rPr>
        <w:t xml:space="preserve">oslovi finansijskog lizinga imali su značajno učešće u ukupnom broju, kao i </w:t>
      </w:r>
      <w:r w:rsidR="00F627F3" w:rsidRPr="001B782B">
        <w:rPr>
          <w:rFonts w:asciiTheme="minorHAnsi" w:hAnsiTheme="minorHAnsi" w:cs="Arial"/>
          <w:lang w:val="pl-PL"/>
        </w:rPr>
        <w:t xml:space="preserve">vrijednosti zaključenih ugovora, budući da su činili </w:t>
      </w:r>
      <w:r w:rsidR="005E3876">
        <w:rPr>
          <w:rFonts w:asciiTheme="minorHAnsi" w:hAnsiTheme="minorHAnsi" w:cs="Arial"/>
          <w:lang w:val="pl-PL"/>
        </w:rPr>
        <w:t>55</w:t>
      </w:r>
      <w:r w:rsidR="00F627F3" w:rsidRPr="001B782B">
        <w:rPr>
          <w:rFonts w:asciiTheme="minorHAnsi" w:hAnsiTheme="minorHAnsi" w:cs="Arial"/>
          <w:lang w:val="pl-PL"/>
        </w:rPr>
        <w:t>% u ukupnom broju novozaključen</w:t>
      </w:r>
      <w:r w:rsidR="00D67266" w:rsidRPr="001B782B">
        <w:rPr>
          <w:rFonts w:asciiTheme="minorHAnsi" w:hAnsiTheme="minorHAnsi" w:cs="Arial"/>
          <w:lang w:val="pl-PL"/>
        </w:rPr>
        <w:t xml:space="preserve">ih ugovora i </w:t>
      </w:r>
      <w:r w:rsidR="005E3876">
        <w:rPr>
          <w:rFonts w:asciiTheme="minorHAnsi" w:hAnsiTheme="minorHAnsi" w:cs="Arial"/>
          <w:lang w:val="pl-PL"/>
        </w:rPr>
        <w:t xml:space="preserve">60% </w:t>
      </w:r>
      <w:r w:rsidR="00D67266" w:rsidRPr="001B782B">
        <w:rPr>
          <w:rFonts w:asciiTheme="minorHAnsi" w:hAnsiTheme="minorHAnsi" w:cs="Arial"/>
          <w:lang w:val="pl-PL"/>
        </w:rPr>
        <w:t>u ukupnoj</w:t>
      </w:r>
      <w:r w:rsidR="00F627F3" w:rsidRPr="001B782B">
        <w:rPr>
          <w:rFonts w:asciiTheme="minorHAnsi" w:hAnsiTheme="minorHAnsi" w:cs="Arial"/>
          <w:lang w:val="pl-PL"/>
        </w:rPr>
        <w:t xml:space="preserve"> vrijednosti novozaključenih ugovora.</w:t>
      </w:r>
      <w:r w:rsidR="00742188" w:rsidRPr="001B782B">
        <w:rPr>
          <w:rStyle w:val="FootnoteReference"/>
          <w:rFonts w:asciiTheme="minorHAnsi" w:hAnsiTheme="minorHAnsi" w:cs="Arial"/>
        </w:rPr>
        <w:footnoteReference w:id="2"/>
      </w:r>
    </w:p>
    <w:p w:rsidR="00BC0011" w:rsidRPr="001B782B" w:rsidRDefault="00BC0011" w:rsidP="00BC0011">
      <w:pPr>
        <w:spacing w:after="120"/>
        <w:jc w:val="both"/>
        <w:rPr>
          <w:rFonts w:asciiTheme="minorHAnsi" w:hAnsiTheme="minorHAnsi" w:cs="Arial"/>
          <w:lang w:val="pl-PL"/>
        </w:rPr>
      </w:pPr>
    </w:p>
    <w:p w:rsidR="00074516" w:rsidRPr="001B782B" w:rsidRDefault="00074516" w:rsidP="00BC0011">
      <w:pPr>
        <w:spacing w:after="120"/>
        <w:jc w:val="both"/>
        <w:rPr>
          <w:rFonts w:asciiTheme="minorHAnsi" w:hAnsiTheme="minorHAnsi" w:cs="Arial"/>
          <w:lang w:val="pl-PL"/>
        </w:rPr>
      </w:pPr>
    </w:p>
    <w:p w:rsidR="005F2CA8" w:rsidRPr="00DF7FF8" w:rsidRDefault="005F2CA8" w:rsidP="005F2CA8">
      <w:pPr>
        <w:jc w:val="both"/>
        <w:rPr>
          <w:rFonts w:ascii="Calibri" w:hAnsi="Calibri" w:cs="Arial"/>
          <w:i/>
          <w:lang w:val="pl-PL"/>
        </w:rPr>
      </w:pPr>
      <w:r w:rsidRPr="00DF7FF8">
        <w:rPr>
          <w:rFonts w:ascii="Calibri" w:hAnsi="Calibri" w:cs="Arial"/>
          <w:i/>
          <w:lang w:val="pl-PL"/>
        </w:rPr>
        <w:lastRenderedPageBreak/>
        <w:t>Tabela 4: Po tipu lizinga novozaključeni plasmani</w:t>
      </w:r>
    </w:p>
    <w:tbl>
      <w:tblPr>
        <w:tblW w:w="11559" w:type="dxa"/>
        <w:tblInd w:w="-830" w:type="dxa"/>
        <w:tblCellMar>
          <w:left w:w="70" w:type="dxa"/>
          <w:right w:w="70" w:type="dxa"/>
        </w:tblCellMar>
        <w:tblLook w:val="04A0"/>
      </w:tblPr>
      <w:tblGrid>
        <w:gridCol w:w="1184"/>
        <w:gridCol w:w="1156"/>
        <w:gridCol w:w="641"/>
        <w:gridCol w:w="1439"/>
        <w:gridCol w:w="720"/>
        <w:gridCol w:w="1164"/>
        <w:gridCol w:w="727"/>
        <w:gridCol w:w="1440"/>
        <w:gridCol w:w="699"/>
        <w:gridCol w:w="1079"/>
        <w:gridCol w:w="1329"/>
      </w:tblGrid>
      <w:tr w:rsidR="005F2CA8" w:rsidRPr="00074516" w:rsidTr="00ED5CA6">
        <w:trPr>
          <w:trHeight w:val="823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 </w:t>
            </w:r>
          </w:p>
        </w:tc>
        <w:tc>
          <w:tcPr>
            <w:tcW w:w="3937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Novozaključeni ugovori u razdoblju</w:t>
            </w:r>
          </w:p>
          <w:p w:rsidR="005F2CA8" w:rsidRPr="00074516" w:rsidRDefault="00D67266" w:rsidP="005E387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</w:t>
            </w:r>
            <w:r w:rsidR="005F2CA8"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kvartal 201</w:t>
            </w:r>
            <w:r w:rsidR="005E387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0" w:type="dxa"/>
            <w:gridSpan w:val="4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Novozaključeni ugovori u razdoblju</w:t>
            </w:r>
          </w:p>
          <w:p w:rsidR="005F2CA8" w:rsidRPr="00074516" w:rsidRDefault="005F2CA8" w:rsidP="005E387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II kvartal 201</w:t>
            </w:r>
            <w:r w:rsidR="005E387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Stopa rasta</w:t>
            </w:r>
          </w:p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(broj)</w:t>
            </w:r>
          </w:p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 xml:space="preserve"> (3)/ (1)</w:t>
            </w:r>
          </w:p>
        </w:tc>
        <w:tc>
          <w:tcPr>
            <w:tcW w:w="132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Stopa rasta</w:t>
            </w:r>
          </w:p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 xml:space="preserve"> (vrijednost)</w:t>
            </w:r>
          </w:p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(4)/(2)</w:t>
            </w:r>
          </w:p>
        </w:tc>
      </w:tr>
      <w:tr w:rsidR="005F2CA8" w:rsidRPr="00074516" w:rsidTr="00ED5CA6">
        <w:trPr>
          <w:trHeight w:val="676"/>
        </w:trPr>
        <w:tc>
          <w:tcPr>
            <w:tcW w:w="1184" w:type="dxa"/>
            <w:tcBorders>
              <w:top w:val="nil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Tip lizinga</w:t>
            </w:r>
          </w:p>
        </w:tc>
        <w:tc>
          <w:tcPr>
            <w:tcW w:w="115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Broj zaključenih ugovora (1)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Vrijednost zaključenih ugovora (2)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Broj zaključenih ugovora (3)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Vrijednost zaključenih ugovora (4)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shd w:val="clear" w:color="auto" w:fill="4BACC6"/>
            <w:noWrap/>
            <w:vAlign w:val="center"/>
            <w:hideMark/>
          </w:tcPr>
          <w:p w:rsidR="005F2CA8" w:rsidRPr="00074516" w:rsidRDefault="005F2CA8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74516">
              <w:rPr>
                <w:rFonts w:asciiTheme="minorHAnsi" w:hAnsiTheme="minorHAnsi" w:cs="Arial"/>
                <w:b/>
                <w:sz w:val="20"/>
                <w:szCs w:val="20"/>
              </w:rPr>
              <w:t>%</w:t>
            </w:r>
          </w:p>
        </w:tc>
      </w:tr>
      <w:tr w:rsidR="005E3876" w:rsidRPr="00F3796F" w:rsidTr="00ED5CA6">
        <w:trPr>
          <w:trHeight w:val="488"/>
        </w:trPr>
        <w:tc>
          <w:tcPr>
            <w:tcW w:w="1184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:rsidR="005E3876" w:rsidRPr="00F3796F" w:rsidRDefault="005E3876" w:rsidP="0096282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3796F">
              <w:rPr>
                <w:rFonts w:asciiTheme="minorHAnsi" w:hAnsiTheme="minorHAnsi" w:cs="Arial"/>
                <w:sz w:val="20"/>
                <w:szCs w:val="20"/>
              </w:rPr>
              <w:t xml:space="preserve">Operativni lizing 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 xml:space="preserve">86 </w:t>
            </w:r>
          </w:p>
        </w:tc>
        <w:tc>
          <w:tcPr>
            <w:tcW w:w="6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39,3 </w:t>
            </w:r>
          </w:p>
        </w:tc>
        <w:tc>
          <w:tcPr>
            <w:tcW w:w="14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1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156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733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,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36,5 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F3796F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2</w:t>
            </w:r>
            <w:r w:rsidR="005E3876" w:rsidRPr="00F3796F">
              <w:rPr>
                <w:rFonts w:asciiTheme="minorHAnsi" w:hAnsiTheme="minorHAnsi"/>
                <w:sz w:val="20"/>
                <w:szCs w:val="20"/>
              </w:rPr>
              <w:t xml:space="preserve">27 </w:t>
            </w:r>
          </w:p>
        </w:tc>
        <w:tc>
          <w:tcPr>
            <w:tcW w:w="7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45%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4C54D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2</w:t>
            </w:r>
            <w:r w:rsidR="004C54DB">
              <w:rPr>
                <w:rFonts w:asciiTheme="minorHAnsi" w:hAnsiTheme="minorHAnsi"/>
                <w:sz w:val="20"/>
                <w:szCs w:val="20"/>
              </w:rPr>
              <w:t>.845.671,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9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40%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F3796F" w:rsidP="00F379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163,9</w:t>
            </w:r>
          </w:p>
        </w:tc>
        <w:tc>
          <w:tcPr>
            <w:tcW w:w="1329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5E3876" w:rsidRPr="00F3796F" w:rsidRDefault="00ED5CA6" w:rsidP="00F3796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146,0</w:t>
            </w:r>
          </w:p>
        </w:tc>
      </w:tr>
      <w:tr w:rsidR="005E3876" w:rsidRPr="00F3796F" w:rsidTr="00ED5CA6">
        <w:trPr>
          <w:trHeight w:val="488"/>
        </w:trPr>
        <w:tc>
          <w:tcPr>
            <w:tcW w:w="1184" w:type="dxa"/>
            <w:tcBorders>
              <w:top w:val="nil"/>
              <w:left w:val="doub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:rsidR="005E3876" w:rsidRPr="00F3796F" w:rsidRDefault="005E3876" w:rsidP="0096282B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F3796F">
              <w:rPr>
                <w:rFonts w:asciiTheme="minorHAnsi" w:hAnsiTheme="minorHAnsi" w:cs="Arial"/>
                <w:sz w:val="20"/>
                <w:szCs w:val="20"/>
              </w:rPr>
              <w:t>Finansijski lizing</w:t>
            </w:r>
          </w:p>
        </w:tc>
        <w:tc>
          <w:tcPr>
            <w:tcW w:w="1156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 xml:space="preserve">      133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60,7 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2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009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116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,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63,5 </w:t>
            </w:r>
          </w:p>
        </w:tc>
        <w:tc>
          <w:tcPr>
            <w:tcW w:w="1164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 xml:space="preserve"> 276 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55%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5E3876" w:rsidP="004C54D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4</w:t>
            </w:r>
            <w:r w:rsidR="004C54DB">
              <w:rPr>
                <w:rFonts w:asciiTheme="minorHAnsi" w:hAnsiTheme="minorHAnsi"/>
                <w:sz w:val="20"/>
                <w:szCs w:val="20"/>
              </w:rPr>
              <w:t>.209.597,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6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60%</w:t>
            </w:r>
          </w:p>
        </w:tc>
        <w:tc>
          <w:tcPr>
            <w:tcW w:w="107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5E3876" w:rsidRPr="00F3796F" w:rsidRDefault="00ED5CA6" w:rsidP="00F379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107,5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18" w:space="0" w:color="auto"/>
              <w:right w:val="double" w:sz="4" w:space="0" w:color="auto"/>
            </w:tcBorders>
            <w:noWrap/>
            <w:vAlign w:val="center"/>
          </w:tcPr>
          <w:p w:rsidR="005E3876" w:rsidRPr="00F3796F" w:rsidRDefault="00ED5CA6" w:rsidP="00F3796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109,5</w:t>
            </w:r>
          </w:p>
        </w:tc>
      </w:tr>
      <w:tr w:rsidR="005E3876" w:rsidRPr="00F3796F" w:rsidTr="00ED5CA6">
        <w:trPr>
          <w:trHeight w:val="489"/>
        </w:trPr>
        <w:tc>
          <w:tcPr>
            <w:tcW w:w="118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  <w:hideMark/>
          </w:tcPr>
          <w:p w:rsidR="005E3876" w:rsidRPr="00F3796F" w:rsidRDefault="005E3876" w:rsidP="0007451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3796F">
              <w:rPr>
                <w:rFonts w:asciiTheme="minorHAnsi" w:hAnsiTheme="minorHAnsi" w:cs="Arial"/>
                <w:b/>
                <w:sz w:val="20"/>
                <w:szCs w:val="20"/>
              </w:rPr>
              <w:t>Ukupno:</w:t>
            </w:r>
          </w:p>
        </w:tc>
        <w:tc>
          <w:tcPr>
            <w:tcW w:w="11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 xml:space="preserve">            219 </w:t>
            </w:r>
          </w:p>
        </w:tc>
        <w:tc>
          <w:tcPr>
            <w:tcW w:w="622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100,0 </w:t>
            </w:r>
          </w:p>
        </w:tc>
        <w:tc>
          <w:tcPr>
            <w:tcW w:w="1439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3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165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850</w:t>
            </w:r>
            <w:r w:rsidR="00F3796F" w:rsidRPr="00F3796F">
              <w:rPr>
                <w:rFonts w:asciiTheme="minorHAnsi" w:hAnsiTheme="minorHAnsi"/>
                <w:sz w:val="20"/>
                <w:szCs w:val="20"/>
              </w:rPr>
              <w:t>,</w:t>
            </w:r>
            <w:r w:rsidRPr="00F3796F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5E3876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F3796F">
              <w:rPr>
                <w:rFonts w:asciiTheme="minorHAnsi" w:hAnsiTheme="minorHAnsi"/>
                <w:sz w:val="20"/>
                <w:szCs w:val="20"/>
              </w:rPr>
              <w:t>100,0 </w:t>
            </w:r>
          </w:p>
        </w:tc>
        <w:tc>
          <w:tcPr>
            <w:tcW w:w="116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503 </w:t>
            </w:r>
          </w:p>
        </w:tc>
        <w:tc>
          <w:tcPr>
            <w:tcW w:w="727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4C54D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="004C54DB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055</w:t>
            </w:r>
            <w:r w:rsidR="004C54DB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268</w:t>
            </w:r>
            <w:r w:rsidR="004C54DB">
              <w:rPr>
                <w:rFonts w:asciiTheme="minorHAnsi" w:hAnsiTheme="minorHAnsi"/>
                <w:b/>
                <w:bCs/>
                <w:sz w:val="20"/>
                <w:szCs w:val="20"/>
              </w:rPr>
              <w:t>,</w:t>
            </w: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5E3876" w:rsidP="00F3796F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796F">
              <w:rPr>
                <w:rFonts w:asciiTheme="minorHAnsi" w:hAnsi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ED5CA6" w:rsidP="00F3796F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129,7</w:t>
            </w:r>
          </w:p>
        </w:tc>
        <w:tc>
          <w:tcPr>
            <w:tcW w:w="1329" w:type="dxa"/>
            <w:tcBorders>
              <w:top w:val="single" w:sz="1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/>
            <w:noWrap/>
            <w:vAlign w:val="center"/>
          </w:tcPr>
          <w:p w:rsidR="005E3876" w:rsidRPr="00F3796F" w:rsidRDefault="00ED5CA6" w:rsidP="00F3796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122,9</w:t>
            </w:r>
          </w:p>
        </w:tc>
      </w:tr>
    </w:tbl>
    <w:p w:rsidR="004C3F41" w:rsidRPr="001B782B" w:rsidRDefault="004C3F41">
      <w:pPr>
        <w:spacing w:before="120"/>
        <w:jc w:val="both"/>
        <w:rPr>
          <w:rFonts w:asciiTheme="minorHAnsi" w:hAnsiTheme="minorHAnsi" w:cs="Arial"/>
          <w:b/>
        </w:rPr>
      </w:pPr>
    </w:p>
    <w:p w:rsidR="008D2635" w:rsidRPr="001B782B" w:rsidRDefault="008D2635">
      <w:pPr>
        <w:spacing w:before="120"/>
        <w:jc w:val="both"/>
        <w:rPr>
          <w:rFonts w:asciiTheme="minorHAnsi" w:hAnsiTheme="minorHAnsi" w:cs="Arial"/>
          <w:b/>
        </w:rPr>
      </w:pPr>
    </w:p>
    <w:p w:rsidR="00DF0E28" w:rsidRPr="001B782B" w:rsidRDefault="00DF0E28" w:rsidP="008A5207">
      <w:pPr>
        <w:pBdr>
          <w:bottom w:val="single" w:sz="6" w:space="1" w:color="auto"/>
        </w:pBdr>
        <w:jc w:val="both"/>
        <w:rPr>
          <w:rFonts w:asciiTheme="minorHAnsi" w:hAnsiTheme="minorHAnsi" w:cs="Arial"/>
          <w:b/>
        </w:rPr>
      </w:pPr>
      <w:r w:rsidRPr="001B782B">
        <w:rPr>
          <w:rFonts w:asciiTheme="minorHAnsi" w:hAnsiTheme="minorHAnsi" w:cs="Arial"/>
          <w:b/>
        </w:rPr>
        <w:t>Predmet lizinga</w:t>
      </w:r>
    </w:p>
    <w:p w:rsidR="00DF0E28" w:rsidRPr="001B782B" w:rsidRDefault="00DF0E28" w:rsidP="00DF0E28">
      <w:pPr>
        <w:jc w:val="both"/>
        <w:rPr>
          <w:rFonts w:asciiTheme="minorHAnsi" w:hAnsiTheme="minorHAnsi" w:cs="Arial"/>
          <w:i/>
        </w:rPr>
      </w:pPr>
    </w:p>
    <w:p w:rsidR="008D2635" w:rsidRPr="001B782B" w:rsidRDefault="0063365B" w:rsidP="00742188">
      <w:pPr>
        <w:spacing w:line="276" w:lineRule="auto"/>
        <w:jc w:val="both"/>
        <w:rPr>
          <w:rFonts w:asciiTheme="minorHAnsi" w:hAnsiTheme="minorHAnsi" w:cs="Arial"/>
        </w:rPr>
      </w:pPr>
      <w:r w:rsidRPr="001B782B">
        <w:rPr>
          <w:rFonts w:asciiTheme="minorHAnsi" w:hAnsiTheme="minorHAnsi" w:cs="Arial"/>
        </w:rPr>
        <w:t>Kada je u pitanju predmet</w:t>
      </w:r>
      <w:r w:rsidR="00DF0E28" w:rsidRPr="001B782B">
        <w:rPr>
          <w:rFonts w:asciiTheme="minorHAnsi" w:hAnsiTheme="minorHAnsi" w:cs="Arial"/>
        </w:rPr>
        <w:t xml:space="preserve"> lizinga, </w:t>
      </w:r>
      <w:r w:rsidR="00372B16" w:rsidRPr="001B782B">
        <w:rPr>
          <w:rFonts w:asciiTheme="minorHAnsi" w:hAnsiTheme="minorHAnsi" w:cs="Arial"/>
        </w:rPr>
        <w:t xml:space="preserve">evidentno je da </w:t>
      </w:r>
      <w:r w:rsidR="00DF0E28" w:rsidRPr="001B782B">
        <w:rPr>
          <w:rFonts w:asciiTheme="minorHAnsi" w:hAnsiTheme="minorHAnsi" w:cs="Arial"/>
        </w:rPr>
        <w:t xml:space="preserve">putnički automobili </w:t>
      </w:r>
      <w:r w:rsidR="004C3F41" w:rsidRPr="001B782B">
        <w:rPr>
          <w:rFonts w:asciiTheme="minorHAnsi" w:hAnsiTheme="minorHAnsi" w:cs="Arial"/>
        </w:rPr>
        <w:t xml:space="preserve">konstantno </w:t>
      </w:r>
      <w:r w:rsidR="00DF0E28" w:rsidRPr="001B782B">
        <w:rPr>
          <w:rFonts w:asciiTheme="minorHAnsi" w:hAnsiTheme="minorHAnsi" w:cs="Arial"/>
        </w:rPr>
        <w:t xml:space="preserve">imaju najveći udio </w:t>
      </w:r>
      <w:r w:rsidR="0092640B" w:rsidRPr="001B782B">
        <w:rPr>
          <w:rFonts w:asciiTheme="minorHAnsi" w:hAnsiTheme="minorHAnsi" w:cs="Arial"/>
        </w:rPr>
        <w:t xml:space="preserve">i to </w:t>
      </w:r>
      <w:r w:rsidR="00DF0E28" w:rsidRPr="001B782B">
        <w:rPr>
          <w:rFonts w:asciiTheme="minorHAnsi" w:hAnsiTheme="minorHAnsi" w:cs="Arial"/>
        </w:rPr>
        <w:t xml:space="preserve">od oko </w:t>
      </w:r>
      <w:r w:rsidR="000D54AA">
        <w:rPr>
          <w:rFonts w:asciiTheme="minorHAnsi" w:hAnsiTheme="minorHAnsi" w:cs="Arial"/>
        </w:rPr>
        <w:t>94,8</w:t>
      </w:r>
      <w:r w:rsidR="00DF0E28" w:rsidRPr="001B782B">
        <w:rPr>
          <w:rFonts w:asciiTheme="minorHAnsi" w:hAnsiTheme="minorHAnsi" w:cs="Arial"/>
        </w:rPr>
        <w:t xml:space="preserve">% u ukupnom iznosu lizing plasmana. </w:t>
      </w:r>
      <w:r w:rsidR="004C3F41" w:rsidRPr="001B782B">
        <w:rPr>
          <w:rFonts w:asciiTheme="minorHAnsi" w:hAnsiTheme="minorHAnsi" w:cs="Arial"/>
        </w:rPr>
        <w:t xml:space="preserve">U odnosu na prethodni kvartal </w:t>
      </w:r>
      <w:r w:rsidR="00372B16" w:rsidRPr="001B782B">
        <w:rPr>
          <w:rFonts w:asciiTheme="minorHAnsi" w:hAnsiTheme="minorHAnsi" w:cs="Arial"/>
        </w:rPr>
        <w:t xml:space="preserve">značajno je </w:t>
      </w:r>
      <w:r w:rsidR="000D54AA">
        <w:rPr>
          <w:rFonts w:asciiTheme="minorHAnsi" w:hAnsiTheme="minorHAnsi" w:cs="Arial"/>
        </w:rPr>
        <w:t>više</w:t>
      </w:r>
      <w:r w:rsidR="00372B16" w:rsidRPr="001B782B">
        <w:rPr>
          <w:rFonts w:asciiTheme="minorHAnsi" w:hAnsiTheme="minorHAnsi" w:cs="Arial"/>
        </w:rPr>
        <w:t xml:space="preserve"> sklopljenih ug</w:t>
      </w:r>
      <w:r w:rsidR="004C3F41" w:rsidRPr="001B782B">
        <w:rPr>
          <w:rFonts w:asciiTheme="minorHAnsi" w:hAnsiTheme="minorHAnsi" w:cs="Arial"/>
        </w:rPr>
        <w:t>ovora u vezi sa putničkim automobilima i to</w:t>
      </w:r>
      <w:r w:rsidR="00372B16" w:rsidRPr="001B782B">
        <w:rPr>
          <w:rFonts w:asciiTheme="minorHAnsi" w:hAnsiTheme="minorHAnsi" w:cs="Arial"/>
        </w:rPr>
        <w:t xml:space="preserve"> za oko </w:t>
      </w:r>
      <w:r w:rsidR="000D54AA">
        <w:rPr>
          <w:rFonts w:asciiTheme="minorHAnsi" w:hAnsiTheme="minorHAnsi" w:cs="Arial"/>
        </w:rPr>
        <w:t>136,1</w:t>
      </w:r>
      <w:r w:rsidR="00372B16" w:rsidRPr="001B782B">
        <w:rPr>
          <w:rFonts w:asciiTheme="minorHAnsi" w:hAnsiTheme="minorHAnsi" w:cs="Arial"/>
        </w:rPr>
        <w:t xml:space="preserve">%, </w:t>
      </w:r>
      <w:r w:rsidR="000D54AA">
        <w:rPr>
          <w:rFonts w:asciiTheme="minorHAnsi" w:hAnsiTheme="minorHAnsi" w:cs="Arial"/>
        </w:rPr>
        <w:t>a</w:t>
      </w:r>
      <w:r w:rsidR="00B00684" w:rsidRPr="001B782B">
        <w:rPr>
          <w:rFonts w:asciiTheme="minorHAnsi" w:hAnsiTheme="minorHAnsi" w:cs="Arial"/>
        </w:rPr>
        <w:t xml:space="preserve"> sklopljeno </w:t>
      </w:r>
      <w:r w:rsidR="000D54AA">
        <w:rPr>
          <w:rFonts w:asciiTheme="minorHAnsi" w:hAnsiTheme="minorHAnsi" w:cs="Arial"/>
        </w:rPr>
        <w:t>je i 64,3</w:t>
      </w:r>
      <w:r w:rsidR="00B00684" w:rsidRPr="001B782B">
        <w:rPr>
          <w:rFonts w:asciiTheme="minorHAnsi" w:hAnsiTheme="minorHAnsi" w:cs="Arial"/>
        </w:rPr>
        <w:t xml:space="preserve">% više ugovora u vezi sa komercijalnim vozilima i </w:t>
      </w:r>
      <w:r w:rsidR="000D54AA">
        <w:rPr>
          <w:rFonts w:asciiTheme="minorHAnsi" w:hAnsiTheme="minorHAnsi" w:cs="Arial"/>
        </w:rPr>
        <w:t>33,3</w:t>
      </w:r>
      <w:r w:rsidR="00B00684" w:rsidRPr="001B782B">
        <w:rPr>
          <w:rFonts w:asciiTheme="minorHAnsi" w:hAnsiTheme="minorHAnsi" w:cs="Arial"/>
        </w:rPr>
        <w:t xml:space="preserve">% </w:t>
      </w:r>
      <w:r w:rsidR="000D54AA">
        <w:rPr>
          <w:rFonts w:asciiTheme="minorHAnsi" w:hAnsiTheme="minorHAnsi" w:cs="Arial"/>
        </w:rPr>
        <w:t>manje</w:t>
      </w:r>
      <w:r w:rsidR="00B00684" w:rsidRPr="001B782B">
        <w:rPr>
          <w:rFonts w:asciiTheme="minorHAnsi" w:hAnsiTheme="minorHAnsi" w:cs="Arial"/>
        </w:rPr>
        <w:t xml:space="preserve"> u vezi sa građevinskim mašinama i opremom.</w:t>
      </w:r>
      <w:r w:rsidR="004C3F41" w:rsidRPr="001B782B">
        <w:rPr>
          <w:rFonts w:asciiTheme="minorHAnsi" w:hAnsiTheme="minorHAnsi" w:cs="Arial"/>
        </w:rPr>
        <w:t xml:space="preserve"> </w:t>
      </w:r>
    </w:p>
    <w:p w:rsidR="00145921" w:rsidRPr="001B782B" w:rsidRDefault="00145921" w:rsidP="00145921">
      <w:pPr>
        <w:spacing w:line="276" w:lineRule="auto"/>
        <w:jc w:val="both"/>
        <w:rPr>
          <w:rFonts w:asciiTheme="minorHAnsi" w:hAnsiTheme="minorHAnsi" w:cs="Arial"/>
        </w:rPr>
      </w:pPr>
    </w:p>
    <w:p w:rsidR="0092640B" w:rsidRPr="001B782B" w:rsidRDefault="0092640B" w:rsidP="0092640B">
      <w:pPr>
        <w:jc w:val="both"/>
        <w:outlineLvl w:val="0"/>
        <w:rPr>
          <w:rFonts w:asciiTheme="minorHAnsi" w:hAnsiTheme="minorHAnsi" w:cs="Arial"/>
          <w:i/>
        </w:rPr>
      </w:pPr>
      <w:r w:rsidRPr="001B782B">
        <w:rPr>
          <w:rFonts w:asciiTheme="minorHAnsi" w:hAnsiTheme="minorHAnsi" w:cs="Arial"/>
          <w:i/>
        </w:rPr>
        <w:t>Tabela 5: Struktura broja novozaključenih plasmana prema predmetu lizinga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607"/>
        <w:gridCol w:w="1803"/>
        <w:gridCol w:w="992"/>
        <w:gridCol w:w="1843"/>
        <w:gridCol w:w="992"/>
        <w:gridCol w:w="1134"/>
      </w:tblGrid>
      <w:tr w:rsidR="0092640B" w:rsidRPr="00B00684" w:rsidTr="0096282B">
        <w:trPr>
          <w:trHeight w:val="255"/>
        </w:trPr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</w:rPr>
              <w:t> </w:t>
            </w:r>
          </w:p>
        </w:tc>
        <w:tc>
          <w:tcPr>
            <w:tcW w:w="676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0068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Novozaključeni ugovori</w:t>
            </w:r>
          </w:p>
        </w:tc>
      </w:tr>
      <w:tr w:rsidR="0092640B" w:rsidRPr="00B00684" w:rsidTr="0096282B">
        <w:trPr>
          <w:trHeight w:val="450"/>
        </w:trPr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Predmet</w:t>
            </w:r>
            <w:proofErr w:type="spellEnd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lizinga</w:t>
            </w:r>
            <w:proofErr w:type="spellEnd"/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0068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Broj novo</w:t>
            </w:r>
            <w:r w:rsidR="007E2D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zakljčenih ugovora u razdoblju </w:t>
            </w:r>
            <w:r w:rsidRPr="00B0068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 kvartal 20</w:t>
            </w:r>
            <w:r w:rsidR="007E2D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17</w:t>
            </w:r>
          </w:p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(1)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B0068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Broj novoz</w:t>
            </w:r>
            <w:r w:rsidR="007E2D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akljčenih ugovora u razdoblju I</w:t>
            </w:r>
            <w:r w:rsidRPr="00B00684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 kvartal 201</w:t>
            </w:r>
            <w:r w:rsidR="007E2D7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7</w:t>
            </w:r>
          </w:p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(2)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4BACC6"/>
            <w:vAlign w:val="bottom"/>
          </w:tcPr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proofErr w:type="spellStart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Stopa</w:t>
            </w:r>
            <w:proofErr w:type="spellEnd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rasta</w:t>
            </w:r>
            <w:proofErr w:type="spellEnd"/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/pada</w:t>
            </w:r>
          </w:p>
          <w:p w:rsidR="0092640B" w:rsidRPr="00B00684" w:rsidRDefault="0092640B" w:rsidP="0096282B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</w:pPr>
            <w:r w:rsidRPr="00B00684">
              <w:rPr>
                <w:rFonts w:asciiTheme="minorHAnsi" w:hAnsiTheme="minorHAnsi" w:cs="Arial"/>
                <w:b/>
                <w:sz w:val="20"/>
                <w:szCs w:val="20"/>
                <w:lang w:val="es-ES"/>
              </w:rPr>
              <w:t>(2)/(1)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>Putnički</w:t>
            </w:r>
            <w:proofErr w:type="spellEnd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>automobili</w:t>
            </w:r>
            <w:proofErr w:type="spellEnd"/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202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92,2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477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136,1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>Privredna</w:t>
            </w:r>
            <w:proofErr w:type="spellEnd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 </w:t>
            </w: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s-ES"/>
              </w:rPr>
              <w:t>vozila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64,3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7E2D7B">
              <w:rPr>
                <w:rFonts w:asciiTheme="minorHAnsi" w:hAnsiTheme="minorHAnsi" w:cs="Arial"/>
                <w:sz w:val="20"/>
                <w:szCs w:val="20"/>
                <w:lang w:val="pl-PL"/>
              </w:rPr>
              <w:t>Građ</w:t>
            </w: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evinske</w:t>
            </w:r>
            <w:proofErr w:type="spellEnd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mašine</w:t>
            </w:r>
            <w:proofErr w:type="spellEnd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oprema</w:t>
            </w:r>
            <w:proofErr w:type="spellEnd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Cs/>
                <w:sz w:val="20"/>
                <w:szCs w:val="20"/>
              </w:rPr>
              <w:t>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-33,3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Brodovi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E2D7B">
              <w:rPr>
                <w:rFonts w:asciiTheme="minorHAnsi" w:hAnsiTheme="minorHAnsi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Nekretnine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7E2D7B" w:rsidRPr="007E2D7B" w:rsidTr="007E2D7B">
        <w:trPr>
          <w:trHeight w:val="283"/>
        </w:trPr>
        <w:tc>
          <w:tcPr>
            <w:tcW w:w="260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7E2D7B">
              <w:rPr>
                <w:rFonts w:asciiTheme="minorHAnsi" w:hAnsiTheme="minorHAnsi" w:cs="Arial"/>
                <w:sz w:val="20"/>
                <w:szCs w:val="20"/>
                <w:lang w:val="en-US"/>
              </w:rPr>
              <w:t>Ostalo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7E2D7B" w:rsidRPr="007E2D7B" w:rsidTr="007E2D7B">
        <w:trPr>
          <w:trHeight w:val="255"/>
        </w:trPr>
        <w:tc>
          <w:tcPr>
            <w:tcW w:w="2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7E2D7B" w:rsidP="0096282B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r w:rsidRPr="007E2D7B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Ukupno</w:t>
            </w:r>
            <w:proofErr w:type="spellEnd"/>
          </w:p>
        </w:tc>
        <w:tc>
          <w:tcPr>
            <w:tcW w:w="18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/>
                <w:bCs/>
                <w:sz w:val="20"/>
                <w:szCs w:val="20"/>
              </w:rPr>
              <w:t>219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E2D7B">
              <w:rPr>
                <w:rFonts w:ascii="Calibri" w:hAnsi="Calibri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2D7B">
              <w:rPr>
                <w:rFonts w:asciiTheme="minorHAnsi" w:hAnsiTheme="minorHAnsi"/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7E2D7B" w:rsidP="007E2D7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E2D7B">
              <w:rPr>
                <w:rFonts w:asciiTheme="minorHAnsi" w:hAnsiTheme="minorHAnsi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/>
            <w:noWrap/>
            <w:vAlign w:val="center"/>
          </w:tcPr>
          <w:p w:rsidR="007E2D7B" w:rsidRPr="007E2D7B" w:rsidRDefault="000D54AA" w:rsidP="007E2D7B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129,7</w:t>
            </w:r>
          </w:p>
        </w:tc>
      </w:tr>
    </w:tbl>
    <w:p w:rsidR="0092640B" w:rsidRDefault="0092640B" w:rsidP="00DF0E28">
      <w:pPr>
        <w:jc w:val="both"/>
        <w:rPr>
          <w:rFonts w:ascii="Arial" w:hAnsi="Arial" w:cs="Arial"/>
          <w:i/>
          <w:sz w:val="20"/>
          <w:szCs w:val="20"/>
        </w:rPr>
      </w:pPr>
    </w:p>
    <w:p w:rsidR="00BE41D3" w:rsidRDefault="00BE41D3" w:rsidP="00DF0E2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 ukupnoj vrijednosti sklopljenih ugovora, ugovori sklopljeni u vezi sa putničkim automobilima čine </w:t>
      </w:r>
      <w:r w:rsidR="000D54AA">
        <w:rPr>
          <w:rFonts w:ascii="Calibri" w:hAnsi="Calibri" w:cs="Arial"/>
        </w:rPr>
        <w:t>87,9</w:t>
      </w:r>
      <w:r>
        <w:rPr>
          <w:rFonts w:ascii="Calibri" w:hAnsi="Calibri" w:cs="Arial"/>
        </w:rPr>
        <w:t>%.</w:t>
      </w:r>
    </w:p>
    <w:p w:rsidR="00B00684" w:rsidRDefault="00B00684" w:rsidP="00DF0E28">
      <w:pPr>
        <w:jc w:val="both"/>
        <w:rPr>
          <w:rFonts w:ascii="Calibri" w:hAnsi="Calibri" w:cs="Arial"/>
        </w:rPr>
      </w:pPr>
    </w:p>
    <w:p w:rsidR="00B00684" w:rsidRDefault="00B00684" w:rsidP="00DF0E28">
      <w:pPr>
        <w:jc w:val="both"/>
        <w:rPr>
          <w:rFonts w:ascii="Calibri" w:hAnsi="Calibri" w:cs="Arial"/>
        </w:rPr>
      </w:pPr>
    </w:p>
    <w:p w:rsidR="00B00684" w:rsidRDefault="00B00684" w:rsidP="00DF0E28">
      <w:pPr>
        <w:jc w:val="both"/>
        <w:rPr>
          <w:rFonts w:ascii="Calibri" w:hAnsi="Calibri" w:cs="Arial"/>
        </w:rPr>
      </w:pPr>
    </w:p>
    <w:p w:rsidR="00B00684" w:rsidRDefault="00B00684" w:rsidP="00DF0E28">
      <w:pPr>
        <w:jc w:val="both"/>
        <w:rPr>
          <w:rFonts w:ascii="Calibri" w:hAnsi="Calibri" w:cs="Arial"/>
        </w:rPr>
      </w:pPr>
    </w:p>
    <w:p w:rsidR="00BE41D3" w:rsidRDefault="00BE41D3" w:rsidP="00DF0E28">
      <w:pPr>
        <w:jc w:val="both"/>
        <w:rPr>
          <w:rFonts w:ascii="Arial" w:hAnsi="Arial" w:cs="Arial"/>
          <w:i/>
          <w:sz w:val="20"/>
          <w:szCs w:val="20"/>
        </w:rPr>
      </w:pPr>
    </w:p>
    <w:p w:rsidR="00BE41D3" w:rsidRPr="00DF7FF8" w:rsidRDefault="00BE41D3" w:rsidP="00BE41D3">
      <w:pPr>
        <w:jc w:val="both"/>
        <w:outlineLvl w:val="0"/>
        <w:rPr>
          <w:rFonts w:ascii="Calibri" w:hAnsi="Calibri" w:cs="Arial"/>
          <w:i/>
        </w:rPr>
      </w:pPr>
      <w:r w:rsidRPr="00DF7FF8">
        <w:rPr>
          <w:rFonts w:ascii="Calibri" w:hAnsi="Calibri" w:cs="Arial"/>
          <w:i/>
        </w:rPr>
        <w:t>Tabela 6: Struktura vrijednosti novozaključenih plasmana prema predmetu lizinga</w:t>
      </w:r>
    </w:p>
    <w:tbl>
      <w:tblPr>
        <w:tblW w:w="944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2567"/>
        <w:gridCol w:w="1843"/>
        <w:gridCol w:w="992"/>
        <w:gridCol w:w="1843"/>
        <w:gridCol w:w="992"/>
        <w:gridCol w:w="1208"/>
      </w:tblGrid>
      <w:tr w:rsidR="00BE41D3" w:rsidRPr="001B782B" w:rsidTr="0096282B">
        <w:trPr>
          <w:trHeight w:val="255"/>
        </w:trPr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BE41D3" w:rsidRPr="001B782B" w:rsidRDefault="00BE41D3" w:rsidP="0096282B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</w:rPr>
              <w:t> </w:t>
            </w:r>
          </w:p>
        </w:tc>
        <w:tc>
          <w:tcPr>
            <w:tcW w:w="6878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4BACC6"/>
            <w:noWrap/>
            <w:vAlign w:val="bottom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Vrijednost </w:t>
            </w:r>
            <w:r w:rsidRPr="001B782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novozaključenih ugovora</w:t>
            </w: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  <w:t xml:space="preserve"> (€) u periodu: </w:t>
            </w:r>
          </w:p>
        </w:tc>
      </w:tr>
      <w:tr w:rsidR="00BE41D3" w:rsidRPr="001B782B" w:rsidTr="0096282B">
        <w:trPr>
          <w:trHeight w:val="966"/>
        </w:trPr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</w:pPr>
            <w:proofErr w:type="spellStart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Predmet</w:t>
            </w:r>
            <w:proofErr w:type="spellEnd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n-US"/>
              </w:rPr>
              <w:t>lizinga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B782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Vrijednost novoza</w:t>
            </w:r>
            <w:r w:rsidR="000D54A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ključenih ugovora u razdoblju I kvartalu 2017</w:t>
            </w:r>
          </w:p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B782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Vrijednost novo</w:t>
            </w:r>
            <w:r w:rsidR="000D54A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zakljčenih ugovora u razdoblju II kvartal 2017</w:t>
            </w:r>
          </w:p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%</w:t>
            </w:r>
          </w:p>
        </w:tc>
        <w:tc>
          <w:tcPr>
            <w:tcW w:w="12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4BACC6"/>
            <w:vAlign w:val="center"/>
          </w:tcPr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proofErr w:type="spellStart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Stopa</w:t>
            </w:r>
            <w:proofErr w:type="spellEnd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rasta</w:t>
            </w:r>
            <w:proofErr w:type="spellEnd"/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/pada</w:t>
            </w:r>
          </w:p>
          <w:p w:rsidR="00BE41D3" w:rsidRPr="001B782B" w:rsidRDefault="00BE41D3" w:rsidP="0096282B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</w:pPr>
            <w:r w:rsidRPr="001B782B">
              <w:rPr>
                <w:rFonts w:asciiTheme="minorHAnsi" w:hAnsiTheme="minorHAnsi" w:cs="Arial"/>
                <w:b/>
                <w:sz w:val="18"/>
                <w:szCs w:val="18"/>
                <w:lang w:val="es-ES"/>
              </w:rPr>
              <w:t>(2)/(1)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>Putnički</w:t>
            </w:r>
            <w:proofErr w:type="spellEnd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>automobili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2.831.244,9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89,4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6,199,387.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87</w:t>
            </w:r>
            <w:r>
              <w:rPr>
                <w:rFonts w:asciiTheme="minorHAnsi" w:hAnsiTheme="minorHAnsi"/>
                <w:sz w:val="20"/>
                <w:szCs w:val="20"/>
              </w:rPr>
              <w:t>,9</w:t>
            </w:r>
          </w:p>
        </w:tc>
        <w:tc>
          <w:tcPr>
            <w:tcW w:w="120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118,9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>Privredna</w:t>
            </w:r>
            <w:proofErr w:type="spellEnd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s-ES"/>
              </w:rPr>
              <w:t>vozila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137.444,5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568,352.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313,5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Građevinske</w:t>
            </w:r>
            <w:proofErr w:type="spellEnd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masine</w:t>
            </w:r>
            <w:proofErr w:type="spellEnd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oprema</w:t>
            </w:r>
            <w:proofErr w:type="spellEnd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197.160,8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Cs/>
                <w:sz w:val="20"/>
                <w:szCs w:val="20"/>
              </w:rPr>
              <w:t>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256,169.7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29,9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Brodovi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31,359.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0D54A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</w:rPr>
              <w:t>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Nekretnine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0D54AA">
              <w:rPr>
                <w:rFonts w:asciiTheme="minorHAnsi" w:hAnsiTheme="minorHAnsi" w:cs="Arial"/>
                <w:sz w:val="20"/>
                <w:szCs w:val="20"/>
                <w:lang w:val="en-US"/>
              </w:rPr>
              <w:t>Ostalo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0D54AA" w:rsidRPr="000D54AA" w:rsidRDefault="002B231E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-</w:t>
            </w:r>
          </w:p>
        </w:tc>
      </w:tr>
      <w:tr w:rsidR="000D54AA" w:rsidRPr="000D54AA" w:rsidTr="000D54AA">
        <w:trPr>
          <w:trHeight w:val="283"/>
        </w:trPr>
        <w:tc>
          <w:tcPr>
            <w:tcW w:w="2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r w:rsidRPr="000D54AA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Ukupno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/>
                <w:bCs/>
                <w:sz w:val="20"/>
                <w:szCs w:val="20"/>
              </w:rPr>
              <w:t>3.165.850,1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D54AA">
              <w:rPr>
                <w:rFonts w:ascii="Calibri" w:hAnsi="Calibri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D54AA">
              <w:rPr>
                <w:rFonts w:asciiTheme="minorHAnsi" w:hAnsiTheme="minorHAnsi"/>
                <w:b/>
                <w:bCs/>
                <w:sz w:val="20"/>
                <w:szCs w:val="20"/>
              </w:rPr>
              <w:t>7.055.268,9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D54AA">
              <w:rPr>
                <w:rFonts w:asciiTheme="minorHAnsi" w:hAnsiTheme="minorHAnsi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0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/>
            <w:noWrap/>
            <w:vAlign w:val="center"/>
          </w:tcPr>
          <w:p w:rsidR="000D54AA" w:rsidRPr="000D54AA" w:rsidRDefault="000D54AA" w:rsidP="000D54AA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D54AA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122,9</w:t>
            </w:r>
          </w:p>
        </w:tc>
      </w:tr>
    </w:tbl>
    <w:p w:rsidR="00BE41D3" w:rsidRPr="00DF7FF8" w:rsidRDefault="00BE41D3" w:rsidP="00BE41D3">
      <w:pPr>
        <w:jc w:val="both"/>
        <w:outlineLvl w:val="0"/>
        <w:rPr>
          <w:rFonts w:ascii="Arial Narrow" w:hAnsi="Arial Narrow"/>
          <w:sz w:val="20"/>
          <w:szCs w:val="20"/>
        </w:rPr>
      </w:pPr>
    </w:p>
    <w:p w:rsidR="0092640B" w:rsidRPr="000C5004" w:rsidRDefault="0092640B" w:rsidP="00DF0E28">
      <w:pPr>
        <w:jc w:val="both"/>
        <w:rPr>
          <w:rFonts w:ascii="Arial" w:hAnsi="Arial" w:cs="Arial"/>
          <w:i/>
          <w:sz w:val="20"/>
          <w:szCs w:val="20"/>
        </w:rPr>
      </w:pPr>
    </w:p>
    <w:p w:rsidR="00DF0E28" w:rsidRDefault="00DF0E28" w:rsidP="00DF0E2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Analizirajući aktivne ugovore na dan 30. </w:t>
      </w:r>
      <w:r w:rsidR="002B231E">
        <w:rPr>
          <w:rFonts w:ascii="Calibri" w:hAnsi="Calibri" w:cs="Arial"/>
        </w:rPr>
        <w:t>jun</w:t>
      </w:r>
      <w:r>
        <w:rPr>
          <w:rFonts w:ascii="Calibri" w:hAnsi="Calibri" w:cs="Arial"/>
        </w:rPr>
        <w:t xml:space="preserve"> 201</w:t>
      </w:r>
      <w:r w:rsidR="002B231E">
        <w:rPr>
          <w:rFonts w:ascii="Calibri" w:hAnsi="Calibri" w:cs="Arial"/>
        </w:rPr>
        <w:t>7</w:t>
      </w:r>
      <w:r>
        <w:rPr>
          <w:rFonts w:ascii="Calibri" w:hAnsi="Calibri" w:cs="Arial"/>
        </w:rPr>
        <w:t xml:space="preserve">. godine, evidentno je da kategorija putničkih automobila ima najveće učešće od </w:t>
      </w:r>
      <w:r w:rsidR="00BE41D3">
        <w:rPr>
          <w:rFonts w:ascii="Calibri" w:hAnsi="Calibri" w:cs="Arial"/>
        </w:rPr>
        <w:t>8</w:t>
      </w:r>
      <w:r w:rsidR="002B231E">
        <w:rPr>
          <w:rFonts w:ascii="Calibri" w:hAnsi="Calibri" w:cs="Arial"/>
        </w:rPr>
        <w:t>3</w:t>
      </w:r>
      <w:r w:rsidR="00BE41D3">
        <w:rPr>
          <w:rFonts w:ascii="Calibri" w:hAnsi="Calibri" w:cs="Arial"/>
        </w:rPr>
        <w:t>,</w:t>
      </w:r>
      <w:r w:rsidR="002B231E">
        <w:rPr>
          <w:rFonts w:ascii="Calibri" w:hAnsi="Calibri" w:cs="Arial"/>
        </w:rPr>
        <w:t>8</w:t>
      </w:r>
      <w:r w:rsidR="00BE41D3">
        <w:rPr>
          <w:rFonts w:ascii="Calibri" w:hAnsi="Calibri" w:cs="Arial"/>
        </w:rPr>
        <w:t xml:space="preserve">% u pogledu broja ugovora i </w:t>
      </w:r>
      <w:r w:rsidR="002B231E">
        <w:rPr>
          <w:rFonts w:ascii="Calibri" w:hAnsi="Calibri" w:cs="Arial"/>
        </w:rPr>
        <w:t>53,7</w:t>
      </w:r>
      <w:r w:rsidR="00BE41D3">
        <w:rPr>
          <w:rFonts w:ascii="Calibri" w:hAnsi="Calibri" w:cs="Arial"/>
        </w:rPr>
        <w:t>% u pogledu vrijednosti.</w:t>
      </w:r>
    </w:p>
    <w:p w:rsidR="001B782B" w:rsidRDefault="001B782B" w:rsidP="00DF0E28">
      <w:pPr>
        <w:jc w:val="both"/>
        <w:rPr>
          <w:rFonts w:ascii="Calibri" w:hAnsi="Calibri" w:cs="Arial"/>
        </w:rPr>
      </w:pPr>
    </w:p>
    <w:p w:rsidR="00BE41D3" w:rsidRPr="00DF7FF8" w:rsidRDefault="00BE41D3" w:rsidP="002B231E">
      <w:pPr>
        <w:jc w:val="center"/>
        <w:outlineLvl w:val="0"/>
        <w:rPr>
          <w:rFonts w:ascii="Calibri" w:hAnsi="Calibri" w:cs="Arial"/>
          <w:i/>
        </w:rPr>
      </w:pPr>
      <w:r w:rsidRPr="00DF7FF8">
        <w:rPr>
          <w:rFonts w:ascii="Calibri" w:hAnsi="Calibri" w:cs="Arial"/>
          <w:i/>
        </w:rPr>
        <w:t>Tabela 7: Struktura broja aktivnih plasmana prema predmetu lizinga</w:t>
      </w:r>
    </w:p>
    <w:tbl>
      <w:tblPr>
        <w:tblW w:w="8237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2709"/>
        <w:gridCol w:w="1559"/>
        <w:gridCol w:w="1276"/>
        <w:gridCol w:w="1559"/>
        <w:gridCol w:w="1134"/>
      </w:tblGrid>
      <w:tr w:rsidR="00BE41D3" w:rsidRPr="00DF7FF8" w:rsidTr="002B231E">
        <w:trPr>
          <w:trHeight w:val="255"/>
          <w:jc w:val="center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</w:tcPr>
          <w:p w:rsidR="00BE41D3" w:rsidRPr="00DF7FF8" w:rsidRDefault="00BE41D3" w:rsidP="0096282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</w:rPr>
              <w:t> </w:t>
            </w:r>
          </w:p>
        </w:tc>
        <w:tc>
          <w:tcPr>
            <w:tcW w:w="5528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4BACC6"/>
            <w:noWrap/>
            <w:vAlign w:val="bottom"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Broj </w:t>
            </w:r>
            <w:r w:rsidR="002B231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 vrijednost </w:t>
            </w: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aktivnih ugovora </w:t>
            </w:r>
          </w:p>
        </w:tc>
      </w:tr>
      <w:tr w:rsidR="002B231E" w:rsidRPr="00DF7FF8" w:rsidTr="002B231E">
        <w:trPr>
          <w:trHeight w:val="450"/>
          <w:jc w:val="center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Predmet</w:t>
            </w:r>
            <w:proofErr w:type="spellEnd"/>
            <w:r w:rsidRPr="00DF7FF8">
              <w:rPr>
                <w:rFonts w:ascii="Calibri" w:hAnsi="Calibri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n-US"/>
              </w:rPr>
              <w:t>lizinga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Broj ugovora</w:t>
            </w:r>
          </w:p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Vrijednost ugovora</w:t>
            </w:r>
          </w:p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(2)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</w:tcPr>
          <w:p w:rsidR="002B231E" w:rsidRPr="00DF7FF8" w:rsidRDefault="002B231E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>Putnički</w:t>
            </w:r>
            <w:proofErr w:type="spellEnd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>automobili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3,229.00 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83.83%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33,061,972.23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53.71%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s-ES"/>
              </w:rPr>
            </w:pP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>Privredna</w:t>
            </w:r>
            <w:proofErr w:type="spellEnd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s-ES"/>
              </w:rPr>
              <w:t>vozila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    380.00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9.87%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6,106,296.67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9.92%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2B231E">
              <w:rPr>
                <w:rFonts w:asciiTheme="minorHAnsi" w:hAnsiTheme="minorHAnsi" w:cs="Arial"/>
                <w:sz w:val="20"/>
                <w:szCs w:val="20"/>
                <w:lang w:val="pl-PL"/>
              </w:rPr>
              <w:t>Građ</w:t>
            </w: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evinske</w:t>
            </w:r>
            <w:proofErr w:type="spellEnd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mašine</w:t>
            </w:r>
            <w:proofErr w:type="spellEnd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oprema</w:t>
            </w:r>
            <w:proofErr w:type="spellEnd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    131.00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3.40%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7,370,203.53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11.97%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Brodovi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         4.00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0.10%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313,438.16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0.51%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Nekretnine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      86.00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2.23%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14,570,616.56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23.67%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proofErr w:type="spellStart"/>
            <w:r w:rsidRPr="002B231E">
              <w:rPr>
                <w:rFonts w:asciiTheme="minorHAnsi" w:hAnsiTheme="minorHAnsi" w:cs="Arial"/>
                <w:sz w:val="20"/>
                <w:szCs w:val="20"/>
                <w:lang w:val="en-US"/>
              </w:rPr>
              <w:t>Ostalo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 xml:space="preserve">                22.00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0.57%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131,705.18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2B231E">
              <w:rPr>
                <w:rFonts w:asciiTheme="minorHAnsi" w:hAnsiTheme="minorHAnsi"/>
                <w:sz w:val="20"/>
                <w:szCs w:val="20"/>
              </w:rPr>
              <w:t>0.21%</w:t>
            </w:r>
          </w:p>
        </w:tc>
      </w:tr>
      <w:tr w:rsidR="002B231E" w:rsidRPr="002B231E" w:rsidTr="002B231E">
        <w:trPr>
          <w:trHeight w:val="310"/>
          <w:jc w:val="center"/>
        </w:trPr>
        <w:tc>
          <w:tcPr>
            <w:tcW w:w="2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B231E" w:rsidRPr="002B231E" w:rsidRDefault="002B231E" w:rsidP="0096282B">
            <w:pPr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proofErr w:type="spellStart"/>
            <w:r w:rsidRPr="002B231E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Ukupno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B231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         3,852.00 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B231E">
              <w:rPr>
                <w:rFonts w:asciiTheme="minorHAnsi" w:hAnsiTheme="minorHAnsi"/>
                <w:b/>
                <w:bCs/>
                <w:sz w:val="20"/>
                <w:szCs w:val="20"/>
              </w:rPr>
              <w:t>100.00%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B231E">
              <w:rPr>
                <w:rFonts w:asciiTheme="minorHAnsi" w:hAnsiTheme="minorHAnsi"/>
                <w:b/>
                <w:bCs/>
                <w:sz w:val="20"/>
                <w:szCs w:val="20"/>
              </w:rPr>
              <w:t>61,554,232.33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B231E" w:rsidRPr="002B231E" w:rsidRDefault="002B231E" w:rsidP="002B231E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B231E">
              <w:rPr>
                <w:rFonts w:asciiTheme="minorHAnsi" w:hAnsiTheme="minorHAnsi"/>
                <w:b/>
                <w:bCs/>
                <w:sz w:val="20"/>
                <w:szCs w:val="20"/>
              </w:rPr>
              <w:t>100.00%</w:t>
            </w:r>
          </w:p>
        </w:tc>
      </w:tr>
    </w:tbl>
    <w:p w:rsidR="00DF0E28" w:rsidRPr="00167BF5" w:rsidRDefault="00DF0E28" w:rsidP="00DF0E28">
      <w:pPr>
        <w:jc w:val="both"/>
        <w:rPr>
          <w:rFonts w:ascii="Calibri" w:hAnsi="Calibri" w:cs="Arial"/>
        </w:rPr>
      </w:pPr>
    </w:p>
    <w:p w:rsidR="00DF0E28" w:rsidRDefault="00DF0E28" w:rsidP="00DF0E28">
      <w:pPr>
        <w:jc w:val="both"/>
        <w:rPr>
          <w:rFonts w:ascii="Arial" w:hAnsi="Arial" w:cs="Arial"/>
        </w:rPr>
      </w:pPr>
    </w:p>
    <w:p w:rsidR="00D15C52" w:rsidRDefault="00D15C52">
      <w:pPr>
        <w:spacing w:before="120"/>
        <w:jc w:val="both"/>
        <w:rPr>
          <w:rFonts w:ascii="Calibri" w:hAnsi="Calibri" w:cs="Arial"/>
          <w:b/>
        </w:rPr>
      </w:pPr>
    </w:p>
    <w:p w:rsidR="00DF0E28" w:rsidRPr="003A28E6" w:rsidRDefault="00DF0E28" w:rsidP="003A28E6">
      <w:pPr>
        <w:pBdr>
          <w:bottom w:val="single" w:sz="12" w:space="1" w:color="1F497D" w:themeColor="text2"/>
        </w:pBdr>
        <w:jc w:val="both"/>
        <w:rPr>
          <w:rFonts w:ascii="Calibri" w:hAnsi="Calibri" w:cs="Arial"/>
          <w:b/>
        </w:rPr>
      </w:pPr>
      <w:r w:rsidRPr="003A28E6">
        <w:rPr>
          <w:rFonts w:ascii="Calibri" w:hAnsi="Calibri" w:cs="Arial"/>
          <w:b/>
        </w:rPr>
        <w:t>Sektorska struktura</w:t>
      </w:r>
    </w:p>
    <w:p w:rsidR="00DF0E28" w:rsidRDefault="00DF0E28" w:rsidP="00DF0E28">
      <w:pPr>
        <w:jc w:val="both"/>
        <w:rPr>
          <w:rFonts w:ascii="Calibri" w:hAnsi="Calibri" w:cs="Arial"/>
          <w:b/>
          <w:i/>
        </w:rPr>
      </w:pPr>
    </w:p>
    <w:p w:rsidR="00115353" w:rsidRDefault="00DF0E28" w:rsidP="00DF0E28">
      <w:pPr>
        <w:jc w:val="both"/>
        <w:rPr>
          <w:rFonts w:ascii="Calibri" w:hAnsi="Calibri" w:cs="Arial"/>
        </w:rPr>
      </w:pPr>
      <w:r w:rsidRPr="00242691">
        <w:rPr>
          <w:rFonts w:ascii="Calibri" w:hAnsi="Calibri" w:cs="Arial"/>
        </w:rPr>
        <w:t xml:space="preserve">U pogledu sektorske stukture plasmana zaključenih u </w:t>
      </w:r>
      <w:r>
        <w:rPr>
          <w:rFonts w:ascii="Calibri" w:hAnsi="Calibri" w:cs="Arial"/>
        </w:rPr>
        <w:t>I</w:t>
      </w:r>
      <w:r w:rsidR="00D15C52">
        <w:rPr>
          <w:rFonts w:ascii="Calibri" w:hAnsi="Calibri" w:cs="Arial"/>
        </w:rPr>
        <w:t>I</w:t>
      </w:r>
      <w:r w:rsidRPr="00242691">
        <w:rPr>
          <w:rFonts w:ascii="Calibri" w:hAnsi="Calibri" w:cs="Arial"/>
        </w:rPr>
        <w:t xml:space="preserve"> kvartalu 201</w:t>
      </w:r>
      <w:r w:rsidR="00776880">
        <w:rPr>
          <w:rFonts w:ascii="Calibri" w:hAnsi="Calibri" w:cs="Arial"/>
        </w:rPr>
        <w:t>7</w:t>
      </w:r>
      <w:r w:rsidRPr="00242691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g</w:t>
      </w:r>
      <w:r w:rsidRPr="00242691">
        <w:rPr>
          <w:rFonts w:ascii="Calibri" w:hAnsi="Calibri" w:cs="Arial"/>
        </w:rPr>
        <w:t>odine</w:t>
      </w:r>
      <w:r>
        <w:rPr>
          <w:rFonts w:ascii="Calibri" w:hAnsi="Calibri" w:cs="Arial"/>
        </w:rPr>
        <w:t xml:space="preserve"> dominiraju ugovori u okviru </w:t>
      </w:r>
      <w:r w:rsidR="00776880">
        <w:rPr>
          <w:rFonts w:ascii="Calibri" w:hAnsi="Calibri" w:cs="Arial"/>
        </w:rPr>
        <w:t xml:space="preserve">ostalih usluga (73,4%), </w:t>
      </w:r>
      <w:r w:rsidRPr="00F944F9">
        <w:rPr>
          <w:rFonts w:ascii="Calibri" w:hAnsi="Calibri" w:cs="Arial"/>
        </w:rPr>
        <w:t xml:space="preserve">sektora </w:t>
      </w:r>
      <w:r w:rsidR="00B1280A" w:rsidRPr="00F944F9">
        <w:rPr>
          <w:rFonts w:ascii="Calibri" w:hAnsi="Calibri" w:cs="Arial"/>
        </w:rPr>
        <w:t>trgovine</w:t>
      </w:r>
      <w:r w:rsidR="00115353" w:rsidRPr="00F944F9">
        <w:rPr>
          <w:rFonts w:ascii="Calibri" w:hAnsi="Calibri" w:cs="Arial"/>
        </w:rPr>
        <w:t xml:space="preserve"> (</w:t>
      </w:r>
      <w:r w:rsidR="00776880">
        <w:rPr>
          <w:rFonts w:ascii="Calibri" w:hAnsi="Calibri" w:cs="Arial"/>
        </w:rPr>
        <w:t>10,7</w:t>
      </w:r>
      <w:r w:rsidR="00115353" w:rsidRPr="00F944F9">
        <w:rPr>
          <w:rFonts w:ascii="Calibri" w:hAnsi="Calibri" w:cs="Arial"/>
        </w:rPr>
        <w:t xml:space="preserve">%), te </w:t>
      </w:r>
      <w:r w:rsidR="00B1280A" w:rsidRPr="00F944F9">
        <w:rPr>
          <w:rFonts w:ascii="Calibri" w:hAnsi="Calibri" w:cs="Arial"/>
        </w:rPr>
        <w:t>ostali sektori</w:t>
      </w:r>
      <w:r w:rsidR="00A20A42" w:rsidRPr="00F944F9">
        <w:rPr>
          <w:rFonts w:ascii="Calibri" w:hAnsi="Calibri" w:cs="Arial"/>
        </w:rPr>
        <w:t xml:space="preserve"> </w:t>
      </w:r>
      <w:r w:rsidR="00115353" w:rsidRPr="00F944F9">
        <w:rPr>
          <w:rFonts w:ascii="Calibri" w:hAnsi="Calibri" w:cs="Arial"/>
        </w:rPr>
        <w:t>(</w:t>
      </w:r>
      <w:r w:rsidR="00776880">
        <w:rPr>
          <w:rFonts w:ascii="Calibri" w:hAnsi="Calibri" w:cs="Arial"/>
        </w:rPr>
        <w:t>7,5</w:t>
      </w:r>
      <w:r w:rsidR="00115353" w:rsidRPr="00F944F9">
        <w:rPr>
          <w:rFonts w:ascii="Calibri" w:hAnsi="Calibri" w:cs="Arial"/>
        </w:rPr>
        <w:t>%).</w:t>
      </w:r>
      <w:r w:rsidR="00B1280A" w:rsidRPr="00F944F9">
        <w:rPr>
          <w:rFonts w:ascii="Calibri" w:hAnsi="Calibri" w:cs="Arial"/>
        </w:rPr>
        <w:t xml:space="preserve"> Sa druge strane, prema vrijednosti, najveće učešće imaju ugovori u okviru </w:t>
      </w:r>
      <w:r w:rsidR="00776880" w:rsidRPr="00F944F9">
        <w:rPr>
          <w:rFonts w:ascii="Calibri" w:hAnsi="Calibri" w:cs="Arial"/>
        </w:rPr>
        <w:t>ostalih usluga (</w:t>
      </w:r>
      <w:r w:rsidR="00776880">
        <w:rPr>
          <w:rFonts w:ascii="Calibri" w:hAnsi="Calibri" w:cs="Arial"/>
        </w:rPr>
        <w:t>59</w:t>
      </w:r>
      <w:r w:rsidR="00776880" w:rsidRPr="00F944F9">
        <w:rPr>
          <w:rFonts w:ascii="Calibri" w:hAnsi="Calibri" w:cs="Arial"/>
        </w:rPr>
        <w:t xml:space="preserve">%), </w:t>
      </w:r>
      <w:r w:rsidR="00B1280A" w:rsidRPr="00F944F9">
        <w:rPr>
          <w:rFonts w:ascii="Calibri" w:hAnsi="Calibri" w:cs="Arial"/>
        </w:rPr>
        <w:t>trgovine</w:t>
      </w:r>
      <w:r w:rsidR="007E0DFF" w:rsidRPr="00F944F9">
        <w:rPr>
          <w:rFonts w:ascii="Calibri" w:hAnsi="Calibri" w:cs="Arial"/>
        </w:rPr>
        <w:t xml:space="preserve"> (</w:t>
      </w:r>
      <w:r w:rsidR="00776880">
        <w:rPr>
          <w:rFonts w:ascii="Calibri" w:hAnsi="Calibri" w:cs="Arial"/>
        </w:rPr>
        <w:t>13</w:t>
      </w:r>
      <w:r w:rsidR="00B1280A" w:rsidRPr="00F944F9">
        <w:rPr>
          <w:rFonts w:ascii="Calibri" w:hAnsi="Calibri" w:cs="Arial"/>
        </w:rPr>
        <w:t>%), te</w:t>
      </w:r>
      <w:r w:rsidR="00776880">
        <w:rPr>
          <w:rFonts w:ascii="Calibri" w:hAnsi="Calibri" w:cs="Arial"/>
        </w:rPr>
        <w:t xml:space="preserve"> saobraćaja i ostalih sektora</w:t>
      </w:r>
      <w:r w:rsidR="00F944F9" w:rsidRPr="00F944F9">
        <w:rPr>
          <w:rFonts w:ascii="Calibri" w:hAnsi="Calibri" w:cs="Arial"/>
        </w:rPr>
        <w:t xml:space="preserve"> (</w:t>
      </w:r>
      <w:r w:rsidR="00776880">
        <w:rPr>
          <w:rFonts w:ascii="Calibri" w:hAnsi="Calibri" w:cs="Arial"/>
        </w:rPr>
        <w:t>po 8</w:t>
      </w:r>
      <w:r w:rsidR="00B1280A" w:rsidRPr="00F944F9">
        <w:rPr>
          <w:rFonts w:ascii="Calibri" w:hAnsi="Calibri" w:cs="Arial"/>
        </w:rPr>
        <w:t>%).</w:t>
      </w:r>
    </w:p>
    <w:p w:rsidR="00115353" w:rsidRDefault="00115353" w:rsidP="00DF0E28">
      <w:pPr>
        <w:jc w:val="both"/>
        <w:rPr>
          <w:rFonts w:ascii="Calibri" w:hAnsi="Calibri" w:cs="Arial"/>
        </w:rPr>
      </w:pPr>
    </w:p>
    <w:p w:rsidR="00BE41D3" w:rsidRDefault="00BE41D3">
      <w:pPr>
        <w:spacing w:before="120"/>
        <w:jc w:val="both"/>
        <w:rPr>
          <w:rFonts w:ascii="Calibri" w:hAnsi="Calibri"/>
          <w:b/>
          <w:lang w:val="es-ES"/>
        </w:rPr>
      </w:pPr>
    </w:p>
    <w:p w:rsidR="001B782B" w:rsidRDefault="001B782B">
      <w:pPr>
        <w:spacing w:before="120"/>
        <w:jc w:val="both"/>
        <w:rPr>
          <w:rFonts w:ascii="Calibri" w:hAnsi="Calibri"/>
          <w:b/>
          <w:lang w:val="es-ES"/>
        </w:rPr>
      </w:pPr>
    </w:p>
    <w:p w:rsidR="00BE41D3" w:rsidRPr="00DF7FF8" w:rsidRDefault="00BE41D3" w:rsidP="00BE41D3">
      <w:pPr>
        <w:jc w:val="both"/>
        <w:rPr>
          <w:rFonts w:ascii="Calibri" w:hAnsi="Calibri" w:cs="Arial"/>
          <w:bCs/>
          <w:i/>
          <w:lang w:val="en-US" w:eastAsia="en-US"/>
        </w:rPr>
      </w:pPr>
      <w:proofErr w:type="spellStart"/>
      <w:proofErr w:type="gramStart"/>
      <w:r w:rsidRPr="00DF7FF8">
        <w:rPr>
          <w:rFonts w:ascii="Calibri" w:hAnsi="Calibri" w:cs="Arial"/>
          <w:bCs/>
          <w:i/>
          <w:lang w:val="en-US" w:eastAsia="en-US"/>
        </w:rPr>
        <w:t>Tabela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8.</w:t>
      </w:r>
      <w:proofErr w:type="gram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Sektorska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struktura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novozaključenih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ugovora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</w:p>
    <w:tbl>
      <w:tblPr>
        <w:tblW w:w="9610" w:type="dxa"/>
        <w:tblInd w:w="-34" w:type="dxa"/>
        <w:tblLayout w:type="fixed"/>
        <w:tblLook w:val="04A0"/>
      </w:tblPr>
      <w:tblGrid>
        <w:gridCol w:w="3544"/>
        <w:gridCol w:w="1418"/>
        <w:gridCol w:w="992"/>
        <w:gridCol w:w="1418"/>
        <w:gridCol w:w="992"/>
        <w:gridCol w:w="1246"/>
      </w:tblGrid>
      <w:tr w:rsidR="00BE41D3" w:rsidRPr="00DF7FF8" w:rsidTr="0096282B">
        <w:trPr>
          <w:trHeight w:val="285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4BACC6"/>
            <w:noWrap/>
            <w:vAlign w:val="bottom"/>
            <w:hideMark/>
          </w:tcPr>
          <w:p w:rsidR="00BE41D3" w:rsidRPr="00DF7FF8" w:rsidRDefault="00BE41D3" w:rsidP="0096282B">
            <w:pPr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6066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4BACC6"/>
            <w:vAlign w:val="bottom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>Broj novozaključenih ugovora</w:t>
            </w:r>
          </w:p>
        </w:tc>
      </w:tr>
      <w:tr w:rsidR="00BE41D3" w:rsidRPr="00DF7FF8" w:rsidTr="0096282B">
        <w:trPr>
          <w:trHeight w:val="527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Sektor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="00776880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kvartal 2017</w:t>
            </w:r>
          </w:p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>I kvartal 201</w:t>
            </w:r>
            <w:r w:rsidR="00776880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4BACC6"/>
            <w:vAlign w:val="center"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Stopa</w:t>
            </w:r>
            <w:proofErr w:type="spellEnd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rasta</w:t>
            </w:r>
            <w:proofErr w:type="spellEnd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/pada</w:t>
            </w:r>
          </w:p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(2)/(1)</w:t>
            </w:r>
          </w:p>
        </w:tc>
      </w:tr>
      <w:tr w:rsidR="00776880" w:rsidRPr="00A95400" w:rsidTr="00A95400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880" w:rsidRPr="00A95400" w:rsidRDefault="00776880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Poljoprivreda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šumarstvo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ribarstvo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80" w:rsidRPr="00A95400" w:rsidRDefault="00776880" w:rsidP="00A954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9540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80" w:rsidRPr="00A95400" w:rsidRDefault="00776880" w:rsidP="00A95400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A95400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80" w:rsidRPr="00A95400" w:rsidRDefault="00776880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880" w:rsidRPr="00A95400" w:rsidRDefault="00776880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0.2%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6880" w:rsidRPr="00A95400" w:rsidRDefault="00476E23" w:rsidP="00A95400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-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Građevinarstvo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1.0%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-50.0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Trgovina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23,4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10.7%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12.8 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smještaja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ishrane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2.7%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266.7 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Ostale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62,3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73.4%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191.3 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Saobraćaj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3.1%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550.0 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Finansijske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djelatnosti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0.0%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-100.0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Industrija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0.2%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-50.0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Zdravstvo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obrazovanje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socijalna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zaštita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1.2%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Državna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uprava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bCs/>
                <w:sz w:val="20"/>
                <w:szCs w:val="20"/>
              </w:rPr>
            </w:pPr>
            <w:r w:rsidRPr="00A95400">
              <w:rPr>
                <w:rFonts w:ascii="Calibri" w:hAnsi="Calibri" w:cs="Arial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Ostali</w:t>
            </w:r>
            <w:proofErr w:type="spellEnd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95400">
              <w:rPr>
                <w:rFonts w:asciiTheme="minorHAnsi" w:hAnsiTheme="minorHAnsi" w:cs="Arial"/>
                <w:bCs/>
                <w:sz w:val="20"/>
                <w:szCs w:val="20"/>
                <w:lang w:val="en-US" w:eastAsia="en-US"/>
              </w:rPr>
              <w:t>sektori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A95400">
              <w:rPr>
                <w:rFonts w:asciiTheme="minorHAnsi" w:hAnsiTheme="minorHAnsi"/>
                <w:sz w:val="20"/>
                <w:szCs w:val="20"/>
              </w:rPr>
              <w:t>7.5%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287.5 </w:t>
            </w:r>
          </w:p>
        </w:tc>
      </w:tr>
      <w:tr w:rsidR="00571E02" w:rsidRPr="00A95400" w:rsidTr="00571E02">
        <w:trPr>
          <w:trHeight w:val="255"/>
        </w:trPr>
        <w:tc>
          <w:tcPr>
            <w:tcW w:w="3544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571E02" w:rsidRPr="00A95400" w:rsidRDefault="00571E02" w:rsidP="0096282B">
            <w:pPr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A95400">
              <w:rPr>
                <w:rFonts w:asciiTheme="minorHAnsi" w:hAnsiTheme="minorHAnsi" w:cs="Arial"/>
                <w:b/>
                <w:bCs/>
                <w:sz w:val="20"/>
                <w:szCs w:val="20"/>
                <w:lang w:val="en-US" w:eastAsia="en-US"/>
              </w:rPr>
              <w:t>Ukupno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A95400">
              <w:rPr>
                <w:rFonts w:ascii="Calibri" w:hAnsi="Calibri" w:cs="Arial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95400">
              <w:rPr>
                <w:rFonts w:asciiTheme="minorHAnsi" w:hAnsiTheme="minorHAnsi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571E02" w:rsidRPr="00A95400" w:rsidRDefault="00571E02" w:rsidP="00A95400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95400">
              <w:rPr>
                <w:rFonts w:asciiTheme="minorHAnsi" w:hAnsiTheme="minorHAnsi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24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71E02" w:rsidRDefault="00571E02" w:rsidP="00571E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147.3 </w:t>
            </w:r>
          </w:p>
        </w:tc>
      </w:tr>
    </w:tbl>
    <w:p w:rsidR="00F944F9" w:rsidRDefault="00F944F9" w:rsidP="00F944F9">
      <w:pPr>
        <w:jc w:val="both"/>
        <w:rPr>
          <w:rFonts w:ascii="Calibri" w:hAnsi="Calibri" w:cs="Arial"/>
        </w:rPr>
      </w:pPr>
    </w:p>
    <w:p w:rsidR="00F944F9" w:rsidRPr="00242691" w:rsidRDefault="00F944F9" w:rsidP="00F944F9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 pogledu aktivnih ugovora, </w:t>
      </w:r>
      <w:r w:rsidR="00B92655">
        <w:rPr>
          <w:rFonts w:ascii="Calibri" w:hAnsi="Calibri" w:cs="Arial"/>
        </w:rPr>
        <w:t>najveće</w:t>
      </w:r>
      <w:r>
        <w:rPr>
          <w:rFonts w:ascii="Calibri" w:hAnsi="Calibri" w:cs="Arial"/>
        </w:rPr>
        <w:t xml:space="preserve"> učešće </w:t>
      </w:r>
      <w:r w:rsidR="00B92655">
        <w:rPr>
          <w:rFonts w:ascii="Calibri" w:hAnsi="Calibri" w:cs="Arial"/>
        </w:rPr>
        <w:t xml:space="preserve">imaju </w:t>
      </w:r>
      <w:r w:rsidRPr="00F944F9">
        <w:rPr>
          <w:rFonts w:ascii="Calibri" w:hAnsi="Calibri" w:cs="Arial"/>
        </w:rPr>
        <w:t>ugovor</w:t>
      </w:r>
      <w:r w:rsidR="00B92655">
        <w:rPr>
          <w:rFonts w:ascii="Calibri" w:hAnsi="Calibri" w:cs="Arial"/>
        </w:rPr>
        <w:t>i</w:t>
      </w:r>
      <w:r w:rsidRPr="00F944F9">
        <w:rPr>
          <w:rFonts w:ascii="Calibri" w:hAnsi="Calibri" w:cs="Arial"/>
        </w:rPr>
        <w:t xml:space="preserve"> u o</w:t>
      </w:r>
      <w:r w:rsidR="00B92655">
        <w:rPr>
          <w:rFonts w:ascii="Calibri" w:hAnsi="Calibri" w:cs="Arial"/>
        </w:rPr>
        <w:t>kviru sektora ostalih usluga (35,9</w:t>
      </w:r>
      <w:r w:rsidRPr="00F944F9">
        <w:rPr>
          <w:rFonts w:ascii="Calibri" w:hAnsi="Calibri" w:cs="Arial"/>
        </w:rPr>
        <w:t>%) i trgovine (</w:t>
      </w:r>
      <w:r w:rsidR="00B92655">
        <w:rPr>
          <w:rFonts w:ascii="Calibri" w:hAnsi="Calibri" w:cs="Arial"/>
        </w:rPr>
        <w:t>22,6</w:t>
      </w:r>
      <w:r w:rsidRPr="00F944F9">
        <w:rPr>
          <w:rFonts w:ascii="Calibri" w:hAnsi="Calibri" w:cs="Arial"/>
        </w:rPr>
        <w:t>%), dok ugovori u okviru ostalih sektora čine 1</w:t>
      </w:r>
      <w:r w:rsidR="00B92655">
        <w:rPr>
          <w:rFonts w:ascii="Calibri" w:hAnsi="Calibri" w:cs="Arial"/>
        </w:rPr>
        <w:t>1</w:t>
      </w:r>
      <w:r w:rsidRPr="00F944F9">
        <w:rPr>
          <w:rFonts w:ascii="Calibri" w:hAnsi="Calibri" w:cs="Arial"/>
        </w:rPr>
        <w:t>,</w:t>
      </w:r>
      <w:r w:rsidR="00B92655">
        <w:rPr>
          <w:rFonts w:ascii="Calibri" w:hAnsi="Calibri" w:cs="Arial"/>
        </w:rPr>
        <w:t>6</w:t>
      </w:r>
      <w:r w:rsidRPr="00F944F9">
        <w:rPr>
          <w:rFonts w:ascii="Calibri" w:hAnsi="Calibri" w:cs="Arial"/>
        </w:rPr>
        <w:t>%.</w:t>
      </w:r>
      <w:r>
        <w:rPr>
          <w:rFonts w:ascii="Calibri" w:hAnsi="Calibri" w:cs="Arial"/>
        </w:rPr>
        <w:t xml:space="preserve"> </w:t>
      </w:r>
    </w:p>
    <w:p w:rsidR="00BE41D3" w:rsidRPr="00DF7FF8" w:rsidRDefault="00BE41D3" w:rsidP="00BE41D3">
      <w:pPr>
        <w:jc w:val="both"/>
        <w:rPr>
          <w:rFonts w:ascii="Calibri" w:hAnsi="Calibri" w:cs="Arial"/>
        </w:rPr>
      </w:pPr>
    </w:p>
    <w:p w:rsidR="00BE41D3" w:rsidRPr="00DF7FF8" w:rsidRDefault="00BE41D3" w:rsidP="00BE41D3">
      <w:pPr>
        <w:jc w:val="both"/>
        <w:rPr>
          <w:rFonts w:ascii="Calibri" w:hAnsi="Calibri" w:cs="Arial"/>
          <w:bCs/>
          <w:i/>
          <w:lang w:val="en-US" w:eastAsia="en-US"/>
        </w:rPr>
      </w:pPr>
      <w:proofErr w:type="spellStart"/>
      <w:proofErr w:type="gramStart"/>
      <w:r w:rsidRPr="00DF7FF8">
        <w:rPr>
          <w:rFonts w:ascii="Calibri" w:hAnsi="Calibri" w:cs="Arial"/>
          <w:bCs/>
          <w:i/>
          <w:lang w:val="en-US" w:eastAsia="en-US"/>
        </w:rPr>
        <w:t>Tabela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9.</w:t>
      </w:r>
      <w:proofErr w:type="gram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Sektorska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struktura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aktivnih</w:t>
      </w:r>
      <w:proofErr w:type="spellEnd"/>
      <w:r w:rsidRPr="00DF7FF8">
        <w:rPr>
          <w:rFonts w:ascii="Calibri" w:hAnsi="Calibri" w:cs="Arial"/>
          <w:bCs/>
          <w:i/>
          <w:lang w:val="en-US" w:eastAsia="en-US"/>
        </w:rPr>
        <w:t xml:space="preserve"> </w:t>
      </w:r>
      <w:proofErr w:type="spellStart"/>
      <w:r w:rsidRPr="00DF7FF8">
        <w:rPr>
          <w:rFonts w:ascii="Calibri" w:hAnsi="Calibri" w:cs="Arial"/>
          <w:bCs/>
          <w:i/>
          <w:lang w:val="en-US" w:eastAsia="en-US"/>
        </w:rPr>
        <w:t>plasmana</w:t>
      </w:r>
      <w:proofErr w:type="spellEnd"/>
    </w:p>
    <w:tbl>
      <w:tblPr>
        <w:tblW w:w="9073" w:type="dxa"/>
        <w:tblInd w:w="-34" w:type="dxa"/>
        <w:tblLayout w:type="fixed"/>
        <w:tblLook w:val="04A0"/>
      </w:tblPr>
      <w:tblGrid>
        <w:gridCol w:w="3686"/>
        <w:gridCol w:w="1134"/>
        <w:gridCol w:w="992"/>
        <w:gridCol w:w="1134"/>
        <w:gridCol w:w="993"/>
        <w:gridCol w:w="1134"/>
      </w:tblGrid>
      <w:tr w:rsidR="00BE41D3" w:rsidRPr="00DF7FF8" w:rsidTr="0096282B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4BACC6"/>
            <w:noWrap/>
            <w:vAlign w:val="bottom"/>
            <w:hideMark/>
          </w:tcPr>
          <w:p w:rsidR="00BE41D3" w:rsidRPr="00DF7FF8" w:rsidRDefault="00BE41D3" w:rsidP="0096282B">
            <w:pPr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5387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4BACC6"/>
            <w:vAlign w:val="bottom"/>
            <w:hideMark/>
          </w:tcPr>
          <w:p w:rsidR="00BE41D3" w:rsidRPr="00DF7FF8" w:rsidRDefault="00BE41D3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>Aktivni plasmani</w:t>
            </w:r>
          </w:p>
        </w:tc>
      </w:tr>
      <w:tr w:rsidR="00140991" w:rsidRPr="00DF7FF8" w:rsidTr="001B2102">
        <w:trPr>
          <w:trHeight w:val="52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140991" w:rsidRPr="00DF7FF8" w:rsidRDefault="00140991" w:rsidP="0096282B">
            <w:pPr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 xml:space="preserve">Sektor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140991" w:rsidRPr="00DF7FF8" w:rsidRDefault="00140991" w:rsidP="00A069C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 kvartal 2017</w:t>
            </w:r>
          </w:p>
          <w:p w:rsidR="00140991" w:rsidRPr="00DF7FF8" w:rsidRDefault="00140991" w:rsidP="00A069C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center"/>
            <w:hideMark/>
          </w:tcPr>
          <w:p w:rsidR="00140991" w:rsidRPr="00DF7FF8" w:rsidRDefault="00140991" w:rsidP="00A069C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center"/>
            <w:hideMark/>
          </w:tcPr>
          <w:p w:rsidR="00140991" w:rsidRPr="00DF7FF8" w:rsidRDefault="00140991" w:rsidP="00A069C5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I</w:t>
            </w:r>
            <w:r w:rsidRPr="00DF7FF8">
              <w:rPr>
                <w:rFonts w:ascii="Calibri" w:hAnsi="Calibri" w:cs="Arial"/>
                <w:b/>
                <w:bCs/>
                <w:sz w:val="20"/>
                <w:szCs w:val="20"/>
              </w:rPr>
              <w:t>I kvartal 201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  <w:p w:rsidR="00140991" w:rsidRPr="00DF7FF8" w:rsidRDefault="00140991" w:rsidP="00A069C5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noWrap/>
            <w:vAlign w:val="bottom"/>
            <w:hideMark/>
          </w:tcPr>
          <w:p w:rsidR="00140991" w:rsidRPr="00DF7FF8" w:rsidRDefault="00140991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BACC6"/>
            <w:vAlign w:val="bottom"/>
          </w:tcPr>
          <w:p w:rsidR="00140991" w:rsidRPr="00DF7FF8" w:rsidRDefault="00140991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Stopa</w:t>
            </w:r>
            <w:proofErr w:type="spellEnd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rasta</w:t>
            </w:r>
            <w:proofErr w:type="spellEnd"/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/pada</w:t>
            </w:r>
          </w:p>
          <w:p w:rsidR="00140991" w:rsidRPr="00DF7FF8" w:rsidRDefault="00140991" w:rsidP="0096282B">
            <w:pPr>
              <w:jc w:val="center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DF7FF8">
              <w:rPr>
                <w:rFonts w:ascii="Calibri" w:hAnsi="Calibri" w:cs="Arial"/>
                <w:b/>
                <w:sz w:val="20"/>
                <w:szCs w:val="20"/>
                <w:lang w:val="es-ES"/>
              </w:rPr>
              <w:t>(2)/(1)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Poljoprivreda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šumarstvo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ribarstvo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0.2%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 xml:space="preserve">-   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Građevinarstvo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 xml:space="preserve">204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8.1%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-8.5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Trgovina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22.6%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-6.8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smještaja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ishrane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3.7%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 xml:space="preserve">2.2 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Ostale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usluge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35.9%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 xml:space="preserve">58.2 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Saobraćaj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 xml:space="preserve">131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5.2%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-16.0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Finansijske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djelatnosti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0.8%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 xml:space="preserve">5.0 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Industrija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3.6%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-10.9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Zdravstvo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obrazovanje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socijalna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zaštita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 xml:space="preserve">35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1.4%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-7.9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Državna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uprava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 xml:space="preserve">170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6.8%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-1.2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2655" w:rsidRPr="00DF7FF8" w:rsidRDefault="00B92655" w:rsidP="0096282B">
            <w:pPr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Ostali</w:t>
            </w:r>
            <w:proofErr w:type="spellEnd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F7FF8">
              <w:rPr>
                <w:rFonts w:ascii="Calibri" w:hAnsi="Calibri" w:cs="Arial"/>
                <w:bCs/>
                <w:sz w:val="20"/>
                <w:szCs w:val="20"/>
                <w:lang w:val="en-US" w:eastAsia="en-US"/>
              </w:rPr>
              <w:t>sektori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B92655">
              <w:rPr>
                <w:rFonts w:asciiTheme="minorHAnsi" w:hAnsiTheme="minorHAnsi"/>
                <w:sz w:val="20"/>
                <w:szCs w:val="20"/>
              </w:rPr>
              <w:t>11.6%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>-1.7</w:t>
            </w:r>
          </w:p>
        </w:tc>
      </w:tr>
      <w:tr w:rsidR="00B92655" w:rsidRPr="00DF7FF8" w:rsidTr="00C3309C">
        <w:trPr>
          <w:trHeight w:val="2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:rsidR="00B92655" w:rsidRPr="00DF7FF8" w:rsidRDefault="00B92655" w:rsidP="0096282B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DF7FF8">
              <w:rPr>
                <w:rFonts w:ascii="Calibri" w:hAnsi="Calibri" w:cs="Arial"/>
                <w:b/>
                <w:bCs/>
                <w:sz w:val="20"/>
                <w:szCs w:val="20"/>
                <w:lang w:val="en-US" w:eastAsia="en-US"/>
              </w:rPr>
              <w:t>Ukupno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2.276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92655" w:rsidRPr="00B92655" w:rsidRDefault="00B92655" w:rsidP="00A069C5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B92655">
              <w:rPr>
                <w:rFonts w:ascii="Calibri" w:hAnsi="Calibri" w:cs="Arial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2655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2,504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B92655" w:rsidRPr="00B92655" w:rsidRDefault="00B92655" w:rsidP="00140991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B92655">
              <w:rPr>
                <w:rFonts w:asciiTheme="minorHAnsi" w:hAnsiTheme="minorHAnsi"/>
                <w:b/>
                <w:bCs/>
                <w:sz w:val="20"/>
                <w:szCs w:val="20"/>
              </w:rPr>
              <w:t>100.0%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B92655" w:rsidRPr="00B92655" w:rsidRDefault="00B92655" w:rsidP="00B92655">
            <w:pPr>
              <w:jc w:val="right"/>
              <w:rPr>
                <w:rFonts w:ascii="Calibri" w:hAnsi="Calibri"/>
                <w:color w:val="000000"/>
                <w:sz w:val="20"/>
                <w:szCs w:val="22"/>
              </w:rPr>
            </w:pPr>
            <w:r w:rsidRPr="00B92655">
              <w:rPr>
                <w:rFonts w:ascii="Calibri" w:hAnsi="Calibri"/>
                <w:color w:val="000000"/>
                <w:sz w:val="20"/>
                <w:szCs w:val="22"/>
              </w:rPr>
              <w:t xml:space="preserve">10.0 </w:t>
            </w:r>
          </w:p>
        </w:tc>
      </w:tr>
    </w:tbl>
    <w:p w:rsidR="00BE41D3" w:rsidRPr="00DF7FF8" w:rsidRDefault="00BE41D3" w:rsidP="00BE41D3">
      <w:pPr>
        <w:jc w:val="both"/>
        <w:rPr>
          <w:rFonts w:ascii="Arial" w:hAnsi="Arial" w:cs="Arial"/>
        </w:rPr>
      </w:pPr>
    </w:p>
    <w:p w:rsidR="00EB0F7D" w:rsidRDefault="00EB0F7D">
      <w:pPr>
        <w:spacing w:before="120"/>
        <w:jc w:val="both"/>
        <w:rPr>
          <w:rFonts w:ascii="Calibri" w:hAnsi="Calibri"/>
          <w:b/>
          <w:lang w:val="es-ES"/>
        </w:rPr>
      </w:pPr>
    </w:p>
    <w:p w:rsidR="00EB0F7D" w:rsidRPr="00BF791F" w:rsidRDefault="00BF791F" w:rsidP="00EB0F7D">
      <w:pPr>
        <w:jc w:val="both"/>
        <w:rPr>
          <w:rFonts w:ascii="Calibri" w:hAnsi="Calibri" w:cs="Arial"/>
        </w:rPr>
      </w:pPr>
      <w:r w:rsidRPr="00BF791F">
        <w:rPr>
          <w:rFonts w:ascii="Calibri" w:hAnsi="Calibri" w:cs="Arial"/>
        </w:rPr>
        <w:t>Na g</w:t>
      </w:r>
      <w:r w:rsidR="00EB0F7D" w:rsidRPr="00BF791F">
        <w:rPr>
          <w:rFonts w:ascii="Calibri" w:hAnsi="Calibri" w:cs="Arial"/>
        </w:rPr>
        <w:t>rafik</w:t>
      </w:r>
      <w:r w:rsidRPr="00BF791F">
        <w:rPr>
          <w:rFonts w:ascii="Calibri" w:hAnsi="Calibri" w:cs="Arial"/>
        </w:rPr>
        <w:t>u</w:t>
      </w:r>
      <w:r w:rsidR="00EB0F7D" w:rsidRPr="00BF791F">
        <w:rPr>
          <w:rFonts w:ascii="Calibri" w:hAnsi="Calibri" w:cs="Arial"/>
        </w:rPr>
        <w:t xml:space="preserve"> 1 </w:t>
      </w:r>
      <w:r w:rsidRPr="00BF791F">
        <w:rPr>
          <w:rFonts w:ascii="Calibri" w:hAnsi="Calibri" w:cs="Arial"/>
        </w:rPr>
        <w:t>prikazana je cjelokupna sektorska struktura</w:t>
      </w:r>
      <w:r w:rsidR="00EB0F7D" w:rsidRPr="00BF791F">
        <w:rPr>
          <w:rFonts w:ascii="Calibri" w:hAnsi="Calibri" w:cs="Arial"/>
        </w:rPr>
        <w:t xml:space="preserve"> u pogledu vrijednosti novozaključenih ugovora u </w:t>
      </w:r>
      <w:r w:rsidRPr="00BF791F">
        <w:rPr>
          <w:rFonts w:ascii="Calibri" w:hAnsi="Calibri" w:cs="Arial"/>
        </w:rPr>
        <w:t>I</w:t>
      </w:r>
      <w:r w:rsidR="00B92655">
        <w:rPr>
          <w:rFonts w:ascii="Calibri" w:hAnsi="Calibri" w:cs="Arial"/>
        </w:rPr>
        <w:t>I</w:t>
      </w:r>
      <w:r w:rsidR="00EB0F7D" w:rsidRPr="00BF791F">
        <w:rPr>
          <w:rFonts w:ascii="Calibri" w:hAnsi="Calibri" w:cs="Arial"/>
        </w:rPr>
        <w:t xml:space="preserve"> kvartalu 201</w:t>
      </w:r>
      <w:r w:rsidR="00B92655">
        <w:rPr>
          <w:rFonts w:ascii="Calibri" w:hAnsi="Calibri" w:cs="Arial"/>
        </w:rPr>
        <w:t>7</w:t>
      </w:r>
      <w:r w:rsidR="00EB0F7D" w:rsidRPr="00BF791F">
        <w:rPr>
          <w:rFonts w:ascii="Calibri" w:hAnsi="Calibri" w:cs="Arial"/>
        </w:rPr>
        <w:t>. godine.</w:t>
      </w:r>
    </w:p>
    <w:p w:rsidR="00EB0F7D" w:rsidRDefault="00EB0F7D" w:rsidP="00EB0F7D">
      <w:pPr>
        <w:jc w:val="both"/>
        <w:rPr>
          <w:rFonts w:ascii="Calibri" w:hAnsi="Calibri" w:cs="Arial"/>
          <w:highlight w:val="yellow"/>
        </w:rPr>
      </w:pPr>
    </w:p>
    <w:p w:rsidR="00BF791F" w:rsidRDefault="00BF791F" w:rsidP="00EB0F7D">
      <w:pPr>
        <w:jc w:val="both"/>
        <w:rPr>
          <w:rFonts w:ascii="Calibri" w:hAnsi="Calibri" w:cs="Arial"/>
          <w:highlight w:val="yellow"/>
        </w:rPr>
      </w:pPr>
    </w:p>
    <w:p w:rsidR="00BF791F" w:rsidRPr="00EB0F7D" w:rsidRDefault="00BF791F" w:rsidP="00EB0F7D">
      <w:pPr>
        <w:jc w:val="both"/>
        <w:rPr>
          <w:rFonts w:ascii="Calibri" w:hAnsi="Calibri" w:cs="Arial"/>
          <w:highlight w:val="yellow"/>
        </w:rPr>
      </w:pPr>
    </w:p>
    <w:p w:rsidR="00EB0F7D" w:rsidRPr="00BF791F" w:rsidRDefault="00EB0F7D" w:rsidP="00EB0F7D">
      <w:pPr>
        <w:jc w:val="center"/>
        <w:rPr>
          <w:rFonts w:ascii="Calibri" w:hAnsi="Calibri"/>
          <w:bCs/>
          <w:i/>
        </w:rPr>
      </w:pPr>
      <w:r w:rsidRPr="00BF791F">
        <w:rPr>
          <w:rFonts w:ascii="Calibri" w:hAnsi="Calibri"/>
          <w:bCs/>
          <w:i/>
        </w:rPr>
        <w:lastRenderedPageBreak/>
        <w:t>Grafik 1: Struktura vrijedno</w:t>
      </w:r>
      <w:r w:rsidR="00A150B2">
        <w:rPr>
          <w:rFonts w:ascii="Calibri" w:hAnsi="Calibri"/>
          <w:bCs/>
          <w:i/>
        </w:rPr>
        <w:t>sti novozaključenih ugovora u I</w:t>
      </w:r>
      <w:r w:rsidR="00BF791F">
        <w:rPr>
          <w:rFonts w:ascii="Calibri" w:hAnsi="Calibri"/>
          <w:bCs/>
          <w:i/>
        </w:rPr>
        <w:t>I</w:t>
      </w:r>
      <w:r w:rsidRPr="00BF791F">
        <w:rPr>
          <w:rFonts w:ascii="Calibri" w:hAnsi="Calibri"/>
          <w:bCs/>
          <w:i/>
        </w:rPr>
        <w:t xml:space="preserve"> kvartalu 201</w:t>
      </w:r>
      <w:r w:rsidR="00A150B2">
        <w:rPr>
          <w:rFonts w:ascii="Calibri" w:hAnsi="Calibri"/>
          <w:bCs/>
          <w:i/>
        </w:rPr>
        <w:t>7</w:t>
      </w:r>
      <w:r w:rsidRPr="00BF791F">
        <w:rPr>
          <w:rFonts w:ascii="Calibri" w:hAnsi="Calibri"/>
          <w:bCs/>
          <w:i/>
        </w:rPr>
        <w:t>. godine</w:t>
      </w:r>
    </w:p>
    <w:p w:rsidR="00EB0F7D" w:rsidRPr="00EB0F7D" w:rsidRDefault="00A150B2" w:rsidP="00EB0F7D">
      <w:pPr>
        <w:jc w:val="center"/>
        <w:rPr>
          <w:rFonts w:ascii="Calibri" w:hAnsi="Calibri"/>
          <w:bCs/>
          <w:sz w:val="20"/>
          <w:szCs w:val="20"/>
          <w:highlight w:val="yellow"/>
        </w:rPr>
      </w:pPr>
      <w:r w:rsidRPr="00A150B2">
        <w:rPr>
          <w:rFonts w:ascii="Calibri" w:hAnsi="Calibri"/>
          <w:bCs/>
          <w:sz w:val="20"/>
          <w:szCs w:val="20"/>
        </w:rPr>
        <w:drawing>
          <wp:inline distT="0" distB="0" distL="0" distR="0">
            <wp:extent cx="5257800" cy="27432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0F7D" w:rsidRPr="00EB0F7D" w:rsidRDefault="00EB0F7D" w:rsidP="00EB0F7D">
      <w:pPr>
        <w:jc w:val="center"/>
        <w:rPr>
          <w:rFonts w:ascii="Calibri" w:hAnsi="Calibri"/>
          <w:bCs/>
          <w:sz w:val="20"/>
          <w:szCs w:val="20"/>
          <w:highlight w:val="yellow"/>
        </w:rPr>
      </w:pPr>
    </w:p>
    <w:p w:rsidR="00EB0F7D" w:rsidRPr="009F1B58" w:rsidRDefault="00EB0F7D" w:rsidP="00EB0F7D">
      <w:pPr>
        <w:jc w:val="both"/>
        <w:rPr>
          <w:rFonts w:ascii="Calibri" w:hAnsi="Calibri" w:cs="Arial"/>
        </w:rPr>
      </w:pPr>
      <w:r w:rsidRPr="009F1B58">
        <w:rPr>
          <w:rFonts w:ascii="Calibri" w:hAnsi="Calibri" w:cs="Arial"/>
        </w:rPr>
        <w:t xml:space="preserve">U pogledu vrijednosti novozaključenih ugovora prema sektorskoj strukturi, najveće učešće u ukupnoj vrijednosti plasmana imaju </w:t>
      </w:r>
      <w:r w:rsidR="00A150B2" w:rsidRPr="009F1B58">
        <w:rPr>
          <w:rFonts w:ascii="Calibri" w:hAnsi="Calibri" w:cs="Arial"/>
        </w:rPr>
        <w:t>ostale usluge (</w:t>
      </w:r>
      <w:r w:rsidR="00A150B2">
        <w:rPr>
          <w:rFonts w:ascii="Calibri" w:hAnsi="Calibri" w:cs="Arial"/>
        </w:rPr>
        <w:t>58,8</w:t>
      </w:r>
      <w:r w:rsidR="00A150B2" w:rsidRPr="009F1B58">
        <w:rPr>
          <w:rFonts w:ascii="Calibri" w:hAnsi="Calibri" w:cs="Arial"/>
        </w:rPr>
        <w:t xml:space="preserve">%), </w:t>
      </w:r>
      <w:r w:rsidR="00D4584C" w:rsidRPr="009F1B58">
        <w:rPr>
          <w:rFonts w:ascii="Calibri" w:hAnsi="Calibri" w:cs="Arial"/>
        </w:rPr>
        <w:t>trgovina (</w:t>
      </w:r>
      <w:r w:rsidR="00A150B2">
        <w:rPr>
          <w:rFonts w:ascii="Calibri" w:hAnsi="Calibri" w:cs="Arial"/>
        </w:rPr>
        <w:t>13,2</w:t>
      </w:r>
      <w:r w:rsidR="00D4584C" w:rsidRPr="009F1B58">
        <w:rPr>
          <w:rFonts w:ascii="Calibri" w:hAnsi="Calibri" w:cs="Arial"/>
        </w:rPr>
        <w:t xml:space="preserve">%), </w:t>
      </w:r>
      <w:r w:rsidR="00A150B2">
        <w:rPr>
          <w:rFonts w:ascii="Calibri" w:hAnsi="Calibri" w:cs="Arial"/>
        </w:rPr>
        <w:t>ostali sektori (8,3%), saobraćaj (8%), građevinarstvo (5,9%), te usluge smještaja i ishrane</w:t>
      </w:r>
      <w:r w:rsidR="00D4584C" w:rsidRPr="009F1B58">
        <w:rPr>
          <w:rFonts w:ascii="Calibri" w:hAnsi="Calibri" w:cs="Arial"/>
        </w:rPr>
        <w:t xml:space="preserve"> (</w:t>
      </w:r>
      <w:r w:rsidR="00A150B2">
        <w:rPr>
          <w:rFonts w:ascii="Calibri" w:hAnsi="Calibri" w:cs="Arial"/>
        </w:rPr>
        <w:t>3,4</w:t>
      </w:r>
      <w:r w:rsidR="00D4584C" w:rsidRPr="009F1B58">
        <w:rPr>
          <w:rFonts w:ascii="Calibri" w:hAnsi="Calibri" w:cs="Arial"/>
        </w:rPr>
        <w:t>%).</w:t>
      </w:r>
      <w:r w:rsidRPr="009F1B58">
        <w:rPr>
          <w:rFonts w:ascii="Calibri" w:hAnsi="Calibri" w:cs="Arial"/>
        </w:rPr>
        <w:t xml:space="preserve"> </w:t>
      </w:r>
    </w:p>
    <w:p w:rsidR="00BF791F" w:rsidRDefault="00BF791F" w:rsidP="00EB0F7D">
      <w:pPr>
        <w:jc w:val="both"/>
        <w:rPr>
          <w:rFonts w:ascii="Calibri" w:hAnsi="Calibri" w:cs="Arial"/>
        </w:rPr>
      </w:pPr>
    </w:p>
    <w:p w:rsidR="00EB0F7D" w:rsidRPr="00EB0F7D" w:rsidRDefault="00BF791F" w:rsidP="00EB0F7D">
      <w:pPr>
        <w:jc w:val="both"/>
        <w:rPr>
          <w:rFonts w:ascii="Calibri" w:hAnsi="Calibri" w:cs="Arial"/>
          <w:highlight w:val="yellow"/>
        </w:rPr>
      </w:pPr>
      <w:r w:rsidRPr="00BF791F">
        <w:rPr>
          <w:rFonts w:ascii="Calibri" w:hAnsi="Calibri" w:cs="Arial"/>
        </w:rPr>
        <w:t>Na g</w:t>
      </w:r>
      <w:r w:rsidR="00EB0F7D" w:rsidRPr="00BF791F">
        <w:rPr>
          <w:rFonts w:ascii="Calibri" w:hAnsi="Calibri" w:cs="Arial"/>
        </w:rPr>
        <w:t>rafik</w:t>
      </w:r>
      <w:r w:rsidRPr="00BF791F">
        <w:rPr>
          <w:rFonts w:ascii="Calibri" w:hAnsi="Calibri" w:cs="Arial"/>
        </w:rPr>
        <w:t>u</w:t>
      </w:r>
      <w:r w:rsidR="00EB0F7D" w:rsidRPr="00BF791F">
        <w:rPr>
          <w:rFonts w:ascii="Calibri" w:hAnsi="Calibri" w:cs="Arial"/>
        </w:rPr>
        <w:t xml:space="preserve"> 2 </w:t>
      </w:r>
      <w:r w:rsidRPr="00BF791F">
        <w:rPr>
          <w:rFonts w:ascii="Calibri" w:hAnsi="Calibri" w:cs="Arial"/>
        </w:rPr>
        <w:t>prikazana je cjelokupna sektorska struktura</w:t>
      </w:r>
      <w:r w:rsidR="00EB0F7D" w:rsidRPr="00BF791F">
        <w:rPr>
          <w:rFonts w:ascii="Calibri" w:hAnsi="Calibri" w:cs="Arial"/>
        </w:rPr>
        <w:t xml:space="preserve"> u pogledu vrijednosti aktivnih ugovora na dan 30. </w:t>
      </w:r>
      <w:r w:rsidR="00A150B2">
        <w:rPr>
          <w:rFonts w:ascii="Calibri" w:hAnsi="Calibri" w:cs="Arial"/>
        </w:rPr>
        <w:t>jun 2017</w:t>
      </w:r>
      <w:r w:rsidR="00EB0F7D" w:rsidRPr="00BF791F">
        <w:rPr>
          <w:rFonts w:ascii="Calibri" w:hAnsi="Calibri" w:cs="Arial"/>
        </w:rPr>
        <w:t xml:space="preserve">. godine, sa </w:t>
      </w:r>
      <w:r w:rsidR="00EB0F7D" w:rsidRPr="009F1B58">
        <w:rPr>
          <w:rFonts w:ascii="Calibri" w:hAnsi="Calibri" w:cs="Arial"/>
        </w:rPr>
        <w:t xml:space="preserve">najznačajnijim učešćem građevinarstva, </w:t>
      </w:r>
      <w:r w:rsidR="009F1B58" w:rsidRPr="009F1B58">
        <w:rPr>
          <w:rFonts w:ascii="Calibri" w:hAnsi="Calibri" w:cs="Arial"/>
        </w:rPr>
        <w:t xml:space="preserve">ostalih usluga, </w:t>
      </w:r>
      <w:r w:rsidR="00A150B2" w:rsidRPr="009F1B58">
        <w:rPr>
          <w:rFonts w:ascii="Calibri" w:hAnsi="Calibri" w:cs="Arial"/>
        </w:rPr>
        <w:t xml:space="preserve">trgovine, </w:t>
      </w:r>
      <w:r w:rsidR="009F1B58" w:rsidRPr="009F1B58">
        <w:rPr>
          <w:rFonts w:ascii="Calibri" w:hAnsi="Calibri" w:cs="Arial"/>
        </w:rPr>
        <w:t>industrije</w:t>
      </w:r>
      <w:r w:rsidR="00A150B2">
        <w:rPr>
          <w:rFonts w:ascii="Calibri" w:hAnsi="Calibri" w:cs="Arial"/>
        </w:rPr>
        <w:t xml:space="preserve"> i ostalih sektora</w:t>
      </w:r>
      <w:r w:rsidR="00EB0F7D" w:rsidRPr="009F1B58">
        <w:rPr>
          <w:rFonts w:ascii="Calibri" w:hAnsi="Calibri" w:cs="Arial"/>
        </w:rPr>
        <w:t>.</w:t>
      </w:r>
    </w:p>
    <w:p w:rsidR="00EB0F7D" w:rsidRPr="00EB0F7D" w:rsidRDefault="00EB0F7D" w:rsidP="00EB0F7D">
      <w:pPr>
        <w:jc w:val="center"/>
        <w:rPr>
          <w:rFonts w:ascii="Calibri" w:hAnsi="Calibri"/>
          <w:bCs/>
          <w:sz w:val="20"/>
          <w:szCs w:val="20"/>
          <w:highlight w:val="yellow"/>
        </w:rPr>
      </w:pPr>
    </w:p>
    <w:p w:rsidR="00EB0F7D" w:rsidRPr="00EB0F7D" w:rsidRDefault="00EB0F7D" w:rsidP="00EB0F7D">
      <w:pPr>
        <w:jc w:val="center"/>
        <w:rPr>
          <w:rFonts w:ascii="Calibri" w:hAnsi="Calibri"/>
          <w:bCs/>
          <w:sz w:val="20"/>
          <w:szCs w:val="20"/>
          <w:highlight w:val="yellow"/>
        </w:rPr>
      </w:pPr>
    </w:p>
    <w:p w:rsidR="00EB0F7D" w:rsidRPr="00BF791F" w:rsidRDefault="00EB0F7D" w:rsidP="00EB0F7D">
      <w:pPr>
        <w:jc w:val="center"/>
        <w:rPr>
          <w:rFonts w:ascii="Calibri" w:hAnsi="Calibri"/>
          <w:bCs/>
          <w:i/>
        </w:rPr>
      </w:pPr>
      <w:r w:rsidRPr="00BF791F">
        <w:rPr>
          <w:rFonts w:ascii="Calibri" w:hAnsi="Calibri"/>
          <w:bCs/>
          <w:i/>
        </w:rPr>
        <w:t xml:space="preserve">Grafik 2: Struktura vrijednosti aktivnih ugovora na dan 30. </w:t>
      </w:r>
      <w:r w:rsidR="00BF791F">
        <w:rPr>
          <w:rFonts w:ascii="Calibri" w:hAnsi="Calibri"/>
          <w:bCs/>
          <w:i/>
        </w:rPr>
        <w:t xml:space="preserve">septembar </w:t>
      </w:r>
      <w:r w:rsidRPr="00BF791F">
        <w:rPr>
          <w:rFonts w:ascii="Calibri" w:hAnsi="Calibri"/>
          <w:bCs/>
          <w:i/>
        </w:rPr>
        <w:t>2016. godine</w:t>
      </w:r>
    </w:p>
    <w:p w:rsidR="00EB0F7D" w:rsidRPr="00DF7FF8" w:rsidRDefault="00A150B2" w:rsidP="00EB0F7D">
      <w:pPr>
        <w:jc w:val="center"/>
        <w:rPr>
          <w:rFonts w:ascii="Arial" w:hAnsi="Arial" w:cs="Arial"/>
        </w:rPr>
      </w:pPr>
      <w:r w:rsidRPr="00A150B2">
        <w:rPr>
          <w:rFonts w:ascii="Arial" w:hAnsi="Arial" w:cs="Arial"/>
        </w:rPr>
        <w:drawing>
          <wp:inline distT="0" distB="0" distL="0" distR="0">
            <wp:extent cx="5334000" cy="2743200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41D3" w:rsidRDefault="00BE41D3">
      <w:pPr>
        <w:spacing w:before="120"/>
        <w:jc w:val="both"/>
        <w:rPr>
          <w:rFonts w:ascii="Calibri" w:hAnsi="Calibri"/>
          <w:b/>
          <w:lang w:val="es-ES"/>
        </w:rPr>
      </w:pPr>
      <w:r>
        <w:rPr>
          <w:rFonts w:ascii="Calibri" w:hAnsi="Calibri"/>
          <w:b/>
          <w:lang w:val="es-ES"/>
        </w:rPr>
        <w:br w:type="page"/>
      </w:r>
    </w:p>
    <w:p w:rsidR="00DF0E28" w:rsidRPr="00D851F1" w:rsidRDefault="00DF0E28" w:rsidP="009F1B58">
      <w:pPr>
        <w:pBdr>
          <w:bottom w:val="single" w:sz="4" w:space="1" w:color="auto"/>
        </w:pBdr>
        <w:spacing w:after="120"/>
        <w:rPr>
          <w:rFonts w:ascii="Calibri" w:hAnsi="Calibri"/>
          <w:b/>
          <w:lang w:val="es-ES"/>
        </w:rPr>
      </w:pPr>
      <w:proofErr w:type="spellStart"/>
      <w:r w:rsidRPr="00D851F1">
        <w:rPr>
          <w:rFonts w:ascii="Calibri" w:hAnsi="Calibri"/>
          <w:b/>
          <w:lang w:val="es-ES"/>
        </w:rPr>
        <w:lastRenderedPageBreak/>
        <w:t>Bilans</w:t>
      </w:r>
      <w:proofErr w:type="spellEnd"/>
      <w:r w:rsidRPr="00D851F1">
        <w:rPr>
          <w:rFonts w:ascii="Calibri" w:hAnsi="Calibri"/>
          <w:b/>
          <w:lang w:val="es-ES"/>
        </w:rPr>
        <w:t xml:space="preserve"> </w:t>
      </w:r>
      <w:proofErr w:type="spellStart"/>
      <w:r w:rsidRPr="00D851F1">
        <w:rPr>
          <w:rFonts w:ascii="Calibri" w:hAnsi="Calibri"/>
          <w:b/>
          <w:lang w:val="es-ES"/>
        </w:rPr>
        <w:t>stanja</w:t>
      </w:r>
      <w:proofErr w:type="spellEnd"/>
    </w:p>
    <w:p w:rsidR="00046D0B" w:rsidRDefault="00046D0B" w:rsidP="009F1B58">
      <w:pPr>
        <w:spacing w:after="120" w:line="276" w:lineRule="auto"/>
        <w:jc w:val="both"/>
        <w:rPr>
          <w:rFonts w:ascii="Calibri" w:hAnsi="Calibri" w:cs="Arial"/>
          <w:lang w:val="es-ES"/>
        </w:rPr>
      </w:pPr>
      <w:proofErr w:type="spellStart"/>
      <w:r w:rsidRPr="00783A34">
        <w:rPr>
          <w:rFonts w:ascii="Calibri" w:hAnsi="Calibri"/>
          <w:lang w:val="es-ES"/>
        </w:rPr>
        <w:t>Ukupna</w:t>
      </w:r>
      <w:proofErr w:type="spellEnd"/>
      <w:r w:rsidRPr="00783A34">
        <w:rPr>
          <w:rFonts w:ascii="Calibri" w:hAnsi="Calibri"/>
          <w:lang w:val="es-ES"/>
        </w:rPr>
        <w:t xml:space="preserve"> </w:t>
      </w:r>
      <w:proofErr w:type="spellStart"/>
      <w:r w:rsidRPr="00783A34">
        <w:rPr>
          <w:rFonts w:ascii="Calibri" w:hAnsi="Calibri"/>
          <w:lang w:val="es-ES"/>
        </w:rPr>
        <w:t>aktiva</w:t>
      </w:r>
      <w:proofErr w:type="spellEnd"/>
      <w:r w:rsidRPr="00783A34">
        <w:rPr>
          <w:rFonts w:ascii="Calibri" w:hAnsi="Calibri"/>
          <w:lang w:val="es-ES"/>
        </w:rPr>
        <w:t xml:space="preserve"> </w:t>
      </w:r>
      <w:r w:rsidRPr="00783A34">
        <w:rPr>
          <w:rFonts w:ascii="Calibri" w:hAnsi="Calibri"/>
        </w:rPr>
        <w:t>četiri</w:t>
      </w:r>
      <w:r w:rsidRPr="00783A34">
        <w:rPr>
          <w:rFonts w:ascii="Calibri" w:hAnsi="Calibri"/>
          <w:lang w:val="es-ES"/>
        </w:rPr>
        <w:t xml:space="preserve"> </w:t>
      </w:r>
      <w:proofErr w:type="spellStart"/>
      <w:r w:rsidRPr="00783A34">
        <w:rPr>
          <w:rFonts w:ascii="Calibri" w:hAnsi="Calibri"/>
          <w:lang w:val="es-ES"/>
        </w:rPr>
        <w:t>lizing</w:t>
      </w:r>
      <w:proofErr w:type="spellEnd"/>
      <w:r w:rsidRPr="00783A34">
        <w:rPr>
          <w:rFonts w:ascii="Calibri" w:hAnsi="Calibri"/>
          <w:lang w:val="es-ES"/>
        </w:rPr>
        <w:t xml:space="preserve"> </w:t>
      </w:r>
      <w:proofErr w:type="spellStart"/>
      <w:r w:rsidRPr="00783A34">
        <w:rPr>
          <w:rFonts w:ascii="Calibri" w:hAnsi="Calibri"/>
          <w:lang w:val="es-ES"/>
        </w:rPr>
        <w:t>kuće</w:t>
      </w:r>
      <w:proofErr w:type="spellEnd"/>
      <w:r w:rsidRPr="00783A34">
        <w:rPr>
          <w:rFonts w:ascii="Calibri" w:hAnsi="Calibri"/>
          <w:lang w:val="es-ES"/>
        </w:rPr>
        <w:t xml:space="preserve"> </w:t>
      </w:r>
      <w:proofErr w:type="spellStart"/>
      <w:r w:rsidRPr="00783A34">
        <w:rPr>
          <w:rFonts w:ascii="Calibri" w:hAnsi="Calibri"/>
          <w:lang w:val="es-ES"/>
        </w:rPr>
        <w:t>na</w:t>
      </w:r>
      <w:proofErr w:type="spellEnd"/>
      <w:r w:rsidRPr="00783A34">
        <w:rPr>
          <w:rFonts w:ascii="Calibri" w:hAnsi="Calibri"/>
          <w:lang w:val="es-ES"/>
        </w:rPr>
        <w:t xml:space="preserve"> dan 3</w:t>
      </w:r>
      <w:r>
        <w:rPr>
          <w:rFonts w:ascii="Calibri" w:hAnsi="Calibri"/>
          <w:lang w:val="es-ES"/>
        </w:rPr>
        <w:t>0</w:t>
      </w:r>
      <w:r w:rsidRPr="00783A34">
        <w:rPr>
          <w:rFonts w:ascii="Calibri" w:hAnsi="Calibri"/>
          <w:lang w:val="es-ES"/>
        </w:rPr>
        <w:t xml:space="preserve">. </w:t>
      </w:r>
      <w:proofErr w:type="spellStart"/>
      <w:proofErr w:type="gramStart"/>
      <w:r w:rsidR="00D87025">
        <w:rPr>
          <w:rFonts w:asciiTheme="minorHAnsi" w:hAnsiTheme="minorHAnsi"/>
          <w:lang w:val="es-ES"/>
        </w:rPr>
        <w:t>jun</w:t>
      </w:r>
      <w:proofErr w:type="spellEnd"/>
      <w:proofErr w:type="gramEnd"/>
      <w:r w:rsidR="00070E10" w:rsidRPr="00E7142A">
        <w:rPr>
          <w:rFonts w:asciiTheme="minorHAnsi" w:hAnsiTheme="minorHAnsi"/>
          <w:lang w:val="es-ES"/>
        </w:rPr>
        <w:t xml:space="preserve"> </w:t>
      </w:r>
      <w:r w:rsidRPr="00E7142A">
        <w:rPr>
          <w:rFonts w:asciiTheme="minorHAnsi" w:hAnsiTheme="minorHAnsi"/>
          <w:lang w:val="es-ES"/>
        </w:rPr>
        <w:t>201</w:t>
      </w:r>
      <w:r w:rsidR="00D87025">
        <w:rPr>
          <w:rFonts w:asciiTheme="minorHAnsi" w:hAnsiTheme="minorHAnsi"/>
          <w:lang w:val="es-ES"/>
        </w:rPr>
        <w:t>7</w:t>
      </w:r>
      <w:r w:rsidRPr="00E7142A">
        <w:rPr>
          <w:rFonts w:asciiTheme="minorHAnsi" w:hAnsiTheme="minorHAnsi"/>
          <w:lang w:val="es-ES"/>
        </w:rPr>
        <w:t xml:space="preserve">. </w:t>
      </w:r>
      <w:proofErr w:type="spellStart"/>
      <w:proofErr w:type="gramStart"/>
      <w:r w:rsidRPr="00E7142A">
        <w:rPr>
          <w:rFonts w:asciiTheme="minorHAnsi" w:hAnsiTheme="minorHAnsi"/>
          <w:lang w:val="es-ES"/>
        </w:rPr>
        <w:t>godine</w:t>
      </w:r>
      <w:proofErr w:type="spellEnd"/>
      <w:proofErr w:type="gramEnd"/>
      <w:r w:rsidRPr="00E7142A">
        <w:rPr>
          <w:rFonts w:asciiTheme="minorHAnsi" w:hAnsiTheme="minorHAnsi"/>
          <w:lang w:val="es-ES"/>
        </w:rPr>
        <w:t xml:space="preserve"> </w:t>
      </w:r>
      <w:proofErr w:type="spellStart"/>
      <w:r w:rsidRPr="00E7142A">
        <w:rPr>
          <w:rFonts w:asciiTheme="minorHAnsi" w:hAnsiTheme="minorHAnsi" w:cs="Arial"/>
          <w:lang w:val="es-ES"/>
        </w:rPr>
        <w:t>iznosila</w:t>
      </w:r>
      <w:proofErr w:type="spellEnd"/>
      <w:r w:rsidRPr="00E7142A">
        <w:rPr>
          <w:rFonts w:asciiTheme="minorHAnsi" w:hAnsiTheme="minorHAnsi" w:cs="Arial"/>
          <w:lang w:val="es-ES"/>
        </w:rPr>
        <w:t xml:space="preserve"> je</w:t>
      </w:r>
      <w:r w:rsidR="00070E10" w:rsidRPr="00E7142A">
        <w:rPr>
          <w:rFonts w:asciiTheme="minorHAnsi" w:hAnsiTheme="minorHAnsi" w:cs="Arial"/>
          <w:lang w:val="es-ES"/>
        </w:rPr>
        <w:t xml:space="preserve"> </w:t>
      </w:r>
      <w:r w:rsidR="000A1999" w:rsidRPr="00E7142A">
        <w:rPr>
          <w:rFonts w:asciiTheme="minorHAnsi" w:hAnsiTheme="minorHAnsi"/>
          <w:bCs/>
          <w:lang w:val="en-US" w:eastAsia="en-US"/>
        </w:rPr>
        <w:t>4</w:t>
      </w:r>
      <w:r w:rsidR="00A13F02">
        <w:rPr>
          <w:rFonts w:asciiTheme="minorHAnsi" w:hAnsiTheme="minorHAnsi"/>
          <w:bCs/>
          <w:lang w:val="en-US" w:eastAsia="en-US"/>
        </w:rPr>
        <w:t>2</w:t>
      </w:r>
      <w:r w:rsidR="000A1999" w:rsidRPr="00E7142A">
        <w:rPr>
          <w:rFonts w:asciiTheme="minorHAnsi" w:hAnsiTheme="minorHAnsi"/>
          <w:bCs/>
          <w:lang w:val="en-US" w:eastAsia="en-US"/>
        </w:rPr>
        <w:t>.</w:t>
      </w:r>
      <w:r w:rsidR="00A13F02">
        <w:rPr>
          <w:rFonts w:asciiTheme="minorHAnsi" w:hAnsiTheme="minorHAnsi"/>
          <w:bCs/>
          <w:lang w:val="en-US" w:eastAsia="en-US"/>
        </w:rPr>
        <w:t>765</w:t>
      </w:r>
      <w:r w:rsidR="000A1999" w:rsidRPr="00E7142A">
        <w:rPr>
          <w:rFonts w:asciiTheme="minorHAnsi" w:hAnsiTheme="minorHAnsi"/>
          <w:bCs/>
          <w:lang w:val="en-US" w:eastAsia="en-US"/>
        </w:rPr>
        <w:t>.</w:t>
      </w:r>
      <w:r w:rsidR="00A13F02">
        <w:rPr>
          <w:rFonts w:asciiTheme="minorHAnsi" w:hAnsiTheme="minorHAnsi"/>
          <w:bCs/>
          <w:lang w:val="en-US" w:eastAsia="en-US"/>
        </w:rPr>
        <w:t>081</w:t>
      </w:r>
      <w:r w:rsidRPr="00E7142A">
        <w:rPr>
          <w:rFonts w:asciiTheme="minorHAnsi" w:hAnsiTheme="minorHAnsi" w:cs="Arial"/>
          <w:lang w:val="es-ES"/>
        </w:rPr>
        <w:t xml:space="preserve">€ i </w:t>
      </w:r>
      <w:proofErr w:type="spellStart"/>
      <w:r w:rsidR="00A13F02">
        <w:rPr>
          <w:rFonts w:asciiTheme="minorHAnsi" w:hAnsiTheme="minorHAnsi" w:cs="Arial"/>
          <w:lang w:val="es-ES"/>
        </w:rPr>
        <w:t>veća</w:t>
      </w:r>
      <w:proofErr w:type="spellEnd"/>
      <w:r w:rsidRPr="00BE74F7">
        <w:rPr>
          <w:rFonts w:asciiTheme="minorHAnsi" w:hAnsiTheme="minorHAnsi" w:cs="Arial"/>
          <w:lang w:val="es-ES"/>
        </w:rPr>
        <w:t xml:space="preserve"> je za </w:t>
      </w:r>
      <w:proofErr w:type="spellStart"/>
      <w:r w:rsidRPr="00BE74F7">
        <w:rPr>
          <w:rFonts w:asciiTheme="minorHAnsi" w:hAnsiTheme="minorHAnsi" w:cs="Arial"/>
          <w:lang w:val="es-ES"/>
        </w:rPr>
        <w:t>oko</w:t>
      </w:r>
      <w:proofErr w:type="spellEnd"/>
      <w:r w:rsidRPr="00BE74F7">
        <w:rPr>
          <w:rFonts w:asciiTheme="minorHAnsi" w:hAnsiTheme="minorHAnsi" w:cs="Arial"/>
          <w:lang w:val="es-ES"/>
        </w:rPr>
        <w:t xml:space="preserve"> </w:t>
      </w:r>
      <w:r w:rsidR="00A13F02">
        <w:rPr>
          <w:rFonts w:asciiTheme="minorHAnsi" w:hAnsiTheme="minorHAnsi" w:cs="Arial"/>
          <w:lang w:val="es-ES"/>
        </w:rPr>
        <w:t>6,1</w:t>
      </w:r>
      <w:r w:rsidRPr="00BE74F7">
        <w:rPr>
          <w:rFonts w:asciiTheme="minorHAnsi" w:hAnsiTheme="minorHAnsi" w:cs="Arial"/>
          <w:lang w:val="es-ES"/>
        </w:rPr>
        <w:t xml:space="preserve">% u </w:t>
      </w:r>
      <w:proofErr w:type="spellStart"/>
      <w:r w:rsidRPr="00BE74F7">
        <w:rPr>
          <w:rFonts w:asciiTheme="minorHAnsi" w:hAnsiTheme="minorHAnsi" w:cs="Arial"/>
          <w:lang w:val="es-ES"/>
        </w:rPr>
        <w:t>odnosu</w:t>
      </w:r>
      <w:proofErr w:type="spellEnd"/>
      <w:r w:rsidRPr="00BE74F7">
        <w:rPr>
          <w:rFonts w:asciiTheme="minorHAnsi" w:hAnsiTheme="minorHAnsi" w:cs="Arial"/>
          <w:lang w:val="es-ES"/>
        </w:rPr>
        <w:t xml:space="preserve"> </w:t>
      </w:r>
      <w:proofErr w:type="spellStart"/>
      <w:r w:rsidRPr="00BE74F7">
        <w:rPr>
          <w:rFonts w:asciiTheme="minorHAnsi" w:hAnsiTheme="minorHAnsi" w:cs="Arial"/>
          <w:lang w:val="es-ES"/>
        </w:rPr>
        <w:t>na</w:t>
      </w:r>
      <w:proofErr w:type="spellEnd"/>
      <w:r w:rsidRPr="00BE74F7">
        <w:rPr>
          <w:rFonts w:asciiTheme="minorHAnsi" w:hAnsiTheme="minorHAnsi" w:cs="Arial"/>
          <w:lang w:val="es-ES"/>
        </w:rPr>
        <w:t xml:space="preserve"> </w:t>
      </w:r>
      <w:r w:rsidR="00EB0F7D" w:rsidRPr="00BE74F7">
        <w:rPr>
          <w:rFonts w:asciiTheme="minorHAnsi" w:hAnsiTheme="minorHAnsi" w:cs="Arial"/>
          <w:lang w:val="es-ES"/>
        </w:rPr>
        <w:t xml:space="preserve">30. </w:t>
      </w:r>
      <w:proofErr w:type="spellStart"/>
      <w:proofErr w:type="gramStart"/>
      <w:r w:rsidR="00A13F02">
        <w:rPr>
          <w:rFonts w:asciiTheme="minorHAnsi" w:hAnsiTheme="minorHAnsi" w:cs="Arial"/>
          <w:lang w:val="es-ES"/>
        </w:rPr>
        <w:t>mart</w:t>
      </w:r>
      <w:proofErr w:type="spellEnd"/>
      <w:proofErr w:type="gramEnd"/>
      <w:r w:rsidR="00EB0F7D" w:rsidRPr="00BE74F7">
        <w:rPr>
          <w:rFonts w:asciiTheme="minorHAnsi" w:hAnsiTheme="minorHAnsi" w:cs="Arial"/>
          <w:lang w:val="es-ES"/>
        </w:rPr>
        <w:t xml:space="preserve"> 201</w:t>
      </w:r>
      <w:r w:rsidR="00A13F02">
        <w:rPr>
          <w:rFonts w:asciiTheme="minorHAnsi" w:hAnsiTheme="minorHAnsi" w:cs="Arial"/>
          <w:lang w:val="es-ES"/>
        </w:rPr>
        <w:t>7</w:t>
      </w:r>
      <w:r w:rsidR="00EB0F7D" w:rsidRPr="00BE74F7">
        <w:rPr>
          <w:rFonts w:asciiTheme="minorHAnsi" w:hAnsiTheme="minorHAnsi" w:cs="Arial"/>
          <w:lang w:val="es-ES"/>
        </w:rPr>
        <w:t>.</w:t>
      </w:r>
      <w:r w:rsidR="00070E10" w:rsidRPr="00BE74F7">
        <w:rPr>
          <w:rFonts w:asciiTheme="minorHAnsi" w:hAnsiTheme="minorHAnsi" w:cs="Arial"/>
          <w:lang w:val="es-ES"/>
        </w:rPr>
        <w:t xml:space="preserve"> </w:t>
      </w:r>
      <w:proofErr w:type="spellStart"/>
      <w:proofErr w:type="gramStart"/>
      <w:r w:rsidR="00070E10" w:rsidRPr="00BE74F7">
        <w:rPr>
          <w:rFonts w:asciiTheme="minorHAnsi" w:hAnsiTheme="minorHAnsi" w:cs="Arial"/>
          <w:lang w:val="es-ES"/>
        </w:rPr>
        <w:t>godine</w:t>
      </w:r>
      <w:proofErr w:type="spellEnd"/>
      <w:proofErr w:type="gramEnd"/>
      <w:r w:rsidRPr="00BE74F7">
        <w:rPr>
          <w:rFonts w:asciiTheme="minorHAnsi" w:hAnsiTheme="minorHAnsi" w:cs="Arial"/>
          <w:lang w:val="es-ES"/>
        </w:rPr>
        <w:t>.</w:t>
      </w:r>
      <w:r w:rsidRPr="00BE74F7">
        <w:rPr>
          <w:rFonts w:ascii="Calibri" w:hAnsi="Calibri" w:cs="Arial"/>
          <w:lang w:val="es-ES"/>
        </w:rPr>
        <w:t xml:space="preserve"> U </w:t>
      </w:r>
      <w:proofErr w:type="spellStart"/>
      <w:r w:rsidRPr="00BE74F7">
        <w:rPr>
          <w:rFonts w:ascii="Calibri" w:hAnsi="Calibri" w:cs="Arial"/>
          <w:lang w:val="es-ES"/>
        </w:rPr>
        <w:t>strukturi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="00BE74F7" w:rsidRPr="00BE74F7">
        <w:rPr>
          <w:rFonts w:ascii="Calibri" w:hAnsi="Calibri" w:cs="Arial"/>
          <w:lang w:val="es-ES"/>
        </w:rPr>
        <w:t>ukupne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="00BE74F7" w:rsidRPr="00BE74F7">
        <w:rPr>
          <w:rFonts w:ascii="Calibri" w:hAnsi="Calibri" w:cs="Arial"/>
          <w:lang w:val="es-ES"/>
        </w:rPr>
        <w:t>aktive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, </w:t>
      </w:r>
      <w:proofErr w:type="spellStart"/>
      <w:r w:rsidR="00BE74F7" w:rsidRPr="00BE74F7">
        <w:rPr>
          <w:rFonts w:ascii="Calibri" w:hAnsi="Calibri" w:cs="Arial"/>
          <w:lang w:val="es-ES"/>
        </w:rPr>
        <w:t>stalna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="00BE74F7" w:rsidRPr="00BE74F7">
        <w:rPr>
          <w:rFonts w:ascii="Calibri" w:hAnsi="Calibri" w:cs="Arial"/>
          <w:lang w:val="es-ES"/>
        </w:rPr>
        <w:t>imovina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čini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nešto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više</w:t>
      </w:r>
      <w:proofErr w:type="spellEnd"/>
      <w:r w:rsidRPr="00BE74F7">
        <w:rPr>
          <w:rFonts w:ascii="Calibri" w:hAnsi="Calibri" w:cs="Arial"/>
          <w:lang w:val="es-ES"/>
        </w:rPr>
        <w:t xml:space="preserve"> od </w:t>
      </w:r>
      <w:proofErr w:type="spellStart"/>
      <w:r w:rsidRPr="00BE74F7">
        <w:rPr>
          <w:rFonts w:ascii="Calibri" w:hAnsi="Calibri" w:cs="Arial"/>
          <w:lang w:val="es-ES"/>
        </w:rPr>
        <w:t>polovine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aktive</w:t>
      </w:r>
      <w:proofErr w:type="spellEnd"/>
      <w:r w:rsidR="009E4C70" w:rsidRPr="00BE74F7">
        <w:rPr>
          <w:rFonts w:ascii="Calibri" w:hAnsi="Calibri" w:cs="Arial"/>
          <w:lang w:val="es-ES"/>
        </w:rPr>
        <w:t xml:space="preserve"> (5</w:t>
      </w:r>
      <w:r w:rsidR="00D448D6">
        <w:rPr>
          <w:rFonts w:ascii="Calibri" w:hAnsi="Calibri" w:cs="Arial"/>
          <w:lang w:val="es-ES"/>
        </w:rPr>
        <w:t>4</w:t>
      </w:r>
      <w:r w:rsidR="00BE74F7" w:rsidRPr="00BE74F7">
        <w:rPr>
          <w:rFonts w:ascii="Calibri" w:hAnsi="Calibri" w:cs="Arial"/>
          <w:lang w:val="es-ES"/>
        </w:rPr>
        <w:t>,</w:t>
      </w:r>
      <w:r w:rsidR="00D448D6">
        <w:rPr>
          <w:rFonts w:ascii="Calibri" w:hAnsi="Calibri" w:cs="Arial"/>
          <w:lang w:val="es-ES"/>
        </w:rPr>
        <w:t>7</w:t>
      </w:r>
      <w:r w:rsidR="00BE74F7" w:rsidRPr="00BE74F7">
        <w:rPr>
          <w:rFonts w:ascii="Calibri" w:hAnsi="Calibri" w:cs="Arial"/>
          <w:lang w:val="es-ES"/>
        </w:rPr>
        <w:t>8</w:t>
      </w:r>
      <w:r w:rsidR="009E4C70" w:rsidRPr="00BE74F7">
        <w:rPr>
          <w:rFonts w:ascii="Calibri" w:hAnsi="Calibri" w:cs="Arial"/>
          <w:lang w:val="es-ES"/>
        </w:rPr>
        <w:t>%)</w:t>
      </w:r>
      <w:r w:rsidRPr="00BE74F7">
        <w:rPr>
          <w:rFonts w:ascii="Calibri" w:hAnsi="Calibri" w:cs="Arial"/>
          <w:lang w:val="es-ES"/>
        </w:rPr>
        <w:t xml:space="preserve">, </w:t>
      </w:r>
      <w:proofErr w:type="spellStart"/>
      <w:r w:rsidRPr="00BE74F7">
        <w:rPr>
          <w:rFonts w:ascii="Calibri" w:hAnsi="Calibri" w:cs="Arial"/>
          <w:lang w:val="es-ES"/>
        </w:rPr>
        <w:t>dok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ostatak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čine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obrtna</w:t>
      </w:r>
      <w:proofErr w:type="spellEnd"/>
      <w:r w:rsidRPr="00BE74F7">
        <w:rPr>
          <w:rFonts w:ascii="Calibri" w:hAnsi="Calibri" w:cs="Arial"/>
          <w:lang w:val="es-ES"/>
        </w:rPr>
        <w:t xml:space="preserve"> </w:t>
      </w:r>
      <w:proofErr w:type="spellStart"/>
      <w:r w:rsidRPr="00BE74F7">
        <w:rPr>
          <w:rFonts w:ascii="Calibri" w:hAnsi="Calibri" w:cs="Arial"/>
          <w:lang w:val="es-ES"/>
        </w:rPr>
        <w:t>sredstva</w:t>
      </w:r>
      <w:proofErr w:type="spellEnd"/>
      <w:r w:rsidR="00D448D6">
        <w:rPr>
          <w:rFonts w:ascii="Calibri" w:hAnsi="Calibri" w:cs="Arial"/>
          <w:lang w:val="es-ES"/>
        </w:rPr>
        <w:t xml:space="preserve"> </w:t>
      </w:r>
      <w:r w:rsidR="00D448D6" w:rsidRPr="00BE74F7">
        <w:rPr>
          <w:rFonts w:ascii="Calibri" w:hAnsi="Calibri" w:cs="Arial"/>
          <w:lang w:val="es-ES"/>
        </w:rPr>
        <w:t>(</w:t>
      </w:r>
      <w:r w:rsidR="00D448D6">
        <w:rPr>
          <w:rFonts w:ascii="Calibri" w:hAnsi="Calibri" w:cs="Arial"/>
          <w:lang w:val="es-ES"/>
        </w:rPr>
        <w:t>45,19%)</w:t>
      </w:r>
      <w:r w:rsidR="00BE74F7" w:rsidRPr="00BE74F7">
        <w:rPr>
          <w:rFonts w:ascii="Calibri" w:hAnsi="Calibri" w:cs="Arial"/>
          <w:lang w:val="es-ES"/>
        </w:rPr>
        <w:t xml:space="preserve"> i </w:t>
      </w:r>
      <w:proofErr w:type="spellStart"/>
      <w:r w:rsidR="00BE74F7" w:rsidRPr="00BE74F7">
        <w:rPr>
          <w:rFonts w:ascii="Calibri" w:hAnsi="Calibri" w:cs="Arial"/>
          <w:lang w:val="es-ES"/>
        </w:rPr>
        <w:t>odložena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="00BE74F7" w:rsidRPr="00BE74F7">
        <w:rPr>
          <w:rFonts w:ascii="Calibri" w:hAnsi="Calibri" w:cs="Arial"/>
          <w:lang w:val="es-ES"/>
        </w:rPr>
        <w:t>poreska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</w:t>
      </w:r>
      <w:proofErr w:type="spellStart"/>
      <w:r w:rsidR="00BE74F7" w:rsidRPr="00BE74F7">
        <w:rPr>
          <w:rFonts w:ascii="Calibri" w:hAnsi="Calibri" w:cs="Arial"/>
          <w:lang w:val="es-ES"/>
        </w:rPr>
        <w:t>sredstva</w:t>
      </w:r>
      <w:proofErr w:type="spellEnd"/>
      <w:r w:rsidR="00BE74F7" w:rsidRPr="00BE74F7">
        <w:rPr>
          <w:rFonts w:ascii="Calibri" w:hAnsi="Calibri" w:cs="Arial"/>
          <w:lang w:val="es-ES"/>
        </w:rPr>
        <w:t xml:space="preserve"> (</w:t>
      </w:r>
      <w:r w:rsidR="00200FA7">
        <w:rPr>
          <w:rFonts w:ascii="Calibri" w:hAnsi="Calibri" w:cs="Arial"/>
          <w:lang w:val="es-ES"/>
        </w:rPr>
        <w:t>0,0</w:t>
      </w:r>
      <w:r w:rsidR="00D448D6">
        <w:rPr>
          <w:rFonts w:ascii="Calibri" w:hAnsi="Calibri" w:cs="Arial"/>
          <w:lang w:val="es-ES"/>
        </w:rPr>
        <w:t>3</w:t>
      </w:r>
      <w:r w:rsidR="00BE74F7" w:rsidRPr="00BE74F7">
        <w:rPr>
          <w:rFonts w:ascii="Calibri" w:hAnsi="Calibri" w:cs="Arial"/>
          <w:lang w:val="es-ES"/>
        </w:rPr>
        <w:t>%)</w:t>
      </w:r>
      <w:r w:rsidRPr="00BE74F7">
        <w:rPr>
          <w:rFonts w:ascii="Calibri" w:hAnsi="Calibri" w:cs="Arial"/>
          <w:lang w:val="es-ES"/>
        </w:rPr>
        <w:t>.</w:t>
      </w:r>
      <w:r w:rsidR="009E4C70">
        <w:rPr>
          <w:rFonts w:ascii="Calibri" w:hAnsi="Calibri" w:cs="Arial"/>
          <w:lang w:val="es-ES"/>
        </w:rPr>
        <w:t xml:space="preserve"> </w:t>
      </w:r>
    </w:p>
    <w:p w:rsidR="00046D0B" w:rsidRPr="00200FA7" w:rsidRDefault="00EB0F7D" w:rsidP="009F1B58">
      <w:pPr>
        <w:spacing w:after="120" w:line="276" w:lineRule="auto"/>
        <w:jc w:val="both"/>
        <w:rPr>
          <w:rFonts w:ascii="Cambria" w:hAnsi="Cambria"/>
          <w:b/>
          <w:bCs/>
          <w:sz w:val="22"/>
          <w:szCs w:val="22"/>
          <w:lang w:val="en-US" w:eastAsia="en-US"/>
        </w:rPr>
      </w:pPr>
      <w:r w:rsidRPr="00223E81">
        <w:rPr>
          <w:rFonts w:ascii="Calibri" w:hAnsi="Calibri"/>
          <w:bCs/>
        </w:rPr>
        <w:t xml:space="preserve">U odnosu na prethodni kvartal, stalna imovina je </w:t>
      </w:r>
      <w:r w:rsidR="00FA1F5B">
        <w:rPr>
          <w:rFonts w:ascii="Calibri" w:hAnsi="Calibri"/>
          <w:bCs/>
        </w:rPr>
        <w:t>veća</w:t>
      </w:r>
      <w:r w:rsidR="00223E81" w:rsidRPr="00223E81">
        <w:rPr>
          <w:rFonts w:ascii="Calibri" w:hAnsi="Calibri"/>
          <w:bCs/>
        </w:rPr>
        <w:t xml:space="preserve"> za </w:t>
      </w:r>
      <w:r w:rsidR="00FA1F5B">
        <w:rPr>
          <w:rFonts w:ascii="Calibri" w:hAnsi="Calibri"/>
          <w:bCs/>
        </w:rPr>
        <w:t>6,6</w:t>
      </w:r>
      <w:r w:rsidRPr="00223E81">
        <w:rPr>
          <w:rFonts w:ascii="Calibri" w:hAnsi="Calibri"/>
          <w:bCs/>
        </w:rPr>
        <w:t xml:space="preserve">%, dok je obrtna </w:t>
      </w:r>
      <w:r w:rsidR="00FA1F5B">
        <w:rPr>
          <w:rFonts w:ascii="Calibri" w:hAnsi="Calibri"/>
          <w:bCs/>
        </w:rPr>
        <w:t>za 5</w:t>
      </w:r>
      <w:r w:rsidRPr="00223E81">
        <w:rPr>
          <w:rFonts w:ascii="Calibri" w:hAnsi="Calibri"/>
          <w:bCs/>
        </w:rPr>
        <w:t>,</w:t>
      </w:r>
      <w:r w:rsidR="00FA1F5B">
        <w:rPr>
          <w:rFonts w:ascii="Calibri" w:hAnsi="Calibri"/>
          <w:bCs/>
        </w:rPr>
        <w:t>5</w:t>
      </w:r>
      <w:r w:rsidRPr="00223E81">
        <w:rPr>
          <w:rFonts w:ascii="Calibri" w:hAnsi="Calibri"/>
          <w:bCs/>
        </w:rPr>
        <w:t>%.</w:t>
      </w:r>
      <w:r w:rsidRPr="00DF7FF8">
        <w:rPr>
          <w:rFonts w:ascii="Calibri" w:hAnsi="Calibri"/>
          <w:bCs/>
        </w:rPr>
        <w:t xml:space="preserve"> </w:t>
      </w:r>
    </w:p>
    <w:p w:rsidR="000D7583" w:rsidRDefault="00EB0F7D" w:rsidP="009F1B58">
      <w:pPr>
        <w:spacing w:after="120" w:line="276" w:lineRule="auto"/>
        <w:jc w:val="both"/>
        <w:rPr>
          <w:rFonts w:ascii="Calibri" w:hAnsi="Calibri"/>
        </w:rPr>
      </w:pPr>
      <w:r w:rsidRPr="00E71185">
        <w:rPr>
          <w:rFonts w:ascii="Calibri" w:hAnsi="Calibri"/>
        </w:rPr>
        <w:t xml:space="preserve">Sa Grafika 3, evidentno je da su dugoročni finansijski plasmani sa </w:t>
      </w:r>
      <w:r w:rsidR="00200FA7">
        <w:rPr>
          <w:rFonts w:ascii="Calibri" w:hAnsi="Calibri"/>
          <w:lang w:val="en-US" w:eastAsia="en-US"/>
        </w:rPr>
        <w:t>14.</w:t>
      </w:r>
      <w:r w:rsidR="000D7583">
        <w:rPr>
          <w:rFonts w:ascii="Calibri" w:hAnsi="Calibri"/>
          <w:lang w:val="en-US" w:eastAsia="en-US"/>
        </w:rPr>
        <w:t>279</w:t>
      </w:r>
      <w:r w:rsidR="00200FA7">
        <w:rPr>
          <w:rFonts w:ascii="Calibri" w:hAnsi="Calibri"/>
          <w:lang w:val="en-US" w:eastAsia="en-US"/>
        </w:rPr>
        <w:t>.</w:t>
      </w:r>
      <w:r w:rsidR="000D7583">
        <w:rPr>
          <w:rFonts w:ascii="Calibri" w:hAnsi="Calibri"/>
          <w:lang w:val="en-US" w:eastAsia="en-US"/>
        </w:rPr>
        <w:t>386</w:t>
      </w:r>
      <w:r w:rsidRPr="00E71185">
        <w:rPr>
          <w:rFonts w:ascii="Calibri" w:hAnsi="Calibri"/>
          <w:lang w:val="en-US" w:eastAsia="en-US"/>
        </w:rPr>
        <w:t xml:space="preserve"> </w:t>
      </w:r>
      <w:proofErr w:type="spellStart"/>
      <w:r>
        <w:rPr>
          <w:rFonts w:ascii="Calibri" w:hAnsi="Calibri" w:cs="Arial"/>
          <w:lang w:val="en-US" w:eastAsia="en-US"/>
        </w:rPr>
        <w:t>eura</w:t>
      </w:r>
      <w:proofErr w:type="spellEnd"/>
      <w:r>
        <w:rPr>
          <w:rFonts w:ascii="Calibri" w:hAnsi="Calibri" w:cs="Arial"/>
          <w:lang w:val="en-US" w:eastAsia="en-US"/>
        </w:rPr>
        <w:t xml:space="preserve"> </w:t>
      </w:r>
      <w:r w:rsidRPr="00E71185">
        <w:rPr>
          <w:rFonts w:ascii="Calibri" w:hAnsi="Calibri"/>
        </w:rPr>
        <w:t>(</w:t>
      </w:r>
      <w:r w:rsidR="000D7583">
        <w:rPr>
          <w:rFonts w:ascii="Calibri" w:hAnsi="Calibri"/>
        </w:rPr>
        <w:t>33</w:t>
      </w:r>
      <w:r w:rsidR="00200FA7">
        <w:rPr>
          <w:rFonts w:ascii="Calibri" w:hAnsi="Calibri"/>
        </w:rPr>
        <w:t>,</w:t>
      </w:r>
      <w:r w:rsidR="000D7583">
        <w:rPr>
          <w:rFonts w:ascii="Calibri" w:hAnsi="Calibri"/>
        </w:rPr>
        <w:t>4</w:t>
      </w:r>
      <w:r w:rsidRPr="00E71185">
        <w:rPr>
          <w:rFonts w:ascii="Calibri" w:hAnsi="Calibri"/>
        </w:rPr>
        <w:t xml:space="preserve">%) najznačajnija stavka </w:t>
      </w:r>
      <w:r>
        <w:rPr>
          <w:rFonts w:ascii="Calibri" w:hAnsi="Calibri"/>
        </w:rPr>
        <w:t>stalne imovine</w:t>
      </w:r>
      <w:r w:rsidRPr="00E71185">
        <w:rPr>
          <w:rFonts w:ascii="Calibri" w:hAnsi="Calibri"/>
        </w:rPr>
        <w:t xml:space="preserve">, zatim slijede nekretnine, postrojenja i oprema sa </w:t>
      </w:r>
      <w:r w:rsidR="000D7583">
        <w:rPr>
          <w:rFonts w:ascii="Calibri" w:hAnsi="Calibri"/>
          <w:lang w:val="en-US" w:eastAsia="en-US"/>
        </w:rPr>
        <w:t>9.080</w:t>
      </w:r>
      <w:r w:rsidR="00200FA7">
        <w:rPr>
          <w:rFonts w:ascii="Calibri" w:hAnsi="Calibri"/>
          <w:lang w:val="en-US" w:eastAsia="en-US"/>
        </w:rPr>
        <w:t>.</w:t>
      </w:r>
      <w:r w:rsidR="000D7583">
        <w:rPr>
          <w:rFonts w:ascii="Calibri" w:hAnsi="Calibri"/>
          <w:lang w:val="en-US" w:eastAsia="en-US"/>
        </w:rPr>
        <w:t>975</w:t>
      </w:r>
      <w:r w:rsidRPr="00E71185">
        <w:rPr>
          <w:rFonts w:ascii="Calibri" w:hAnsi="Calibri"/>
          <w:lang w:val="en-US" w:eastAsia="en-US"/>
        </w:rPr>
        <w:t xml:space="preserve"> </w:t>
      </w:r>
      <w:proofErr w:type="spellStart"/>
      <w:r w:rsidRPr="00E71185">
        <w:rPr>
          <w:rFonts w:ascii="Calibri" w:hAnsi="Calibri" w:cs="Arial"/>
          <w:lang w:val="en-US" w:eastAsia="en-US"/>
        </w:rPr>
        <w:t>eura</w:t>
      </w:r>
      <w:proofErr w:type="spellEnd"/>
      <w:r w:rsidRPr="00E71185">
        <w:rPr>
          <w:rFonts w:ascii="Calibri" w:hAnsi="Calibri"/>
        </w:rPr>
        <w:t xml:space="preserve"> (</w:t>
      </w:r>
      <w:r w:rsidR="000D7583">
        <w:rPr>
          <w:rFonts w:ascii="Calibri" w:hAnsi="Calibri"/>
        </w:rPr>
        <w:t>21</w:t>
      </w:r>
      <w:r w:rsidR="00200FA7">
        <w:rPr>
          <w:rFonts w:ascii="Calibri" w:hAnsi="Calibri"/>
        </w:rPr>
        <w:t>,</w:t>
      </w:r>
      <w:r w:rsidR="000D7583">
        <w:rPr>
          <w:rFonts w:ascii="Calibri" w:hAnsi="Calibri"/>
        </w:rPr>
        <w:t>2</w:t>
      </w:r>
      <w:r w:rsidRPr="00E71185">
        <w:rPr>
          <w:rFonts w:ascii="Calibri" w:hAnsi="Calibri"/>
        </w:rPr>
        <w:t xml:space="preserve">%) i </w:t>
      </w:r>
      <w:r>
        <w:rPr>
          <w:rFonts w:ascii="Calibri" w:hAnsi="Calibri"/>
        </w:rPr>
        <w:t>nematerijalna ulaganja sa</w:t>
      </w:r>
      <w:r w:rsidRPr="00E71185">
        <w:rPr>
          <w:rFonts w:ascii="Calibri" w:hAnsi="Calibri"/>
        </w:rPr>
        <w:t xml:space="preserve"> </w:t>
      </w:r>
      <w:r w:rsidR="000D7583">
        <w:rPr>
          <w:rFonts w:ascii="Calibri" w:hAnsi="Calibri"/>
          <w:bCs/>
          <w:lang w:val="en-US" w:eastAsia="en-US"/>
        </w:rPr>
        <w:t>68</w:t>
      </w:r>
      <w:r w:rsidR="00200FA7">
        <w:rPr>
          <w:rFonts w:ascii="Calibri" w:hAnsi="Calibri"/>
          <w:bCs/>
          <w:lang w:val="en-US" w:eastAsia="en-US"/>
        </w:rPr>
        <w:t>.</w:t>
      </w:r>
      <w:r w:rsidR="000D7583">
        <w:rPr>
          <w:rFonts w:ascii="Calibri" w:hAnsi="Calibri"/>
          <w:bCs/>
          <w:lang w:val="en-US" w:eastAsia="en-US"/>
        </w:rPr>
        <w:t>441</w:t>
      </w:r>
      <w:r w:rsidRPr="00E71185">
        <w:rPr>
          <w:rFonts w:ascii="Calibri" w:hAnsi="Calibri" w:cs="Arial"/>
          <w:lang w:val="en-US" w:eastAsia="en-US"/>
        </w:rPr>
        <w:t xml:space="preserve"> </w:t>
      </w:r>
      <w:r w:rsidR="00200FA7">
        <w:rPr>
          <w:rFonts w:ascii="Calibri" w:hAnsi="Calibri"/>
        </w:rPr>
        <w:t>eura (0,</w:t>
      </w:r>
      <w:r w:rsidR="000D7583">
        <w:rPr>
          <w:rFonts w:ascii="Calibri" w:hAnsi="Calibri"/>
        </w:rPr>
        <w:t>2</w:t>
      </w:r>
      <w:r w:rsidRPr="00E71185">
        <w:rPr>
          <w:rFonts w:ascii="Calibri" w:hAnsi="Calibri"/>
        </w:rPr>
        <w:t>%).</w:t>
      </w:r>
      <w:r>
        <w:rPr>
          <w:rFonts w:ascii="Calibri" w:hAnsi="Calibri"/>
        </w:rPr>
        <w:t xml:space="preserve"> U okviru obrtnih sredstava, značajno veće učešće imaju kratkoročna potraživanja</w:t>
      </w:r>
      <w:r w:rsidRPr="00E71185">
        <w:rPr>
          <w:rFonts w:ascii="Calibri" w:hAnsi="Calibri"/>
        </w:rPr>
        <w:t xml:space="preserve"> finansijski</w:t>
      </w:r>
      <w:r w:rsidR="000D7583">
        <w:rPr>
          <w:rFonts w:ascii="Calibri" w:hAnsi="Calibri"/>
        </w:rPr>
        <w:t>,</w:t>
      </w:r>
      <w:r w:rsidRPr="00E71185">
        <w:rPr>
          <w:rFonts w:ascii="Calibri" w:hAnsi="Calibri"/>
        </w:rPr>
        <w:t xml:space="preserve"> plasmani </w:t>
      </w:r>
      <w:r w:rsidR="000D7583">
        <w:rPr>
          <w:rFonts w:ascii="Calibri" w:hAnsi="Calibri"/>
        </w:rPr>
        <w:t>i gotovina sa</w:t>
      </w:r>
      <w:r w:rsidRPr="00E71185">
        <w:rPr>
          <w:rFonts w:ascii="Calibri" w:hAnsi="Calibri"/>
        </w:rPr>
        <w:t xml:space="preserve"> </w:t>
      </w:r>
      <w:r>
        <w:rPr>
          <w:rFonts w:ascii="Calibri" w:hAnsi="Calibri"/>
          <w:bCs/>
          <w:lang w:val="en-US" w:eastAsia="en-US"/>
        </w:rPr>
        <w:t>1</w:t>
      </w:r>
      <w:r w:rsidR="000D7583">
        <w:rPr>
          <w:rFonts w:ascii="Calibri" w:hAnsi="Calibri"/>
          <w:bCs/>
          <w:lang w:val="en-US" w:eastAsia="en-US"/>
        </w:rPr>
        <w:t>3</w:t>
      </w:r>
      <w:r>
        <w:rPr>
          <w:rFonts w:ascii="Calibri" w:hAnsi="Calibri"/>
          <w:bCs/>
          <w:lang w:val="en-US" w:eastAsia="en-US"/>
        </w:rPr>
        <w:t>.</w:t>
      </w:r>
      <w:r w:rsidR="000D7583">
        <w:rPr>
          <w:rFonts w:ascii="Calibri" w:hAnsi="Calibri"/>
          <w:bCs/>
          <w:lang w:val="en-US" w:eastAsia="en-US"/>
        </w:rPr>
        <w:t>813</w:t>
      </w:r>
      <w:r w:rsidR="00E826D5">
        <w:rPr>
          <w:rFonts w:ascii="Calibri" w:hAnsi="Calibri"/>
          <w:bCs/>
          <w:lang w:val="en-US" w:eastAsia="en-US"/>
        </w:rPr>
        <w:t>.</w:t>
      </w:r>
      <w:r w:rsidR="000D7583">
        <w:rPr>
          <w:rFonts w:ascii="Calibri" w:hAnsi="Calibri"/>
          <w:bCs/>
          <w:lang w:val="en-US" w:eastAsia="en-US"/>
        </w:rPr>
        <w:t>195</w:t>
      </w:r>
      <w:r w:rsidRPr="00E71185">
        <w:rPr>
          <w:rFonts w:ascii="Calibri" w:hAnsi="Calibri"/>
          <w:bCs/>
          <w:lang w:val="en-US" w:eastAsia="en-US"/>
        </w:rPr>
        <w:t xml:space="preserve"> </w:t>
      </w:r>
      <w:proofErr w:type="spellStart"/>
      <w:r w:rsidRPr="00E71185">
        <w:rPr>
          <w:rFonts w:ascii="Calibri" w:hAnsi="Calibri" w:cs="Arial"/>
          <w:lang w:val="en-US" w:eastAsia="en-US"/>
        </w:rPr>
        <w:t>eura</w:t>
      </w:r>
      <w:proofErr w:type="spellEnd"/>
      <w:r w:rsidR="00E826D5">
        <w:rPr>
          <w:rFonts w:ascii="Calibri" w:hAnsi="Calibri"/>
        </w:rPr>
        <w:t xml:space="preserve"> (</w:t>
      </w:r>
      <w:r w:rsidR="000D7583">
        <w:rPr>
          <w:rFonts w:ascii="Calibri" w:hAnsi="Calibri"/>
        </w:rPr>
        <w:t>3</w:t>
      </w:r>
      <w:r w:rsidR="00E826D5">
        <w:rPr>
          <w:rFonts w:ascii="Calibri" w:hAnsi="Calibri"/>
        </w:rPr>
        <w:t>2,</w:t>
      </w:r>
      <w:r w:rsidR="000D7583">
        <w:rPr>
          <w:rFonts w:ascii="Calibri" w:hAnsi="Calibri"/>
        </w:rPr>
        <w:t>3</w:t>
      </w:r>
      <w:r w:rsidRPr="00E71185">
        <w:rPr>
          <w:rFonts w:ascii="Calibri" w:hAnsi="Calibri"/>
        </w:rPr>
        <w:t>%)</w:t>
      </w:r>
      <w:r>
        <w:rPr>
          <w:rFonts w:ascii="Calibri" w:hAnsi="Calibri"/>
        </w:rPr>
        <w:t xml:space="preserve"> u odnosu na zalihe 5.</w:t>
      </w:r>
      <w:r w:rsidR="000D7583">
        <w:rPr>
          <w:rFonts w:ascii="Calibri" w:hAnsi="Calibri"/>
        </w:rPr>
        <w:t>512</w:t>
      </w:r>
      <w:r w:rsidR="00E826D5">
        <w:rPr>
          <w:rFonts w:ascii="Calibri" w:hAnsi="Calibri"/>
        </w:rPr>
        <w:t>.</w:t>
      </w:r>
      <w:r w:rsidR="000D7583">
        <w:rPr>
          <w:rFonts w:ascii="Calibri" w:hAnsi="Calibri"/>
        </w:rPr>
        <w:t>008</w:t>
      </w:r>
      <w:r w:rsidR="00E826D5">
        <w:rPr>
          <w:rFonts w:ascii="Calibri" w:hAnsi="Calibri"/>
        </w:rPr>
        <w:t xml:space="preserve"> eura (</w:t>
      </w:r>
      <w:r w:rsidR="000D7583">
        <w:rPr>
          <w:rFonts w:ascii="Calibri" w:hAnsi="Calibri"/>
        </w:rPr>
        <w:t>12</w:t>
      </w:r>
      <w:r w:rsidR="00E826D5">
        <w:rPr>
          <w:rFonts w:ascii="Calibri" w:hAnsi="Calibri"/>
        </w:rPr>
        <w:t>,</w:t>
      </w:r>
      <w:r w:rsidR="000D7583">
        <w:rPr>
          <w:rFonts w:ascii="Calibri" w:hAnsi="Calibri"/>
        </w:rPr>
        <w:t>9</w:t>
      </w:r>
      <w:r>
        <w:rPr>
          <w:rFonts w:ascii="Calibri" w:hAnsi="Calibri"/>
        </w:rPr>
        <w:t xml:space="preserve">%). </w:t>
      </w:r>
    </w:p>
    <w:p w:rsidR="00EB0F7D" w:rsidRDefault="00EB0F7D" w:rsidP="009F1B58">
      <w:pPr>
        <w:spacing w:after="120" w:line="276" w:lineRule="auto"/>
        <w:jc w:val="both"/>
        <w:rPr>
          <w:rFonts w:ascii="Calibri" w:hAnsi="Calibri"/>
          <w:lang w:val="en-US" w:eastAsia="en-US"/>
        </w:rPr>
      </w:pPr>
      <w:r>
        <w:rPr>
          <w:rFonts w:ascii="Calibri" w:hAnsi="Calibri"/>
        </w:rPr>
        <w:t>U odnosu na cjelokupnu aktivu, navedene stavke imaju sljedeće učešće:</w:t>
      </w:r>
    </w:p>
    <w:p w:rsidR="00E826D5" w:rsidRPr="00E826D5" w:rsidRDefault="00E826D5" w:rsidP="009F1B58">
      <w:pPr>
        <w:spacing w:after="120" w:line="276" w:lineRule="auto"/>
        <w:jc w:val="both"/>
        <w:rPr>
          <w:rFonts w:ascii="Calibri" w:hAnsi="Calibri"/>
          <w:lang w:val="en-US" w:eastAsia="en-US"/>
        </w:rPr>
      </w:pPr>
    </w:p>
    <w:p w:rsidR="00EB0F7D" w:rsidRPr="00CF622E" w:rsidRDefault="00EB0F7D" w:rsidP="00EB0F7D">
      <w:pPr>
        <w:jc w:val="center"/>
        <w:rPr>
          <w:rFonts w:ascii="Calibri" w:hAnsi="Calibri"/>
          <w:bCs/>
          <w:i/>
        </w:rPr>
      </w:pPr>
      <w:r w:rsidRPr="00CF622E">
        <w:rPr>
          <w:rFonts w:ascii="Calibri" w:hAnsi="Calibri"/>
          <w:bCs/>
          <w:i/>
        </w:rPr>
        <w:t xml:space="preserve">Grafik 3: Struktura ukupne aktive lizing kuća na dan 30. </w:t>
      </w:r>
      <w:r w:rsidR="00FA1F5B">
        <w:rPr>
          <w:rFonts w:ascii="Calibri" w:hAnsi="Calibri"/>
          <w:bCs/>
          <w:i/>
        </w:rPr>
        <w:t>jun</w:t>
      </w:r>
      <w:r w:rsidRPr="00CF622E">
        <w:rPr>
          <w:rFonts w:ascii="Calibri" w:hAnsi="Calibri"/>
          <w:bCs/>
          <w:i/>
        </w:rPr>
        <w:t xml:space="preserve"> 201</w:t>
      </w:r>
      <w:r w:rsidR="00FA1F5B">
        <w:rPr>
          <w:rFonts w:ascii="Calibri" w:hAnsi="Calibri"/>
          <w:bCs/>
          <w:i/>
        </w:rPr>
        <w:t>7</w:t>
      </w:r>
      <w:r w:rsidRPr="00CF622E">
        <w:rPr>
          <w:rFonts w:ascii="Calibri" w:hAnsi="Calibri"/>
          <w:bCs/>
          <w:i/>
        </w:rPr>
        <w:t>. godine</w:t>
      </w:r>
    </w:p>
    <w:p w:rsidR="00EB0F7D" w:rsidRPr="00DF7FF8" w:rsidRDefault="00EB0F7D" w:rsidP="00EB0F7D">
      <w:pPr>
        <w:jc w:val="both"/>
        <w:rPr>
          <w:rFonts w:ascii="Calibri" w:hAnsi="Calibri" w:cs="Arial"/>
          <w:bCs/>
          <w:highlight w:val="yellow"/>
          <w:lang w:val="en-US" w:eastAsia="en-US"/>
        </w:rPr>
      </w:pPr>
    </w:p>
    <w:p w:rsidR="00EB0F7D" w:rsidRPr="00DF7FF8" w:rsidRDefault="00FA1F5B" w:rsidP="00EB0F7D">
      <w:pPr>
        <w:jc w:val="center"/>
        <w:rPr>
          <w:rFonts w:ascii="Arial" w:hAnsi="Arial" w:cs="Arial"/>
          <w:highlight w:val="yellow"/>
        </w:rPr>
      </w:pPr>
      <w:r w:rsidRPr="00FA1F5B">
        <w:rPr>
          <w:rFonts w:ascii="Arial" w:hAnsi="Arial" w:cs="Arial"/>
        </w:rPr>
        <w:drawing>
          <wp:inline distT="0" distB="0" distL="0" distR="0">
            <wp:extent cx="5495925" cy="2828925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0F7D" w:rsidRDefault="00EB0F7D" w:rsidP="0054354F">
      <w:pPr>
        <w:spacing w:after="120" w:line="276" w:lineRule="auto"/>
        <w:rPr>
          <w:rFonts w:ascii="Calibri" w:hAnsi="Calibri" w:cs="Arial"/>
          <w:bCs/>
        </w:rPr>
      </w:pPr>
    </w:p>
    <w:p w:rsidR="00EB0F7D" w:rsidRDefault="00EB0F7D" w:rsidP="0054354F">
      <w:pPr>
        <w:spacing w:after="120" w:line="276" w:lineRule="auto"/>
        <w:jc w:val="both"/>
        <w:rPr>
          <w:rFonts w:ascii="Calibri" w:hAnsi="Calibri" w:cs="Arial"/>
          <w:bCs/>
          <w:lang w:val="en-US" w:eastAsia="en-US"/>
        </w:rPr>
      </w:pPr>
      <w:r w:rsidRPr="00783A34">
        <w:rPr>
          <w:rFonts w:ascii="Calibri" w:hAnsi="Calibri"/>
        </w:rPr>
        <w:t xml:space="preserve">U strukturi pasive četiri lizing kuće na dan 30. </w:t>
      </w:r>
      <w:r w:rsidR="00C63265">
        <w:rPr>
          <w:rFonts w:ascii="Calibri" w:hAnsi="Calibri"/>
        </w:rPr>
        <w:t>jun</w:t>
      </w:r>
      <w:r w:rsidRPr="00783A34">
        <w:rPr>
          <w:rFonts w:ascii="Calibri" w:hAnsi="Calibri"/>
        </w:rPr>
        <w:t xml:space="preserve"> 201</w:t>
      </w:r>
      <w:r w:rsidR="00C63265">
        <w:rPr>
          <w:rFonts w:ascii="Calibri" w:hAnsi="Calibri"/>
        </w:rPr>
        <w:t>7</w:t>
      </w:r>
      <w:r w:rsidRPr="00783A34">
        <w:rPr>
          <w:rFonts w:ascii="Calibri" w:hAnsi="Calibri"/>
        </w:rPr>
        <w:t xml:space="preserve">. godine najveći udio odnosio se na </w:t>
      </w:r>
      <w:r>
        <w:rPr>
          <w:rFonts w:ascii="Calibri" w:hAnsi="Calibri"/>
        </w:rPr>
        <w:t>dugoročna</w:t>
      </w:r>
      <w:r w:rsidRPr="00783A34">
        <w:rPr>
          <w:rFonts w:ascii="Calibri" w:hAnsi="Calibri"/>
        </w:rPr>
        <w:t xml:space="preserve"> </w:t>
      </w:r>
      <w:r w:rsidRPr="005E30D7">
        <w:rPr>
          <w:rFonts w:ascii="Calibri" w:hAnsi="Calibri"/>
        </w:rPr>
        <w:t>rezervisanja i dugoročne obaveze (</w:t>
      </w:r>
      <w:r w:rsidR="00C63265">
        <w:rPr>
          <w:rFonts w:ascii="Calibri" w:hAnsi="Calibri"/>
        </w:rPr>
        <w:t>67,8</w:t>
      </w:r>
      <w:r w:rsidRPr="005E30D7">
        <w:rPr>
          <w:rFonts w:ascii="Calibri" w:hAnsi="Calibri"/>
        </w:rPr>
        <w:t xml:space="preserve">%), </w:t>
      </w:r>
      <w:r w:rsidRPr="00B37C45">
        <w:rPr>
          <w:rFonts w:ascii="Calibri" w:hAnsi="Calibri"/>
        </w:rPr>
        <w:t>te</w:t>
      </w:r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kratkoročna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rezervisanja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i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kratkoročne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obaveze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r w:rsidR="00C63265" w:rsidRPr="00B37C45">
        <w:rPr>
          <w:rFonts w:ascii="Calibri" w:hAnsi="Calibri" w:cs="Arial"/>
          <w:bCs/>
          <w:lang w:val="en-US" w:eastAsia="en-US"/>
        </w:rPr>
        <w:t>(25</w:t>
      </w:r>
      <w:r w:rsidR="005E30D7" w:rsidRPr="00B37C45">
        <w:rPr>
          <w:rFonts w:ascii="Calibri" w:hAnsi="Calibri" w:cs="Arial"/>
          <w:bCs/>
          <w:lang w:val="en-US" w:eastAsia="en-US"/>
        </w:rPr>
        <w:t>,</w:t>
      </w:r>
      <w:r w:rsidR="00C63265" w:rsidRPr="00B37C45">
        <w:rPr>
          <w:rFonts w:ascii="Calibri" w:hAnsi="Calibri" w:cs="Arial"/>
          <w:bCs/>
          <w:lang w:val="en-US" w:eastAsia="en-US"/>
        </w:rPr>
        <w:t>4</w:t>
      </w:r>
      <w:r w:rsidR="005E30D7" w:rsidRPr="00B37C45">
        <w:rPr>
          <w:rFonts w:ascii="Calibri" w:hAnsi="Calibri" w:cs="Arial"/>
          <w:bCs/>
          <w:lang w:val="en-US" w:eastAsia="en-US"/>
        </w:rPr>
        <w:t xml:space="preserve">%),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kapital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(</w:t>
      </w:r>
      <w:r w:rsidR="00C63265" w:rsidRPr="00B37C45">
        <w:rPr>
          <w:rFonts w:ascii="Calibri" w:hAnsi="Calibri" w:cs="Arial"/>
          <w:bCs/>
          <w:lang w:val="en-US" w:eastAsia="en-US"/>
        </w:rPr>
        <w:t>6,7</w:t>
      </w:r>
      <w:r w:rsidRPr="00B37C45">
        <w:rPr>
          <w:rFonts w:ascii="Calibri" w:hAnsi="Calibri" w:cs="Arial"/>
          <w:bCs/>
          <w:lang w:val="en-US" w:eastAsia="en-US"/>
        </w:rPr>
        <w:t>%)</w:t>
      </w:r>
      <w:r w:rsidR="005E30D7" w:rsidRPr="00B37C45">
        <w:rPr>
          <w:rFonts w:ascii="Calibri" w:hAnsi="Calibri" w:cs="Arial"/>
          <w:bCs/>
          <w:lang w:val="en-US" w:eastAsia="en-US"/>
        </w:rPr>
        <w:t xml:space="preserve"> i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odložene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poreske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obaveze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(0,1</w:t>
      </w:r>
      <w:r w:rsidRPr="00B37C45">
        <w:rPr>
          <w:rFonts w:ascii="Calibri" w:hAnsi="Calibri" w:cs="Arial"/>
          <w:bCs/>
          <w:lang w:val="en-US" w:eastAsia="en-US"/>
        </w:rPr>
        <w:t xml:space="preserve">%).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Po</w:t>
      </w:r>
      <w:r w:rsidRPr="00B37C45">
        <w:rPr>
          <w:rFonts w:ascii="Calibri" w:hAnsi="Calibri" w:cs="Arial"/>
          <w:bCs/>
          <w:lang w:val="en-US" w:eastAsia="en-US"/>
        </w:rPr>
        <w:t>ređenja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radi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, </w:t>
      </w:r>
      <w:r w:rsidR="00B37C45" w:rsidRPr="00B37C45">
        <w:rPr>
          <w:rFonts w:ascii="Calibri" w:hAnsi="Calibri" w:cs="Arial"/>
          <w:bCs/>
          <w:lang w:val="en-US" w:eastAsia="en-US"/>
        </w:rPr>
        <w:t xml:space="preserve">u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odnosu</w:t>
      </w:r>
      <w:proofErr w:type="spellEnd"/>
      <w:r w:rsidR="00B37C45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na</w:t>
      </w:r>
      <w:proofErr w:type="spellEnd"/>
      <w:r w:rsidR="00B37C45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kraj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prethodnog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B37C45">
        <w:rPr>
          <w:rFonts w:ascii="Calibri" w:hAnsi="Calibri" w:cs="Arial"/>
          <w:bCs/>
          <w:lang w:val="en-US" w:eastAsia="en-US"/>
        </w:rPr>
        <w:t>kvartala</w:t>
      </w:r>
      <w:proofErr w:type="spellEnd"/>
      <w:r w:rsidRPr="00B37C45">
        <w:rPr>
          <w:rFonts w:ascii="Calibri" w:hAnsi="Calibri" w:cs="Arial"/>
          <w:bCs/>
          <w:lang w:val="en-US" w:eastAsia="en-US"/>
        </w:rPr>
        <w:t xml:space="preserve">,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kapital</w:t>
      </w:r>
      <w:proofErr w:type="spellEnd"/>
      <w:r w:rsidR="00B37C45" w:rsidRPr="00B37C45">
        <w:rPr>
          <w:rFonts w:ascii="Calibri" w:hAnsi="Calibri" w:cs="Arial"/>
          <w:bCs/>
          <w:lang w:val="en-US" w:eastAsia="en-US"/>
        </w:rPr>
        <w:t xml:space="preserve"> je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viši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za </w:t>
      </w:r>
      <w:r w:rsidR="00B37C45" w:rsidRPr="00B37C45">
        <w:rPr>
          <w:rFonts w:ascii="Calibri" w:hAnsi="Calibri" w:cs="Arial"/>
          <w:bCs/>
          <w:lang w:val="en-US" w:eastAsia="en-US"/>
        </w:rPr>
        <w:t>110</w:t>
      </w:r>
      <w:proofErr w:type="gramStart"/>
      <w:r w:rsidR="00B37C45" w:rsidRPr="00B37C45">
        <w:rPr>
          <w:rFonts w:ascii="Calibri" w:hAnsi="Calibri" w:cs="Arial"/>
          <w:bCs/>
          <w:lang w:val="en-US" w:eastAsia="en-US"/>
        </w:rPr>
        <w:t>,7</w:t>
      </w:r>
      <w:proofErr w:type="gramEnd"/>
      <w:r w:rsidR="005E30D7" w:rsidRPr="00B37C45">
        <w:rPr>
          <w:rFonts w:ascii="Calibri" w:hAnsi="Calibri" w:cs="Arial"/>
          <w:bCs/>
          <w:lang w:val="en-US" w:eastAsia="en-US"/>
        </w:rPr>
        <w:t xml:space="preserve">%,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dugoročna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rezervisanja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i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dugoročne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obaveze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za </w:t>
      </w:r>
      <w:r w:rsidR="00B37C45" w:rsidRPr="00B37C45">
        <w:rPr>
          <w:rFonts w:ascii="Calibri" w:hAnsi="Calibri" w:cs="Arial"/>
          <w:bCs/>
          <w:lang w:val="en-US" w:eastAsia="en-US"/>
        </w:rPr>
        <w:t xml:space="preserve">6,0%,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dok</w:t>
      </w:r>
      <w:proofErr w:type="spellEnd"/>
      <w:r w:rsidR="00B37C45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su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kratkoročna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rezervisanja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i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kratkoročne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5E30D7" w:rsidRPr="00B37C45">
        <w:rPr>
          <w:rFonts w:ascii="Calibri" w:hAnsi="Calibri" w:cs="Arial"/>
          <w:bCs/>
          <w:lang w:val="en-US" w:eastAsia="en-US"/>
        </w:rPr>
        <w:t>obaveze</w:t>
      </w:r>
      <w:proofErr w:type="spellEnd"/>
      <w:r w:rsidR="005E30D7" w:rsidRPr="00B37C45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="00B37C45" w:rsidRPr="00B37C45">
        <w:rPr>
          <w:rFonts w:ascii="Calibri" w:hAnsi="Calibri" w:cs="Arial"/>
          <w:bCs/>
          <w:lang w:val="en-US" w:eastAsia="en-US"/>
        </w:rPr>
        <w:t>manja</w:t>
      </w:r>
      <w:proofErr w:type="spellEnd"/>
      <w:r w:rsidR="00B37C45" w:rsidRPr="00B37C45">
        <w:rPr>
          <w:rFonts w:ascii="Calibri" w:hAnsi="Calibri" w:cs="Arial"/>
          <w:bCs/>
          <w:lang w:val="en-US" w:eastAsia="en-US"/>
        </w:rPr>
        <w:t xml:space="preserve"> za 5,9</w:t>
      </w:r>
      <w:r w:rsidR="005E30D7" w:rsidRPr="00B37C45">
        <w:rPr>
          <w:rFonts w:ascii="Calibri" w:hAnsi="Calibri" w:cs="Arial"/>
          <w:bCs/>
          <w:lang w:val="en-US" w:eastAsia="en-US"/>
        </w:rPr>
        <w:t>%.</w:t>
      </w:r>
    </w:p>
    <w:p w:rsidR="00103BC7" w:rsidRDefault="00103BC7" w:rsidP="00EB0F7D">
      <w:pPr>
        <w:rPr>
          <w:rFonts w:ascii="Calibri" w:hAnsi="Calibri" w:cs="Arial"/>
          <w:bCs/>
          <w:lang w:val="en-US" w:eastAsia="en-US"/>
        </w:rPr>
      </w:pPr>
    </w:p>
    <w:p w:rsidR="005E30D7" w:rsidRPr="00610C4D" w:rsidRDefault="005E30D7" w:rsidP="00EB0F7D">
      <w:pPr>
        <w:rPr>
          <w:rFonts w:ascii="Calibri" w:hAnsi="Calibri" w:cs="Arial"/>
          <w:bCs/>
        </w:rPr>
      </w:pPr>
    </w:p>
    <w:p w:rsidR="00EB0F7D" w:rsidRPr="00610C4D" w:rsidRDefault="00EB0F7D" w:rsidP="00EB0F7D">
      <w:pPr>
        <w:jc w:val="center"/>
        <w:rPr>
          <w:rFonts w:ascii="Calibri" w:hAnsi="Calibri"/>
          <w:bCs/>
          <w:i/>
        </w:rPr>
      </w:pPr>
      <w:r w:rsidRPr="00610C4D">
        <w:rPr>
          <w:rFonts w:ascii="Calibri" w:hAnsi="Calibri"/>
          <w:bCs/>
          <w:i/>
        </w:rPr>
        <w:t xml:space="preserve">Grafik 4: Struktura ukupne pasive lizing kuća na dan 30. </w:t>
      </w:r>
      <w:r w:rsidR="00B37C45">
        <w:rPr>
          <w:rFonts w:ascii="Calibri" w:hAnsi="Calibri"/>
          <w:bCs/>
          <w:i/>
        </w:rPr>
        <w:t>jun</w:t>
      </w:r>
      <w:r w:rsidRPr="00610C4D">
        <w:rPr>
          <w:rFonts w:ascii="Calibri" w:hAnsi="Calibri"/>
          <w:bCs/>
          <w:i/>
        </w:rPr>
        <w:t xml:space="preserve"> 201</w:t>
      </w:r>
      <w:r w:rsidR="00B37C45">
        <w:rPr>
          <w:rFonts w:ascii="Calibri" w:hAnsi="Calibri"/>
          <w:bCs/>
          <w:i/>
        </w:rPr>
        <w:t>7</w:t>
      </w:r>
      <w:r w:rsidRPr="00610C4D">
        <w:rPr>
          <w:rFonts w:ascii="Calibri" w:hAnsi="Calibri"/>
          <w:bCs/>
          <w:i/>
        </w:rPr>
        <w:t>. godine</w:t>
      </w:r>
    </w:p>
    <w:p w:rsidR="00EB0F7D" w:rsidRDefault="00B37C45" w:rsidP="00EB0F7D">
      <w:pPr>
        <w:jc w:val="center"/>
        <w:rPr>
          <w:rFonts w:ascii="Calibri" w:hAnsi="Calibri" w:cs="Arial"/>
          <w:bCs/>
        </w:rPr>
      </w:pPr>
      <w:r w:rsidRPr="00B37C45">
        <w:rPr>
          <w:rFonts w:ascii="Calibri" w:hAnsi="Calibri" w:cs="Arial"/>
          <w:bCs/>
        </w:rPr>
        <w:drawing>
          <wp:inline distT="0" distB="0" distL="0" distR="0">
            <wp:extent cx="5295900" cy="2743200"/>
            <wp:effectExtent l="19050" t="0" r="1905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30D7" w:rsidRDefault="005E30D7" w:rsidP="00EB0F7D">
      <w:pPr>
        <w:jc w:val="center"/>
        <w:rPr>
          <w:rFonts w:ascii="Calibri" w:hAnsi="Calibri" w:cs="Arial"/>
          <w:bCs/>
        </w:rPr>
      </w:pPr>
    </w:p>
    <w:p w:rsidR="005E30D7" w:rsidRDefault="005E30D7" w:rsidP="00366E54">
      <w:pPr>
        <w:pBdr>
          <w:bottom w:val="single" w:sz="4" w:space="1" w:color="auto"/>
        </w:pBdr>
        <w:rPr>
          <w:rFonts w:ascii="Calibri" w:hAnsi="Calibri" w:cs="Arial"/>
          <w:b/>
          <w:bCs/>
        </w:rPr>
      </w:pPr>
    </w:p>
    <w:p w:rsidR="005E30D7" w:rsidRDefault="005E30D7" w:rsidP="005E30D7">
      <w:pPr>
        <w:pBdr>
          <w:bottom w:val="single" w:sz="4" w:space="1" w:color="auto"/>
        </w:pBdr>
        <w:spacing w:after="120" w:line="276" w:lineRule="auto"/>
        <w:rPr>
          <w:rFonts w:ascii="Calibri" w:hAnsi="Calibri" w:cs="Arial"/>
          <w:b/>
          <w:bCs/>
        </w:rPr>
      </w:pPr>
    </w:p>
    <w:p w:rsidR="00DF0E28" w:rsidRPr="00366E54" w:rsidRDefault="00DF0E28" w:rsidP="009605C9">
      <w:pPr>
        <w:pBdr>
          <w:bottom w:val="single" w:sz="4" w:space="1" w:color="auto"/>
        </w:pBdr>
        <w:spacing w:after="240" w:line="276" w:lineRule="auto"/>
        <w:rPr>
          <w:rFonts w:ascii="Calibri" w:hAnsi="Calibri" w:cs="Arial"/>
          <w:b/>
          <w:bCs/>
        </w:rPr>
      </w:pPr>
      <w:r w:rsidRPr="00366E54">
        <w:rPr>
          <w:rFonts w:ascii="Calibri" w:hAnsi="Calibri" w:cs="Arial"/>
          <w:b/>
          <w:bCs/>
        </w:rPr>
        <w:t>Bilans uspjeha</w:t>
      </w:r>
    </w:p>
    <w:p w:rsidR="00366E54" w:rsidRDefault="00866669" w:rsidP="009605C9">
      <w:pPr>
        <w:spacing w:after="240" w:line="276" w:lineRule="auto"/>
        <w:jc w:val="both"/>
        <w:rPr>
          <w:rFonts w:ascii="Calibri" w:hAnsi="Calibri" w:cs="Arial"/>
        </w:rPr>
      </w:pPr>
      <w:r w:rsidRPr="00191C8E">
        <w:rPr>
          <w:rFonts w:ascii="Calibri" w:hAnsi="Calibri" w:cs="Arial"/>
        </w:rPr>
        <w:t xml:space="preserve">Na kraju </w:t>
      </w:r>
      <w:r w:rsidR="00511B4F">
        <w:rPr>
          <w:rFonts w:ascii="Calibri" w:hAnsi="Calibri" w:cs="Arial"/>
        </w:rPr>
        <w:t>drugog</w:t>
      </w:r>
      <w:r w:rsidRPr="00191C8E">
        <w:rPr>
          <w:rFonts w:ascii="Calibri" w:hAnsi="Calibri" w:cs="Arial"/>
        </w:rPr>
        <w:t xml:space="preserve"> kvartala 201</w:t>
      </w:r>
      <w:r w:rsidR="00511B4F">
        <w:rPr>
          <w:rFonts w:ascii="Calibri" w:hAnsi="Calibri" w:cs="Arial"/>
        </w:rPr>
        <w:t>7</w:t>
      </w:r>
      <w:r w:rsidRPr="00191C8E">
        <w:rPr>
          <w:rFonts w:ascii="Calibri" w:hAnsi="Calibri" w:cs="Arial"/>
        </w:rPr>
        <w:t>. godine, a na osnovu</w:t>
      </w:r>
      <w:r w:rsidR="00366E54" w:rsidRPr="00191C8E">
        <w:rPr>
          <w:rFonts w:ascii="Calibri" w:hAnsi="Calibri" w:cs="Arial"/>
        </w:rPr>
        <w:t xml:space="preserve"> bilansa uspjeha 4 lizing kuće, vidljiv je </w:t>
      </w:r>
      <w:r w:rsidR="00511B4F">
        <w:rPr>
          <w:rFonts w:ascii="Calibri" w:hAnsi="Calibri" w:cs="Arial"/>
        </w:rPr>
        <w:t>negativan</w:t>
      </w:r>
      <w:r w:rsidR="00366E54" w:rsidRPr="00191C8E">
        <w:rPr>
          <w:rFonts w:ascii="Calibri" w:hAnsi="Calibri" w:cs="Arial"/>
        </w:rPr>
        <w:t xml:space="preserve"> poslovni rezultat budući da su </w:t>
      </w:r>
      <w:r w:rsidR="00511B4F">
        <w:rPr>
          <w:rFonts w:ascii="Calibri" w:hAnsi="Calibri" w:cs="Arial"/>
        </w:rPr>
        <w:t>2</w:t>
      </w:r>
      <w:r w:rsidR="00366E54" w:rsidRPr="00191C8E">
        <w:rPr>
          <w:rFonts w:ascii="Calibri" w:hAnsi="Calibri" w:cs="Arial"/>
        </w:rPr>
        <w:t xml:space="preserve"> od 4 kuće ostvarile veće poslovne </w:t>
      </w:r>
      <w:r w:rsidR="00511B4F">
        <w:rPr>
          <w:rFonts w:ascii="Calibri" w:hAnsi="Calibri" w:cs="Arial"/>
        </w:rPr>
        <w:t>rashode</w:t>
      </w:r>
      <w:r w:rsidR="00191C8E" w:rsidRPr="00191C8E">
        <w:rPr>
          <w:rFonts w:ascii="Calibri" w:hAnsi="Calibri" w:cs="Arial"/>
        </w:rPr>
        <w:t xml:space="preserve"> od poslovnih </w:t>
      </w:r>
      <w:r w:rsidR="00511B4F">
        <w:rPr>
          <w:rFonts w:ascii="Calibri" w:hAnsi="Calibri" w:cs="Arial"/>
        </w:rPr>
        <w:t>pri</w:t>
      </w:r>
      <w:r w:rsidR="00191C8E" w:rsidRPr="00191C8E">
        <w:rPr>
          <w:rFonts w:ascii="Calibri" w:hAnsi="Calibri" w:cs="Arial"/>
        </w:rPr>
        <w:t>hod</w:t>
      </w:r>
      <w:r w:rsidR="00366E54" w:rsidRPr="00191C8E">
        <w:rPr>
          <w:rFonts w:ascii="Calibri" w:hAnsi="Calibri" w:cs="Arial"/>
        </w:rPr>
        <w:t>a.</w:t>
      </w:r>
    </w:p>
    <w:p w:rsidR="000765FF" w:rsidRPr="00103BC7" w:rsidRDefault="00191C8E" w:rsidP="009605C9">
      <w:pPr>
        <w:spacing w:after="240"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</w:t>
      </w:r>
      <w:r w:rsidR="000765FF" w:rsidRPr="00103BC7">
        <w:rPr>
          <w:rFonts w:ascii="Calibri" w:hAnsi="Calibri" w:cs="Arial"/>
        </w:rPr>
        <w:t xml:space="preserve">inansijski rezultat </w:t>
      </w:r>
      <w:r w:rsidR="00366E54" w:rsidRPr="00103BC7">
        <w:rPr>
          <w:rFonts w:ascii="Calibri" w:hAnsi="Calibri" w:cs="Arial"/>
        </w:rPr>
        <w:t>za 4 aktera na tržištu lizinga, je</w:t>
      </w:r>
      <w:r w:rsidR="000765FF" w:rsidRPr="00103BC7">
        <w:rPr>
          <w:rFonts w:ascii="Calibri" w:hAnsi="Calibri" w:cs="Arial"/>
        </w:rPr>
        <w:t xml:space="preserve"> bio</w:t>
      </w:r>
      <w:r w:rsidR="00366E54" w:rsidRPr="00103BC7">
        <w:rPr>
          <w:rFonts w:ascii="Calibri" w:hAnsi="Calibri" w:cs="Arial"/>
        </w:rPr>
        <w:t xml:space="preserve"> pozitivan i iznosi</w:t>
      </w:r>
      <w:r w:rsidR="000765FF" w:rsidRPr="00103BC7">
        <w:rPr>
          <w:rFonts w:ascii="Calibri" w:hAnsi="Calibri" w:cs="Arial"/>
        </w:rPr>
        <w:t>o je</w:t>
      </w:r>
      <w:r w:rsidR="00366E54" w:rsidRPr="00103BC7">
        <w:rPr>
          <w:rFonts w:ascii="Calibri" w:hAnsi="Calibri" w:cs="Arial"/>
        </w:rPr>
        <w:t xml:space="preserve"> </w:t>
      </w:r>
      <w:r w:rsidR="00511B4F">
        <w:rPr>
          <w:rFonts w:ascii="Calibri" w:hAnsi="Calibri" w:cs="Arial"/>
        </w:rPr>
        <w:t>299</w:t>
      </w:r>
      <w:r>
        <w:rPr>
          <w:rFonts w:ascii="Calibri" w:hAnsi="Calibri" w:cs="Arial"/>
        </w:rPr>
        <w:t>.</w:t>
      </w:r>
      <w:r w:rsidR="00511B4F">
        <w:rPr>
          <w:rFonts w:ascii="Calibri" w:hAnsi="Calibri" w:cs="Arial"/>
        </w:rPr>
        <w:t>138</w:t>
      </w:r>
      <w:r w:rsidR="000765FF" w:rsidRPr="00103BC7">
        <w:rPr>
          <w:rFonts w:ascii="Calibri" w:hAnsi="Calibri" w:cs="Calibri"/>
        </w:rPr>
        <w:t>€</w:t>
      </w:r>
      <w:r w:rsidR="00511B4F">
        <w:rPr>
          <w:rFonts w:ascii="Calibri" w:hAnsi="Calibri" w:cs="Arial"/>
        </w:rPr>
        <w:t xml:space="preserve">, pri čemu je jedna </w:t>
      </w:r>
      <w:r w:rsidR="000765FF" w:rsidRPr="00103BC7">
        <w:rPr>
          <w:rFonts w:ascii="Calibri" w:hAnsi="Calibri" w:cs="Arial"/>
        </w:rPr>
        <w:t>lizing kuć</w:t>
      </w:r>
      <w:r w:rsidR="009605C9">
        <w:rPr>
          <w:rFonts w:ascii="Calibri" w:hAnsi="Calibri" w:cs="Arial"/>
        </w:rPr>
        <w:t>a</w:t>
      </w:r>
      <w:r w:rsidR="000765FF" w:rsidRPr="00103BC7">
        <w:rPr>
          <w:rFonts w:ascii="Calibri" w:hAnsi="Calibri" w:cs="Arial"/>
        </w:rPr>
        <w:t xml:space="preserve"> ostvaril</w:t>
      </w:r>
      <w:r w:rsidR="00511B4F">
        <w:rPr>
          <w:rFonts w:ascii="Calibri" w:hAnsi="Calibri" w:cs="Arial"/>
        </w:rPr>
        <w:t>a</w:t>
      </w:r>
      <w:r w:rsidR="000765FF" w:rsidRPr="00103BC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negativan</w:t>
      </w:r>
      <w:r w:rsidR="000765FF" w:rsidRPr="00103BC7">
        <w:rPr>
          <w:rFonts w:ascii="Calibri" w:hAnsi="Calibri" w:cs="Arial"/>
        </w:rPr>
        <w:t xml:space="preserve"> finansijski rezultat. Rezultat iz ostalih aktivnosti je bio </w:t>
      </w:r>
      <w:r w:rsidR="009605C9">
        <w:rPr>
          <w:rFonts w:ascii="Calibri" w:hAnsi="Calibri" w:cs="Arial"/>
        </w:rPr>
        <w:t>pozitivan</w:t>
      </w:r>
      <w:r w:rsidR="000765FF" w:rsidRPr="00103BC7">
        <w:rPr>
          <w:rFonts w:ascii="Calibri" w:hAnsi="Calibri" w:cs="Arial"/>
        </w:rPr>
        <w:t xml:space="preserve"> </w:t>
      </w:r>
      <w:r w:rsidR="00366E54" w:rsidRPr="00103BC7">
        <w:rPr>
          <w:rFonts w:ascii="Calibri" w:hAnsi="Calibri" w:cs="Arial"/>
        </w:rPr>
        <w:t xml:space="preserve">i </w:t>
      </w:r>
      <w:r w:rsidR="000765FF" w:rsidRPr="00103BC7">
        <w:rPr>
          <w:rFonts w:ascii="Calibri" w:hAnsi="Calibri" w:cs="Arial"/>
        </w:rPr>
        <w:t xml:space="preserve">iznosio je </w:t>
      </w:r>
      <w:r w:rsidR="009605C9">
        <w:rPr>
          <w:rFonts w:ascii="Calibri" w:hAnsi="Calibri" w:cs="Arial"/>
        </w:rPr>
        <w:t>794.102</w:t>
      </w:r>
      <w:r w:rsidR="000765FF" w:rsidRPr="00103BC7">
        <w:rPr>
          <w:rFonts w:ascii="Calibri" w:hAnsi="Calibri" w:cs="Calibri"/>
        </w:rPr>
        <w:t>€</w:t>
      </w:r>
      <w:r w:rsidR="000765FF" w:rsidRPr="00103BC7">
        <w:rPr>
          <w:rFonts w:ascii="Calibri" w:hAnsi="Calibri" w:cs="Arial"/>
        </w:rPr>
        <w:t xml:space="preserve">, budući da su </w:t>
      </w:r>
      <w:r w:rsidR="009605C9">
        <w:rPr>
          <w:rFonts w:ascii="Calibri" w:hAnsi="Calibri" w:cs="Arial"/>
        </w:rPr>
        <w:t>3</w:t>
      </w:r>
      <w:r w:rsidR="000765FF" w:rsidRPr="00103BC7">
        <w:rPr>
          <w:rFonts w:ascii="Calibri" w:hAnsi="Calibri" w:cs="Arial"/>
        </w:rPr>
        <w:t xml:space="preserve"> lizing kuće ostvarile više prihod</w:t>
      </w:r>
      <w:r w:rsidR="009605C9">
        <w:rPr>
          <w:rFonts w:ascii="Calibri" w:hAnsi="Calibri" w:cs="Arial"/>
        </w:rPr>
        <w:t>e</w:t>
      </w:r>
      <w:r w:rsidR="009605C9" w:rsidRPr="009605C9">
        <w:rPr>
          <w:rFonts w:ascii="Calibri" w:hAnsi="Calibri" w:cs="Arial"/>
        </w:rPr>
        <w:t xml:space="preserve"> </w:t>
      </w:r>
      <w:r w:rsidR="009605C9" w:rsidRPr="00103BC7">
        <w:rPr>
          <w:rFonts w:ascii="Calibri" w:hAnsi="Calibri" w:cs="Arial"/>
        </w:rPr>
        <w:t xml:space="preserve">od </w:t>
      </w:r>
      <w:r w:rsidR="009605C9">
        <w:rPr>
          <w:rFonts w:ascii="Calibri" w:hAnsi="Calibri" w:cs="Arial"/>
        </w:rPr>
        <w:t>rashoda.</w:t>
      </w:r>
    </w:p>
    <w:p w:rsidR="00366E54" w:rsidRDefault="000765FF" w:rsidP="009605C9">
      <w:pPr>
        <w:spacing w:after="240" w:line="276" w:lineRule="auto"/>
        <w:jc w:val="both"/>
        <w:rPr>
          <w:rFonts w:ascii="Calibri" w:hAnsi="Calibri" w:cs="Arial"/>
        </w:rPr>
      </w:pPr>
      <w:r w:rsidRPr="00103BC7">
        <w:rPr>
          <w:rFonts w:ascii="Calibri" w:hAnsi="Calibri" w:cs="Arial"/>
        </w:rPr>
        <w:t>Sumarno, u</w:t>
      </w:r>
      <w:r w:rsidR="00366E54" w:rsidRPr="00103BC7">
        <w:rPr>
          <w:rFonts w:ascii="Calibri" w:hAnsi="Calibri" w:cs="Arial"/>
        </w:rPr>
        <w:t xml:space="preserve">kupan neto rezultat je </w:t>
      </w:r>
      <w:r w:rsidR="006C290D">
        <w:rPr>
          <w:rFonts w:ascii="Calibri" w:hAnsi="Calibri" w:cs="Arial"/>
        </w:rPr>
        <w:t>pozitiva</w:t>
      </w:r>
      <w:r w:rsidRPr="00103BC7">
        <w:rPr>
          <w:rFonts w:ascii="Calibri" w:hAnsi="Calibri" w:cs="Arial"/>
        </w:rPr>
        <w:t>n</w:t>
      </w:r>
      <w:r w:rsidR="006C290D">
        <w:rPr>
          <w:rFonts w:ascii="Calibri" w:hAnsi="Calibri" w:cs="Arial"/>
        </w:rPr>
        <w:t xml:space="preserve"> (1</w:t>
      </w:r>
      <w:r w:rsidRPr="00103BC7">
        <w:rPr>
          <w:rFonts w:ascii="Calibri" w:hAnsi="Calibri" w:cs="Arial"/>
        </w:rPr>
        <w:t xml:space="preserve"> lizing </w:t>
      </w:r>
      <w:r w:rsidR="006C290D">
        <w:rPr>
          <w:rFonts w:ascii="Calibri" w:hAnsi="Calibri" w:cs="Arial"/>
        </w:rPr>
        <w:t>kuća je ostvarila</w:t>
      </w:r>
      <w:r w:rsidRPr="00103BC7">
        <w:rPr>
          <w:rFonts w:ascii="Calibri" w:hAnsi="Calibri" w:cs="Arial"/>
        </w:rPr>
        <w:t xml:space="preserve"> negativan rezultat</w:t>
      </w:r>
      <w:r w:rsidR="00366E54" w:rsidRPr="00103BC7">
        <w:rPr>
          <w:rFonts w:ascii="Calibri" w:hAnsi="Calibri" w:cs="Arial"/>
        </w:rPr>
        <w:t xml:space="preserve">) i iznosi </w:t>
      </w:r>
      <w:r w:rsidR="009605C9">
        <w:rPr>
          <w:rFonts w:ascii="Calibri" w:hAnsi="Calibri" w:cs="Arial"/>
        </w:rPr>
        <w:t>636.783</w:t>
      </w:r>
      <w:r w:rsidRPr="00103BC7">
        <w:rPr>
          <w:rFonts w:ascii="Calibri" w:hAnsi="Calibri" w:cs="Calibri"/>
        </w:rPr>
        <w:t>€</w:t>
      </w:r>
      <w:r w:rsidR="00366E54" w:rsidRPr="00103BC7">
        <w:rPr>
          <w:rFonts w:ascii="Calibri" w:hAnsi="Calibri" w:cs="Arial"/>
        </w:rPr>
        <w:t xml:space="preserve">.  </w:t>
      </w:r>
    </w:p>
    <w:p w:rsidR="00EB0F7D" w:rsidRDefault="00EB0F7D" w:rsidP="009605C9">
      <w:pPr>
        <w:spacing w:after="240" w:line="276" w:lineRule="auto"/>
        <w:jc w:val="both"/>
        <w:rPr>
          <w:rFonts w:ascii="Calibri" w:hAnsi="Calibri" w:cs="Arial"/>
          <w:bCs/>
          <w:lang w:val="en-US" w:eastAsia="en-US"/>
        </w:rPr>
      </w:pPr>
      <w:r w:rsidRPr="00103BC7">
        <w:rPr>
          <w:rFonts w:ascii="Calibri" w:hAnsi="Calibri"/>
          <w:bCs/>
        </w:rPr>
        <w:t xml:space="preserve">Poređenja radi na dan 30. </w:t>
      </w:r>
      <w:r w:rsidR="009605C9">
        <w:rPr>
          <w:rFonts w:ascii="Calibri" w:hAnsi="Calibri"/>
          <w:bCs/>
        </w:rPr>
        <w:t>mart</w:t>
      </w:r>
      <w:r w:rsidRPr="00103BC7">
        <w:rPr>
          <w:rFonts w:ascii="Calibri" w:hAnsi="Calibri"/>
          <w:bCs/>
        </w:rPr>
        <w:t xml:space="preserve"> 201</w:t>
      </w:r>
      <w:r w:rsidR="009605C9">
        <w:rPr>
          <w:rFonts w:ascii="Calibri" w:hAnsi="Calibri"/>
          <w:bCs/>
        </w:rPr>
        <w:t>7</w:t>
      </w:r>
      <w:r w:rsidRPr="00103BC7">
        <w:rPr>
          <w:rFonts w:ascii="Calibri" w:hAnsi="Calibri"/>
          <w:bCs/>
        </w:rPr>
        <w:t xml:space="preserve">. godine na tržištu lizinga iskazan je </w:t>
      </w:r>
      <w:r w:rsidR="009605C9">
        <w:rPr>
          <w:rFonts w:ascii="Calibri" w:hAnsi="Calibri"/>
          <w:bCs/>
        </w:rPr>
        <w:t>gubitak</w:t>
      </w:r>
      <w:r w:rsidRPr="00103BC7">
        <w:rPr>
          <w:rFonts w:ascii="Calibri" w:hAnsi="Calibri" w:cs="Arial"/>
          <w:bCs/>
        </w:rPr>
        <w:t xml:space="preserve"> </w:t>
      </w:r>
      <w:r w:rsidRPr="00103BC7">
        <w:rPr>
          <w:rFonts w:ascii="Calibri" w:hAnsi="Calibri"/>
          <w:bCs/>
        </w:rPr>
        <w:t xml:space="preserve">prije oporezivanja u iznosu od </w:t>
      </w:r>
      <w:r w:rsidR="009605C9">
        <w:rPr>
          <w:rFonts w:ascii="Calibri" w:hAnsi="Calibri"/>
          <w:bCs/>
          <w:lang w:val="en-US" w:eastAsia="en-US"/>
        </w:rPr>
        <w:t>90.335</w:t>
      </w:r>
      <w:r w:rsidRPr="00103BC7">
        <w:rPr>
          <w:rFonts w:ascii="Calibri" w:hAnsi="Calibri" w:cs="Arial"/>
          <w:bCs/>
          <w:lang w:val="en-US" w:eastAsia="en-US"/>
        </w:rPr>
        <w:t xml:space="preserve"> </w:t>
      </w:r>
      <w:proofErr w:type="spellStart"/>
      <w:r w:rsidRPr="00103BC7">
        <w:rPr>
          <w:rFonts w:ascii="Calibri" w:hAnsi="Calibri" w:cs="Arial"/>
          <w:bCs/>
          <w:lang w:val="en-US" w:eastAsia="en-US"/>
        </w:rPr>
        <w:t>eura</w:t>
      </w:r>
      <w:proofErr w:type="spellEnd"/>
      <w:r w:rsidRPr="00103BC7">
        <w:rPr>
          <w:rFonts w:ascii="Calibri" w:hAnsi="Calibri" w:cs="Arial"/>
          <w:bCs/>
          <w:lang w:val="en-US" w:eastAsia="en-US"/>
        </w:rPr>
        <w:t xml:space="preserve">. </w:t>
      </w:r>
    </w:p>
    <w:p w:rsidR="00EB0F7D" w:rsidRPr="00103BC7" w:rsidRDefault="00EB0F7D" w:rsidP="009605C9">
      <w:pPr>
        <w:spacing w:after="240" w:line="276" w:lineRule="auto"/>
        <w:jc w:val="both"/>
        <w:rPr>
          <w:rFonts w:ascii="Calibri" w:hAnsi="Calibri"/>
          <w:b/>
          <w:bCs/>
          <w:lang w:val="en-US" w:eastAsia="en-US"/>
        </w:rPr>
      </w:pPr>
      <w:r w:rsidRPr="00103BC7">
        <w:rPr>
          <w:rFonts w:ascii="Calibri" w:hAnsi="Calibri"/>
          <w:bCs/>
        </w:rPr>
        <w:t>Istovremeno, potrebno je ukazati da u ukupnom rezultatu bilansa uspjeha, koji daje prihode i rashode lizing kuća, nedostaje dio podataka koji se obraču</w:t>
      </w:r>
      <w:r w:rsidR="009605C9">
        <w:rPr>
          <w:rFonts w:ascii="Calibri" w:hAnsi="Calibri"/>
          <w:bCs/>
        </w:rPr>
        <w:t>na</w:t>
      </w:r>
      <w:r w:rsidRPr="00103BC7">
        <w:rPr>
          <w:rFonts w:ascii="Calibri" w:hAnsi="Calibri"/>
          <w:bCs/>
        </w:rPr>
        <w:t>vaju kroz bilanse banke koja se bavi lizing poslovima, imajući u vidu da Hipo Alpe Adria banke u okviru svog portfoli</w:t>
      </w:r>
      <w:r w:rsidR="006C290D">
        <w:rPr>
          <w:rFonts w:ascii="Calibri" w:hAnsi="Calibri"/>
          <w:bCs/>
        </w:rPr>
        <w:t>j</w:t>
      </w:r>
      <w:r w:rsidRPr="00103BC7">
        <w:rPr>
          <w:rFonts w:ascii="Calibri" w:hAnsi="Calibri"/>
          <w:bCs/>
        </w:rPr>
        <w:t xml:space="preserve">a pruža lizing usluge. </w:t>
      </w:r>
    </w:p>
    <w:p w:rsidR="00366E54" w:rsidRPr="00366E54" w:rsidRDefault="00366E54" w:rsidP="005E30D7">
      <w:pPr>
        <w:spacing w:after="120" w:line="276" w:lineRule="auto"/>
        <w:jc w:val="both"/>
        <w:rPr>
          <w:rFonts w:ascii="Calibri" w:hAnsi="Calibri" w:cs="Arial"/>
          <w:sz w:val="22"/>
          <w:szCs w:val="20"/>
        </w:rPr>
      </w:pPr>
    </w:p>
    <w:p w:rsidR="00DF0E28" w:rsidRDefault="00DF0E28" w:rsidP="005E30D7">
      <w:pPr>
        <w:spacing w:after="120" w:line="276" w:lineRule="auto"/>
        <w:jc w:val="center"/>
        <w:rPr>
          <w:rFonts w:ascii="Calibri" w:hAnsi="Calibri"/>
          <w:lang w:val="sr-Latn-BA"/>
        </w:rPr>
      </w:pPr>
      <w:r>
        <w:rPr>
          <w:rFonts w:ascii="Calibri" w:hAnsi="Calibri"/>
          <w:lang w:val="sr-Latn-BA"/>
        </w:rPr>
        <w:lastRenderedPageBreak/>
        <w:t>*</w:t>
      </w:r>
    </w:p>
    <w:p w:rsidR="00DF0E28" w:rsidRDefault="00DF0E28" w:rsidP="005E30D7">
      <w:pPr>
        <w:spacing w:after="120" w:line="276" w:lineRule="auto"/>
        <w:jc w:val="center"/>
        <w:rPr>
          <w:rFonts w:ascii="Calibri" w:hAnsi="Calibri"/>
          <w:lang w:val="sr-Latn-BA"/>
        </w:rPr>
      </w:pPr>
      <w:r>
        <w:rPr>
          <w:rFonts w:ascii="Calibri" w:hAnsi="Calibri"/>
          <w:lang w:val="sr-Latn-BA"/>
        </w:rPr>
        <w:t>*      *</w:t>
      </w:r>
    </w:p>
    <w:p w:rsidR="00AB4C98" w:rsidRDefault="00AB4C98" w:rsidP="005E30D7">
      <w:pPr>
        <w:spacing w:after="120" w:line="276" w:lineRule="auto"/>
        <w:jc w:val="both"/>
        <w:rPr>
          <w:rFonts w:ascii="Calibri" w:hAnsi="Calibri" w:cs="Arial"/>
          <w:lang w:val="en-US"/>
        </w:rPr>
      </w:pPr>
    </w:p>
    <w:p w:rsidR="009605C9" w:rsidRPr="008155CB" w:rsidRDefault="000765FF" w:rsidP="009605C9">
      <w:pPr>
        <w:spacing w:after="120" w:line="276" w:lineRule="auto"/>
        <w:jc w:val="both"/>
        <w:rPr>
          <w:rFonts w:ascii="Calibri" w:hAnsi="Calibri" w:cs="Arial"/>
        </w:rPr>
      </w:pPr>
      <w:r w:rsidRPr="006F7295">
        <w:rPr>
          <w:rFonts w:ascii="Calibri" w:hAnsi="Calibri" w:cs="Arial"/>
        </w:rPr>
        <w:t>Tržište li</w:t>
      </w:r>
      <w:r>
        <w:rPr>
          <w:rFonts w:ascii="Calibri" w:hAnsi="Calibri" w:cs="Arial"/>
        </w:rPr>
        <w:t xml:space="preserve">zinga tokom </w:t>
      </w:r>
      <w:r w:rsidR="009605C9">
        <w:rPr>
          <w:rFonts w:ascii="Calibri" w:hAnsi="Calibri" w:cs="Arial"/>
        </w:rPr>
        <w:t>drugog</w:t>
      </w:r>
      <w:r>
        <w:rPr>
          <w:rFonts w:ascii="Calibri" w:hAnsi="Calibri" w:cs="Arial"/>
        </w:rPr>
        <w:t xml:space="preserve"> kvartala 201</w:t>
      </w:r>
      <w:r w:rsidR="009605C9">
        <w:rPr>
          <w:rFonts w:ascii="Calibri" w:hAnsi="Calibri" w:cs="Arial"/>
        </w:rPr>
        <w:t>7</w:t>
      </w:r>
      <w:r w:rsidRPr="006F7295">
        <w:rPr>
          <w:rFonts w:ascii="Calibri" w:hAnsi="Calibri" w:cs="Arial"/>
        </w:rPr>
        <w:t xml:space="preserve">. godine karakterisao </w:t>
      </w:r>
      <w:r>
        <w:rPr>
          <w:rFonts w:ascii="Calibri" w:hAnsi="Calibri" w:cs="Arial"/>
        </w:rPr>
        <w:t xml:space="preserve">je </w:t>
      </w:r>
      <w:r w:rsidR="009605C9">
        <w:rPr>
          <w:rFonts w:ascii="Calibri" w:hAnsi="Calibri" w:cs="Arial"/>
        </w:rPr>
        <w:t xml:space="preserve">rast </w:t>
      </w:r>
      <w:r w:rsidRPr="006F7295">
        <w:rPr>
          <w:rFonts w:ascii="Calibri" w:hAnsi="Calibri" w:cs="Arial"/>
        </w:rPr>
        <w:t>broja zaključenih ugovora u odnosu na prethodni kvartal, kao i vrijednosti istih. U</w:t>
      </w:r>
      <w:r w:rsidRPr="006F7295">
        <w:rPr>
          <w:rFonts w:ascii="Calibri" w:hAnsi="Calibri"/>
        </w:rPr>
        <w:t>poredni podaci sa prethodnim kvartalom tekuće godine ukazuju na ustaljeni trend kretanja privredne aktivnosti u Crnoj Gori tokom perioda I</w:t>
      </w:r>
      <w:r w:rsidR="009605C9">
        <w:rPr>
          <w:rFonts w:ascii="Calibri" w:hAnsi="Calibri"/>
        </w:rPr>
        <w:t xml:space="preserve"> i II</w:t>
      </w:r>
      <w:r w:rsidRPr="006F7295">
        <w:rPr>
          <w:rFonts w:ascii="Calibri" w:hAnsi="Calibri"/>
        </w:rPr>
        <w:t xml:space="preserve"> kvartala</w:t>
      </w:r>
      <w:r w:rsidR="009605C9">
        <w:rPr>
          <w:rFonts w:ascii="Calibri" w:hAnsi="Calibri"/>
        </w:rPr>
        <w:t>, prije svega</w:t>
      </w:r>
      <w:r w:rsidR="009605C9" w:rsidRPr="009605C9">
        <w:rPr>
          <w:rFonts w:ascii="Calibri" w:hAnsi="Calibri" w:cs="Arial"/>
        </w:rPr>
        <w:t xml:space="preserve"> </w:t>
      </w:r>
      <w:r w:rsidR="009605C9" w:rsidRPr="008155CB">
        <w:rPr>
          <w:rFonts w:ascii="Calibri" w:hAnsi="Calibri" w:cs="Arial"/>
        </w:rPr>
        <w:t>usporen</w:t>
      </w:r>
      <w:r w:rsidR="00B40B2F">
        <w:rPr>
          <w:rFonts w:ascii="Calibri" w:hAnsi="Calibri" w:cs="Arial"/>
        </w:rPr>
        <w:t>e</w:t>
      </w:r>
      <w:r w:rsidR="009605C9" w:rsidRPr="008155CB">
        <w:rPr>
          <w:rFonts w:ascii="Calibri" w:hAnsi="Calibri" w:cs="Arial"/>
        </w:rPr>
        <w:t xml:space="preserve"> poslovn</w:t>
      </w:r>
      <w:r w:rsidR="00B40B2F">
        <w:rPr>
          <w:rFonts w:ascii="Calibri" w:hAnsi="Calibri" w:cs="Arial"/>
        </w:rPr>
        <w:t>e</w:t>
      </w:r>
      <w:r w:rsidR="009605C9" w:rsidRPr="008155CB">
        <w:rPr>
          <w:rFonts w:ascii="Calibri" w:hAnsi="Calibri" w:cs="Arial"/>
        </w:rPr>
        <w:t xml:space="preserve"> aktivnosti u I kvartalu godine</w:t>
      </w:r>
      <w:r w:rsidRPr="006F7295">
        <w:rPr>
          <w:rFonts w:ascii="Calibri" w:hAnsi="Calibri"/>
        </w:rPr>
        <w:t xml:space="preserve">. </w:t>
      </w:r>
      <w:r w:rsidR="009605C9" w:rsidRPr="008155CB">
        <w:rPr>
          <w:rFonts w:ascii="Calibri" w:hAnsi="Calibri"/>
        </w:rPr>
        <w:t>Takođe, sa druge strane uporedni podaci sa istim periodom prethodne godine ukazuju na blage pozitivne trendove posmatrano kroz uvećanje broja novih ugovora, kao i bilansne rezultate.</w:t>
      </w:r>
    </w:p>
    <w:p w:rsidR="009605C9" w:rsidRDefault="009605C9" w:rsidP="005E30D7">
      <w:pPr>
        <w:spacing w:after="120" w:line="276" w:lineRule="auto"/>
        <w:jc w:val="both"/>
        <w:rPr>
          <w:rFonts w:ascii="Tahoma" w:hAnsi="Tahoma" w:cs="Tahoma"/>
        </w:rPr>
      </w:pPr>
    </w:p>
    <w:p w:rsidR="009605C9" w:rsidRDefault="009605C9" w:rsidP="005E30D7">
      <w:pPr>
        <w:spacing w:after="120" w:line="276" w:lineRule="auto"/>
        <w:jc w:val="both"/>
        <w:rPr>
          <w:rFonts w:ascii="Tahoma" w:hAnsi="Tahoma" w:cs="Tahoma"/>
        </w:rPr>
      </w:pPr>
    </w:p>
    <w:p w:rsidR="00EB0F7D" w:rsidRPr="00D17CB4" w:rsidRDefault="00EB0F7D" w:rsidP="005E30D7">
      <w:pPr>
        <w:spacing w:line="276" w:lineRule="auto"/>
        <w:jc w:val="right"/>
        <w:rPr>
          <w:rFonts w:ascii="Calibri" w:hAnsi="Calibri"/>
          <w:b/>
          <w:bCs/>
          <w:noProof/>
          <w:color w:val="4BACC6"/>
        </w:rPr>
      </w:pPr>
      <w:r w:rsidRPr="00D17CB4">
        <w:rPr>
          <w:rFonts w:ascii="Calibri" w:hAnsi="Calibri"/>
          <w:b/>
          <w:bCs/>
          <w:noProof/>
          <w:color w:val="4BACC6"/>
        </w:rPr>
        <w:t xml:space="preserve">Mr </w:t>
      </w:r>
      <w:r>
        <w:rPr>
          <w:rFonts w:ascii="Calibri" w:hAnsi="Calibri"/>
          <w:b/>
          <w:bCs/>
          <w:noProof/>
          <w:color w:val="4BACC6"/>
        </w:rPr>
        <w:t>Slađana Pavlović</w:t>
      </w:r>
    </w:p>
    <w:p w:rsidR="00EB0F7D" w:rsidRPr="00D17CB4" w:rsidRDefault="00EB0F7D" w:rsidP="005E30D7">
      <w:pPr>
        <w:spacing w:after="120" w:line="276" w:lineRule="auto"/>
        <w:jc w:val="right"/>
        <w:rPr>
          <w:color w:val="4BACC6"/>
        </w:rPr>
      </w:pPr>
      <w:r w:rsidRPr="00D17CB4">
        <w:rPr>
          <w:rFonts w:ascii="Calibri" w:hAnsi="Calibri"/>
          <w:noProof/>
          <w:color w:val="4BACC6"/>
        </w:rPr>
        <w:t>Direkcij</w:t>
      </w:r>
      <w:r>
        <w:rPr>
          <w:rFonts w:ascii="Calibri" w:hAnsi="Calibri"/>
          <w:noProof/>
          <w:color w:val="4BACC6"/>
        </w:rPr>
        <w:t>a</w:t>
      </w:r>
      <w:r w:rsidR="006C290D">
        <w:rPr>
          <w:rFonts w:ascii="Calibri" w:hAnsi="Calibri"/>
          <w:noProof/>
          <w:color w:val="4BACC6"/>
        </w:rPr>
        <w:t xml:space="preserve"> </w:t>
      </w:r>
      <w:bookmarkStart w:id="0" w:name="_GoBack"/>
      <w:bookmarkEnd w:id="0"/>
      <w:r w:rsidRPr="00D17CB4">
        <w:rPr>
          <w:rFonts w:ascii="Calibri" w:hAnsi="Calibri"/>
          <w:noProof/>
          <w:color w:val="4BACC6"/>
        </w:rPr>
        <w:t>za unapređenje poslovnog ambijenta</w:t>
      </w:r>
    </w:p>
    <w:p w:rsidR="00DF0E28" w:rsidRPr="00330949" w:rsidRDefault="00DF0E28" w:rsidP="005E30D7">
      <w:pPr>
        <w:spacing w:after="120" w:line="276" w:lineRule="auto"/>
        <w:jc w:val="both"/>
        <w:rPr>
          <w:rFonts w:ascii="Calibri" w:hAnsi="Calibri" w:cs="Arial"/>
        </w:rPr>
      </w:pPr>
    </w:p>
    <w:sectPr w:rsidR="00DF0E28" w:rsidRPr="00330949" w:rsidSect="00126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A4" w:rsidRDefault="007F29A4" w:rsidP="00DF0E28">
      <w:r>
        <w:separator/>
      </w:r>
    </w:p>
  </w:endnote>
  <w:endnote w:type="continuationSeparator" w:id="0">
    <w:p w:rsidR="007F29A4" w:rsidRDefault="007F29A4" w:rsidP="00DF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FranklinGothic-Book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A4" w:rsidRDefault="007F29A4" w:rsidP="00DF0E28">
      <w:r>
        <w:separator/>
      </w:r>
    </w:p>
  </w:footnote>
  <w:footnote w:type="continuationSeparator" w:id="0">
    <w:p w:rsidR="007F29A4" w:rsidRDefault="007F29A4" w:rsidP="00DF0E28">
      <w:r>
        <w:continuationSeparator/>
      </w:r>
    </w:p>
  </w:footnote>
  <w:footnote w:id="1">
    <w:p w:rsidR="005E3876" w:rsidRDefault="005E3876" w:rsidP="003B52D4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  <w:r>
        <w:rPr>
          <w:rStyle w:val="FootnoteReference"/>
          <w:rFonts w:ascii="Calibri" w:hAnsi="Calibri" w:cs="Arial"/>
          <w:sz w:val="20"/>
          <w:szCs w:val="20"/>
        </w:rPr>
        <w:footnoteRef/>
      </w:r>
      <w:r>
        <w:rPr>
          <w:rFonts w:ascii="Calibri" w:hAnsi="Calibri" w:cs="Arial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Prva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Fonts w:ascii="Calibri" w:eastAsia="Calibri" w:hAnsi="Calibri" w:cs="Arial"/>
          <w:sz w:val="20"/>
          <w:szCs w:val="20"/>
          <w:lang w:val="en-US" w:eastAsia="en-US"/>
        </w:rPr>
        <w:t>banka</w:t>
      </w:r>
      <w:proofErr w:type="spellEnd"/>
      <w:proofErr w:type="gram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Crne Gore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osnovana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1901. </w:t>
      </w:r>
      <w:proofErr w:type="spellStart"/>
      <w:proofErr w:type="gramStart"/>
      <w:r>
        <w:rPr>
          <w:rFonts w:ascii="Calibri" w:eastAsia="Calibri" w:hAnsi="Calibri" w:cs="Arial"/>
          <w:sz w:val="20"/>
          <w:szCs w:val="20"/>
          <w:lang w:val="en-US" w:eastAsia="en-US"/>
        </w:rPr>
        <w:t>godine</w:t>
      </w:r>
      <w:proofErr w:type="spellEnd"/>
      <w:proofErr w:type="gram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u period 2010-2016. </w:t>
      </w:r>
      <w:proofErr w:type="spellStart"/>
      <w:proofErr w:type="gramStart"/>
      <w:r>
        <w:rPr>
          <w:rFonts w:ascii="Calibri" w:eastAsia="Calibri" w:hAnsi="Calibri" w:cs="Arial"/>
          <w:sz w:val="20"/>
          <w:szCs w:val="20"/>
          <w:lang w:val="en-US" w:eastAsia="en-US"/>
        </w:rPr>
        <w:t>godine</w:t>
      </w:r>
      <w:proofErr w:type="spellEnd"/>
      <w:proofErr w:type="gram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nije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bila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aktivna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na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tržištu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lizinga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u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smislu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odobravanja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novih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plasmana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osim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naplate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potraživanja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po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osnovu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ranije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zaključenih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="Calibri" w:eastAsia="Calibri" w:hAnsi="Calibri" w:cs="Arial"/>
          <w:sz w:val="20"/>
          <w:szCs w:val="20"/>
          <w:lang w:val="en-US" w:eastAsia="en-US"/>
        </w:rPr>
        <w:t>ugovora</w:t>
      </w:r>
      <w:proofErr w:type="spellEnd"/>
      <w:r>
        <w:rPr>
          <w:rFonts w:ascii="Calibri" w:eastAsia="Calibri" w:hAnsi="Calibri" w:cs="Arial"/>
          <w:sz w:val="20"/>
          <w:szCs w:val="20"/>
          <w:lang w:val="en-US" w:eastAsia="en-US"/>
        </w:rPr>
        <w:t xml:space="preserve">. </w:t>
      </w:r>
    </w:p>
  </w:footnote>
  <w:footnote w:id="2">
    <w:p w:rsidR="005E3876" w:rsidRDefault="005E3876" w:rsidP="007421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B572B">
        <w:rPr>
          <w:rFonts w:ascii="Calibri" w:hAnsi="Calibri" w:cs="Arial"/>
        </w:rPr>
        <w:t>Važno je napomenuti da su navedene vrijednos</w:t>
      </w:r>
      <w:r>
        <w:rPr>
          <w:rFonts w:ascii="Calibri" w:hAnsi="Calibri" w:cs="Arial"/>
        </w:rPr>
        <w:t>t</w:t>
      </w:r>
      <w:r w:rsidRPr="007B572B">
        <w:rPr>
          <w:rFonts w:ascii="Calibri" w:hAnsi="Calibri" w:cs="Arial"/>
        </w:rPr>
        <w:t>i novozaključenih ugovora izražene kao neto vrijednost plasmana, što predstavlja ukupnu vrijednost ugovora umanjenu za vrijednost učešća klijenta.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25CC"/>
    <w:multiLevelType w:val="hybridMultilevel"/>
    <w:tmpl w:val="C29448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28"/>
    <w:rsid w:val="00036BDB"/>
    <w:rsid w:val="00046D0B"/>
    <w:rsid w:val="00052B65"/>
    <w:rsid w:val="00053B65"/>
    <w:rsid w:val="00070E10"/>
    <w:rsid w:val="00074516"/>
    <w:rsid w:val="000765FF"/>
    <w:rsid w:val="00097C59"/>
    <w:rsid w:val="000A1999"/>
    <w:rsid w:val="000B75FD"/>
    <w:rsid w:val="000C1B5F"/>
    <w:rsid w:val="000D54AA"/>
    <w:rsid w:val="000D5BAC"/>
    <w:rsid w:val="000D7583"/>
    <w:rsid w:val="000E1940"/>
    <w:rsid w:val="000E6744"/>
    <w:rsid w:val="000E758F"/>
    <w:rsid w:val="00103BC7"/>
    <w:rsid w:val="00103D01"/>
    <w:rsid w:val="00115353"/>
    <w:rsid w:val="0012643C"/>
    <w:rsid w:val="00126C3B"/>
    <w:rsid w:val="00140991"/>
    <w:rsid w:val="00145921"/>
    <w:rsid w:val="00157E57"/>
    <w:rsid w:val="00171131"/>
    <w:rsid w:val="00177695"/>
    <w:rsid w:val="00191C8E"/>
    <w:rsid w:val="001A69F3"/>
    <w:rsid w:val="001B5B72"/>
    <w:rsid w:val="001B782B"/>
    <w:rsid w:val="001D688B"/>
    <w:rsid w:val="00200FA7"/>
    <w:rsid w:val="00223E81"/>
    <w:rsid w:val="002B231E"/>
    <w:rsid w:val="002B6F4F"/>
    <w:rsid w:val="002B7DF3"/>
    <w:rsid w:val="002E3FE8"/>
    <w:rsid w:val="00306FF4"/>
    <w:rsid w:val="003349CE"/>
    <w:rsid w:val="003452E3"/>
    <w:rsid w:val="00356CD4"/>
    <w:rsid w:val="00366E54"/>
    <w:rsid w:val="00372B16"/>
    <w:rsid w:val="00372FE5"/>
    <w:rsid w:val="00377877"/>
    <w:rsid w:val="003A28E6"/>
    <w:rsid w:val="003B52D4"/>
    <w:rsid w:val="003F680F"/>
    <w:rsid w:val="004105B4"/>
    <w:rsid w:val="0041575B"/>
    <w:rsid w:val="004335CC"/>
    <w:rsid w:val="004372A0"/>
    <w:rsid w:val="00457B65"/>
    <w:rsid w:val="00476E23"/>
    <w:rsid w:val="004B558B"/>
    <w:rsid w:val="004C3F41"/>
    <w:rsid w:val="004C54DB"/>
    <w:rsid w:val="00511B4F"/>
    <w:rsid w:val="005135D2"/>
    <w:rsid w:val="0053262C"/>
    <w:rsid w:val="0054354F"/>
    <w:rsid w:val="00562433"/>
    <w:rsid w:val="00571E02"/>
    <w:rsid w:val="005840A4"/>
    <w:rsid w:val="00597FDB"/>
    <w:rsid w:val="005A1B68"/>
    <w:rsid w:val="005E093E"/>
    <w:rsid w:val="005E30D7"/>
    <w:rsid w:val="005E3876"/>
    <w:rsid w:val="005F2CA8"/>
    <w:rsid w:val="0060590A"/>
    <w:rsid w:val="006105CB"/>
    <w:rsid w:val="0063365B"/>
    <w:rsid w:val="00633966"/>
    <w:rsid w:val="006630FD"/>
    <w:rsid w:val="006A0338"/>
    <w:rsid w:val="006C290D"/>
    <w:rsid w:val="0071722A"/>
    <w:rsid w:val="00742188"/>
    <w:rsid w:val="00747224"/>
    <w:rsid w:val="00776880"/>
    <w:rsid w:val="007A28CE"/>
    <w:rsid w:val="007C5185"/>
    <w:rsid w:val="007E0DFF"/>
    <w:rsid w:val="007E2D7B"/>
    <w:rsid w:val="007F29A4"/>
    <w:rsid w:val="008033A9"/>
    <w:rsid w:val="00844123"/>
    <w:rsid w:val="00866669"/>
    <w:rsid w:val="008730F0"/>
    <w:rsid w:val="00881FFD"/>
    <w:rsid w:val="008A5207"/>
    <w:rsid w:val="008D2635"/>
    <w:rsid w:val="0092640B"/>
    <w:rsid w:val="00933A2D"/>
    <w:rsid w:val="009605C9"/>
    <w:rsid w:val="0096282B"/>
    <w:rsid w:val="00966E2D"/>
    <w:rsid w:val="00974DAD"/>
    <w:rsid w:val="009E4C70"/>
    <w:rsid w:val="009F1B58"/>
    <w:rsid w:val="00A13F02"/>
    <w:rsid w:val="00A150B2"/>
    <w:rsid w:val="00A20A42"/>
    <w:rsid w:val="00A95400"/>
    <w:rsid w:val="00AB0F7F"/>
    <w:rsid w:val="00AB4C98"/>
    <w:rsid w:val="00AD5ADA"/>
    <w:rsid w:val="00AE3D60"/>
    <w:rsid w:val="00AE77B1"/>
    <w:rsid w:val="00B00684"/>
    <w:rsid w:val="00B02CC1"/>
    <w:rsid w:val="00B0539A"/>
    <w:rsid w:val="00B07F77"/>
    <w:rsid w:val="00B1280A"/>
    <w:rsid w:val="00B26E18"/>
    <w:rsid w:val="00B36B40"/>
    <w:rsid w:val="00B37C45"/>
    <w:rsid w:val="00B40B2F"/>
    <w:rsid w:val="00B51FDB"/>
    <w:rsid w:val="00B92655"/>
    <w:rsid w:val="00B9720F"/>
    <w:rsid w:val="00BA090A"/>
    <w:rsid w:val="00BB13D5"/>
    <w:rsid w:val="00BB3477"/>
    <w:rsid w:val="00BB4229"/>
    <w:rsid w:val="00BC0011"/>
    <w:rsid w:val="00BC050E"/>
    <w:rsid w:val="00BE41D3"/>
    <w:rsid w:val="00BE74F7"/>
    <w:rsid w:val="00BF791F"/>
    <w:rsid w:val="00C306DE"/>
    <w:rsid w:val="00C63265"/>
    <w:rsid w:val="00CA4B79"/>
    <w:rsid w:val="00CB6B0F"/>
    <w:rsid w:val="00CC0558"/>
    <w:rsid w:val="00CD3D12"/>
    <w:rsid w:val="00CE66C0"/>
    <w:rsid w:val="00D1126E"/>
    <w:rsid w:val="00D15C52"/>
    <w:rsid w:val="00D32F13"/>
    <w:rsid w:val="00D448D6"/>
    <w:rsid w:val="00D4584C"/>
    <w:rsid w:val="00D63749"/>
    <w:rsid w:val="00D67266"/>
    <w:rsid w:val="00D851F1"/>
    <w:rsid w:val="00D87025"/>
    <w:rsid w:val="00DB10B8"/>
    <w:rsid w:val="00DC1B0A"/>
    <w:rsid w:val="00DD4494"/>
    <w:rsid w:val="00DF0E28"/>
    <w:rsid w:val="00DF3B2C"/>
    <w:rsid w:val="00E03EE4"/>
    <w:rsid w:val="00E7142A"/>
    <w:rsid w:val="00E826D5"/>
    <w:rsid w:val="00E84C68"/>
    <w:rsid w:val="00E86556"/>
    <w:rsid w:val="00EB0F7D"/>
    <w:rsid w:val="00EB28DE"/>
    <w:rsid w:val="00EC7433"/>
    <w:rsid w:val="00ED5CA6"/>
    <w:rsid w:val="00EF614B"/>
    <w:rsid w:val="00EF7FF8"/>
    <w:rsid w:val="00F3796F"/>
    <w:rsid w:val="00F45261"/>
    <w:rsid w:val="00F60B8A"/>
    <w:rsid w:val="00F627F3"/>
    <w:rsid w:val="00F645B7"/>
    <w:rsid w:val="00F81773"/>
    <w:rsid w:val="00F944F9"/>
    <w:rsid w:val="00FA1F5B"/>
    <w:rsid w:val="00FB246E"/>
    <w:rsid w:val="00FB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bCs/>
        <w:sz w:val="24"/>
        <w:szCs w:val="24"/>
        <w:lang w:val="sr-Latn-C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28"/>
    <w:pPr>
      <w:spacing w:before="0"/>
      <w:jc w:val="left"/>
    </w:pPr>
    <w:rPr>
      <w:rFonts w:ascii="Times New Roman" w:eastAsia="Times New Roman" w:hAnsi="Times New Roman" w:cs="Times New Roman"/>
      <w:b w:val="0"/>
      <w:bCs w:val="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F0E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28"/>
    <w:rPr>
      <w:rFonts w:ascii="Tahoma" w:eastAsia="Times New Roman" w:hAnsi="Tahoma" w:cs="Tahoma"/>
      <w:b w:val="0"/>
      <w:bCs w:val="0"/>
      <w:sz w:val="16"/>
      <w:szCs w:val="16"/>
      <w:lang w:eastAsia="sr-Latn-CS"/>
    </w:rPr>
  </w:style>
  <w:style w:type="table" w:customStyle="1" w:styleId="MediumShading1-Accent11">
    <w:name w:val="Medium Shading 1 - Accent 11"/>
    <w:basedOn w:val="TableNormal"/>
    <w:uiPriority w:val="63"/>
    <w:rsid w:val="00126C3B"/>
    <w:pPr>
      <w:spacing w:before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0B"/>
    <w:rPr>
      <w:rFonts w:ascii="Times New Roman" w:eastAsia="Times New Roman" w:hAnsi="Times New Roman" w:cs="Times New Roman"/>
      <w:b w:val="0"/>
      <w:bCs w:val="0"/>
      <w:sz w:val="20"/>
      <w:szCs w:val="20"/>
      <w:lang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46D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0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5B4"/>
    <w:rPr>
      <w:rFonts w:ascii="Times New Roman" w:eastAsia="Times New Roman" w:hAnsi="Times New Roman" w:cs="Times New Roman"/>
      <w:b w:val="0"/>
      <w:bCs w:val="0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10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5B4"/>
    <w:rPr>
      <w:rFonts w:ascii="Times New Roman" w:eastAsia="Times New Roman" w:hAnsi="Times New Roman" w:cs="Times New Roman"/>
      <w:b w:val="0"/>
      <w:bCs w:val="0"/>
      <w:lang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4"/>
        <w:szCs w:val="24"/>
        <w:lang w:val="sr-Latn-C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28"/>
    <w:pPr>
      <w:spacing w:before="0"/>
      <w:jc w:val="left"/>
    </w:pPr>
    <w:rPr>
      <w:rFonts w:ascii="Times New Roman" w:eastAsia="Times New Roman" w:hAnsi="Times New Roman" w:cs="Times New Roman"/>
      <w:b w:val="0"/>
      <w:bCs w:val="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DF0E2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E28"/>
    <w:rPr>
      <w:rFonts w:ascii="Tahoma" w:eastAsia="Times New Roman" w:hAnsi="Tahoma" w:cs="Tahoma"/>
      <w:b w:val="0"/>
      <w:bCs w:val="0"/>
      <w:sz w:val="16"/>
      <w:szCs w:val="16"/>
      <w:lang w:eastAsia="sr-Latn-CS"/>
    </w:rPr>
  </w:style>
  <w:style w:type="table" w:customStyle="1" w:styleId="MediumShading1-Accent11">
    <w:name w:val="Medium Shading 1 - Accent 11"/>
    <w:basedOn w:val="TableNormal"/>
    <w:uiPriority w:val="63"/>
    <w:rsid w:val="00126C3B"/>
    <w:pPr>
      <w:spacing w:before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46D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D0B"/>
    <w:rPr>
      <w:rFonts w:ascii="Times New Roman" w:eastAsia="Times New Roman" w:hAnsi="Times New Roman" w:cs="Times New Roman"/>
      <w:b w:val="0"/>
      <w:bCs w:val="0"/>
      <w:sz w:val="20"/>
      <w:szCs w:val="20"/>
      <w:lang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046D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105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5B4"/>
    <w:rPr>
      <w:rFonts w:ascii="Times New Roman" w:eastAsia="Times New Roman" w:hAnsi="Times New Roman" w:cs="Times New Roman"/>
      <w:b w:val="0"/>
      <w:bCs w:val="0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4105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5B4"/>
    <w:rPr>
      <w:rFonts w:ascii="Times New Roman" w:eastAsia="Times New Roman" w:hAnsi="Times New Roman" w:cs="Times New Roman"/>
      <w:b w:val="0"/>
      <w:bCs w:val="0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e%20za%20kvartalne%20izvjestaje%20Q2%202017%20ukupn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e%20za%20kvartalne%20izvjestaje%20Q2%202017%20ukupn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a%20bilansi%20II%202017-%20UKUPN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ladjana.pavlovic\AppData\Local\Microsoft\Windows\Temporary%20Internet%20Files\Content.Outlook\HPWXVSSQ\Tabela%20bilansi%20II%202017-%20UKUPN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/>
      <c:pieChart>
        <c:varyColors val="1"/>
        <c:ser>
          <c:idx val="0"/>
          <c:order val="0"/>
          <c:explosion val="25"/>
          <c:dLbls>
            <c:showVal val="1"/>
            <c:showLeaderLines val="1"/>
          </c:dLbls>
          <c:cat>
            <c:strRef>
              <c:f>'Sektorska tabela'!$H$21:$H$31</c:f>
              <c:strCache>
                <c:ptCount val="11"/>
                <c:pt idx="0">
                  <c:v>Poljoprivreda, šumarstvo i ribarstvo</c:v>
                </c:pt>
                <c:pt idx="1">
                  <c:v>Građevinarstvo</c:v>
                </c:pt>
                <c:pt idx="2">
                  <c:v>Trgovina</c:v>
                </c:pt>
                <c:pt idx="3">
                  <c:v>Usluge smještaja i ishrane</c:v>
                </c:pt>
                <c:pt idx="4">
                  <c:v>Ostale usluge </c:v>
                </c:pt>
                <c:pt idx="5">
                  <c:v>Saobraćaj</c:v>
                </c:pt>
                <c:pt idx="6">
                  <c:v>Finansijske djelatnosti</c:v>
                </c:pt>
                <c:pt idx="7">
                  <c:v>Industrija</c:v>
                </c:pt>
                <c:pt idx="8">
                  <c:v>Zdravstvo, obrazovanje i socijalna zaštita</c:v>
                </c:pt>
                <c:pt idx="9">
                  <c:v>Državna uprava</c:v>
                </c:pt>
                <c:pt idx="10">
                  <c:v>Ostali sektori</c:v>
                </c:pt>
              </c:strCache>
            </c:strRef>
          </c:cat>
          <c:val>
            <c:numRef>
              <c:f>'Sektorska tabela'!$I$21:$I$31</c:f>
              <c:numCache>
                <c:formatCode>0.0%</c:formatCode>
                <c:ptCount val="11"/>
                <c:pt idx="0">
                  <c:v>9.9822336507737249E-3</c:v>
                </c:pt>
                <c:pt idx="1">
                  <c:v>5.9299377324041481E-2</c:v>
                </c:pt>
                <c:pt idx="2">
                  <c:v>0.1324555118786947</c:v>
                </c:pt>
                <c:pt idx="3">
                  <c:v>3.3729276515606685E-2</c:v>
                </c:pt>
                <c:pt idx="4">
                  <c:v>0.58796894726720961</c:v>
                </c:pt>
                <c:pt idx="5">
                  <c:v>7.9919542934705101E-2</c:v>
                </c:pt>
                <c:pt idx="6">
                  <c:v>0</c:v>
                </c:pt>
                <c:pt idx="7">
                  <c:v>2.5283310982314056E-3</c:v>
                </c:pt>
                <c:pt idx="8">
                  <c:v>1.1392774718639521E-2</c:v>
                </c:pt>
                <c:pt idx="9">
                  <c:v>0</c:v>
                </c:pt>
                <c:pt idx="10">
                  <c:v>8.2724004612097723E-2</c:v>
                </c:pt>
              </c:numCache>
            </c:numRef>
          </c:val>
        </c:ser>
        <c:firstSliceAng val="0"/>
      </c:pieChart>
    </c:plotArea>
    <c:legend>
      <c:legendPos val="r"/>
      <c:txPr>
        <a:bodyPr/>
        <a:lstStyle/>
        <a:p>
          <a:pPr>
            <a:defRPr sz="600"/>
          </a:pPr>
          <a:endParaRPr lang="sr-Latn-C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900"/>
                </a:pPr>
                <a:endParaRPr lang="sr-Latn-CS"/>
              </a:p>
            </c:txPr>
            <c:showVal val="1"/>
            <c:showCatName val="1"/>
            <c:showLeaderLines val="1"/>
          </c:dLbls>
          <c:cat>
            <c:strRef>
              <c:f>'Sektorska tabela'!$A$68:$A$78</c:f>
              <c:strCache>
                <c:ptCount val="11"/>
                <c:pt idx="0">
                  <c:v>Poljoprivreda, šumarstvo i ribarstvo</c:v>
                </c:pt>
                <c:pt idx="1">
                  <c:v>Građevinarstvo</c:v>
                </c:pt>
                <c:pt idx="2">
                  <c:v>Trgovina</c:v>
                </c:pt>
                <c:pt idx="3">
                  <c:v>Usluge smještaja i ishrane</c:v>
                </c:pt>
                <c:pt idx="4">
                  <c:v>Ostale usluge </c:v>
                </c:pt>
                <c:pt idx="5">
                  <c:v>Saobraćaj</c:v>
                </c:pt>
                <c:pt idx="6">
                  <c:v>Finansijske djelatnosti</c:v>
                </c:pt>
                <c:pt idx="7">
                  <c:v>Industrija</c:v>
                </c:pt>
                <c:pt idx="8">
                  <c:v>Zdravstvo, obrazovanje i socijalna zaštita</c:v>
                </c:pt>
                <c:pt idx="9">
                  <c:v>Državna uprava</c:v>
                </c:pt>
                <c:pt idx="10">
                  <c:v>Ostali sektori</c:v>
                </c:pt>
              </c:strCache>
            </c:strRef>
          </c:cat>
          <c:val>
            <c:numRef>
              <c:f>'Sektorska tabela'!$B$68:$B$78</c:f>
              <c:numCache>
                <c:formatCode>0.0%</c:formatCode>
                <c:ptCount val="11"/>
                <c:pt idx="0">
                  <c:v>1.4732140389809635E-3</c:v>
                </c:pt>
                <c:pt idx="1">
                  <c:v>0.2366702048346396</c:v>
                </c:pt>
                <c:pt idx="2">
                  <c:v>0.1718707834414443</c:v>
                </c:pt>
                <c:pt idx="3">
                  <c:v>6.6431347317419481E-2</c:v>
                </c:pt>
                <c:pt idx="4">
                  <c:v>0.21107923832303244</c:v>
                </c:pt>
                <c:pt idx="5">
                  <c:v>3.5114814491416527E-2</c:v>
                </c:pt>
                <c:pt idx="6">
                  <c:v>1.6956658999078663E-2</c:v>
                </c:pt>
                <c:pt idx="7">
                  <c:v>0.12151986490979673</c:v>
                </c:pt>
                <c:pt idx="8">
                  <c:v>7.4547667224162655E-3</c:v>
                </c:pt>
                <c:pt idx="9">
                  <c:v>2.5772473760758662E-2</c:v>
                </c:pt>
                <c:pt idx="10">
                  <c:v>0.10565663316101639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plotArea>
      <c:layout>
        <c:manualLayout>
          <c:layoutTarget val="inner"/>
          <c:xMode val="edge"/>
          <c:yMode val="edge"/>
          <c:x val="0.24953949817046359"/>
          <c:y val="3.0092592592592591E-2"/>
          <c:w val="0.49969306322897489"/>
          <c:h val="0.94212962962962965"/>
        </c:manualLayout>
      </c:layout>
      <c:pieChart>
        <c:varyColors val="1"/>
        <c:ser>
          <c:idx val="0"/>
          <c:order val="0"/>
          <c:explosion val="25"/>
          <c:dLbls>
            <c:dLbl>
              <c:idx val="2"/>
              <c:layout>
                <c:manualLayout>
                  <c:x val="-0.14116394290492693"/>
                  <c:y val="0.14583333333333337"/>
                </c:manualLayout>
              </c:layout>
              <c:showVal val="1"/>
              <c:showCatName val="1"/>
            </c:dLbl>
            <c:dLbl>
              <c:idx val="3"/>
              <c:layout>
                <c:manualLayout>
                  <c:x val="-0.16570216015815703"/>
                  <c:y val="-0.18960629921259844"/>
                </c:manualLayout>
              </c:layout>
              <c:showVal val="1"/>
              <c:showCatName val="1"/>
            </c:dLbl>
            <c:txPr>
              <a:bodyPr/>
              <a:lstStyle/>
              <a:p>
                <a:pPr>
                  <a:defRPr sz="800"/>
                </a:pPr>
                <a:endParaRPr lang="sr-Latn-CS"/>
              </a:p>
            </c:txPr>
            <c:showVal val="1"/>
            <c:showCatName val="1"/>
            <c:showLeaderLines val="1"/>
          </c:dLbls>
          <c:cat>
            <c:strRef>
              <c:f>BS!$R$9:$R$15</c:f>
              <c:strCache>
                <c:ptCount val="7"/>
                <c:pt idx="0">
                  <c:v>GOODWILL</c:v>
                </c:pt>
                <c:pt idx="1">
                  <c:v>NEMATERIJALNA ULAGANJA</c:v>
                </c:pt>
                <c:pt idx="2">
                  <c:v>NEKRETNINE, POSTROJENJA, OPREMA I BIOLOŠKA SREDSTVA </c:v>
                </c:pt>
                <c:pt idx="3">
                  <c:v>DUGOROČNI FINANSIJSKI PLASMANI </c:v>
                </c:pt>
                <c:pt idx="4">
                  <c:v>ODLOŽENA PORESKA SREDSTVA</c:v>
                </c:pt>
                <c:pt idx="5">
                  <c:v>ZALIHE</c:v>
                </c:pt>
                <c:pt idx="6">
                  <c:v>KRATKOROČNA POTRAŽIVANJA, PLASMANI I GOTOVINA</c:v>
                </c:pt>
              </c:strCache>
            </c:strRef>
          </c:cat>
          <c:val>
            <c:numRef>
              <c:f>BS!$S$19:$S$25</c:f>
              <c:numCache>
                <c:formatCode>0.0%</c:formatCode>
                <c:ptCount val="7"/>
                <c:pt idx="1">
                  <c:v>1.6003856160338086E-3</c:v>
                </c:pt>
                <c:pt idx="2">
                  <c:v>0.21234555141995776</c:v>
                </c:pt>
                <c:pt idx="3">
                  <c:v>0.33390293366944929</c:v>
                </c:pt>
                <c:pt idx="4">
                  <c:v>2.5900781249705679E-4</c:v>
                </c:pt>
                <c:pt idx="5">
                  <c:v>0.12889039916334299</c:v>
                </c:pt>
                <c:pt idx="6">
                  <c:v>0.32300172231871932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sr-Latn-CS"/>
  <c:chart>
    <c:plotArea>
      <c:layout/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sz="800"/>
                </a:pPr>
                <a:endParaRPr lang="sr-Latn-CS"/>
              </a:p>
            </c:txPr>
            <c:showVal val="1"/>
            <c:showCatName val="1"/>
            <c:showLeaderLines val="1"/>
          </c:dLbls>
          <c:cat>
            <c:strRef>
              <c:f>BS!$O$84:$O$87</c:f>
              <c:strCache>
                <c:ptCount val="4"/>
                <c:pt idx="0">
                  <c:v>KAPITAL</c:v>
                </c:pt>
                <c:pt idx="1">
                  <c:v>DUGOROČNA REZERVISANJA I DUGOROČNE OBAVEZE </c:v>
                </c:pt>
                <c:pt idx="2">
                  <c:v>ODLOŽENE PORESKE OBAVEZE</c:v>
                </c:pt>
                <c:pt idx="3">
                  <c:v>KRATKOROČNA REZERVISANJA I KRATKOROČNE OBAVEZE</c:v>
                </c:pt>
              </c:strCache>
            </c:strRef>
          </c:cat>
          <c:val>
            <c:numRef>
              <c:f>BS!$P$84:$P$87</c:f>
              <c:numCache>
                <c:formatCode>0.0%</c:formatCode>
                <c:ptCount val="4"/>
                <c:pt idx="0">
                  <c:v>6.7296763704528084E-2</c:v>
                </c:pt>
                <c:pt idx="1">
                  <c:v>0.67774645650972587</c:v>
                </c:pt>
                <c:pt idx="2">
                  <c:v>1.0118769636770211E-3</c:v>
                </c:pt>
                <c:pt idx="3">
                  <c:v>0.25394490282206927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39FBF-4CB5-4805-BC30-A6155786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9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sladjana.pavlovic</dc:creator>
  <cp:lastModifiedBy>sladjana.pavlovic</cp:lastModifiedBy>
  <cp:revision>23</cp:revision>
  <cp:lastPrinted>2015-10-22T14:28:00Z</cp:lastPrinted>
  <dcterms:created xsi:type="dcterms:W3CDTF">2017-09-04T05:28:00Z</dcterms:created>
  <dcterms:modified xsi:type="dcterms:W3CDTF">2017-09-04T11:32:00Z</dcterms:modified>
</cp:coreProperties>
</file>